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4B8630">
      <w:pPr>
        <w:pageBreakBefore w:val="0"/>
        <w:kinsoku/>
        <w:wordWrap w:val="0"/>
        <w:overflowPunct/>
        <w:bidi w:val="0"/>
        <w:spacing w:line="360" w:lineRule="auto"/>
        <w:jc w:val="center"/>
        <w:rPr>
          <w:rFonts w:hint="eastAsia" w:ascii="仿宋" w:hAnsi="仿宋" w:eastAsia="仿宋" w:cs="仿宋"/>
          <w:b/>
          <w:color w:val="auto"/>
          <w:sz w:val="36"/>
          <w:szCs w:val="36"/>
          <w:highlight w:val="none"/>
          <w:lang w:val="en-US" w:eastAsia="zh-CN"/>
        </w:rPr>
      </w:pPr>
      <w:bookmarkStart w:id="0" w:name="OfficeAISelectedParaphsRangeStart"/>
      <w:r>
        <w:rPr>
          <w:rFonts w:hint="eastAsia" w:ascii="仿宋" w:hAnsi="仿宋" w:eastAsia="仿宋" w:cs="仿宋"/>
          <w:b/>
          <w:bCs/>
          <w:color w:val="auto"/>
          <w:sz w:val="56"/>
          <w:szCs w:val="56"/>
          <w:highlight w:val="none"/>
          <w:lang w:val="en-US" w:eastAsia="zh-CN"/>
        </w:rPr>
        <w:drawing>
          <wp:inline distT="0" distB="0" distL="114300" distR="114300">
            <wp:extent cx="6182995" cy="8743950"/>
            <wp:effectExtent l="0" t="0" r="8255" b="0"/>
            <wp:docPr id="5" name="图片 5" descr="文件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文件封面_01"/>
                    <pic:cNvPicPr>
                      <a:picLocks noChangeAspect="1"/>
                    </pic:cNvPicPr>
                  </pic:nvPicPr>
                  <pic:blipFill>
                    <a:blip r:embed="rId10"/>
                    <a:stretch>
                      <a:fillRect/>
                    </a:stretch>
                  </pic:blipFill>
                  <pic:spPr>
                    <a:xfrm>
                      <a:off x="0" y="0"/>
                      <a:ext cx="6182995" cy="8743950"/>
                    </a:xfrm>
                    <a:prstGeom prst="rect">
                      <a:avLst/>
                    </a:prstGeom>
                  </pic:spPr>
                </pic:pic>
              </a:graphicData>
            </a:graphic>
          </wp:inline>
        </w:drawing>
      </w:r>
      <w:bookmarkEnd w:id="0"/>
    </w:p>
    <w:p w14:paraId="2C7827A4">
      <w:pPr>
        <w:pageBreakBefore w:val="0"/>
        <w:kinsoku/>
        <w:wordWrap w:val="0"/>
        <w:overflowPunct/>
        <w:bidi w:val="0"/>
        <w:rPr>
          <w:rFonts w:hint="eastAsia" w:ascii="仿宋" w:hAnsi="仿宋" w:eastAsia="仿宋" w:cs="仿宋"/>
          <w:color w:val="auto"/>
          <w:highlight w:val="none"/>
        </w:rPr>
      </w:pPr>
    </w:p>
    <w:p w14:paraId="19523327">
      <w:pPr>
        <w:pStyle w:val="25"/>
        <w:pageBreakBefore w:val="0"/>
        <w:tabs>
          <w:tab w:val="left" w:pos="3210"/>
          <w:tab w:val="center" w:pos="4873"/>
        </w:tabs>
        <w:kinsoku/>
        <w:wordWrap w:val="0"/>
        <w:overflowPunct/>
        <w:bidi w:val="0"/>
        <w:spacing w:line="360" w:lineRule="auto"/>
        <w:rPr>
          <w:rFonts w:hint="eastAsia" w:ascii="仿宋" w:hAnsi="仿宋" w:eastAsia="仿宋" w:cs="仿宋"/>
          <w:color w:val="auto"/>
          <w:highlight w:val="none"/>
          <w:lang w:val="zh-CN"/>
        </w:rPr>
        <w:sectPr>
          <w:headerReference r:id="rId5" w:type="first"/>
          <w:headerReference r:id="rId3" w:type="default"/>
          <w:headerReference r:id="rId4" w:type="even"/>
          <w:footerReference r:id="rId6" w:type="even"/>
          <w:pgSz w:w="11906" w:h="16838"/>
          <w:pgMar w:top="1440" w:right="1080" w:bottom="1440" w:left="1080" w:header="851" w:footer="992" w:gutter="0"/>
          <w:cols w:space="708" w:num="1"/>
          <w:titlePg/>
          <w:docGrid w:type="lines" w:linePitch="312" w:charSpace="0"/>
        </w:sectPr>
      </w:pPr>
    </w:p>
    <w:p w14:paraId="3F4A2B49">
      <w:pPr>
        <w:pStyle w:val="25"/>
        <w:pageBreakBefore w:val="0"/>
        <w:tabs>
          <w:tab w:val="left" w:pos="3210"/>
          <w:tab w:val="center" w:pos="4873"/>
        </w:tabs>
        <w:kinsoku/>
        <w:wordWrap w:val="0"/>
        <w:overflowPunct/>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zh-CN"/>
        </w:rPr>
        <w:t>目   录</w:t>
      </w:r>
    </w:p>
    <w:p w14:paraId="09EF1853">
      <w:pPr>
        <w:pStyle w:val="16"/>
        <w:keepNext w:val="0"/>
        <w:keepLines w:val="0"/>
        <w:pageBreakBefore w:val="0"/>
        <w:widowControl w:val="0"/>
        <w:tabs>
          <w:tab w:val="right" w:leader="dot" w:pos="9746"/>
          <w:tab w:val="clear" w:pos="973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24"/>
          <w:highlight w:val="none"/>
        </w:rPr>
        <w:fldChar w:fldCharType="begin"/>
      </w:r>
      <w:r>
        <w:rPr>
          <w:rFonts w:hint="eastAsia" w:ascii="仿宋" w:hAnsi="仿宋" w:eastAsia="仿宋" w:cs="仿宋"/>
          <w:bCs/>
          <w:color w:val="auto"/>
          <w:sz w:val="24"/>
          <w:szCs w:val="24"/>
          <w:highlight w:val="none"/>
        </w:rPr>
        <w:instrText xml:space="preserve">TOC \o "1-2" \h \u </w:instrText>
      </w:r>
      <w:r>
        <w:rPr>
          <w:rFonts w:hint="eastAsia" w:ascii="仿宋" w:hAnsi="仿宋" w:eastAsia="仿宋" w:cs="仿宋"/>
          <w:bCs/>
          <w:color w:val="auto"/>
          <w:sz w:val="24"/>
          <w:szCs w:val="24"/>
          <w:highlight w:val="none"/>
        </w:rPr>
        <w:fldChar w:fldCharType="separate"/>
      </w: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_Toc725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rPr>
        <w:t>第一章 招标公告</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_Toc725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73939544">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_Toc26353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一、项目基本情况</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_Toc26353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78C45CD">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_Toc23416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二、</w:t>
      </w:r>
      <w:r>
        <w:rPr>
          <w:rFonts w:hint="eastAsia" w:ascii="仿宋" w:hAnsi="仿宋" w:eastAsia="仿宋" w:cs="仿宋"/>
          <w:sz w:val="24"/>
          <w:szCs w:val="36"/>
          <w:highlight w:val="none"/>
          <w:lang w:eastAsia="zh-CN"/>
        </w:rPr>
        <w:t>投标人</w:t>
      </w:r>
      <w:r>
        <w:rPr>
          <w:rFonts w:hint="eastAsia" w:ascii="仿宋" w:hAnsi="仿宋" w:eastAsia="仿宋" w:cs="仿宋"/>
          <w:sz w:val="24"/>
          <w:szCs w:val="36"/>
          <w:highlight w:val="none"/>
        </w:rPr>
        <w:t>的资格要求</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_Toc23416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4DA68B63">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_Toc18243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三、获取招标文件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_Toc18243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8F26EDF">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_Toc25582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四、提交投标文件截止时间、开标时间和地点</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_Toc25582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4</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6392E920">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_Toc31032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五、公告期限</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_Toc31032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4</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352EBB1E">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_Toc5415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六、其他补充事宜</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_Toc5415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4</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AF7BC3F">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_Toc5349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七、对本次招标提出询问，请按以下方式联系</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_Toc5349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7960537">
      <w:pPr>
        <w:pStyle w:val="16"/>
        <w:keepNext w:val="0"/>
        <w:keepLines w:val="0"/>
        <w:pageBreakBefore w:val="0"/>
        <w:widowControl w:val="0"/>
        <w:tabs>
          <w:tab w:val="right" w:leader="dot" w:pos="9746"/>
          <w:tab w:val="clear" w:pos="973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_Toc9791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rPr>
        <w:t xml:space="preserve">第二章 </w:t>
      </w:r>
      <w:r>
        <w:rPr>
          <w:rFonts w:hint="eastAsia" w:ascii="仿宋" w:hAnsi="仿宋" w:eastAsia="仿宋" w:cs="仿宋"/>
          <w:sz w:val="24"/>
          <w:szCs w:val="28"/>
          <w:highlight w:val="none"/>
          <w:lang w:eastAsia="zh-CN"/>
        </w:rPr>
        <w:t>投标人</w:t>
      </w:r>
      <w:r>
        <w:rPr>
          <w:rFonts w:hint="eastAsia" w:ascii="仿宋" w:hAnsi="仿宋" w:eastAsia="仿宋" w:cs="仿宋"/>
          <w:sz w:val="24"/>
          <w:szCs w:val="28"/>
          <w:highlight w:val="none"/>
        </w:rPr>
        <w:t>须知</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_Toc9791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4128E35">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_Toc24289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lang w:eastAsia="zh-CN"/>
        </w:rPr>
        <w:t>投标人</w:t>
      </w:r>
      <w:r>
        <w:rPr>
          <w:rFonts w:hint="eastAsia" w:ascii="仿宋" w:hAnsi="仿宋" w:eastAsia="仿宋" w:cs="仿宋"/>
          <w:sz w:val="24"/>
          <w:szCs w:val="36"/>
          <w:highlight w:val="none"/>
        </w:rPr>
        <w:t>须知前附表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_Toc24289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E93CCF3">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_Toc21401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lang w:eastAsia="zh-CN"/>
        </w:rPr>
        <w:t>投标人</w:t>
      </w:r>
      <w:r>
        <w:rPr>
          <w:rFonts w:hint="eastAsia" w:ascii="仿宋" w:hAnsi="仿宋" w:eastAsia="仿宋" w:cs="仿宋"/>
          <w:sz w:val="24"/>
          <w:szCs w:val="36"/>
          <w:highlight w:val="none"/>
        </w:rPr>
        <w:t>须知正文</w:t>
      </w:r>
      <w:bookmarkStart w:id="552" w:name="_GoBack"/>
      <w:bookmarkEnd w:id="552"/>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_Toc21401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15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6841217E">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_Toc11149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一、总则</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_Toc11149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15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6BA74F99">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_Toc2955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二、招标文件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_Toc2955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18</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474983D">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_Toc21874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三、投标文件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_Toc21874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19</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0E991284">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_Toc5573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四、投标</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_Toc5573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22</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351DD281">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_Toc10152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五、开标</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_Toc10152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23</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7FA5E18C">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_Toc12953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六、资格审查</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_Toc12953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24</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551DFE72">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_Toc25704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七、评标</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_Toc25704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24</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D4570A9">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_Toc22983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八、中标和合同</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_Toc22983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0EA708C">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_Toc4403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九、重新招标和不再招标</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_Toc4403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19B74EB">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_Toc15494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十、纪律和监督</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_Toc15494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27</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5BF957F4">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_Toc15671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十一、质疑与投诉</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_Toc15671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28</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53EA2BD9">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_Toc3286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十二、是否采用电子化招标投标</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_Toc3286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29</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0018A83B">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_Toc23513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十三、需要补充的其他内容</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_Toc23513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29</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88EF902">
      <w:pPr>
        <w:pStyle w:val="16"/>
        <w:keepNext w:val="0"/>
        <w:keepLines w:val="0"/>
        <w:pageBreakBefore w:val="0"/>
        <w:widowControl w:val="0"/>
        <w:tabs>
          <w:tab w:val="right" w:leader="dot" w:pos="9746"/>
          <w:tab w:val="clear" w:pos="973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_Toc23647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rPr>
        <w:t xml:space="preserve">第三章 </w:t>
      </w:r>
      <w:r>
        <w:rPr>
          <w:rFonts w:hint="eastAsia" w:ascii="仿宋" w:hAnsi="仿宋" w:eastAsia="仿宋" w:cs="仿宋"/>
          <w:sz w:val="24"/>
          <w:szCs w:val="28"/>
          <w:highlight w:val="none"/>
        </w:rPr>
        <w:t>评标办法（综合评分法）</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_Toc23647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30</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3302CB50">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_Toc23692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2"/>
          <w:highlight w:val="none"/>
        </w:rPr>
        <w:t>评标办法前附表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_Toc23692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30</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C861877">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_Toc14198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一、评标机构</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_Toc14198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7A873BE5">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_Toc1264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二、采购人或者采购代理机构职责</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_Toc1264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56AA9ABE">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_Toc20693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三、评标委员会职责</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_Toc20693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219062E">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_Toc14830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四、评标纪律</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_Toc14830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59B2B054">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_Toc4405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五、评标原则</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_Toc4405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B5E7F8D">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_Toc10454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六、评标程序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_Toc10454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06895871">
      <w:pPr>
        <w:pStyle w:val="16"/>
        <w:keepNext w:val="0"/>
        <w:keepLines w:val="0"/>
        <w:pageBreakBefore w:val="0"/>
        <w:widowControl w:val="0"/>
        <w:tabs>
          <w:tab w:val="right" w:leader="dot" w:pos="9746"/>
          <w:tab w:val="clear" w:pos="973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_Toc18947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rPr>
        <w:t>第四章 合同基本条款及格式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_Toc18947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39</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342203E9">
      <w:pPr>
        <w:pStyle w:val="16"/>
        <w:keepNext w:val="0"/>
        <w:keepLines w:val="0"/>
        <w:pageBreakBefore w:val="0"/>
        <w:widowControl w:val="0"/>
        <w:tabs>
          <w:tab w:val="right" w:leader="dot" w:pos="9746"/>
          <w:tab w:val="clear" w:pos="973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_Toc11517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rPr>
        <w:t>第五章 投标文件格式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_Toc11517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45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277C7ADB">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_Toc29823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一、资格审查部分</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_Toc29823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46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6CB2C05A">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_Toc16604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二、技术部分</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_Toc16604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62</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4C6D66C7">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_Toc22158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三、商务部分</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_Toc22158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66</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3864584C">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_Toc15049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rPr>
        <w:t>四、其他资料</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_Toc15049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78</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06AC84A7">
      <w:pPr>
        <w:pStyle w:val="16"/>
        <w:keepNext w:val="0"/>
        <w:keepLines w:val="0"/>
        <w:pageBreakBefore w:val="0"/>
        <w:widowControl w:val="0"/>
        <w:tabs>
          <w:tab w:val="right" w:leader="dot" w:pos="9746"/>
          <w:tab w:val="clear" w:pos="973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_Toc7441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rPr>
        <w:t>第六章 采购需求及要求</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_Toc7441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79</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48B5CB63">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sz w:val="24"/>
          <w:szCs w:val="28"/>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_Toc3204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28"/>
          <w:highlight w:val="none"/>
          <w:lang w:val="en-US" w:eastAsia="zh-CN"/>
        </w:rPr>
        <w:t>一、技术参数</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_Toc3204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79</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14990F29">
      <w:pPr>
        <w:pStyle w:val="17"/>
        <w:keepNext w:val="0"/>
        <w:keepLines w:val="0"/>
        <w:pageBreakBefore w:val="0"/>
        <w:widowControl w:val="0"/>
        <w:tabs>
          <w:tab w:val="right" w:leader="dot" w:pos="9746"/>
        </w:tabs>
        <w:kinsoku/>
        <w:wordWrap/>
        <w:overflowPunct/>
        <w:topLinePunct w:val="0"/>
        <w:autoSpaceDE/>
        <w:autoSpaceDN/>
        <w:bidi w:val="0"/>
        <w:adjustRightInd/>
        <w:snapToGrid/>
        <w:spacing w:line="310" w:lineRule="exact"/>
        <w:textAlignment w:val="auto"/>
        <w:rPr>
          <w:rFonts w:hint="eastAsia" w:ascii="仿宋" w:hAnsi="仿宋" w:eastAsia="仿宋" w:cs="仿宋"/>
          <w:highlight w:val="none"/>
        </w:rPr>
      </w:pPr>
      <w:r>
        <w:rPr>
          <w:rFonts w:hint="eastAsia" w:ascii="仿宋" w:hAnsi="仿宋" w:eastAsia="仿宋" w:cs="仿宋"/>
          <w:bCs/>
          <w:color w:val="auto"/>
          <w:sz w:val="24"/>
          <w:szCs w:val="32"/>
          <w:highlight w:val="none"/>
        </w:rPr>
        <w:fldChar w:fldCharType="begin"/>
      </w:r>
      <w:r>
        <w:rPr>
          <w:rFonts w:hint="eastAsia" w:ascii="仿宋" w:hAnsi="仿宋" w:eastAsia="仿宋" w:cs="仿宋"/>
          <w:bCs/>
          <w:sz w:val="24"/>
          <w:szCs w:val="32"/>
          <w:highlight w:val="none"/>
        </w:rPr>
        <w:instrText xml:space="preserve"> HYPERLINK \l _Toc29114 </w:instrText>
      </w:r>
      <w:r>
        <w:rPr>
          <w:rFonts w:hint="eastAsia" w:ascii="仿宋" w:hAnsi="仿宋" w:eastAsia="仿宋" w:cs="仿宋"/>
          <w:bCs/>
          <w:sz w:val="24"/>
          <w:szCs w:val="32"/>
          <w:highlight w:val="none"/>
        </w:rPr>
        <w:fldChar w:fldCharType="separate"/>
      </w:r>
      <w:r>
        <w:rPr>
          <w:rFonts w:hint="eastAsia" w:ascii="仿宋" w:hAnsi="仿宋" w:eastAsia="仿宋" w:cs="仿宋"/>
          <w:sz w:val="24"/>
          <w:szCs w:val="36"/>
          <w:highlight w:val="none"/>
          <w:lang w:val="en-US" w:eastAsia="zh-CN"/>
        </w:rPr>
        <w:t>二、商务要求</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_Toc29114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85</w:t>
      </w:r>
      <w:r>
        <w:rPr>
          <w:rFonts w:hint="eastAsia" w:ascii="仿宋" w:hAnsi="仿宋" w:eastAsia="仿宋" w:cs="仿宋"/>
          <w:sz w:val="24"/>
          <w:szCs w:val="28"/>
          <w:highlight w:val="none"/>
        </w:rPr>
        <w:fldChar w:fldCharType="end"/>
      </w:r>
      <w:r>
        <w:rPr>
          <w:rFonts w:hint="eastAsia" w:ascii="仿宋" w:hAnsi="仿宋" w:eastAsia="仿宋" w:cs="仿宋"/>
          <w:bCs/>
          <w:color w:val="auto"/>
          <w:sz w:val="24"/>
          <w:szCs w:val="32"/>
          <w:highlight w:val="none"/>
        </w:rPr>
        <w:fldChar w:fldCharType="end"/>
      </w:r>
    </w:p>
    <w:p w14:paraId="00EA6673">
      <w:pPr>
        <w:pageBreakBefore w:val="0"/>
        <w:kinsoku/>
        <w:wordWrap w:val="0"/>
        <w:overflowPunct/>
        <w:bidi w:val="0"/>
        <w:spacing w:line="300" w:lineRule="exact"/>
        <w:rPr>
          <w:rFonts w:hint="eastAsia" w:ascii="仿宋" w:hAnsi="仿宋" w:eastAsia="仿宋" w:cs="仿宋"/>
          <w:b/>
          <w:bCs/>
          <w:color w:val="auto"/>
          <w:sz w:val="24"/>
          <w:szCs w:val="24"/>
          <w:highlight w:val="none"/>
        </w:rPr>
        <w:sectPr>
          <w:footerReference r:id="rId8" w:type="first"/>
          <w:footerReference r:id="rId7" w:type="default"/>
          <w:pgSz w:w="11906" w:h="16838"/>
          <w:pgMar w:top="1440" w:right="1080" w:bottom="1440" w:left="1080" w:header="851" w:footer="992" w:gutter="0"/>
          <w:pgNumType w:fmt="decimal" w:start="1"/>
          <w:cols w:space="708" w:num="1"/>
          <w:titlePg/>
          <w:docGrid w:type="lines" w:linePitch="312" w:charSpace="0"/>
        </w:sectPr>
      </w:pPr>
      <w:r>
        <w:rPr>
          <w:rFonts w:hint="eastAsia" w:ascii="仿宋" w:hAnsi="仿宋" w:eastAsia="仿宋" w:cs="仿宋"/>
          <w:bCs/>
          <w:color w:val="auto"/>
          <w:szCs w:val="24"/>
          <w:highlight w:val="none"/>
        </w:rPr>
        <w:fldChar w:fldCharType="end"/>
      </w:r>
    </w:p>
    <w:p w14:paraId="3F58623C">
      <w:pPr>
        <w:pStyle w:val="3"/>
        <w:pageBreakBefore w:val="0"/>
        <w:tabs>
          <w:tab w:val="center" w:pos="4873"/>
        </w:tabs>
        <w:kinsoku/>
        <w:wordWrap w:val="0"/>
        <w:overflowPunct/>
        <w:bidi w:val="0"/>
        <w:spacing w:line="360" w:lineRule="auto"/>
        <w:jc w:val="center"/>
        <w:rPr>
          <w:rFonts w:hint="eastAsia" w:ascii="仿宋" w:hAnsi="仿宋" w:eastAsia="仿宋" w:cs="仿宋"/>
          <w:color w:val="auto"/>
          <w:highlight w:val="none"/>
        </w:rPr>
      </w:pPr>
      <w:bookmarkStart w:id="1" w:name="_Toc725"/>
      <w:bookmarkStart w:id="2" w:name="_Toc14116"/>
      <w:r>
        <w:rPr>
          <w:rFonts w:hint="eastAsia" w:ascii="仿宋" w:hAnsi="仿宋" w:eastAsia="仿宋" w:cs="仿宋"/>
          <w:color w:val="auto"/>
          <w:highlight w:val="none"/>
        </w:rPr>
        <w:t>第一章 招标公告</w:t>
      </w:r>
      <w:bookmarkEnd w:id="1"/>
      <w:bookmarkEnd w:id="2"/>
    </w:p>
    <w:p w14:paraId="76755F43">
      <w:pPr>
        <w:pageBreakBefore w:val="0"/>
        <w:kinsoku/>
        <w:wordWrap w:val="0"/>
        <w:overflowPunct/>
        <w:bidi w:val="0"/>
        <w:spacing w:before="156" w:beforeLines="50" w:line="360" w:lineRule="auto"/>
        <w:jc w:val="center"/>
        <w:rPr>
          <w:rFonts w:hint="eastAsia" w:ascii="仿宋" w:hAnsi="仿宋" w:eastAsia="仿宋" w:cs="仿宋"/>
          <w:b/>
          <w:bCs/>
          <w:color w:val="auto"/>
          <w:sz w:val="32"/>
          <w:highlight w:val="none"/>
          <w:lang w:eastAsia="zh-CN"/>
        </w:rPr>
      </w:pPr>
      <w:bookmarkStart w:id="3" w:name="_Hlk50554037"/>
      <w:r>
        <w:rPr>
          <w:rFonts w:hint="eastAsia" w:ascii="仿宋" w:hAnsi="仿宋" w:eastAsia="仿宋" w:cs="仿宋"/>
          <w:b/>
          <w:bCs/>
          <w:color w:val="auto"/>
          <w:sz w:val="32"/>
          <w:highlight w:val="none"/>
          <w:lang w:eastAsia="zh-CN"/>
        </w:rPr>
        <w:t>普洱市大剧院设备更新</w:t>
      </w:r>
    </w:p>
    <w:tbl>
      <w:tblPr>
        <w:tblStyle w:val="22"/>
        <w:tblW w:w="996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14:paraId="3B04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9962" w:type="dxa"/>
          </w:tcPr>
          <w:p w14:paraId="59873E93">
            <w:pPr>
              <w:keepNext w:val="0"/>
              <w:keepLines w:val="0"/>
              <w:pageBreakBefore w:val="0"/>
              <w:suppressLineNumbers w:val="0"/>
              <w:kinsoku/>
              <w:wordWrap w:val="0"/>
              <w:overflowPunct/>
              <w:bidi w:val="0"/>
              <w:spacing w:before="0" w:beforeAutospacing="0" w:after="0" w:afterAutospacing="0" w:line="360" w:lineRule="auto"/>
              <w:ind w:left="0" w:right="0" w:firstLine="480" w:firstLineChars="200"/>
              <w:rPr>
                <w:rFonts w:hint="eastAsia" w:ascii="仿宋" w:hAnsi="仿宋" w:eastAsia="仿宋" w:cs="仿宋"/>
                <w:color w:val="auto"/>
                <w:sz w:val="24"/>
                <w:szCs w:val="24"/>
                <w:highlight w:val="none"/>
              </w:rPr>
            </w:pPr>
            <w:bookmarkStart w:id="4" w:name="_Hlk20135437"/>
            <w:r>
              <w:rPr>
                <w:rFonts w:hint="eastAsia" w:ascii="仿宋" w:hAnsi="仿宋" w:eastAsia="仿宋" w:cs="仿宋"/>
                <w:color w:val="auto"/>
                <w:sz w:val="24"/>
                <w:szCs w:val="24"/>
                <w:highlight w:val="none"/>
              </w:rPr>
              <w:t>项目概况</w:t>
            </w:r>
          </w:p>
          <w:p w14:paraId="42FF4B3C">
            <w:pPr>
              <w:keepNext w:val="0"/>
              <w:keepLines w:val="0"/>
              <w:pageBreakBefore w:val="0"/>
              <w:suppressLineNumbers w:val="0"/>
              <w:kinsoku/>
              <w:wordWrap w:val="0"/>
              <w:overflowPunct/>
              <w:bidi w:val="0"/>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lang w:eastAsia="zh-CN"/>
              </w:rPr>
              <w:t>普洱市大剧院设备更新</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的潜在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u w:val="single"/>
                <w:lang w:val="en-US" w:eastAsia="zh-CN"/>
              </w:rPr>
              <w:t>政采云平台http://www.zcygov.cn（操作路径：登录“政采云”平台--项目采购--获取采购文件--找到本项目--点击“申请获取采购文件”）</w:t>
            </w:r>
            <w:r>
              <w:rPr>
                <w:rFonts w:hint="eastAsia" w:ascii="仿宋" w:hAnsi="仿宋" w:eastAsia="仿宋" w:cs="仿宋"/>
                <w:color w:val="auto"/>
                <w:sz w:val="24"/>
                <w:szCs w:val="24"/>
                <w:highlight w:val="none"/>
              </w:rPr>
              <w:t>获取招标文件，并于</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12</w:t>
            </w:r>
            <w:r>
              <w:rPr>
                <w:rFonts w:hint="eastAsia" w:ascii="仿宋" w:hAnsi="仿宋" w:eastAsia="仿宋" w:cs="仿宋"/>
                <w:bCs/>
                <w:color w:val="auto"/>
                <w:sz w:val="24"/>
                <w:szCs w:val="24"/>
                <w:highlight w:val="none"/>
                <w:u w:val="single"/>
              </w:rPr>
              <w:t>月</w:t>
            </w:r>
            <w:r>
              <w:rPr>
                <w:rFonts w:hint="eastAsia" w:ascii="仿宋" w:hAnsi="仿宋" w:eastAsia="仿宋" w:cs="仿宋"/>
                <w:bCs/>
                <w:color w:val="auto"/>
                <w:sz w:val="24"/>
                <w:szCs w:val="24"/>
                <w:highlight w:val="none"/>
                <w:u w:val="single"/>
                <w:lang w:val="en-US" w:eastAsia="zh-CN"/>
              </w:rPr>
              <w:t>01</w:t>
            </w:r>
            <w:r>
              <w:rPr>
                <w:rFonts w:hint="eastAsia" w:ascii="仿宋" w:hAnsi="仿宋" w:eastAsia="仿宋" w:cs="仿宋"/>
                <w:bCs/>
                <w:color w:val="auto"/>
                <w:sz w:val="24"/>
                <w:szCs w:val="24"/>
                <w:highlight w:val="none"/>
                <w:u w:val="single"/>
              </w:rPr>
              <w:t>日</w:t>
            </w:r>
            <w:r>
              <w:rPr>
                <w:rFonts w:hint="eastAsia" w:ascii="仿宋" w:hAnsi="仿宋" w:eastAsia="仿宋" w:cs="仿宋"/>
                <w:bCs/>
                <w:color w:val="auto"/>
                <w:sz w:val="24"/>
                <w:szCs w:val="24"/>
                <w:highlight w:val="none"/>
                <w:u w:val="single"/>
                <w:lang w:val="en-US" w:eastAsia="zh-CN"/>
              </w:rPr>
              <w:t>15时0</w:t>
            </w:r>
            <w:r>
              <w:rPr>
                <w:rFonts w:hint="eastAsia" w:ascii="仿宋" w:hAnsi="仿宋" w:eastAsia="仿宋" w:cs="仿宋"/>
                <w:bCs/>
                <w:color w:val="auto"/>
                <w:sz w:val="24"/>
                <w:szCs w:val="24"/>
                <w:highlight w:val="none"/>
                <w:u w:val="single"/>
              </w:rPr>
              <w:t>0分</w:t>
            </w:r>
            <w:r>
              <w:rPr>
                <w:rFonts w:hint="eastAsia" w:ascii="仿宋" w:hAnsi="仿宋" w:eastAsia="仿宋" w:cs="仿宋"/>
                <w:bCs/>
                <w:color w:val="auto"/>
                <w:sz w:val="24"/>
                <w:szCs w:val="24"/>
                <w:highlight w:val="none"/>
                <w:u w:val="single"/>
              </w:rPr>
              <w:t>（</w:t>
            </w:r>
            <w:r>
              <w:rPr>
                <w:rFonts w:hint="eastAsia" w:ascii="仿宋" w:hAnsi="仿宋" w:eastAsia="仿宋" w:cs="仿宋"/>
                <w:bCs/>
                <w:color w:val="auto"/>
                <w:sz w:val="24"/>
                <w:szCs w:val="24"/>
                <w:highlight w:val="none"/>
              </w:rPr>
              <w:t>北京时间）前递交投标文件</w:t>
            </w:r>
            <w:r>
              <w:rPr>
                <w:rFonts w:hint="eastAsia" w:ascii="仿宋" w:hAnsi="仿宋" w:eastAsia="仿宋" w:cs="仿宋"/>
                <w:color w:val="auto"/>
                <w:sz w:val="24"/>
                <w:szCs w:val="24"/>
                <w:highlight w:val="none"/>
              </w:rPr>
              <w:t>。</w:t>
            </w:r>
          </w:p>
        </w:tc>
      </w:tr>
      <w:bookmarkEnd w:id="4"/>
    </w:tbl>
    <w:p w14:paraId="56C57E2E">
      <w:pPr>
        <w:pStyle w:val="4"/>
        <w:pageBreakBefore w:val="0"/>
        <w:kinsoku/>
        <w:wordWrap w:val="0"/>
        <w:overflowPunct/>
        <w:bidi w:val="0"/>
        <w:spacing w:before="0" w:after="0" w:line="360" w:lineRule="auto"/>
        <w:rPr>
          <w:rFonts w:hint="eastAsia" w:ascii="仿宋" w:hAnsi="仿宋" w:eastAsia="仿宋" w:cs="仿宋"/>
          <w:color w:val="auto"/>
          <w:sz w:val="28"/>
          <w:szCs w:val="28"/>
          <w:highlight w:val="none"/>
        </w:rPr>
      </w:pPr>
      <w:bookmarkStart w:id="5" w:name="_Toc8152"/>
      <w:bookmarkStart w:id="6" w:name="_Toc7664"/>
      <w:bookmarkStart w:id="7" w:name="_Toc26353"/>
      <w:r>
        <w:rPr>
          <w:rFonts w:hint="eastAsia" w:ascii="仿宋" w:hAnsi="仿宋" w:eastAsia="仿宋" w:cs="仿宋"/>
          <w:color w:val="auto"/>
          <w:sz w:val="28"/>
          <w:szCs w:val="28"/>
          <w:highlight w:val="none"/>
        </w:rPr>
        <w:t>一、项目基本情况</w:t>
      </w:r>
      <w:bookmarkEnd w:id="5"/>
      <w:bookmarkEnd w:id="6"/>
      <w:bookmarkEnd w:id="7"/>
    </w:p>
    <w:p w14:paraId="47B5874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项目编号：PEZC2025-G1-01508-YNTY-0006</w:t>
      </w:r>
    </w:p>
    <w:p w14:paraId="35D65CD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普洱市大剧院设备更新</w:t>
      </w:r>
      <w:r>
        <w:rPr>
          <w:rFonts w:hint="eastAsia" w:ascii="仿宋" w:hAnsi="仿宋" w:eastAsia="仿宋" w:cs="仿宋"/>
          <w:color w:val="auto"/>
          <w:sz w:val="24"/>
          <w:szCs w:val="24"/>
          <w:highlight w:val="none"/>
        </w:rPr>
        <w:t>；</w:t>
      </w:r>
    </w:p>
    <w:p w14:paraId="5971E5B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b w:val="0"/>
          <w:bCs w:val="0"/>
          <w:color w:val="auto"/>
          <w:sz w:val="24"/>
          <w:szCs w:val="24"/>
          <w:highlight w:val="none"/>
          <w:lang w:val="en-US" w:eastAsia="zh-CN"/>
        </w:rPr>
        <w:t>1558700.00</w:t>
      </w:r>
      <w:r>
        <w:rPr>
          <w:rFonts w:hint="eastAsia" w:ascii="仿宋" w:hAnsi="仿宋" w:eastAsia="仿宋" w:cs="仿宋"/>
          <w:color w:val="auto"/>
          <w:sz w:val="24"/>
          <w:szCs w:val="24"/>
          <w:highlight w:val="none"/>
        </w:rPr>
        <w:t>元；</w:t>
      </w:r>
    </w:p>
    <w:p w14:paraId="7B28E286">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r>
        <w:rPr>
          <w:rFonts w:hint="eastAsia" w:ascii="仿宋" w:hAnsi="仿宋" w:eastAsia="仿宋" w:cs="仿宋"/>
          <w:color w:val="auto"/>
          <w:sz w:val="24"/>
          <w:szCs w:val="24"/>
          <w:highlight w:val="none"/>
          <w:lang w:val="en-US" w:eastAsia="zh-CN"/>
        </w:rPr>
        <w:t>1558700.00</w:t>
      </w:r>
      <w:r>
        <w:rPr>
          <w:rFonts w:hint="eastAsia" w:ascii="仿宋" w:hAnsi="仿宋" w:eastAsia="仿宋" w:cs="仿宋"/>
          <w:color w:val="auto"/>
          <w:sz w:val="24"/>
          <w:szCs w:val="24"/>
          <w:highlight w:val="none"/>
        </w:rPr>
        <w:t>元；</w:t>
      </w:r>
    </w:p>
    <w:p w14:paraId="63DFD0E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lang w:eastAsia="zh-CN"/>
        </w:rPr>
      </w:pPr>
      <w:bookmarkStart w:id="8" w:name="_Toc7159"/>
      <w:r>
        <w:rPr>
          <w:rFonts w:hint="eastAsia" w:ascii="仿宋" w:hAnsi="仿宋" w:eastAsia="仿宋" w:cs="仿宋"/>
          <w:color w:val="auto"/>
          <w:sz w:val="24"/>
          <w:szCs w:val="24"/>
          <w:highlight w:val="none"/>
        </w:rPr>
        <w:t>采购需求：一、更新舞台灯光系统，主要内容为更换现有切割灯，提升舞台照明亮度和色彩饱和度。二、更新数字话筒、音响设备，主要内容为更换为具备高保真音质、低噪音干扰的无线话筒、头戴话筒</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strike w:val="0"/>
          <w:dstrike w:val="0"/>
          <w:color w:val="auto"/>
          <w:sz w:val="24"/>
          <w:szCs w:val="24"/>
          <w:highlight w:val="none"/>
          <w:lang w:val="en-US" w:eastAsia="zh-CN"/>
        </w:rPr>
        <w:t>摄像设备、音响设备</w:t>
      </w:r>
      <w:r>
        <w:rPr>
          <w:rFonts w:hint="eastAsia" w:ascii="仿宋" w:hAnsi="仿宋" w:eastAsia="仿宋" w:cs="仿宋"/>
          <w:strike w:val="0"/>
          <w:dstrike w:val="0"/>
          <w:color w:val="auto"/>
          <w:sz w:val="24"/>
          <w:szCs w:val="24"/>
          <w:highlight w:val="none"/>
        </w:rPr>
        <w:t>及</w:t>
      </w:r>
      <w:r>
        <w:rPr>
          <w:rFonts w:hint="eastAsia" w:ascii="仿宋" w:hAnsi="仿宋" w:eastAsia="仿宋" w:cs="仿宋"/>
          <w:color w:val="auto"/>
          <w:sz w:val="24"/>
          <w:szCs w:val="24"/>
          <w:highlight w:val="none"/>
        </w:rPr>
        <w:t>配套设备。三、更新专业演出钢琴，主要内容为采购一台国产高品质的三角钢琴，以满足大剧院各类音乐演出的需求。</w:t>
      </w:r>
      <w:r>
        <w:rPr>
          <w:rFonts w:hint="eastAsia" w:ascii="仿宋" w:hAnsi="仿宋" w:eastAsia="仿宋" w:cs="仿宋"/>
          <w:color w:val="auto"/>
          <w:sz w:val="24"/>
          <w:szCs w:val="24"/>
          <w:highlight w:val="none"/>
          <w:lang w:val="en-US" w:eastAsia="zh-CN"/>
        </w:rPr>
        <w:t>详细要求详见“第六章采购需求及要求</w:t>
      </w:r>
      <w:r>
        <w:rPr>
          <w:rFonts w:hint="eastAsia" w:ascii="仿宋" w:hAnsi="仿宋" w:eastAsia="仿宋" w:cs="仿宋"/>
          <w:color w:val="auto"/>
          <w:sz w:val="24"/>
          <w:szCs w:val="24"/>
          <w:highlight w:val="none"/>
          <w:lang w:eastAsia="zh-CN"/>
        </w:rPr>
        <w:t>”。</w:t>
      </w:r>
    </w:p>
    <w:p w14:paraId="6BE349D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自合同签订之日起3个月内完成安装、调试。</w:t>
      </w:r>
    </w:p>
    <w:p w14:paraId="0A7C7230">
      <w:pPr>
        <w:keepNext w:val="0"/>
        <w:keepLines w:val="0"/>
        <w:pageBreakBefore w:val="0"/>
        <w:widowControl w:val="0"/>
        <w:kinsoku/>
        <w:wordWrap w:val="0"/>
        <w:overflowPunct/>
        <w:topLinePunct w:val="0"/>
        <w:autoSpaceDE/>
        <w:autoSpaceDN/>
        <w:bidi w:val="0"/>
        <w:adjustRightInd/>
        <w:snapToGrid/>
        <w:spacing w:line="480" w:lineRule="exact"/>
        <w:ind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本项目（</w:t>
      </w:r>
      <w:r>
        <w:rPr>
          <w:rFonts w:hint="eastAsia" w:ascii="仿宋" w:hAnsi="仿宋" w:eastAsia="仿宋" w:cs="仿宋"/>
          <w:b w:val="0"/>
          <w:bCs w:val="0"/>
          <w:strike w:val="0"/>
          <w:dstrike w:val="0"/>
          <w:color w:val="auto"/>
          <w:sz w:val="24"/>
          <w:szCs w:val="24"/>
          <w:highlight w:val="none"/>
        </w:rPr>
        <w:sym w:font="Wingdings 2" w:char="00A3"/>
      </w:r>
      <w:r>
        <w:rPr>
          <w:rFonts w:hint="eastAsia" w:ascii="仿宋" w:hAnsi="仿宋" w:eastAsia="仿宋" w:cs="仿宋"/>
          <w:b w:val="0"/>
          <w:bCs w:val="0"/>
          <w:strike w:val="0"/>
          <w:color w:val="auto"/>
          <w:sz w:val="24"/>
          <w:szCs w:val="24"/>
          <w:highlight w:val="none"/>
        </w:rPr>
        <w:t>是</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strike w:val="0"/>
          <w:dstrike w:val="0"/>
          <w:color w:val="auto"/>
          <w:sz w:val="24"/>
          <w:szCs w:val="24"/>
          <w:highlight w:val="none"/>
        </w:rPr>
        <w:sym w:font="Wingdings 2" w:char="0052"/>
      </w:r>
      <w:r>
        <w:rPr>
          <w:rFonts w:hint="eastAsia" w:ascii="仿宋" w:hAnsi="仿宋" w:eastAsia="仿宋" w:cs="仿宋"/>
          <w:b w:val="0"/>
          <w:bCs w:val="0"/>
          <w:color w:val="auto"/>
          <w:sz w:val="24"/>
          <w:szCs w:val="24"/>
          <w:highlight w:val="none"/>
        </w:rPr>
        <w:t>否）接受联合体。</w:t>
      </w:r>
    </w:p>
    <w:p w14:paraId="1058E060">
      <w:pPr>
        <w:pStyle w:val="4"/>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9" w:name="_Toc23416"/>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的资格要求</w:t>
      </w:r>
      <w:bookmarkEnd w:id="8"/>
      <w:bookmarkEnd w:id="9"/>
    </w:p>
    <w:p w14:paraId="45A9B7D2">
      <w:pPr>
        <w:pageBreakBefore w:val="0"/>
        <w:kinsoku/>
        <w:wordWrap w:val="0"/>
        <w:overflowPunct/>
        <w:bidi w:val="0"/>
        <w:spacing w:line="360" w:lineRule="auto"/>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1.满足《中华人民共和国政府采购法》第二十二条规定：</w:t>
      </w:r>
    </w:p>
    <w:p w14:paraId="53CC1D61">
      <w:pPr>
        <w:pageBreakBefore w:val="0"/>
        <w:kinsoku/>
        <w:wordWrap w:val="0"/>
        <w:overflowPunct/>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具有独立承担民事责任的能力；</w:t>
      </w:r>
    </w:p>
    <w:p w14:paraId="16C9BA93">
      <w:pPr>
        <w:pageBreakBefore w:val="0"/>
        <w:kinsoku/>
        <w:wordWrap w:val="0"/>
        <w:overflowPunct/>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具有良好的商业信誉和健全的财务会计制度；</w:t>
      </w:r>
    </w:p>
    <w:p w14:paraId="610E0F21">
      <w:pPr>
        <w:pageBreakBefore w:val="0"/>
        <w:kinsoku/>
        <w:wordWrap w:val="0"/>
        <w:overflowPunct/>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具有履行合同所必需的设备和专业技术能力；</w:t>
      </w:r>
    </w:p>
    <w:p w14:paraId="26A4C0B2">
      <w:pPr>
        <w:pageBreakBefore w:val="0"/>
        <w:kinsoku/>
        <w:wordWrap w:val="0"/>
        <w:overflowPunct/>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有依法缴纳税收和社会保障资金的良好记录；</w:t>
      </w:r>
    </w:p>
    <w:p w14:paraId="09FE94D6">
      <w:pPr>
        <w:pageBreakBefore w:val="0"/>
        <w:kinsoku/>
        <w:wordWrap w:val="0"/>
        <w:overflowPunct/>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参加政府采购活动前三年内，在经营活动中没有重大违法记录；</w:t>
      </w:r>
    </w:p>
    <w:p w14:paraId="0C0E0C71">
      <w:pPr>
        <w:pageBreakBefore w:val="0"/>
        <w:kinsoku/>
        <w:wordWrap w:val="0"/>
        <w:overflowPunct/>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 法律、行政法规规定的其他条件。</w:t>
      </w:r>
    </w:p>
    <w:p w14:paraId="5EB5B3A7">
      <w:pPr>
        <w:pageBreakBefore w:val="0"/>
        <w:kinsoku/>
        <w:wordWrap w:val="0"/>
        <w:overflowPunct/>
        <w:bidi w:val="0"/>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r>
        <w:rPr>
          <w:rFonts w:hint="eastAsia" w:ascii="仿宋" w:hAnsi="仿宋" w:eastAsia="仿宋" w:cs="仿宋"/>
          <w:color w:val="auto"/>
          <w:sz w:val="24"/>
          <w:szCs w:val="24"/>
          <w:highlight w:val="none"/>
        </w:rPr>
        <w:t>本项目非专门面向中小微企业采购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对小型和微型企业的投标报价给予10%的扣除</w:t>
      </w:r>
      <w:r>
        <w:rPr>
          <w:rFonts w:hint="eastAsia" w:ascii="仿宋" w:hAnsi="仿宋" w:eastAsia="仿宋" w:cs="仿宋"/>
          <w:color w:val="auto"/>
          <w:sz w:val="24"/>
          <w:szCs w:val="24"/>
          <w:highlight w:val="none"/>
        </w:rPr>
        <w:t>。</w:t>
      </w:r>
    </w:p>
    <w:p w14:paraId="52D7F545">
      <w:pPr>
        <w:keepNext w:val="0"/>
        <w:keepLines w:val="0"/>
        <w:pageBreakBefore w:val="0"/>
        <w:widowControl w:val="0"/>
        <w:kinsoku/>
        <w:wordWrap w:val="0"/>
        <w:overflowPunct/>
        <w:topLinePunct w:val="0"/>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根据财政部发布的《政府采购促进中小企业发展管理办法》</w:t>
      </w:r>
      <w:r>
        <w:rPr>
          <w:rFonts w:hint="eastAsia" w:ascii="仿宋" w:hAnsi="仿宋" w:eastAsia="仿宋" w:cs="仿宋"/>
          <w:color w:val="auto"/>
          <w:sz w:val="24"/>
          <w:szCs w:val="24"/>
          <w:highlight w:val="none"/>
          <w:lang w:val="en-US" w:eastAsia="zh-CN"/>
        </w:rPr>
        <w:t>及《关于进一步加大政府采购支持中小企业力度的通知》</w:t>
      </w:r>
      <w:r>
        <w:rPr>
          <w:rFonts w:hint="eastAsia" w:ascii="仿宋" w:hAnsi="仿宋" w:eastAsia="仿宋" w:cs="仿宋"/>
          <w:color w:val="auto"/>
          <w:sz w:val="24"/>
          <w:szCs w:val="24"/>
          <w:highlight w:val="none"/>
        </w:rPr>
        <w:t>规定，本项目对小型和微型企业</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价格给予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的扣除</w:t>
      </w:r>
      <w:r>
        <w:rPr>
          <w:rFonts w:hint="eastAsia" w:ascii="仿宋" w:hAnsi="仿宋" w:eastAsia="仿宋" w:cs="仿宋"/>
          <w:color w:val="auto"/>
          <w:sz w:val="24"/>
          <w:szCs w:val="24"/>
          <w:highlight w:val="none"/>
          <w:lang w:eastAsia="zh-CN"/>
        </w:rPr>
        <w:t>。</w:t>
      </w:r>
    </w:p>
    <w:p w14:paraId="495A5EA1">
      <w:pPr>
        <w:keepNext w:val="0"/>
        <w:keepLines w:val="0"/>
        <w:pageBreakBefore w:val="0"/>
        <w:widowControl w:val="0"/>
        <w:kinsoku/>
        <w:wordWrap w:val="0"/>
        <w:overflowPunct/>
        <w:topLinePunct w:val="0"/>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2.2根据财政部发布的《关于政府采购支持监狱企业发展有</w:t>
      </w:r>
      <w:r>
        <w:rPr>
          <w:rFonts w:hint="eastAsia" w:ascii="仿宋" w:hAnsi="仿宋" w:eastAsia="仿宋" w:cs="仿宋"/>
          <w:color w:val="auto"/>
          <w:sz w:val="24"/>
          <w:szCs w:val="24"/>
          <w:highlight w:val="none"/>
          <w:lang w:val="en-US" w:eastAsia="zh-CN"/>
        </w:rPr>
        <w:t>关问题的通知》规定，本项目对监狱企业的价格给予10%的扣除。</w:t>
      </w:r>
    </w:p>
    <w:p w14:paraId="046BD0A6">
      <w:pPr>
        <w:keepNext w:val="0"/>
        <w:keepLines w:val="0"/>
        <w:pageBreakBefore w:val="0"/>
        <w:widowControl w:val="0"/>
        <w:kinsoku/>
        <w:wordWrap w:val="0"/>
        <w:overflowPunct/>
        <w:topLinePunct w:val="0"/>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2.3根据财政部、民政部、中国残疾人联合会发布的《关于促进残疾人就业政府采购政策的通知》规定，本项目对残疾人福利性单位的价格给予10%的扣除。残疾人福利性单位视同为小型、微型企业。</w:t>
      </w:r>
    </w:p>
    <w:p w14:paraId="4DD2FDCA">
      <w:pPr>
        <w:keepNext w:val="0"/>
        <w:keepLines w:val="0"/>
        <w:pageBreakBefore w:val="0"/>
        <w:widowControl w:val="0"/>
        <w:kinsoku/>
        <w:wordWrap w:val="0"/>
        <w:overflowPunct/>
        <w:topLinePunct w:val="0"/>
        <w:bidi w:val="0"/>
        <w:adjustRightInd/>
        <w:snapToGrid/>
        <w:spacing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color w:val="auto"/>
          <w:sz w:val="24"/>
          <w:szCs w:val="24"/>
          <w:highlight w:val="none"/>
          <w:lang w:val="en-US" w:eastAsia="zh-CN"/>
        </w:rPr>
        <w:t>注：①小微企业以投标人填写的《中小企业声明函》判定。②监狱企业须投标人提供由省级以上监狱管理局、戒毒管理局(含新疆生产建设兵团)出具的属于监狱企业的证明文件，否则不予认定。③残疾</w:t>
      </w:r>
      <w:r>
        <w:rPr>
          <w:rFonts w:hint="eastAsia" w:ascii="仿宋" w:hAnsi="仿宋" w:eastAsia="仿宋" w:cs="仿宋"/>
          <w:strike w:val="0"/>
          <w:dstrike w:val="0"/>
          <w:color w:val="auto"/>
          <w:sz w:val="24"/>
          <w:szCs w:val="24"/>
          <w:highlight w:val="none"/>
          <w:lang w:val="en-US" w:eastAsia="zh-CN"/>
        </w:rPr>
        <w:t>人企业以投</w:t>
      </w:r>
      <w:r>
        <w:rPr>
          <w:rFonts w:hint="eastAsia" w:ascii="仿宋" w:hAnsi="仿宋" w:eastAsia="仿宋" w:cs="仿宋"/>
          <w:color w:val="auto"/>
          <w:sz w:val="24"/>
          <w:szCs w:val="24"/>
          <w:highlight w:val="none"/>
          <w:lang w:val="en-US" w:eastAsia="zh-CN"/>
        </w:rPr>
        <w:t>标人填写的《残疾人福利性单位声明函》并提供财政部或民政部或中国残疾人联合会出具的证明资料为判定标准。④投标人满足以上任意一项给予价格10%扣除，以上政府采购政策不得叠加。</w:t>
      </w:r>
    </w:p>
    <w:p w14:paraId="279109A0">
      <w:pPr>
        <w:pageBreakBefore w:val="0"/>
        <w:kinsoku/>
        <w:wordWrap w:val="0"/>
        <w:overflowPunct/>
        <w:bidi w:val="0"/>
        <w:spacing w:line="360" w:lineRule="auto"/>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3.本项目的特定资格要求：</w:t>
      </w:r>
    </w:p>
    <w:p w14:paraId="58D241C0">
      <w:pPr>
        <w:keepNext w:val="0"/>
        <w:keepLines w:val="0"/>
        <w:pageBreakBefore w:val="0"/>
        <w:widowControl w:val="0"/>
        <w:kinsoku/>
        <w:wordWrap w:val="0"/>
        <w:overflowPunct/>
        <w:topLinePunct w:val="0"/>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lang w:val="en-US" w:eastAsia="zh-CN"/>
        </w:rPr>
        <w:t>单位负责人为同一人或者存在直接控股、管理关系的不同单位，不得参加同一合同项下的政府采购活动，提供书面声明</w:t>
      </w:r>
      <w:r>
        <w:rPr>
          <w:rFonts w:hint="eastAsia" w:ascii="仿宋" w:hAnsi="仿宋" w:eastAsia="仿宋" w:cs="仿宋"/>
          <w:color w:val="auto"/>
          <w:sz w:val="24"/>
          <w:szCs w:val="24"/>
          <w:highlight w:val="none"/>
          <w:lang w:eastAsia="zh-CN"/>
        </w:rPr>
        <w:t>。</w:t>
      </w:r>
    </w:p>
    <w:p w14:paraId="004F86CE">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0" w:name="_Toc15892"/>
      <w:bookmarkStart w:id="11" w:name="_Toc18243"/>
      <w:r>
        <w:rPr>
          <w:rFonts w:hint="eastAsia" w:ascii="仿宋" w:hAnsi="仿宋" w:eastAsia="仿宋" w:cs="仿宋"/>
          <w:color w:val="auto"/>
          <w:sz w:val="28"/>
          <w:szCs w:val="28"/>
          <w:highlight w:val="none"/>
        </w:rPr>
        <w:t>三、获取招标文件</w:t>
      </w:r>
      <w:bookmarkEnd w:id="10"/>
      <w:bookmarkEnd w:id="11"/>
    </w:p>
    <w:p w14:paraId="7D1CC1D7">
      <w:pPr>
        <w:keepNext w:val="0"/>
        <w:keepLines w:val="0"/>
        <w:pageBreakBefore w:val="0"/>
        <w:widowControl w:val="0"/>
        <w:kinsoku/>
        <w:wordWrap w:val="0"/>
        <w:overflowPunct/>
        <w:topLinePunct w:val="0"/>
        <w:autoSpaceDE/>
        <w:autoSpaceDN/>
        <w:bidi w:val="0"/>
        <w:adjustRightInd/>
        <w:snapToGrid/>
        <w:spacing w:line="480" w:lineRule="exact"/>
        <w:ind w:firstLine="54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时间：</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5年11月10日</w:t>
      </w:r>
      <w:r>
        <w:rPr>
          <w:rFonts w:hint="eastAsia" w:ascii="仿宋" w:hAnsi="仿宋" w:eastAsia="仿宋" w:cs="仿宋"/>
          <w:color w:val="auto"/>
          <w:sz w:val="24"/>
          <w:szCs w:val="24"/>
          <w:highlight w:val="none"/>
        </w:rPr>
        <w:t xml:space="preserve"> 06:00至202</w:t>
      </w:r>
      <w:r>
        <w:rPr>
          <w:rFonts w:hint="eastAsia" w:ascii="仿宋" w:hAnsi="仿宋" w:eastAsia="仿宋" w:cs="仿宋"/>
          <w:color w:val="auto"/>
          <w:sz w:val="24"/>
          <w:szCs w:val="24"/>
          <w:highlight w:val="none"/>
          <w:lang w:val="en-US" w:eastAsia="zh-CN"/>
        </w:rPr>
        <w:t>5年11月17日</w:t>
      </w:r>
      <w:r>
        <w:rPr>
          <w:rFonts w:hint="eastAsia" w:ascii="仿宋" w:hAnsi="仿宋" w:eastAsia="仿宋" w:cs="仿宋"/>
          <w:color w:val="auto"/>
          <w:sz w:val="24"/>
          <w:szCs w:val="24"/>
          <w:highlight w:val="none"/>
        </w:rPr>
        <w:t xml:space="preserve"> 23:59，</w:t>
      </w:r>
      <w:r>
        <w:rPr>
          <w:rFonts w:hint="eastAsia" w:ascii="仿宋" w:hAnsi="仿宋" w:eastAsia="仿宋" w:cs="仿宋"/>
          <w:color w:val="auto"/>
          <w:sz w:val="24"/>
          <w:szCs w:val="24"/>
          <w:highlight w:val="none"/>
        </w:rPr>
        <w:t>每天上午06:00至12:00，下午12:00至23:59（北京时间，法定节假日除外</w:t>
      </w:r>
      <w:r>
        <w:rPr>
          <w:rFonts w:hint="eastAsia" w:ascii="仿宋" w:hAnsi="仿宋" w:eastAsia="仿宋" w:cs="仿宋"/>
          <w:color w:val="auto"/>
          <w:sz w:val="24"/>
          <w:szCs w:val="24"/>
          <w:highlight w:val="none"/>
          <w:lang w:eastAsia="zh-CN"/>
        </w:rPr>
        <w:t>）；</w:t>
      </w:r>
    </w:p>
    <w:p w14:paraId="150D992B">
      <w:pPr>
        <w:keepNext w:val="0"/>
        <w:keepLines w:val="0"/>
        <w:pageBreakBefore w:val="0"/>
        <w:widowControl w:val="0"/>
        <w:kinsoku/>
        <w:wordWrap w:val="0"/>
        <w:overflowPunct/>
        <w:topLinePunct w:val="0"/>
        <w:autoSpaceDE/>
        <w:autoSpaceDN/>
        <w:bidi w:val="0"/>
        <w:adjustRightInd/>
        <w:snapToGrid/>
        <w:spacing w:line="480" w:lineRule="exact"/>
        <w:ind w:firstLine="540"/>
        <w:textAlignment w:val="auto"/>
        <w:rPr>
          <w:rFonts w:hint="eastAsia" w:ascii="仿宋" w:hAnsi="仿宋" w:eastAsia="仿宋" w:cs="仿宋"/>
          <w:color w:val="auto"/>
          <w:sz w:val="24"/>
          <w:szCs w:val="24"/>
          <w:highlight w:val="none"/>
          <w:u w:val="single"/>
          <w:lang w:eastAsia="zh-CN"/>
        </w:rPr>
      </w:pPr>
      <w:bookmarkStart w:id="12" w:name="_Toc10431"/>
      <w:r>
        <w:rPr>
          <w:rFonts w:hint="eastAsia" w:ascii="仿宋" w:hAnsi="仿宋" w:eastAsia="仿宋" w:cs="仿宋"/>
          <w:b/>
          <w:bCs/>
          <w:color w:val="auto"/>
          <w:sz w:val="24"/>
          <w:szCs w:val="24"/>
          <w:highlight w:val="none"/>
        </w:rPr>
        <w:t>地点：</w:t>
      </w:r>
      <w:r>
        <w:rPr>
          <w:rFonts w:hint="eastAsia" w:ascii="仿宋" w:hAnsi="仿宋" w:eastAsia="仿宋" w:cs="仿宋"/>
          <w:color w:val="auto"/>
          <w:sz w:val="24"/>
          <w:szCs w:val="24"/>
          <w:highlight w:val="none"/>
        </w:rPr>
        <w:t>本项目不发放纸质</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可自行在“政采云”平台 （http://www.zcygov.cn）下载</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文件（操作路径：登录“政采云”平台－项目采购－获取采购文件－找到本项目－点击“申请获取采购文件”），电子响应文件制作需要基于“政采云平台 （http://www.zcygov.cn）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获取的采购文件编制。</w:t>
      </w:r>
    </w:p>
    <w:p w14:paraId="7F06BDF1">
      <w:pPr>
        <w:keepNext w:val="0"/>
        <w:keepLines w:val="0"/>
        <w:pageBreakBefore w:val="0"/>
        <w:widowControl w:val="0"/>
        <w:kinsoku/>
        <w:wordWrap w:val="0"/>
        <w:overflowPunct/>
        <w:topLinePunct w:val="0"/>
        <w:autoSpaceDE/>
        <w:autoSpaceDN/>
        <w:bidi w:val="0"/>
        <w:adjustRightInd/>
        <w:snapToGrid/>
        <w:spacing w:line="480" w:lineRule="exact"/>
        <w:ind w:firstLine="539"/>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b/>
          <w:bCs/>
          <w:color w:val="auto"/>
          <w:sz w:val="24"/>
          <w:szCs w:val="24"/>
          <w:highlight w:val="none"/>
        </w:rPr>
        <w:t>方式</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凡有意参加招标者，须在政采云平台办理数字证书（CA），CA申领链接：http://yzt.ynsmartcert.cn/cms/yztzyzb.html，并在政采云绑定数字证书（CA）后在网上获取采购文件及其他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2）投标人登录政采云平台（https://www.zcygov.cn）在线申请获取采购文件（进入“项目采购”应用，在“获取采购文件”菜单中选择本项目，申请获取采购文件）。</w:t>
      </w:r>
    </w:p>
    <w:p w14:paraId="7E959929">
      <w:pPr>
        <w:keepNext w:val="0"/>
        <w:keepLines w:val="0"/>
        <w:pageBreakBefore w:val="0"/>
        <w:widowControl w:val="0"/>
        <w:kinsoku/>
        <w:wordWrap w:val="0"/>
        <w:overflowPunct/>
        <w:topLinePunct w:val="0"/>
        <w:autoSpaceDE/>
        <w:autoSpaceDN/>
        <w:bidi w:val="0"/>
        <w:adjustRightInd/>
        <w:snapToGrid/>
        <w:spacing w:line="480" w:lineRule="exact"/>
        <w:ind w:firstLine="54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售价：</w:t>
      </w:r>
      <w:r>
        <w:rPr>
          <w:rFonts w:hint="eastAsia" w:ascii="仿宋" w:hAnsi="仿宋" w:eastAsia="仿宋" w:cs="仿宋"/>
          <w:color w:val="auto"/>
          <w:sz w:val="24"/>
          <w:szCs w:val="24"/>
          <w:highlight w:val="none"/>
        </w:rPr>
        <w:t>0.00元</w:t>
      </w:r>
    </w:p>
    <w:p w14:paraId="4D531107">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3" w:name="_Toc25582"/>
      <w:r>
        <w:rPr>
          <w:rFonts w:hint="eastAsia" w:ascii="仿宋" w:hAnsi="仿宋" w:eastAsia="仿宋" w:cs="仿宋"/>
          <w:color w:val="auto"/>
          <w:sz w:val="28"/>
          <w:szCs w:val="28"/>
          <w:highlight w:val="none"/>
        </w:rPr>
        <w:t>四、</w:t>
      </w:r>
      <w:bookmarkEnd w:id="12"/>
      <w:r>
        <w:rPr>
          <w:rFonts w:hint="eastAsia" w:ascii="仿宋" w:hAnsi="仿宋" w:eastAsia="仿宋" w:cs="仿宋"/>
          <w:color w:val="auto"/>
          <w:sz w:val="28"/>
          <w:szCs w:val="28"/>
          <w:highlight w:val="none"/>
        </w:rPr>
        <w:t>提交投标文件截止时间、开标时间和地点</w:t>
      </w:r>
      <w:bookmarkEnd w:id="13"/>
    </w:p>
    <w:p w14:paraId="6E22E607">
      <w:pPr>
        <w:pageBreakBefore w:val="0"/>
        <w:kinsoku/>
        <w:wordWrap w:val="0"/>
        <w:overflowPunct/>
        <w:bidi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时间</w:t>
      </w:r>
      <w:r>
        <w:rPr>
          <w:rFonts w:hint="eastAsia" w:ascii="仿宋" w:hAnsi="仿宋" w:eastAsia="仿宋" w:cs="仿宋"/>
          <w:b/>
          <w:bCs/>
          <w:color w:val="auto"/>
          <w:sz w:val="24"/>
          <w:szCs w:val="24"/>
          <w:highlight w:val="none"/>
          <w:u w:val="none"/>
        </w:rPr>
        <w:t>：</w:t>
      </w:r>
      <w:r>
        <w:rPr>
          <w:rFonts w:hint="eastAsia" w:ascii="仿宋" w:hAnsi="仿宋" w:eastAsia="仿宋" w:cs="仿宋"/>
          <w:color w:val="auto"/>
          <w:sz w:val="24"/>
          <w:szCs w:val="24"/>
          <w:highlight w:val="none"/>
          <w:u w:val="none"/>
        </w:rPr>
        <w:t>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rPr>
        <w:t>年</w:t>
      </w: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rPr>
        <w:t>月</w:t>
      </w:r>
      <w:r>
        <w:rPr>
          <w:rFonts w:hint="eastAsia" w:ascii="仿宋" w:hAnsi="仿宋" w:eastAsia="仿宋" w:cs="仿宋"/>
          <w:color w:val="auto"/>
          <w:sz w:val="24"/>
          <w:szCs w:val="24"/>
          <w:highlight w:val="none"/>
          <w:u w:val="none"/>
          <w:lang w:val="en-US" w:eastAsia="zh-CN"/>
        </w:rPr>
        <w:t>01</w:t>
      </w:r>
      <w:r>
        <w:rPr>
          <w:rFonts w:hint="eastAsia" w:ascii="仿宋" w:hAnsi="仿宋" w:eastAsia="仿宋" w:cs="仿宋"/>
          <w:color w:val="auto"/>
          <w:sz w:val="24"/>
          <w:szCs w:val="24"/>
          <w:highlight w:val="none"/>
          <w:u w:val="none"/>
        </w:rPr>
        <w:t>日</w:t>
      </w:r>
      <w:r>
        <w:rPr>
          <w:rFonts w:hint="eastAsia" w:ascii="仿宋" w:hAnsi="仿宋" w:eastAsia="仿宋" w:cs="仿宋"/>
          <w:color w:val="auto"/>
          <w:sz w:val="24"/>
          <w:szCs w:val="24"/>
          <w:highlight w:val="none"/>
          <w:u w:val="none"/>
          <w:lang w:val="en-US" w:eastAsia="zh-CN"/>
        </w:rPr>
        <w:t>15时0</w:t>
      </w:r>
      <w:r>
        <w:rPr>
          <w:rFonts w:hint="eastAsia" w:ascii="仿宋" w:hAnsi="仿宋" w:eastAsia="仿宋" w:cs="仿宋"/>
          <w:color w:val="auto"/>
          <w:sz w:val="24"/>
          <w:szCs w:val="24"/>
          <w:highlight w:val="none"/>
          <w:u w:val="none"/>
        </w:rPr>
        <w:t>0分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t>北京时间）</w:t>
      </w:r>
    </w:p>
    <w:p w14:paraId="52BCCE5A">
      <w:pPr>
        <w:pageBreakBefore w:val="0"/>
        <w:kinsoku/>
        <w:wordWrap w:val="0"/>
        <w:overflowPunct/>
        <w:bidi w:val="0"/>
        <w:spacing w:line="360" w:lineRule="auto"/>
        <w:ind w:firstLine="482"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auto"/>
          <w:kern w:val="2"/>
          <w:sz w:val="24"/>
          <w:szCs w:val="24"/>
          <w:highlight w:val="none"/>
          <w:lang w:val="en-US" w:eastAsia="zh-CN" w:bidi="ar-SA"/>
        </w:rPr>
        <w:t>地点：</w:t>
      </w:r>
      <w:r>
        <w:rPr>
          <w:rFonts w:hint="eastAsia" w:ascii="仿宋" w:hAnsi="仿宋" w:eastAsia="仿宋" w:cs="仿宋"/>
          <w:color w:val="000000" w:themeColor="text1"/>
          <w:sz w:val="24"/>
          <w:highlight w:val="none"/>
          <w:lang w:val="en-US" w:eastAsia="zh-CN"/>
          <w14:textFill>
            <w14:solidFill>
              <w14:schemeClr w14:val="tx1"/>
            </w14:solidFill>
          </w14:textFill>
        </w:rPr>
        <w:t>请登录</w:t>
      </w:r>
      <w:r>
        <w:rPr>
          <w:rFonts w:hint="eastAsia" w:ascii="仿宋" w:hAnsi="仿宋" w:eastAsia="仿宋" w:cs="仿宋"/>
          <w:color w:val="000000" w:themeColor="text1"/>
          <w:sz w:val="24"/>
          <w:highlight w:val="none"/>
          <w14:textFill>
            <w14:solidFill>
              <w14:schemeClr w14:val="tx1"/>
            </w14:solidFill>
          </w14:textFill>
        </w:rPr>
        <w:t>政采云</w:t>
      </w:r>
      <w:r>
        <w:rPr>
          <w:rFonts w:hint="eastAsia" w:ascii="仿宋" w:hAnsi="仿宋" w:eastAsia="仿宋" w:cs="仿宋"/>
          <w:color w:val="000000" w:themeColor="text1"/>
          <w:sz w:val="24"/>
          <w:highlight w:val="none"/>
          <w:lang w:val="en-US" w:eastAsia="zh-CN"/>
          <w14:textFill>
            <w14:solidFill>
              <w14:schemeClr w14:val="tx1"/>
            </w14:solidFill>
          </w14:textFill>
        </w:rPr>
        <w:t>投标客户端投标</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应按照本项目采购文件和"政采云"平台的要求编制、加密后在</w:t>
      </w:r>
      <w:r>
        <w:rPr>
          <w:rFonts w:hint="eastAsia" w:ascii="仿宋" w:hAnsi="仿宋" w:eastAsia="仿宋" w:cs="仿宋"/>
          <w:color w:val="000000" w:themeColor="text1"/>
          <w:sz w:val="24"/>
          <w:highlight w:val="none"/>
          <w:lang w:eastAsia="zh-CN"/>
          <w14:textFill>
            <w14:solidFill>
              <w14:schemeClr w14:val="tx1"/>
            </w14:solidFill>
          </w14:textFill>
        </w:rPr>
        <w:t>响应文件</w:t>
      </w:r>
      <w:r>
        <w:rPr>
          <w:rFonts w:hint="eastAsia" w:ascii="仿宋" w:hAnsi="仿宋" w:eastAsia="仿宋" w:cs="仿宋"/>
          <w:color w:val="000000" w:themeColor="text1"/>
          <w:sz w:val="24"/>
          <w:highlight w:val="none"/>
          <w14:textFill>
            <w14:solidFill>
              <w14:schemeClr w14:val="tx1"/>
            </w14:solidFill>
          </w14:textFill>
        </w:rPr>
        <w:t>提交截止时间前上传至"政采云"平台，</w:t>
      </w:r>
      <w:r>
        <w:rPr>
          <w:rFonts w:hint="eastAsia" w:ascii="仿宋" w:hAnsi="仿宋" w:eastAsia="仿宋" w:cs="仿宋"/>
          <w:color w:val="000000" w:themeColor="text1"/>
          <w:sz w:val="24"/>
          <w:highlight w:val="none"/>
          <w:lang w:eastAsia="zh-CN"/>
          <w14:textFill>
            <w14:solidFill>
              <w14:schemeClr w14:val="tx1"/>
            </w14:solidFill>
          </w14:textFill>
        </w:rPr>
        <w:t>响应文件</w:t>
      </w:r>
      <w:r>
        <w:rPr>
          <w:rFonts w:hint="eastAsia" w:ascii="仿宋" w:hAnsi="仿宋" w:eastAsia="仿宋" w:cs="仿宋"/>
          <w:color w:val="000000" w:themeColor="text1"/>
          <w:sz w:val="24"/>
          <w:highlight w:val="none"/>
          <w14:textFill>
            <w14:solidFill>
              <w14:schemeClr w14:val="tx1"/>
            </w14:solidFill>
          </w14:textFill>
        </w:rPr>
        <w:t>提交截止时间前未完成</w:t>
      </w:r>
      <w:r>
        <w:rPr>
          <w:rFonts w:hint="eastAsia" w:ascii="仿宋" w:hAnsi="仿宋" w:eastAsia="仿宋" w:cs="仿宋"/>
          <w:color w:val="000000" w:themeColor="text1"/>
          <w:sz w:val="24"/>
          <w:highlight w:val="none"/>
          <w:lang w:eastAsia="zh-CN"/>
          <w14:textFill>
            <w14:solidFill>
              <w14:schemeClr w14:val="tx1"/>
            </w14:solidFill>
          </w14:textFill>
        </w:rPr>
        <w:t>响应文件</w:t>
      </w:r>
      <w:r>
        <w:rPr>
          <w:rFonts w:hint="eastAsia" w:ascii="仿宋" w:hAnsi="仿宋" w:eastAsia="仿宋" w:cs="仿宋"/>
          <w:color w:val="000000" w:themeColor="text1"/>
          <w:sz w:val="24"/>
          <w:highlight w:val="none"/>
          <w14:textFill>
            <w14:solidFill>
              <w14:schemeClr w14:val="tx1"/>
            </w14:solidFill>
          </w14:textFill>
        </w:rPr>
        <w:t>上传的，视为撤回</w:t>
      </w:r>
      <w:r>
        <w:rPr>
          <w:rFonts w:hint="eastAsia" w:ascii="仿宋" w:hAnsi="仿宋" w:eastAsia="仿宋" w:cs="仿宋"/>
          <w:color w:val="000000" w:themeColor="text1"/>
          <w:sz w:val="24"/>
          <w:highlight w:val="none"/>
          <w:lang w:eastAsia="zh-CN"/>
          <w14:textFill>
            <w14:solidFill>
              <w14:schemeClr w14:val="tx1"/>
            </w14:solidFill>
          </w14:textFill>
        </w:rPr>
        <w:t>响应文件</w:t>
      </w:r>
      <w:r>
        <w:rPr>
          <w:rFonts w:hint="eastAsia" w:ascii="仿宋" w:hAnsi="仿宋" w:eastAsia="仿宋" w:cs="仿宋"/>
          <w:color w:val="000000" w:themeColor="text1"/>
          <w:sz w:val="24"/>
          <w:highlight w:val="none"/>
          <w14:textFill>
            <w14:solidFill>
              <w14:schemeClr w14:val="tx1"/>
            </w14:solidFill>
          </w14:textFill>
        </w:rPr>
        <w:t>。</w:t>
      </w:r>
    </w:p>
    <w:p w14:paraId="1C07F924">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4" w:name="_Toc30827"/>
      <w:bookmarkStart w:id="15" w:name="_Toc31032"/>
      <w:r>
        <w:rPr>
          <w:rFonts w:hint="eastAsia" w:ascii="仿宋" w:hAnsi="仿宋" w:eastAsia="仿宋" w:cs="仿宋"/>
          <w:color w:val="auto"/>
          <w:sz w:val="28"/>
          <w:szCs w:val="28"/>
          <w:highlight w:val="none"/>
        </w:rPr>
        <w:t>五、公告期限</w:t>
      </w:r>
      <w:bookmarkEnd w:id="14"/>
      <w:bookmarkEnd w:id="15"/>
    </w:p>
    <w:p w14:paraId="23718623">
      <w:pPr>
        <w:pageBreakBefore w:val="0"/>
        <w:kinsoku/>
        <w:wordWrap w:val="0"/>
        <w:overflowPunct/>
        <w:bidi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自本公告发布之日起5个工作日。</w:t>
      </w:r>
    </w:p>
    <w:p w14:paraId="41B4CA01">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6" w:name="_Toc5415"/>
      <w:bookmarkStart w:id="17" w:name="_Toc4688"/>
      <w:r>
        <w:rPr>
          <w:rFonts w:hint="eastAsia" w:ascii="仿宋" w:hAnsi="仿宋" w:eastAsia="仿宋" w:cs="仿宋"/>
          <w:color w:val="auto"/>
          <w:sz w:val="28"/>
          <w:szCs w:val="28"/>
          <w:highlight w:val="none"/>
        </w:rPr>
        <w:t>六、其他补充事宜</w:t>
      </w:r>
      <w:bookmarkEnd w:id="16"/>
      <w:bookmarkEnd w:id="17"/>
    </w:p>
    <w:p w14:paraId="53284FD8">
      <w:pPr>
        <w:keepNext w:val="0"/>
        <w:keepLines w:val="0"/>
        <w:pageBreakBefore w:val="0"/>
        <w:widowControl w:val="0"/>
        <w:kinsoku/>
        <w:wordWrap w:val="0"/>
        <w:overflowPunct/>
        <w:topLinePunct w:val="0"/>
        <w:autoSpaceDE/>
        <w:autoSpaceDN/>
        <w:bidi w:val="0"/>
        <w:adjustRightIn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开标方式</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rPr>
        <w:t>网上开标。本项目采用电子</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文件，开标方式为线上不见面开标，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无需派人到开标现场。</w:t>
      </w:r>
    </w:p>
    <w:p w14:paraId="7FF73A03">
      <w:pPr>
        <w:keepNext w:val="0"/>
        <w:keepLines w:val="0"/>
        <w:pageBreakBefore w:val="0"/>
        <w:widowControl w:val="0"/>
        <w:kinsoku/>
        <w:wordWrap w:val="0"/>
        <w:overflowPunct/>
        <w:topLinePunct w:val="0"/>
        <w:autoSpaceDE/>
        <w:autoSpaceDN/>
        <w:bidi w:val="0"/>
        <w:adjustRightInd/>
        <w:spacing w:line="480" w:lineRule="exact"/>
        <w:ind w:firstLine="480" w:firstLineChars="200"/>
        <w:textAlignment w:val="auto"/>
        <w:outlineLvl w:val="2"/>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发布公告的媒介</w:t>
      </w:r>
    </w:p>
    <w:p w14:paraId="7CEA13DF">
      <w:pPr>
        <w:keepNext w:val="0"/>
        <w:keepLines w:val="0"/>
        <w:pageBreakBefore w:val="0"/>
        <w:widowControl w:val="0"/>
        <w:kinsoku/>
        <w:wordWrap w:val="0"/>
        <w:overflowPunct/>
        <w:topLinePunct w:val="0"/>
        <w:autoSpaceDE/>
        <w:autoSpaceDN/>
        <w:bidi w:val="0"/>
        <w:adjustRightIn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.1本次</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公告同时在“云南省政府采购网（www.yngp.com）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和“政采云平台（https://www.zcygov.cn）</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上发布，我公司对其它网站或媒体转载的公告及公告内容不承担任何责任。</w:t>
      </w:r>
    </w:p>
    <w:p w14:paraId="49EE2B33">
      <w:pPr>
        <w:keepNext w:val="0"/>
        <w:keepLines w:val="0"/>
        <w:pageBreakBefore w:val="0"/>
        <w:widowControl w:val="0"/>
        <w:suppressLineNumbers w:val="0"/>
        <w:kinsoku/>
        <w:wordWrap w:val="0"/>
        <w:overflowPunct/>
        <w:topLinePunct w:val="0"/>
        <w:autoSpaceDE/>
        <w:autoSpaceDN/>
        <w:bidi w:val="0"/>
        <w:adjustRightInd/>
        <w:spacing w:before="0" w:beforeAutospacing="0" w:after="0" w:afterAutospacing="0" w:line="480" w:lineRule="exact"/>
        <w:ind w:left="0" w:right="0" w:firstLine="520" w:firstLineChars="200"/>
        <w:jc w:val="both"/>
        <w:textAlignment w:val="auto"/>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lang w:val="en-US" w:eastAsia="zh-CN"/>
        </w:rPr>
        <w:t>2</w:t>
      </w: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10"/>
          <w:sz w:val="24"/>
          <w:szCs w:val="24"/>
          <w:highlight w:val="none"/>
          <w:lang w:eastAsia="zh-CN"/>
        </w:rPr>
        <w:t>投标人</w:t>
      </w:r>
      <w:r>
        <w:rPr>
          <w:rFonts w:hint="eastAsia" w:ascii="仿宋" w:hAnsi="仿宋" w:eastAsia="仿宋" w:cs="仿宋"/>
          <w:color w:val="auto"/>
          <w:spacing w:val="10"/>
          <w:sz w:val="24"/>
          <w:szCs w:val="24"/>
          <w:highlight w:val="none"/>
        </w:rPr>
        <w:t>在</w:t>
      </w:r>
      <w:r>
        <w:rPr>
          <w:rFonts w:hint="eastAsia" w:ascii="仿宋" w:hAnsi="仿宋" w:eastAsia="仿宋" w:cs="仿宋"/>
          <w:color w:val="auto"/>
          <w:spacing w:val="10"/>
          <w:sz w:val="24"/>
          <w:szCs w:val="24"/>
          <w:highlight w:val="none"/>
          <w:lang w:val="en-US" w:eastAsia="zh-CN"/>
        </w:rPr>
        <w:t>开标</w:t>
      </w:r>
      <w:r>
        <w:rPr>
          <w:rFonts w:hint="eastAsia" w:ascii="仿宋" w:hAnsi="仿宋" w:eastAsia="仿宋" w:cs="仿宋"/>
          <w:color w:val="auto"/>
          <w:spacing w:val="10"/>
          <w:sz w:val="24"/>
          <w:szCs w:val="24"/>
          <w:highlight w:val="none"/>
        </w:rPr>
        <w:t>前务必认真阅读本</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pacing w:val="10"/>
          <w:sz w:val="24"/>
          <w:szCs w:val="24"/>
          <w:highlight w:val="none"/>
        </w:rPr>
        <w:t>文件全部内容，</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pacing w:val="10"/>
          <w:sz w:val="24"/>
          <w:szCs w:val="24"/>
          <w:highlight w:val="none"/>
        </w:rPr>
        <w:t>文件如有变更、补充等，均在“云南省政府采购网（www.yngp.com）</w:t>
      </w:r>
      <w:r>
        <w:rPr>
          <w:rFonts w:hint="eastAsia" w:ascii="仿宋" w:hAnsi="仿宋" w:eastAsia="仿宋" w:cs="仿宋"/>
          <w:color w:val="auto"/>
          <w:spacing w:val="10"/>
          <w:sz w:val="24"/>
          <w:szCs w:val="24"/>
          <w:highlight w:val="none"/>
          <w:lang w:eastAsia="zh-CN"/>
        </w:rPr>
        <w:t>”</w:t>
      </w:r>
      <w:r>
        <w:rPr>
          <w:rFonts w:hint="eastAsia" w:ascii="仿宋" w:hAnsi="仿宋" w:eastAsia="仿宋" w:cs="仿宋"/>
          <w:color w:val="auto"/>
          <w:spacing w:val="10"/>
          <w:sz w:val="24"/>
          <w:szCs w:val="24"/>
          <w:highlight w:val="none"/>
        </w:rPr>
        <w:t>和“政采云平台（https://www.zcygov.cn）</w:t>
      </w:r>
      <w:r>
        <w:rPr>
          <w:rFonts w:hint="eastAsia" w:ascii="仿宋" w:hAnsi="仿宋" w:eastAsia="仿宋" w:cs="仿宋"/>
          <w:color w:val="auto"/>
          <w:spacing w:val="10"/>
          <w:sz w:val="24"/>
          <w:szCs w:val="24"/>
          <w:highlight w:val="none"/>
          <w:lang w:eastAsia="zh-CN"/>
        </w:rPr>
        <w:t>”</w:t>
      </w:r>
      <w:r>
        <w:rPr>
          <w:rFonts w:hint="eastAsia" w:ascii="仿宋" w:hAnsi="仿宋" w:eastAsia="仿宋" w:cs="仿宋"/>
          <w:color w:val="auto"/>
          <w:spacing w:val="10"/>
          <w:sz w:val="24"/>
          <w:szCs w:val="24"/>
          <w:highlight w:val="none"/>
        </w:rPr>
        <w:t>公布，不再另行通知。</w:t>
      </w:r>
    </w:p>
    <w:p w14:paraId="4D1935A9">
      <w:pPr>
        <w:pStyle w:val="18"/>
        <w:keepNext w:val="0"/>
        <w:keepLines w:val="0"/>
        <w:pageBreakBefore w:val="0"/>
        <w:widowControl w:val="0"/>
        <w:suppressLineNumbers w:val="0"/>
        <w:kinsoku/>
        <w:wordWrap w:val="0"/>
        <w:overflowPunct/>
        <w:topLinePunct w:val="0"/>
        <w:autoSpaceDE/>
        <w:autoSpaceDN/>
        <w:bidi w:val="0"/>
        <w:adjustRightInd/>
        <w:snapToGrid w:val="0"/>
        <w:spacing w:before="0" w:beforeAutospacing="0" w:after="0" w:afterAutospacing="0" w:line="480" w:lineRule="exact"/>
        <w:ind w:left="0" w:right="0" w:firstLine="520" w:firstLineChars="200"/>
        <w:jc w:val="both"/>
        <w:textAlignment w:val="auto"/>
        <w:rPr>
          <w:rFonts w:hint="eastAsia" w:ascii="仿宋" w:hAnsi="仿宋" w:eastAsia="仿宋" w:cs="仿宋"/>
          <w:color w:val="auto"/>
          <w:spacing w:val="10"/>
          <w:kern w:val="2"/>
          <w:sz w:val="24"/>
          <w:szCs w:val="24"/>
          <w:highlight w:val="none"/>
          <w:lang w:val="en-US" w:eastAsia="zh-CN" w:bidi="ar-SA"/>
        </w:rPr>
      </w:pPr>
      <w:r>
        <w:rPr>
          <w:rFonts w:hint="eastAsia" w:ascii="仿宋" w:hAnsi="仿宋" w:eastAsia="仿宋" w:cs="仿宋"/>
          <w:color w:val="auto"/>
          <w:spacing w:val="10"/>
          <w:kern w:val="2"/>
          <w:sz w:val="24"/>
          <w:szCs w:val="24"/>
          <w:highlight w:val="none"/>
          <w:lang w:val="en-US" w:eastAsia="zh-CN" w:bidi="ar-SA"/>
        </w:rPr>
        <w:t>3.各投标人应在开启投标文件前应确保成为政采云平台投标人，并完成CA数字证书申领。因未注册入库、未办理CA数字证书等原因造成无法投标或投标失败等后果由投标人自行承担。</w:t>
      </w:r>
    </w:p>
    <w:p w14:paraId="3044DC8F">
      <w:pPr>
        <w:pStyle w:val="18"/>
        <w:keepNext w:val="0"/>
        <w:keepLines w:val="0"/>
        <w:pageBreakBefore w:val="0"/>
        <w:widowControl w:val="0"/>
        <w:suppressLineNumbers w:val="0"/>
        <w:kinsoku/>
        <w:wordWrap w:val="0"/>
        <w:overflowPunct/>
        <w:topLinePunct w:val="0"/>
        <w:autoSpaceDE/>
        <w:autoSpaceDN/>
        <w:bidi w:val="0"/>
        <w:adjustRightInd/>
        <w:snapToGrid w:val="0"/>
        <w:spacing w:before="0" w:beforeAutospacing="0" w:after="0" w:afterAutospacing="0" w:line="480" w:lineRule="exact"/>
        <w:ind w:left="0" w:right="0" w:firstLine="520" w:firstLineChars="200"/>
        <w:jc w:val="both"/>
        <w:textAlignment w:val="auto"/>
        <w:rPr>
          <w:rFonts w:hint="eastAsia" w:ascii="仿宋" w:hAnsi="仿宋" w:eastAsia="仿宋" w:cs="仿宋"/>
          <w:color w:val="auto"/>
          <w:spacing w:val="10"/>
          <w:kern w:val="2"/>
          <w:sz w:val="24"/>
          <w:szCs w:val="24"/>
          <w:highlight w:val="none"/>
          <w:lang w:val="en-US" w:eastAsia="zh-CN" w:bidi="ar-SA"/>
        </w:rPr>
      </w:pPr>
      <w:r>
        <w:rPr>
          <w:rFonts w:hint="eastAsia" w:ascii="仿宋" w:hAnsi="仿宋" w:eastAsia="仿宋" w:cs="仿宋"/>
          <w:color w:val="auto"/>
          <w:spacing w:val="10"/>
          <w:kern w:val="2"/>
          <w:sz w:val="24"/>
          <w:szCs w:val="24"/>
          <w:highlight w:val="none"/>
          <w:lang w:val="en-US" w:eastAsia="zh-CN" w:bidi="ar-SA"/>
        </w:rPr>
        <w:t>4.投标人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因投标人自身原因导致在规定时间内无法正常解密的（如：浏览器故障、未安装相关驱动、网络故障、加密CA与解密CA不一致等），代理机构不予异常处理，视为投标人自动放弃投标。</w:t>
      </w:r>
    </w:p>
    <w:p w14:paraId="4B19621C">
      <w:pPr>
        <w:keepNext w:val="0"/>
        <w:keepLines w:val="0"/>
        <w:pageBreakBefore w:val="0"/>
        <w:widowControl w:val="0"/>
        <w:tabs>
          <w:tab w:val="left" w:pos="840"/>
        </w:tabs>
        <w:kinsoku/>
        <w:wordWrap w:val="0"/>
        <w:overflowPunct/>
        <w:topLinePunct w:val="0"/>
        <w:autoSpaceDE/>
        <w:autoSpaceDN/>
        <w:bidi w:val="0"/>
        <w:adjustRightInd/>
        <w:spacing w:line="480" w:lineRule="exact"/>
        <w:ind w:firstLine="520" w:firstLineChars="200"/>
        <w:textAlignment w:val="auto"/>
        <w:outlineLvl w:val="2"/>
        <w:rPr>
          <w:rFonts w:hint="eastAsia" w:ascii="仿宋" w:hAnsi="仿宋" w:eastAsia="仿宋" w:cs="仿宋"/>
          <w:b w:val="0"/>
          <w:bCs w:val="0"/>
          <w:color w:val="auto"/>
          <w:spacing w:val="10"/>
          <w:sz w:val="24"/>
          <w:szCs w:val="24"/>
          <w:highlight w:val="none"/>
        </w:rPr>
      </w:pPr>
      <w:r>
        <w:rPr>
          <w:rFonts w:hint="eastAsia" w:ascii="仿宋" w:hAnsi="仿宋" w:eastAsia="仿宋" w:cs="仿宋"/>
          <w:b w:val="0"/>
          <w:bCs w:val="0"/>
          <w:color w:val="auto"/>
          <w:spacing w:val="10"/>
          <w:sz w:val="24"/>
          <w:szCs w:val="24"/>
          <w:highlight w:val="none"/>
          <w:lang w:val="en-US" w:eastAsia="zh-CN"/>
        </w:rPr>
        <w:t>5</w:t>
      </w:r>
      <w:r>
        <w:rPr>
          <w:rFonts w:hint="eastAsia" w:ascii="仿宋" w:hAnsi="仿宋" w:eastAsia="仿宋" w:cs="仿宋"/>
          <w:b w:val="0"/>
          <w:bCs w:val="0"/>
          <w:color w:val="auto"/>
          <w:spacing w:val="10"/>
          <w:sz w:val="24"/>
          <w:szCs w:val="24"/>
          <w:highlight w:val="none"/>
          <w:lang w:eastAsia="zh-CN"/>
        </w:rPr>
        <w:t>.</w:t>
      </w:r>
      <w:r>
        <w:rPr>
          <w:rFonts w:hint="eastAsia" w:ascii="仿宋" w:hAnsi="仿宋" w:eastAsia="仿宋" w:cs="仿宋"/>
          <w:b w:val="0"/>
          <w:bCs w:val="0"/>
          <w:color w:val="auto"/>
          <w:spacing w:val="10"/>
          <w:sz w:val="24"/>
          <w:szCs w:val="24"/>
          <w:highlight w:val="none"/>
        </w:rPr>
        <w:t>免收取保证金方式</w:t>
      </w:r>
    </w:p>
    <w:p w14:paraId="5A203FEA">
      <w:pPr>
        <w:keepNext w:val="0"/>
        <w:keepLines w:val="0"/>
        <w:pageBreakBefore w:val="0"/>
        <w:widowControl w:val="0"/>
        <w:tabs>
          <w:tab w:val="left" w:pos="840"/>
        </w:tabs>
        <w:kinsoku/>
        <w:wordWrap w:val="0"/>
        <w:overflowPunct/>
        <w:topLinePunct w:val="0"/>
        <w:autoSpaceDE/>
        <w:autoSpaceDN/>
        <w:bidi w:val="0"/>
        <w:adjustRightIn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本项目预算金额为155.87万元，按照投标保证金不得超过采购项目估算价的2%的规定，本项目应收取保证金金额为3.10万元。</w:t>
      </w:r>
      <w:r>
        <w:rPr>
          <w:rFonts w:hint="eastAsia" w:ascii="仿宋" w:hAnsi="仿宋" w:eastAsia="仿宋" w:cs="仿宋"/>
          <w:b/>
          <w:bCs/>
          <w:color w:val="auto"/>
          <w:sz w:val="24"/>
          <w:szCs w:val="24"/>
          <w:highlight w:val="none"/>
          <w:lang w:val="en-US" w:eastAsia="zh-CN"/>
        </w:rPr>
        <w:t>采购人决定该项目免收投标保证金，投标人无需缴纳投标保证金。</w:t>
      </w:r>
      <w:r>
        <w:rPr>
          <w:rFonts w:hint="eastAsia" w:ascii="仿宋" w:hAnsi="仿宋" w:eastAsia="仿宋" w:cs="仿宋"/>
          <w:color w:val="auto"/>
          <w:sz w:val="24"/>
          <w:szCs w:val="24"/>
          <w:highlight w:val="none"/>
          <w:lang w:val="en-US" w:eastAsia="zh-CN"/>
        </w:rPr>
        <w:t>投标人出现其他违反法律法规规定情形的，采购人将依法追究投标人相关责任。</w:t>
      </w:r>
    </w:p>
    <w:p w14:paraId="25BA75DB">
      <w:pPr>
        <w:keepNext w:val="0"/>
        <w:keepLines w:val="0"/>
        <w:pageBreakBefore w:val="0"/>
        <w:widowControl w:val="0"/>
        <w:tabs>
          <w:tab w:val="left" w:pos="840"/>
        </w:tabs>
        <w:kinsoku/>
        <w:wordWrap w:val="0"/>
        <w:overflowPunct/>
        <w:topLinePunct w:val="0"/>
        <w:autoSpaceDE/>
        <w:autoSpaceDN/>
        <w:bidi w:val="0"/>
        <w:adjustRightInd/>
        <w:spacing w:line="480" w:lineRule="exact"/>
        <w:ind w:firstLine="520" w:firstLineChars="200"/>
        <w:textAlignment w:val="auto"/>
        <w:outlineLvl w:val="2"/>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6.其他未尽事宜，详见本项目招标文件。</w:t>
      </w:r>
    </w:p>
    <w:p w14:paraId="59235525">
      <w:pPr>
        <w:pStyle w:val="4"/>
        <w:pageBreakBefore w:val="0"/>
        <w:kinsoku/>
        <w:wordWrap w:val="0"/>
        <w:overflowPunct/>
        <w:bidi w:val="0"/>
        <w:spacing w:after="0" w:line="360" w:lineRule="auto"/>
        <w:rPr>
          <w:rFonts w:hint="eastAsia" w:ascii="仿宋" w:hAnsi="仿宋" w:eastAsia="仿宋" w:cs="仿宋"/>
          <w:color w:val="auto"/>
          <w:spacing w:val="10"/>
          <w:sz w:val="24"/>
          <w:szCs w:val="20"/>
          <w:highlight w:val="none"/>
        </w:rPr>
      </w:pPr>
      <w:bookmarkStart w:id="18" w:name="_Toc16919"/>
      <w:bookmarkStart w:id="19" w:name="_Toc5349"/>
      <w:bookmarkStart w:id="20" w:name="_Hlk20137286"/>
      <w:r>
        <w:rPr>
          <w:rFonts w:hint="eastAsia" w:ascii="仿宋" w:hAnsi="仿宋" w:eastAsia="仿宋" w:cs="仿宋"/>
          <w:color w:val="auto"/>
          <w:sz w:val="28"/>
          <w:szCs w:val="28"/>
          <w:highlight w:val="none"/>
        </w:rPr>
        <w:t>七、对本次招标提出询问，请按以下方式联系</w:t>
      </w:r>
      <w:bookmarkEnd w:id="18"/>
      <w:bookmarkEnd w:id="19"/>
    </w:p>
    <w:p w14:paraId="2CAD46AB">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1.采购人信息</w:t>
      </w:r>
    </w:p>
    <w:p w14:paraId="0098D363">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u w:val="single"/>
          <w:lang w:eastAsia="zh-CN"/>
        </w:rPr>
      </w:pPr>
      <w:r>
        <w:rPr>
          <w:rFonts w:hint="eastAsia" w:ascii="仿宋" w:hAnsi="仿宋" w:eastAsia="仿宋" w:cs="仿宋"/>
          <w:bCs/>
          <w:color w:val="auto"/>
          <w:spacing w:val="10"/>
          <w:sz w:val="24"/>
          <w:szCs w:val="20"/>
          <w:highlight w:val="none"/>
        </w:rPr>
        <w:t>名    称：</w:t>
      </w:r>
      <w:r>
        <w:rPr>
          <w:rFonts w:hint="eastAsia" w:ascii="仿宋" w:hAnsi="仿宋" w:eastAsia="仿宋" w:cs="仿宋"/>
          <w:bCs/>
          <w:color w:val="auto"/>
          <w:spacing w:val="10"/>
          <w:sz w:val="24"/>
          <w:szCs w:val="20"/>
          <w:highlight w:val="none"/>
          <w:lang w:eastAsia="zh-CN"/>
        </w:rPr>
        <w:t>普洱市融媒体中心</w:t>
      </w:r>
    </w:p>
    <w:p w14:paraId="34D486D7">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 w:val="0"/>
          <w:bCs/>
          <w:color w:val="auto"/>
          <w:spacing w:val="10"/>
          <w:sz w:val="24"/>
          <w:szCs w:val="20"/>
          <w:highlight w:val="none"/>
          <w:u w:val="single"/>
          <w:lang w:eastAsia="zh-CN"/>
        </w:rPr>
      </w:pPr>
      <w:r>
        <w:rPr>
          <w:rFonts w:hint="eastAsia" w:ascii="仿宋" w:hAnsi="仿宋" w:eastAsia="仿宋" w:cs="仿宋"/>
          <w:b w:val="0"/>
          <w:bCs/>
          <w:color w:val="auto"/>
          <w:spacing w:val="10"/>
          <w:sz w:val="24"/>
          <w:szCs w:val="20"/>
          <w:highlight w:val="none"/>
        </w:rPr>
        <w:t>地    址：</w:t>
      </w:r>
      <w:r>
        <w:rPr>
          <w:rFonts w:hint="eastAsia" w:ascii="仿宋" w:hAnsi="仿宋" w:eastAsia="仿宋" w:cs="仿宋"/>
          <w:b w:val="0"/>
          <w:bCs/>
          <w:color w:val="auto"/>
          <w:spacing w:val="10"/>
          <w:sz w:val="24"/>
          <w:szCs w:val="20"/>
          <w:highlight w:val="none"/>
          <w:lang w:eastAsia="zh-CN"/>
        </w:rPr>
        <w:t>普洱市思茅区茶苑路12号</w:t>
      </w:r>
    </w:p>
    <w:p w14:paraId="13F1ADEE">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lang w:eastAsia="zh-CN"/>
        </w:rPr>
      </w:pPr>
      <w:r>
        <w:rPr>
          <w:rFonts w:hint="eastAsia" w:ascii="仿宋" w:hAnsi="仿宋" w:eastAsia="仿宋" w:cs="仿宋"/>
          <w:bCs/>
          <w:color w:val="auto"/>
          <w:spacing w:val="10"/>
          <w:sz w:val="24"/>
          <w:szCs w:val="20"/>
          <w:highlight w:val="none"/>
        </w:rPr>
        <w:t>联系方式：</w:t>
      </w:r>
      <w:r>
        <w:rPr>
          <w:rFonts w:hint="eastAsia" w:ascii="仿宋" w:hAnsi="仿宋" w:eastAsia="仿宋" w:cs="仿宋"/>
          <w:color w:val="auto"/>
          <w:sz w:val="24"/>
          <w:szCs w:val="24"/>
          <w:highlight w:val="none"/>
          <w:lang w:eastAsia="zh-CN"/>
        </w:rPr>
        <w:t>0879-2120710</w:t>
      </w:r>
    </w:p>
    <w:p w14:paraId="59BD872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p>
    <w:p w14:paraId="09F3549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50B05F3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bCs/>
          <w:color w:val="auto"/>
          <w:spacing w:val="10"/>
          <w:sz w:val="24"/>
          <w:szCs w:val="20"/>
          <w:highlight w:val="none"/>
          <w:lang w:eastAsia="zh-CN"/>
        </w:rPr>
        <w:t>云南天越招标咨询有限公司</w:t>
      </w:r>
    </w:p>
    <w:p w14:paraId="2261C90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云南省普洱市思茅区思茅街道茶马古镇B区BM 2-11</w:t>
      </w:r>
    </w:p>
    <w:p w14:paraId="4B27FD0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none"/>
          <w:lang w:eastAsia="zh-CN"/>
        </w:rPr>
        <w:t>0879-2317855</w:t>
      </w:r>
      <w:r>
        <w:rPr>
          <w:rFonts w:hint="eastAsia" w:ascii="仿宋" w:hAnsi="仿宋" w:eastAsia="仿宋" w:cs="仿宋"/>
          <w:color w:val="auto"/>
          <w:sz w:val="24"/>
          <w:szCs w:val="24"/>
          <w:highlight w:val="none"/>
          <w:lang w:val="en-US" w:eastAsia="zh-CN"/>
        </w:rPr>
        <w:t>/14787928986</w:t>
      </w:r>
    </w:p>
    <w:p w14:paraId="09218923">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rPr>
      </w:pPr>
    </w:p>
    <w:p w14:paraId="50CED907">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3.项目联系方式</w:t>
      </w:r>
    </w:p>
    <w:p w14:paraId="4944E3B8">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u w:val="single"/>
          <w:lang w:val="en-US" w:eastAsia="zh-CN"/>
        </w:rPr>
      </w:pPr>
      <w:r>
        <w:rPr>
          <w:rFonts w:hint="eastAsia" w:ascii="仿宋" w:hAnsi="仿宋" w:eastAsia="仿宋" w:cs="仿宋"/>
          <w:bCs/>
          <w:color w:val="auto"/>
          <w:spacing w:val="10"/>
          <w:sz w:val="24"/>
          <w:szCs w:val="20"/>
          <w:highlight w:val="none"/>
        </w:rPr>
        <w:t>项目联系人：</w:t>
      </w:r>
      <w:r>
        <w:rPr>
          <w:rFonts w:hint="eastAsia" w:ascii="仿宋" w:hAnsi="仿宋" w:eastAsia="仿宋" w:cs="仿宋"/>
          <w:bCs/>
          <w:color w:val="auto"/>
          <w:spacing w:val="10"/>
          <w:sz w:val="24"/>
          <w:szCs w:val="20"/>
          <w:highlight w:val="none"/>
          <w:lang w:val="en-US" w:eastAsia="zh-CN"/>
        </w:rPr>
        <w:t>龚娓</w:t>
      </w:r>
    </w:p>
    <w:p w14:paraId="5D4AFDF8">
      <w:pPr>
        <w:keepNext w:val="0"/>
        <w:keepLines w:val="0"/>
        <w:pageBreakBefore w:val="0"/>
        <w:widowControl w:val="0"/>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bCs/>
          <w:color w:val="auto"/>
          <w:spacing w:val="10"/>
          <w:sz w:val="24"/>
          <w:szCs w:val="20"/>
          <w:highlight w:val="none"/>
          <w:lang w:val="en-US" w:eastAsia="zh-CN"/>
        </w:rPr>
      </w:pPr>
      <w:r>
        <w:rPr>
          <w:rFonts w:hint="eastAsia" w:ascii="仿宋" w:hAnsi="仿宋" w:eastAsia="仿宋" w:cs="仿宋"/>
          <w:bCs/>
          <w:color w:val="auto"/>
          <w:spacing w:val="10"/>
          <w:sz w:val="24"/>
          <w:szCs w:val="20"/>
          <w:highlight w:val="none"/>
        </w:rPr>
        <w:t>电 　话：</w:t>
      </w:r>
      <w:bookmarkEnd w:id="3"/>
      <w:bookmarkEnd w:id="20"/>
      <w:r>
        <w:rPr>
          <w:rFonts w:hint="eastAsia" w:ascii="仿宋" w:hAnsi="仿宋" w:eastAsia="仿宋" w:cs="仿宋"/>
          <w:color w:val="auto"/>
          <w:sz w:val="24"/>
          <w:szCs w:val="24"/>
          <w:highlight w:val="none"/>
          <w:lang w:eastAsia="zh-CN"/>
        </w:rPr>
        <w:t>0879-2317855</w:t>
      </w:r>
      <w:r>
        <w:rPr>
          <w:rFonts w:hint="eastAsia" w:ascii="仿宋" w:hAnsi="仿宋" w:eastAsia="仿宋" w:cs="仿宋"/>
          <w:color w:val="auto"/>
          <w:sz w:val="24"/>
          <w:szCs w:val="24"/>
          <w:highlight w:val="none"/>
          <w:lang w:val="en-US" w:eastAsia="zh-CN"/>
        </w:rPr>
        <w:t>/14787928986</w:t>
      </w:r>
    </w:p>
    <w:p w14:paraId="7961A299">
      <w:pPr>
        <w:pageBreakBefore w:val="0"/>
        <w:kinsoku/>
        <w:wordWrap w:val="0"/>
        <w:overflowPunct/>
        <w:bidi w:val="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br w:type="page"/>
      </w:r>
    </w:p>
    <w:p w14:paraId="430433F8">
      <w:pPr>
        <w:pageBreakBefore w:val="0"/>
        <w:kinsoku/>
        <w:wordWrap w:val="0"/>
        <w:overflowPunct/>
        <w:bidi w:val="0"/>
        <w:spacing w:line="360" w:lineRule="auto"/>
        <w:rPr>
          <w:rFonts w:hint="eastAsia" w:ascii="仿宋" w:hAnsi="仿宋" w:eastAsia="仿宋" w:cs="仿宋"/>
          <w:bCs/>
          <w:color w:val="auto"/>
          <w:spacing w:val="10"/>
          <w:sz w:val="24"/>
          <w:szCs w:val="20"/>
          <w:highlight w:val="none"/>
        </w:rPr>
      </w:pPr>
    </w:p>
    <w:p w14:paraId="1110A1CB">
      <w:pPr>
        <w:pStyle w:val="3"/>
        <w:pageBreakBefore w:val="0"/>
        <w:kinsoku/>
        <w:wordWrap w:val="0"/>
        <w:overflowPunct/>
        <w:bidi w:val="0"/>
        <w:spacing w:before="0" w:after="0" w:line="240" w:lineRule="auto"/>
        <w:jc w:val="center"/>
        <w:rPr>
          <w:rFonts w:hint="eastAsia" w:ascii="仿宋" w:hAnsi="仿宋" w:eastAsia="仿宋" w:cs="仿宋"/>
          <w:color w:val="auto"/>
          <w:highlight w:val="none"/>
        </w:rPr>
      </w:pPr>
      <w:bookmarkStart w:id="21" w:name="_Toc12749"/>
      <w:bookmarkStart w:id="22" w:name="_Toc9791"/>
      <w:r>
        <w:rPr>
          <w:rFonts w:hint="eastAsia" w:ascii="仿宋" w:hAnsi="仿宋" w:eastAsia="仿宋" w:cs="仿宋"/>
          <w:color w:val="auto"/>
          <w:highlight w:val="none"/>
        </w:rPr>
        <w:t xml:space="preserve">第二章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w:t>
      </w:r>
      <w:bookmarkEnd w:id="21"/>
      <w:bookmarkEnd w:id="22"/>
    </w:p>
    <w:p w14:paraId="6B69BFF1">
      <w:pPr>
        <w:pStyle w:val="4"/>
        <w:pageBreakBefore w:val="0"/>
        <w:kinsoku/>
        <w:wordWrap w:val="0"/>
        <w:overflowPunct/>
        <w:bidi w:val="0"/>
        <w:spacing w:after="0" w:line="360" w:lineRule="auto"/>
        <w:jc w:val="center"/>
        <w:rPr>
          <w:rFonts w:hint="eastAsia" w:ascii="仿宋" w:hAnsi="仿宋" w:eastAsia="仿宋" w:cs="仿宋"/>
          <w:color w:val="auto"/>
          <w:sz w:val="28"/>
          <w:szCs w:val="28"/>
          <w:highlight w:val="none"/>
        </w:rPr>
      </w:pPr>
      <w:bookmarkStart w:id="23" w:name="_Toc24289"/>
      <w:bookmarkStart w:id="24" w:name="_Toc16188"/>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须知前附表</w:t>
      </w:r>
      <w:bookmarkEnd w:id="23"/>
      <w:bookmarkEnd w:id="24"/>
    </w:p>
    <w:tbl>
      <w:tblPr>
        <w:tblStyle w:val="22"/>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2178"/>
        <w:gridCol w:w="6770"/>
      </w:tblGrid>
      <w:tr w14:paraId="1876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tcPr>
          <w:p w14:paraId="053D191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2178" w:type="dxa"/>
          </w:tcPr>
          <w:p w14:paraId="6E7B6D0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条款内容</w:t>
            </w:r>
          </w:p>
        </w:tc>
        <w:tc>
          <w:tcPr>
            <w:tcW w:w="6770" w:type="dxa"/>
          </w:tcPr>
          <w:p w14:paraId="18F5272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编列内容</w:t>
            </w:r>
          </w:p>
        </w:tc>
      </w:tr>
      <w:tr w14:paraId="6425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exact"/>
        </w:trPr>
        <w:tc>
          <w:tcPr>
            <w:tcW w:w="976" w:type="dxa"/>
            <w:vAlign w:val="center"/>
          </w:tcPr>
          <w:p w14:paraId="4B1C73F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2</w:t>
            </w:r>
          </w:p>
        </w:tc>
        <w:tc>
          <w:tcPr>
            <w:tcW w:w="2178" w:type="dxa"/>
            <w:vAlign w:val="center"/>
          </w:tcPr>
          <w:p w14:paraId="6BC73D3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770" w:type="dxa"/>
            <w:vAlign w:val="center"/>
          </w:tcPr>
          <w:p w14:paraId="0BF78AAC">
            <w:pPr>
              <w:pageBreakBefore w:val="0"/>
              <w:wordWrap w:val="0"/>
              <w:autoSpaceDE/>
              <w:autoSpaceDN/>
              <w:bidi w:val="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名称：</w:t>
            </w:r>
            <w:r>
              <w:rPr>
                <w:rFonts w:hint="eastAsia" w:ascii="仿宋" w:hAnsi="仿宋" w:eastAsia="仿宋" w:cs="仿宋"/>
                <w:color w:val="000000"/>
                <w:sz w:val="24"/>
                <w:szCs w:val="24"/>
                <w:highlight w:val="none"/>
                <w:lang w:eastAsia="zh-CN"/>
              </w:rPr>
              <w:t>普洱市融媒体中心</w:t>
            </w:r>
          </w:p>
          <w:p w14:paraId="27E83049">
            <w:pPr>
              <w:pageBreakBefore w:val="0"/>
              <w:wordWrap w:val="0"/>
              <w:autoSpaceDE/>
              <w:autoSpaceDN/>
              <w:bidi w:val="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地址：普洱市思茅区茶苑路12号</w:t>
            </w:r>
          </w:p>
          <w:p w14:paraId="7AAC1E5A">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联系人：</w:t>
            </w:r>
            <w:r>
              <w:rPr>
                <w:rFonts w:hint="eastAsia" w:ascii="仿宋" w:hAnsi="仿宋" w:eastAsia="仿宋" w:cs="仿宋"/>
                <w:color w:val="000000"/>
                <w:sz w:val="24"/>
                <w:szCs w:val="24"/>
                <w:highlight w:val="none"/>
                <w:lang w:val="en-US" w:eastAsia="zh-CN"/>
              </w:rPr>
              <w:t>赵老师</w:t>
            </w:r>
          </w:p>
          <w:p w14:paraId="5EB49402">
            <w:pPr>
              <w:pageBreakBefore w:val="0"/>
              <w:wordWrap w:val="0"/>
              <w:autoSpaceDE/>
              <w:autoSpaceDN/>
              <w:bidi w:val="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联系方式：</w:t>
            </w:r>
            <w:r>
              <w:rPr>
                <w:rFonts w:hint="eastAsia" w:ascii="仿宋" w:hAnsi="仿宋" w:eastAsia="仿宋" w:cs="仿宋"/>
                <w:color w:val="000000"/>
                <w:sz w:val="24"/>
                <w:szCs w:val="24"/>
                <w:highlight w:val="none"/>
                <w:lang w:val="en-US" w:eastAsia="zh-CN"/>
              </w:rPr>
              <w:t>0879-2120710</w:t>
            </w:r>
          </w:p>
        </w:tc>
      </w:tr>
      <w:tr w14:paraId="5CB0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exact"/>
        </w:trPr>
        <w:tc>
          <w:tcPr>
            <w:tcW w:w="976" w:type="dxa"/>
            <w:vAlign w:val="center"/>
          </w:tcPr>
          <w:p w14:paraId="22A434C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3</w:t>
            </w:r>
          </w:p>
        </w:tc>
        <w:tc>
          <w:tcPr>
            <w:tcW w:w="2178" w:type="dxa"/>
            <w:vAlign w:val="center"/>
          </w:tcPr>
          <w:p w14:paraId="7DB4F5E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w:t>
            </w:r>
          </w:p>
        </w:tc>
        <w:tc>
          <w:tcPr>
            <w:tcW w:w="6770" w:type="dxa"/>
            <w:vAlign w:val="center"/>
          </w:tcPr>
          <w:p w14:paraId="1C866F99">
            <w:pPr>
              <w:pageBreakBefore w:val="0"/>
              <w:wordWrap w:val="0"/>
              <w:autoSpaceDE/>
              <w:autoSpaceDN/>
              <w:bidi w:val="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名称：</w:t>
            </w:r>
            <w:r>
              <w:rPr>
                <w:rFonts w:hint="eastAsia" w:ascii="仿宋" w:hAnsi="仿宋" w:eastAsia="仿宋" w:cs="仿宋"/>
                <w:color w:val="000000"/>
                <w:sz w:val="24"/>
                <w:szCs w:val="24"/>
                <w:highlight w:val="none"/>
                <w:lang w:eastAsia="zh-CN"/>
              </w:rPr>
              <w:t>云南天越招标咨询有限公司</w:t>
            </w:r>
          </w:p>
          <w:p w14:paraId="4924B644">
            <w:pPr>
              <w:pageBreakBefore w:val="0"/>
              <w:wordWrap w:val="0"/>
              <w:autoSpaceDE/>
              <w:autoSpaceDN/>
              <w:bidi w:val="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地址：</w:t>
            </w:r>
            <w:r>
              <w:rPr>
                <w:rFonts w:hint="eastAsia" w:ascii="仿宋" w:hAnsi="仿宋" w:eastAsia="仿宋" w:cs="仿宋"/>
                <w:color w:val="000000"/>
                <w:sz w:val="24"/>
                <w:szCs w:val="24"/>
                <w:highlight w:val="none"/>
                <w:lang w:eastAsia="zh-CN"/>
              </w:rPr>
              <w:t>云南省普洱市思茅区思茅街道茶马古镇B区BM 2-11</w:t>
            </w:r>
          </w:p>
          <w:p w14:paraId="72A3D907">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联系人：</w:t>
            </w:r>
            <w:r>
              <w:rPr>
                <w:rFonts w:hint="eastAsia" w:ascii="仿宋" w:hAnsi="仿宋" w:eastAsia="仿宋" w:cs="仿宋"/>
                <w:color w:val="000000"/>
                <w:sz w:val="24"/>
                <w:szCs w:val="24"/>
                <w:highlight w:val="none"/>
                <w:lang w:val="en-US" w:eastAsia="zh-CN"/>
              </w:rPr>
              <w:t>龚娓</w:t>
            </w:r>
          </w:p>
          <w:p w14:paraId="0B92946C">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联系方式：</w:t>
            </w:r>
            <w:r>
              <w:rPr>
                <w:rFonts w:hint="eastAsia" w:ascii="仿宋" w:hAnsi="仿宋" w:eastAsia="仿宋" w:cs="仿宋"/>
                <w:color w:val="000000"/>
                <w:sz w:val="24"/>
                <w:szCs w:val="24"/>
                <w:highlight w:val="none"/>
                <w:lang w:eastAsia="zh-CN"/>
              </w:rPr>
              <w:t>0879-2317855</w:t>
            </w:r>
            <w:r>
              <w:rPr>
                <w:rFonts w:hint="eastAsia" w:ascii="仿宋" w:hAnsi="仿宋" w:eastAsia="仿宋" w:cs="仿宋"/>
                <w:color w:val="000000"/>
                <w:sz w:val="24"/>
                <w:szCs w:val="24"/>
                <w:highlight w:val="none"/>
                <w:lang w:val="en-US" w:eastAsia="zh-CN"/>
              </w:rPr>
              <w:t>/14787928986</w:t>
            </w:r>
          </w:p>
        </w:tc>
      </w:tr>
      <w:tr w14:paraId="6110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59485D1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1.1.4</w:t>
            </w:r>
          </w:p>
        </w:tc>
        <w:tc>
          <w:tcPr>
            <w:tcW w:w="2178" w:type="dxa"/>
            <w:vAlign w:val="center"/>
          </w:tcPr>
          <w:p w14:paraId="78688B79">
            <w:pPr>
              <w:keepNext w:val="0"/>
              <w:keepLines w:val="0"/>
              <w:pageBreakBefore w:val="0"/>
              <w:suppressLineNumbers w:val="0"/>
              <w:kinsoku/>
              <w:wordWrap w:val="0"/>
              <w:overflowPunct/>
              <w:bidi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770" w:type="dxa"/>
            <w:vAlign w:val="center"/>
          </w:tcPr>
          <w:p w14:paraId="6298BD5A">
            <w:pPr>
              <w:keepNext w:val="0"/>
              <w:keepLines w:val="0"/>
              <w:pageBreakBefore w:val="0"/>
              <w:suppressLineNumbers w:val="0"/>
              <w:kinsoku/>
              <w:wordWrap w:val="0"/>
              <w:overflowPunct/>
              <w:bidi w:val="0"/>
              <w:spacing w:before="0" w:beforeAutospacing="0" w:after="0" w:afterAutospacing="0"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普洱市大剧院设备更新</w:t>
            </w:r>
          </w:p>
        </w:tc>
      </w:tr>
      <w:tr w14:paraId="1D703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A1194E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1.1.5</w:t>
            </w:r>
          </w:p>
        </w:tc>
        <w:tc>
          <w:tcPr>
            <w:tcW w:w="2178" w:type="dxa"/>
            <w:vAlign w:val="center"/>
          </w:tcPr>
          <w:p w14:paraId="2BA54BC4">
            <w:pPr>
              <w:keepNext w:val="0"/>
              <w:keepLines w:val="0"/>
              <w:pageBreakBefore w:val="0"/>
              <w:suppressLineNumbers w:val="0"/>
              <w:kinsoku/>
              <w:wordWrap w:val="0"/>
              <w:overflowPunct/>
              <w:bidi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770" w:type="dxa"/>
            <w:vAlign w:val="center"/>
          </w:tcPr>
          <w:p w14:paraId="62496B85">
            <w:pPr>
              <w:keepNext w:val="0"/>
              <w:keepLines w:val="0"/>
              <w:pageBreakBefore w:val="0"/>
              <w:suppressLineNumbers w:val="0"/>
              <w:kinsoku/>
              <w:wordWrap w:val="0"/>
              <w:overflowPunct/>
              <w:bidi w:val="0"/>
              <w:spacing w:before="0" w:beforeAutospacing="0" w:after="0" w:afterAutospacing="0"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PEZC2025-G1-01508-YNTY-0006</w:t>
            </w:r>
          </w:p>
        </w:tc>
      </w:tr>
      <w:tr w14:paraId="3C1DB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6A4A06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1.1.6</w:t>
            </w:r>
          </w:p>
        </w:tc>
        <w:tc>
          <w:tcPr>
            <w:tcW w:w="2178" w:type="dxa"/>
            <w:vAlign w:val="center"/>
          </w:tcPr>
          <w:p w14:paraId="6159845B">
            <w:pPr>
              <w:keepNext w:val="0"/>
              <w:keepLines w:val="0"/>
              <w:pageBreakBefore w:val="0"/>
              <w:suppressLineNumbers w:val="0"/>
              <w:kinsoku/>
              <w:wordWrap w:val="0"/>
              <w:overflowPunct/>
              <w:bidi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标段划分</w:t>
            </w:r>
          </w:p>
        </w:tc>
        <w:tc>
          <w:tcPr>
            <w:tcW w:w="6770" w:type="dxa"/>
            <w:vAlign w:val="center"/>
          </w:tcPr>
          <w:p w14:paraId="774E6D18">
            <w:pPr>
              <w:keepNext w:val="0"/>
              <w:keepLines w:val="0"/>
              <w:pageBreakBefore w:val="0"/>
              <w:suppressLineNumbers w:val="0"/>
              <w:kinsoku/>
              <w:wordWrap w:val="0"/>
              <w:overflowPunct/>
              <w:bidi w:val="0"/>
              <w:spacing w:before="0" w:beforeAutospacing="0" w:after="0" w:afterAutospacing="0" w:line="360" w:lineRule="auto"/>
              <w:ind w:left="0" w:leftChars="0" w:right="0" w:righ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本项目不划分标段</w:t>
            </w:r>
          </w:p>
        </w:tc>
      </w:tr>
      <w:tr w14:paraId="73CC7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5819A8B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2178" w:type="dxa"/>
            <w:vAlign w:val="center"/>
          </w:tcPr>
          <w:p w14:paraId="270D090C">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资金来源及比例</w:t>
            </w:r>
          </w:p>
        </w:tc>
        <w:tc>
          <w:tcPr>
            <w:tcW w:w="6770" w:type="dxa"/>
            <w:vAlign w:val="center"/>
          </w:tcPr>
          <w:p w14:paraId="44E85C3A">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财政资金100%</w:t>
            </w:r>
          </w:p>
        </w:tc>
      </w:tr>
      <w:tr w14:paraId="073D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CD9E35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2178" w:type="dxa"/>
            <w:vAlign w:val="center"/>
          </w:tcPr>
          <w:p w14:paraId="0289A85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资金落实情况</w:t>
            </w:r>
          </w:p>
        </w:tc>
        <w:tc>
          <w:tcPr>
            <w:tcW w:w="6770" w:type="dxa"/>
            <w:vAlign w:val="center"/>
          </w:tcPr>
          <w:p w14:paraId="09FC1815">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已落实</w:t>
            </w:r>
          </w:p>
        </w:tc>
      </w:tr>
      <w:tr w14:paraId="7BC97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exact"/>
        </w:trPr>
        <w:tc>
          <w:tcPr>
            <w:tcW w:w="976" w:type="dxa"/>
            <w:vAlign w:val="center"/>
          </w:tcPr>
          <w:p w14:paraId="7A2F32A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1.3.1</w:t>
            </w:r>
          </w:p>
        </w:tc>
        <w:tc>
          <w:tcPr>
            <w:tcW w:w="2178" w:type="dxa"/>
            <w:vAlign w:val="center"/>
          </w:tcPr>
          <w:p w14:paraId="2EB38319">
            <w:pPr>
              <w:keepNext w:val="0"/>
              <w:keepLines w:val="0"/>
              <w:pageBreakBefore w:val="0"/>
              <w:suppressLineNumbers w:val="0"/>
              <w:kinsoku/>
              <w:wordWrap w:val="0"/>
              <w:overflowPunct/>
              <w:bidi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采购需求</w:t>
            </w:r>
            <w:r>
              <w:rPr>
                <w:rFonts w:hint="eastAsia" w:ascii="仿宋" w:hAnsi="仿宋" w:eastAsia="仿宋" w:cs="仿宋"/>
                <w:color w:val="auto"/>
                <w:highlight w:val="none"/>
              </w:rPr>
              <w:t>★</w:t>
            </w:r>
          </w:p>
        </w:tc>
        <w:tc>
          <w:tcPr>
            <w:tcW w:w="6770" w:type="dxa"/>
            <w:vAlign w:val="center"/>
          </w:tcPr>
          <w:p w14:paraId="1D356BB1">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lang w:val="en-US" w:eastAsia="zh-CN"/>
              </w:rPr>
              <w:t>一、更新舞台灯光系统，主要内容为更换现有切割灯，提升舞台照明亮度和色彩饱和度。二、更新数字话筒、音响设备，主要内容为更换为具备高保真音质、低噪音干扰的无线话筒、头戴话筒</w:t>
            </w:r>
            <w:r>
              <w:rPr>
                <w:rFonts w:hint="eastAsia" w:ascii="仿宋" w:hAnsi="仿宋" w:eastAsia="仿宋" w:cs="仿宋"/>
                <w:strike w:val="0"/>
                <w:dstrike w:val="0"/>
                <w:color w:val="auto"/>
                <w:sz w:val="24"/>
                <w:szCs w:val="24"/>
                <w:highlight w:val="none"/>
                <w:lang w:val="en-US" w:eastAsia="zh-CN"/>
              </w:rPr>
              <w:t>、摄像设备、音响设备</w:t>
            </w:r>
            <w:r>
              <w:rPr>
                <w:rFonts w:hint="eastAsia" w:ascii="仿宋" w:hAnsi="仿宋" w:eastAsia="仿宋" w:cs="仿宋"/>
                <w:strike w:val="0"/>
                <w:dstrike w:val="0"/>
                <w:color w:val="auto"/>
                <w:sz w:val="24"/>
                <w:szCs w:val="24"/>
                <w:highlight w:val="none"/>
              </w:rPr>
              <w:t>及</w:t>
            </w:r>
            <w:r>
              <w:rPr>
                <w:rFonts w:hint="eastAsia" w:ascii="仿宋" w:hAnsi="仿宋" w:eastAsia="仿宋" w:cs="仿宋"/>
                <w:color w:val="auto"/>
                <w:sz w:val="24"/>
                <w:szCs w:val="24"/>
                <w:highlight w:val="none"/>
              </w:rPr>
              <w:t>配套设备</w:t>
            </w:r>
            <w:r>
              <w:rPr>
                <w:rFonts w:hint="eastAsia" w:ascii="仿宋" w:hAnsi="仿宋" w:eastAsia="仿宋" w:cs="仿宋"/>
                <w:color w:val="auto"/>
                <w:sz w:val="24"/>
                <w:szCs w:val="24"/>
                <w:highlight w:val="none"/>
                <w:lang w:val="en-US" w:eastAsia="zh-CN"/>
              </w:rPr>
              <w:t>。三、更新专业演出钢琴，主要内容为采购一台国产高品质的三角钢琴，以满足大剧院各类音乐演出的需求。详细要求详见“第六章采购需求及要求”。</w:t>
            </w:r>
          </w:p>
        </w:tc>
      </w:tr>
      <w:tr w14:paraId="1A38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trPr>
        <w:tc>
          <w:tcPr>
            <w:tcW w:w="976" w:type="dxa"/>
            <w:vAlign w:val="center"/>
          </w:tcPr>
          <w:p w14:paraId="4C538A4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1.3.2</w:t>
            </w:r>
          </w:p>
        </w:tc>
        <w:tc>
          <w:tcPr>
            <w:tcW w:w="2178" w:type="dxa"/>
            <w:vAlign w:val="center"/>
          </w:tcPr>
          <w:p w14:paraId="6B258F65">
            <w:pPr>
              <w:keepNext w:val="0"/>
              <w:keepLines w:val="0"/>
              <w:pageBreakBefore w:val="0"/>
              <w:suppressLineNumbers w:val="0"/>
              <w:kinsoku/>
              <w:wordWrap w:val="0"/>
              <w:overflowPunct/>
              <w:bidi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highlight w:val="none"/>
              </w:rPr>
              <w:t>★</w:t>
            </w:r>
          </w:p>
        </w:tc>
        <w:tc>
          <w:tcPr>
            <w:tcW w:w="6770" w:type="dxa"/>
            <w:vAlign w:val="center"/>
          </w:tcPr>
          <w:p w14:paraId="1AD89818">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lang w:val="en-US" w:eastAsia="zh-CN"/>
              </w:rPr>
              <w:t>自合同签订之日起3个月内完成安装、调试及维护。</w:t>
            </w:r>
          </w:p>
        </w:tc>
      </w:tr>
      <w:tr w14:paraId="326B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00058019">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3.3</w:t>
            </w:r>
          </w:p>
        </w:tc>
        <w:tc>
          <w:tcPr>
            <w:tcW w:w="2178" w:type="dxa"/>
            <w:vAlign w:val="center"/>
          </w:tcPr>
          <w:p w14:paraId="75D092D7">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交货</w:t>
            </w:r>
            <w:r>
              <w:rPr>
                <w:rFonts w:hint="eastAsia" w:ascii="仿宋" w:hAnsi="仿宋" w:eastAsia="仿宋" w:cs="仿宋"/>
                <w:color w:val="auto"/>
                <w:sz w:val="24"/>
                <w:szCs w:val="24"/>
                <w:highlight w:val="none"/>
              </w:rPr>
              <w:t>地点</w:t>
            </w:r>
            <w:r>
              <w:rPr>
                <w:rFonts w:hint="eastAsia" w:ascii="仿宋" w:hAnsi="仿宋" w:eastAsia="仿宋" w:cs="仿宋"/>
                <w:color w:val="auto"/>
                <w:highlight w:val="none"/>
              </w:rPr>
              <w:t>★</w:t>
            </w:r>
          </w:p>
        </w:tc>
        <w:tc>
          <w:tcPr>
            <w:tcW w:w="6770" w:type="dxa"/>
            <w:vAlign w:val="center"/>
          </w:tcPr>
          <w:p w14:paraId="460E70D2">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普洱市</w:t>
            </w:r>
            <w:r>
              <w:rPr>
                <w:rFonts w:hint="eastAsia" w:ascii="仿宋" w:hAnsi="仿宋" w:eastAsia="仿宋" w:cs="仿宋"/>
                <w:color w:val="auto"/>
                <w:sz w:val="24"/>
                <w:szCs w:val="24"/>
                <w:highlight w:val="none"/>
                <w:lang w:val="en-US" w:eastAsia="zh-CN"/>
              </w:rPr>
              <w:t>大剧院。</w:t>
            </w:r>
          </w:p>
        </w:tc>
      </w:tr>
      <w:tr w14:paraId="6F07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976" w:type="dxa"/>
            <w:vAlign w:val="center"/>
          </w:tcPr>
          <w:p w14:paraId="58D5B08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3.4</w:t>
            </w:r>
          </w:p>
        </w:tc>
        <w:tc>
          <w:tcPr>
            <w:tcW w:w="2178" w:type="dxa"/>
            <w:vAlign w:val="center"/>
          </w:tcPr>
          <w:p w14:paraId="1ADAAC3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质量标准</w:t>
            </w:r>
            <w:r>
              <w:rPr>
                <w:rFonts w:hint="eastAsia" w:ascii="仿宋" w:hAnsi="仿宋" w:eastAsia="仿宋" w:cs="仿宋"/>
                <w:color w:val="auto"/>
                <w:highlight w:val="none"/>
              </w:rPr>
              <w:t>★</w:t>
            </w:r>
          </w:p>
        </w:tc>
        <w:tc>
          <w:tcPr>
            <w:tcW w:w="6770" w:type="dxa"/>
            <w:vAlign w:val="center"/>
          </w:tcPr>
          <w:p w14:paraId="005F0F63">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满足国家及行业相关技术标准和验收规范要求，一次性验收合格。</w:t>
            </w:r>
          </w:p>
        </w:tc>
      </w:tr>
      <w:tr w14:paraId="7B5C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976" w:type="dxa"/>
            <w:vAlign w:val="center"/>
          </w:tcPr>
          <w:p w14:paraId="0F71141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1.3.5</w:t>
            </w:r>
          </w:p>
        </w:tc>
        <w:tc>
          <w:tcPr>
            <w:tcW w:w="2178" w:type="dxa"/>
            <w:vAlign w:val="center"/>
          </w:tcPr>
          <w:p w14:paraId="3BF60F3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r>
              <w:rPr>
                <w:rFonts w:hint="eastAsia" w:ascii="仿宋" w:hAnsi="仿宋" w:eastAsia="仿宋" w:cs="仿宋"/>
                <w:color w:val="auto"/>
                <w:highlight w:val="none"/>
              </w:rPr>
              <w:t>★</w:t>
            </w:r>
          </w:p>
        </w:tc>
        <w:tc>
          <w:tcPr>
            <w:tcW w:w="6770" w:type="dxa"/>
            <w:vAlign w:val="center"/>
          </w:tcPr>
          <w:p w14:paraId="5A043AC4">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000000"/>
                <w:sz w:val="24"/>
                <w:szCs w:val="24"/>
                <w:highlight w:val="none"/>
                <w:u w:val="none"/>
                <w:lang w:val="en-US" w:eastAsia="zh-CN"/>
              </w:rPr>
              <w:t>≥3年</w:t>
            </w:r>
            <w:r>
              <w:rPr>
                <w:rFonts w:hint="eastAsia" w:ascii="仿宋" w:hAnsi="仿宋" w:eastAsia="仿宋" w:cs="仿宋"/>
                <w:color w:val="000000"/>
                <w:sz w:val="24"/>
                <w:szCs w:val="24"/>
                <w:highlight w:val="none"/>
                <w:lang w:val="en-US" w:eastAsia="zh-CN"/>
              </w:rPr>
              <w:t>，国家有明确质保期的，按国家标准执行。</w:t>
            </w:r>
          </w:p>
        </w:tc>
      </w:tr>
      <w:tr w14:paraId="0112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vAlign w:val="center"/>
          </w:tcPr>
          <w:p w14:paraId="37636C1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2178" w:type="dxa"/>
            <w:vAlign w:val="center"/>
          </w:tcPr>
          <w:p w14:paraId="63DC378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的资格要求</w:t>
            </w:r>
            <w:r>
              <w:rPr>
                <w:rFonts w:hint="eastAsia" w:ascii="仿宋" w:hAnsi="仿宋" w:eastAsia="仿宋" w:cs="仿宋"/>
                <w:color w:val="auto"/>
                <w:highlight w:val="none"/>
              </w:rPr>
              <w:t>★</w:t>
            </w:r>
          </w:p>
        </w:tc>
        <w:tc>
          <w:tcPr>
            <w:tcW w:w="6770" w:type="dxa"/>
            <w:vAlign w:val="center"/>
          </w:tcPr>
          <w:p w14:paraId="11BA5B6E">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1.满足《中华人民共和国政府采购法》第二十二条规定</w:t>
            </w:r>
            <w:r>
              <w:rPr>
                <w:rFonts w:hint="eastAsia" w:ascii="仿宋" w:hAnsi="仿宋" w:eastAsia="仿宋" w:cs="仿宋"/>
                <w:color w:val="000000"/>
                <w:sz w:val="24"/>
                <w:szCs w:val="24"/>
                <w:highlight w:val="none"/>
                <w:lang w:eastAsia="zh-CN"/>
              </w:rPr>
              <w:t>：</w:t>
            </w:r>
          </w:p>
          <w:p w14:paraId="3EDECF0E">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1.1 具有独立承担民事责任的能力：投标人</w:t>
            </w:r>
            <w:r>
              <w:rPr>
                <w:rFonts w:hint="eastAsia" w:ascii="仿宋" w:hAnsi="仿宋" w:eastAsia="仿宋" w:cs="仿宋"/>
                <w:color w:val="000000"/>
                <w:sz w:val="24"/>
                <w:szCs w:val="24"/>
                <w:highlight w:val="none"/>
              </w:rPr>
              <w:t>在中华人民共和国境内注册，</w:t>
            </w:r>
            <w:r>
              <w:rPr>
                <w:rFonts w:hint="eastAsia" w:ascii="仿宋" w:hAnsi="仿宋" w:eastAsia="仿宋" w:cs="仿宋"/>
                <w:color w:val="000000"/>
                <w:sz w:val="24"/>
                <w:szCs w:val="24"/>
                <w:highlight w:val="none"/>
                <w:lang w:eastAsia="zh-CN"/>
              </w:rPr>
              <w:t>具备独立法人资格或者是其他组织</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提供营业执照或事业单位法人证书等相关证书</w:t>
            </w:r>
            <w:r>
              <w:rPr>
                <w:rFonts w:hint="eastAsia" w:ascii="仿宋" w:hAnsi="仿宋" w:eastAsia="仿宋" w:cs="仿宋"/>
                <w:color w:val="000000"/>
                <w:sz w:val="24"/>
                <w:szCs w:val="24"/>
                <w:highlight w:val="none"/>
              </w:rPr>
              <w:t>；</w:t>
            </w:r>
          </w:p>
          <w:p w14:paraId="49E2C938">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1.2 具有良好的商业信誉和健全的财务会计制度：</w:t>
            </w:r>
          </w:p>
          <w:p w14:paraId="15FC867B">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（1）信誉证明：投标人</w:t>
            </w:r>
            <w:r>
              <w:rPr>
                <w:rFonts w:hint="eastAsia" w:ascii="仿宋" w:hAnsi="仿宋" w:eastAsia="仿宋" w:cs="仿宋"/>
                <w:color w:val="000000"/>
                <w:sz w:val="24"/>
                <w:szCs w:val="24"/>
                <w:highlight w:val="none"/>
              </w:rPr>
              <w:t>在“信用中国”网站（www.creditchina.gov.cn）</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未被列入失信被执行人记录、重大税收违法案件当事人名单，在中国政府采购网（www.ccgp.gov.cn）没有政府采购严重违法失信行为记录（被禁止在一定期限内参加政府采购活动但期限届满的除外），</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提供信用承诺书，查询结果以采购人、采购代理机构查询结果为准</w:t>
            </w:r>
            <w:r>
              <w:rPr>
                <w:rFonts w:hint="eastAsia" w:ascii="仿宋" w:hAnsi="仿宋" w:eastAsia="仿宋" w:cs="仿宋"/>
                <w:color w:val="000000"/>
                <w:sz w:val="24"/>
                <w:szCs w:val="24"/>
                <w:highlight w:val="none"/>
                <w:lang w:eastAsia="zh-CN"/>
              </w:rPr>
              <w:t>。</w:t>
            </w:r>
          </w:p>
          <w:p w14:paraId="7B31CA48">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财务状况</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内容可为以下两者之一</w:t>
            </w:r>
          </w:p>
          <w:p w14:paraId="4B69440A">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①提供</w:t>
            </w:r>
            <w:r>
              <w:rPr>
                <w:rFonts w:hint="eastAsia" w:ascii="仿宋" w:hAnsi="仿宋" w:eastAsia="仿宋" w:cs="仿宋"/>
                <w:color w:val="000000"/>
                <w:sz w:val="24"/>
                <w:szCs w:val="24"/>
                <w:highlight w:val="none"/>
                <w:lang w:val="en-US" w:eastAsia="zh-CN"/>
              </w:rPr>
              <w:t>2024年</w:t>
            </w:r>
            <w:r>
              <w:rPr>
                <w:rFonts w:hint="eastAsia" w:ascii="仿宋" w:hAnsi="仿宋" w:eastAsia="仿宋" w:cs="仿宋"/>
                <w:color w:val="000000"/>
                <w:sz w:val="24"/>
                <w:szCs w:val="24"/>
                <w:highlight w:val="none"/>
              </w:rPr>
              <w:t>经审计的财务报告（包括资产负债表、利润表、现金流量表、所有者权益变动表及其附注），新成立不满1年的</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提供自成立至今的财务报表；</w:t>
            </w:r>
          </w:p>
          <w:p w14:paraId="7DA3676B">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②提供自</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文件提交截止时间前三个月内基本开户银行出具的资信证明；</w:t>
            </w:r>
          </w:p>
          <w:p w14:paraId="56D77273">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1.3 具有履行合同所必需的设备和专业技术能力：</w:t>
            </w:r>
            <w:r>
              <w:rPr>
                <w:rFonts w:hint="eastAsia" w:ascii="仿宋" w:hAnsi="仿宋" w:eastAsia="仿宋" w:cs="仿宋"/>
                <w:color w:val="000000"/>
                <w:sz w:val="24"/>
                <w:szCs w:val="24"/>
                <w:highlight w:val="none"/>
              </w:rPr>
              <w:t>提供承诺函</w:t>
            </w:r>
            <w:r>
              <w:rPr>
                <w:rFonts w:hint="eastAsia" w:ascii="仿宋" w:hAnsi="仿宋" w:eastAsia="仿宋" w:cs="仿宋"/>
                <w:color w:val="000000"/>
                <w:sz w:val="24"/>
                <w:szCs w:val="24"/>
                <w:highlight w:val="none"/>
                <w:lang w:eastAsia="zh-CN"/>
              </w:rPr>
              <w:t>；</w:t>
            </w:r>
          </w:p>
          <w:p w14:paraId="13C0D149">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1.4 有依法缴纳税收和社会保障资金的良好记录：</w:t>
            </w:r>
            <w:r>
              <w:rPr>
                <w:rFonts w:hint="eastAsia" w:ascii="仿宋" w:hAnsi="仿宋" w:eastAsia="仿宋" w:cs="仿宋"/>
                <w:color w:val="000000"/>
                <w:sz w:val="24"/>
                <w:szCs w:val="24"/>
                <w:highlight w:val="none"/>
              </w:rPr>
              <w:t>提供202</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en-US" w:eastAsia="zh-CN"/>
              </w:rPr>
              <w:t>10月至今</w:t>
            </w:r>
            <w:r>
              <w:rPr>
                <w:rFonts w:hint="eastAsia" w:ascii="仿宋" w:hAnsi="仿宋" w:eastAsia="仿宋" w:cs="仿宋"/>
                <w:color w:val="000000"/>
                <w:sz w:val="24"/>
                <w:szCs w:val="24"/>
                <w:highlight w:val="none"/>
              </w:rPr>
              <w:t>任意</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个月缴纳社会保障资金（养老保险或医疗保险）的证明材料；提供202</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en-US" w:eastAsia="zh-CN"/>
              </w:rPr>
              <w:t>10月至今</w:t>
            </w:r>
            <w:r>
              <w:rPr>
                <w:rFonts w:hint="eastAsia" w:ascii="仿宋" w:hAnsi="仿宋" w:eastAsia="仿宋" w:cs="仿宋"/>
                <w:color w:val="000000"/>
                <w:sz w:val="24"/>
                <w:szCs w:val="24"/>
                <w:highlight w:val="none"/>
              </w:rPr>
              <w:t>任意</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个月的“税务局税收通用缴款书或银行电子缴税（费）凭证或税务机关出具纳税情况证明”。依法免税或不需要缴纳税收、不需要缴纳社会保障资金的</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，应提供相应证明材料</w:t>
            </w:r>
            <w:r>
              <w:rPr>
                <w:rFonts w:hint="eastAsia" w:ascii="仿宋" w:hAnsi="仿宋" w:eastAsia="仿宋" w:cs="仿宋"/>
                <w:color w:val="000000"/>
                <w:sz w:val="24"/>
                <w:szCs w:val="24"/>
                <w:highlight w:val="none"/>
                <w:lang w:val="en-US" w:eastAsia="zh-CN"/>
              </w:rPr>
              <w:t>或承诺书</w:t>
            </w:r>
            <w:r>
              <w:rPr>
                <w:rFonts w:hint="eastAsia" w:ascii="仿宋" w:hAnsi="仿宋" w:eastAsia="仿宋" w:cs="仿宋"/>
                <w:color w:val="000000"/>
                <w:sz w:val="24"/>
                <w:szCs w:val="24"/>
                <w:highlight w:val="none"/>
              </w:rPr>
              <w:t>。</w:t>
            </w:r>
          </w:p>
          <w:p w14:paraId="55788FCE">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1.5 参加政府采购活动前三年内，在经营活动中没有重大违法记录：</w:t>
            </w:r>
            <w:r>
              <w:rPr>
                <w:rFonts w:hint="eastAsia" w:ascii="仿宋" w:hAnsi="仿宋" w:eastAsia="仿宋" w:cs="仿宋"/>
                <w:color w:val="000000"/>
                <w:sz w:val="24"/>
                <w:szCs w:val="24"/>
                <w:highlight w:val="none"/>
              </w:rPr>
              <w:t>提供书面声明</w:t>
            </w:r>
            <w:r>
              <w:rPr>
                <w:rFonts w:hint="eastAsia" w:ascii="仿宋" w:hAnsi="仿宋" w:eastAsia="仿宋" w:cs="仿宋"/>
                <w:color w:val="000000"/>
                <w:sz w:val="24"/>
                <w:szCs w:val="24"/>
                <w:highlight w:val="none"/>
                <w:lang w:eastAsia="zh-CN"/>
              </w:rPr>
              <w:t>；</w:t>
            </w:r>
          </w:p>
          <w:p w14:paraId="7FAF8437">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1.6 法律、行政法规规定的其他条件。</w:t>
            </w:r>
          </w:p>
          <w:p w14:paraId="7BC9081C">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2.落实政府采购政策需满足的资格要求：本项目非专门面向中小微企业采购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对小型和微型企业的投标报价给予10%的扣除</w:t>
            </w:r>
            <w:r>
              <w:rPr>
                <w:rFonts w:hint="eastAsia" w:ascii="仿宋" w:hAnsi="仿宋" w:eastAsia="仿宋" w:cs="仿宋"/>
                <w:color w:val="000000"/>
                <w:sz w:val="24"/>
                <w:szCs w:val="24"/>
                <w:highlight w:val="none"/>
              </w:rPr>
              <w:t>。</w:t>
            </w:r>
          </w:p>
          <w:p w14:paraId="3B2A34E0">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2.1</w:t>
            </w:r>
            <w:r>
              <w:rPr>
                <w:rFonts w:hint="eastAsia" w:ascii="仿宋" w:hAnsi="仿宋" w:eastAsia="仿宋" w:cs="仿宋"/>
                <w:color w:val="000000"/>
                <w:sz w:val="24"/>
                <w:szCs w:val="24"/>
                <w:highlight w:val="none"/>
              </w:rPr>
              <w:t>根据财政部发布的《政府采购促进中小企业发展管理办法》</w:t>
            </w:r>
            <w:r>
              <w:rPr>
                <w:rFonts w:hint="eastAsia" w:ascii="仿宋" w:hAnsi="仿宋" w:eastAsia="仿宋" w:cs="仿宋"/>
                <w:color w:val="000000"/>
                <w:sz w:val="24"/>
                <w:szCs w:val="24"/>
                <w:highlight w:val="none"/>
                <w:lang w:val="en-US" w:eastAsia="zh-CN"/>
              </w:rPr>
              <w:t>及《关于进一步加大政府采购支持中小企业力度的通知》</w:t>
            </w:r>
            <w:r>
              <w:rPr>
                <w:rFonts w:hint="eastAsia" w:ascii="仿宋" w:hAnsi="仿宋" w:eastAsia="仿宋" w:cs="仿宋"/>
                <w:color w:val="000000"/>
                <w:sz w:val="24"/>
                <w:szCs w:val="24"/>
                <w:highlight w:val="none"/>
              </w:rPr>
              <w:t>规定，本项目对小型和微型企业</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价格给予</w:t>
            </w:r>
            <w:r>
              <w:rPr>
                <w:rFonts w:hint="eastAsia" w:ascii="仿宋" w:hAnsi="仿宋" w:eastAsia="仿宋" w:cs="仿宋"/>
                <w:color w:val="000000"/>
                <w:sz w:val="24"/>
                <w:szCs w:val="24"/>
                <w:highlight w:val="none"/>
                <w:lang w:val="en-US" w:eastAsia="zh-CN"/>
              </w:rPr>
              <w:t>10%</w:t>
            </w:r>
            <w:r>
              <w:rPr>
                <w:rFonts w:hint="eastAsia" w:ascii="仿宋" w:hAnsi="仿宋" w:eastAsia="仿宋" w:cs="仿宋"/>
                <w:color w:val="000000"/>
                <w:sz w:val="24"/>
                <w:szCs w:val="24"/>
                <w:highlight w:val="none"/>
              </w:rPr>
              <w:t>的扣除</w:t>
            </w:r>
            <w:r>
              <w:rPr>
                <w:rFonts w:hint="eastAsia" w:ascii="仿宋" w:hAnsi="仿宋" w:eastAsia="仿宋" w:cs="仿宋"/>
                <w:color w:val="000000"/>
                <w:sz w:val="24"/>
                <w:szCs w:val="24"/>
                <w:highlight w:val="none"/>
                <w:lang w:eastAsia="zh-CN"/>
              </w:rPr>
              <w:t>。</w:t>
            </w:r>
          </w:p>
          <w:p w14:paraId="0E6CABEE">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2.2根据财政部发布的《关于政府采购支持监狱企业发展有</w:t>
            </w:r>
            <w:r>
              <w:rPr>
                <w:rFonts w:hint="eastAsia" w:ascii="仿宋" w:hAnsi="仿宋" w:eastAsia="仿宋" w:cs="仿宋"/>
                <w:color w:val="000000"/>
                <w:sz w:val="24"/>
                <w:szCs w:val="24"/>
                <w:highlight w:val="none"/>
                <w:lang w:val="en-US" w:eastAsia="zh-CN"/>
              </w:rPr>
              <w:t>关问题的通知》规定，本项目对监狱企业的价格给予10%的扣除。</w:t>
            </w:r>
          </w:p>
          <w:p w14:paraId="05B36E16">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2.3根据财政部、民政部、中国残疾人联合会发布的《关于促进残疾人就业政府采购政策的通知》规定，本项目对残疾人福利性单位的价格给予10%的扣除。残疾人福利性单位视同为小型、微型企业。</w:t>
            </w:r>
          </w:p>
          <w:p w14:paraId="6246F546">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注：①小微企业以投标人填写的《中小企业声明函》判定。②监狱企业须投标人提供由省级以上监狱管理局、戒毒管理局(含新疆生产建设兵团)出具的属于监狱企业的证明文件，否则不予认定。③残疾</w:t>
            </w:r>
            <w:r>
              <w:rPr>
                <w:rFonts w:hint="eastAsia" w:ascii="仿宋" w:hAnsi="仿宋" w:eastAsia="仿宋" w:cs="仿宋"/>
                <w:color w:val="auto"/>
                <w:sz w:val="24"/>
                <w:szCs w:val="24"/>
                <w:highlight w:val="none"/>
                <w:lang w:val="en-US" w:eastAsia="zh-CN"/>
              </w:rPr>
              <w:t>人</w:t>
            </w:r>
            <w:r>
              <w:rPr>
                <w:rFonts w:hint="eastAsia" w:ascii="仿宋" w:hAnsi="仿宋" w:eastAsia="仿宋" w:cs="仿宋"/>
                <w:strike w:val="0"/>
                <w:dstrike w:val="0"/>
                <w:color w:val="auto"/>
                <w:sz w:val="24"/>
                <w:szCs w:val="24"/>
                <w:highlight w:val="none"/>
                <w:lang w:val="en-US" w:eastAsia="zh-CN"/>
              </w:rPr>
              <w:t>企业</w:t>
            </w:r>
            <w:r>
              <w:rPr>
                <w:rFonts w:hint="eastAsia" w:ascii="仿宋" w:hAnsi="仿宋" w:eastAsia="仿宋" w:cs="仿宋"/>
                <w:color w:val="000000"/>
                <w:sz w:val="24"/>
                <w:szCs w:val="24"/>
                <w:highlight w:val="none"/>
                <w:lang w:val="en-US" w:eastAsia="zh-CN"/>
              </w:rPr>
              <w:t>以投标人填写的《残疾人福利性单位声明函》并提供财政部或民政部或中国残疾人联合会出具的证明资料为判定标准。④投标人满足以上任意一项给予价格10%扣除，以上政府采购政策不得叠加。</w:t>
            </w:r>
          </w:p>
          <w:p w14:paraId="1B77C4D3">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3.本项目的特定资格要求：</w:t>
            </w:r>
          </w:p>
          <w:p w14:paraId="2900F41F">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3.1</w:t>
            </w:r>
            <w:r>
              <w:rPr>
                <w:rFonts w:hint="eastAsia" w:ascii="仿宋" w:hAnsi="仿宋" w:eastAsia="仿宋" w:cs="仿宋"/>
                <w:color w:val="auto"/>
                <w:sz w:val="24"/>
                <w:szCs w:val="24"/>
                <w:highlight w:val="none"/>
                <w:lang w:val="en-US" w:eastAsia="zh-CN"/>
              </w:rPr>
              <w:t>单位负责</w:t>
            </w:r>
            <w:r>
              <w:rPr>
                <w:rFonts w:hint="eastAsia" w:ascii="仿宋" w:hAnsi="仿宋" w:eastAsia="仿宋" w:cs="仿宋"/>
                <w:b w:val="0"/>
                <w:bCs w:val="0"/>
                <w:color w:val="auto"/>
                <w:kern w:val="2"/>
                <w:sz w:val="24"/>
                <w:szCs w:val="24"/>
                <w:highlight w:val="none"/>
                <w:lang w:val="en-US" w:eastAsia="zh-CN" w:bidi="ar-SA"/>
              </w:rPr>
              <w:t>人为同一人或者存在直接控股、管理关系的不同单位，不得参加同一合同项下的政府采购活动，提供书面声明。</w:t>
            </w:r>
          </w:p>
        </w:tc>
      </w:tr>
      <w:tr w14:paraId="49E1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976" w:type="dxa"/>
            <w:vAlign w:val="center"/>
          </w:tcPr>
          <w:p w14:paraId="74D7FF91">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2178" w:type="dxa"/>
            <w:vAlign w:val="center"/>
          </w:tcPr>
          <w:p w14:paraId="0A9F0F25">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是否接受联合体投标</w:t>
            </w:r>
            <w:r>
              <w:rPr>
                <w:rFonts w:hint="eastAsia" w:ascii="仿宋" w:hAnsi="仿宋" w:eastAsia="仿宋" w:cs="仿宋"/>
                <w:color w:val="auto"/>
                <w:highlight w:val="none"/>
              </w:rPr>
              <w:t>★</w:t>
            </w:r>
          </w:p>
        </w:tc>
        <w:tc>
          <w:tcPr>
            <w:tcW w:w="6770" w:type="dxa"/>
            <w:vAlign w:val="center"/>
          </w:tcPr>
          <w:p w14:paraId="1C9C38DA">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是</w:t>
            </w:r>
          </w:p>
          <w:p w14:paraId="0C393DDB">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■否</w:t>
            </w:r>
          </w:p>
        </w:tc>
      </w:tr>
      <w:tr w14:paraId="2079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976" w:type="dxa"/>
            <w:vAlign w:val="center"/>
          </w:tcPr>
          <w:p w14:paraId="144A343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1.4.3</w:t>
            </w:r>
          </w:p>
        </w:tc>
        <w:tc>
          <w:tcPr>
            <w:tcW w:w="2178" w:type="dxa"/>
            <w:vAlign w:val="center"/>
          </w:tcPr>
          <w:p w14:paraId="1A18768E">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不得存在的其他情形★</w:t>
            </w:r>
          </w:p>
        </w:tc>
        <w:tc>
          <w:tcPr>
            <w:tcW w:w="6770" w:type="dxa"/>
            <w:vAlign w:val="center"/>
          </w:tcPr>
          <w:p w14:paraId="1176F9BC">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详见投标人须知正文1.4.3条</w:t>
            </w:r>
          </w:p>
        </w:tc>
      </w:tr>
      <w:tr w14:paraId="7C85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exact"/>
        </w:trPr>
        <w:tc>
          <w:tcPr>
            <w:tcW w:w="976" w:type="dxa"/>
            <w:vAlign w:val="center"/>
          </w:tcPr>
          <w:p w14:paraId="09C7BBA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1.5.2</w:t>
            </w:r>
          </w:p>
        </w:tc>
        <w:tc>
          <w:tcPr>
            <w:tcW w:w="2178" w:type="dxa"/>
            <w:vAlign w:val="center"/>
          </w:tcPr>
          <w:p w14:paraId="59DD3B5F">
            <w:pPr>
              <w:keepNext w:val="0"/>
              <w:keepLines w:val="0"/>
              <w:pageBreakBefore w:val="0"/>
              <w:suppressLineNumbers w:val="0"/>
              <w:kinsoku/>
              <w:wordWrap w:val="0"/>
              <w:overflowPunct/>
              <w:bidi w:val="0"/>
              <w:spacing w:before="0" w:beforeAutospacing="0" w:after="0" w:afterAutospacing="0"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招标代理服务费</w:t>
            </w:r>
            <w:r>
              <w:rPr>
                <w:rFonts w:hint="eastAsia" w:ascii="仿宋" w:hAnsi="仿宋" w:eastAsia="仿宋" w:cs="仿宋"/>
                <w:color w:val="auto"/>
                <w:sz w:val="24"/>
                <w:szCs w:val="24"/>
                <w:highlight w:val="none"/>
                <w:vertAlign w:val="baseline"/>
                <w:lang w:val="en-US" w:eastAsia="zh-CN"/>
              </w:rPr>
              <w:t>★</w:t>
            </w:r>
          </w:p>
        </w:tc>
        <w:tc>
          <w:tcPr>
            <w:tcW w:w="6770" w:type="dxa"/>
            <w:vAlign w:val="center"/>
          </w:tcPr>
          <w:p w14:paraId="44CCFB97">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招标代理服务费收费标准：根据云南省建设工程招标投标行业协会关于印发《云南省建设工程招标代理服务收费参考意见》</w:t>
            </w:r>
            <w:r>
              <w:rPr>
                <w:rFonts w:hint="eastAsia" w:ascii="仿宋" w:hAnsi="仿宋" w:eastAsia="仿宋" w:cs="仿宋"/>
                <w:strike w:val="0"/>
                <w:color w:val="auto"/>
                <w:sz w:val="24"/>
                <w:szCs w:val="24"/>
                <w:highlight w:val="none"/>
                <w:lang w:val="en-US" w:eastAsia="zh-CN"/>
              </w:rPr>
              <w:t>（</w:t>
            </w:r>
            <w:r>
              <w:rPr>
                <w:rFonts w:hint="eastAsia" w:ascii="仿宋" w:hAnsi="仿宋" w:eastAsia="仿宋" w:cs="仿宋"/>
                <w:color w:val="000000"/>
                <w:sz w:val="24"/>
                <w:szCs w:val="24"/>
                <w:highlight w:val="none"/>
                <w:lang w:val="en-US" w:eastAsia="zh-CN"/>
              </w:rPr>
              <w:t>云建招协〔2024〕58号</w:t>
            </w:r>
            <w:r>
              <w:rPr>
                <w:rFonts w:hint="eastAsia" w:ascii="仿宋" w:hAnsi="仿宋" w:eastAsia="仿宋" w:cs="仿宋"/>
                <w:strike w:val="0"/>
                <w:color w:val="auto"/>
                <w:sz w:val="24"/>
                <w:szCs w:val="24"/>
                <w:highlight w:val="none"/>
                <w:lang w:val="en-US" w:eastAsia="zh-CN"/>
              </w:rPr>
              <w:t>）</w:t>
            </w:r>
            <w:r>
              <w:rPr>
                <w:rFonts w:hint="eastAsia" w:ascii="仿宋" w:hAnsi="仿宋" w:eastAsia="仿宋" w:cs="仿宋"/>
                <w:color w:val="000000"/>
                <w:sz w:val="24"/>
                <w:szCs w:val="24"/>
                <w:highlight w:val="none"/>
                <w:lang w:val="en-US" w:eastAsia="zh-CN"/>
              </w:rPr>
              <w:t>的通知，以附件《云南省建设工程招标代理服务收费参考意见》标准计取。由中标人在领取《中标通知书》时向采购代理机构一次性支付。</w:t>
            </w:r>
          </w:p>
        </w:tc>
      </w:tr>
      <w:tr w14:paraId="364E1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976" w:type="dxa"/>
            <w:vAlign w:val="center"/>
          </w:tcPr>
          <w:p w14:paraId="02438AE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w:t>
            </w:r>
          </w:p>
        </w:tc>
        <w:tc>
          <w:tcPr>
            <w:tcW w:w="2178" w:type="dxa"/>
            <w:vAlign w:val="center"/>
          </w:tcPr>
          <w:p w14:paraId="770654A1">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采购人是否组织现场踏勘</w:t>
            </w:r>
          </w:p>
        </w:tc>
        <w:tc>
          <w:tcPr>
            <w:tcW w:w="6770" w:type="dxa"/>
            <w:vAlign w:val="center"/>
          </w:tcPr>
          <w:p w14:paraId="510FE5ED">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■不组织，</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自行踏勘</w:t>
            </w:r>
          </w:p>
          <w:p w14:paraId="3933E6F0">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□组织</w:t>
            </w:r>
          </w:p>
        </w:tc>
      </w:tr>
      <w:tr w14:paraId="594E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976" w:type="dxa"/>
            <w:vAlign w:val="center"/>
          </w:tcPr>
          <w:p w14:paraId="25F86CC1">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.1</w:t>
            </w:r>
          </w:p>
        </w:tc>
        <w:tc>
          <w:tcPr>
            <w:tcW w:w="2178" w:type="dxa"/>
            <w:vAlign w:val="center"/>
          </w:tcPr>
          <w:p w14:paraId="109F4A7F">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采购人是否召开招标答疑会</w:t>
            </w:r>
          </w:p>
        </w:tc>
        <w:tc>
          <w:tcPr>
            <w:tcW w:w="6770" w:type="dxa"/>
            <w:vAlign w:val="center"/>
          </w:tcPr>
          <w:p w14:paraId="54EAABFE">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■不召开</w:t>
            </w:r>
          </w:p>
          <w:p w14:paraId="441916F8">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□召开</w:t>
            </w:r>
          </w:p>
        </w:tc>
      </w:tr>
      <w:tr w14:paraId="30FC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exact"/>
        </w:trPr>
        <w:tc>
          <w:tcPr>
            <w:tcW w:w="976" w:type="dxa"/>
            <w:vAlign w:val="center"/>
          </w:tcPr>
          <w:p w14:paraId="41B3359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1.10.2</w:t>
            </w:r>
          </w:p>
        </w:tc>
        <w:tc>
          <w:tcPr>
            <w:tcW w:w="2178" w:type="dxa"/>
            <w:vAlign w:val="center"/>
          </w:tcPr>
          <w:p w14:paraId="38774950">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提出问题的截止时间和方法</w:t>
            </w:r>
          </w:p>
        </w:tc>
        <w:tc>
          <w:tcPr>
            <w:tcW w:w="6770" w:type="dxa"/>
            <w:vAlign w:val="center"/>
          </w:tcPr>
          <w:p w14:paraId="53437540">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在投标截止时间10日前，</w:t>
            </w:r>
            <w:r>
              <w:rPr>
                <w:rFonts w:hint="eastAsia" w:ascii="仿宋" w:hAnsi="仿宋" w:eastAsia="仿宋" w:cs="仿宋"/>
                <w:color w:val="auto"/>
                <w:sz w:val="24"/>
                <w:szCs w:val="24"/>
                <w:highlight w:val="none"/>
              </w:rPr>
              <w:t>所有获取了招标文件的潜在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凭企业数字证书（CA）登录“政采云平台”</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客户端→发起“询问质疑投诉”，通过网络在线方式向采购人或采购代理进行署名要求澄清，采购人或采购代理对所有潜在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进行统一回复</w:t>
            </w:r>
            <w:r>
              <w:rPr>
                <w:rFonts w:hint="eastAsia" w:ascii="仿宋" w:hAnsi="仿宋" w:eastAsia="仿宋" w:cs="仿宋"/>
                <w:color w:val="auto"/>
                <w:sz w:val="24"/>
                <w:szCs w:val="24"/>
                <w:highlight w:val="none"/>
                <w:lang w:eastAsia="zh-CN"/>
              </w:rPr>
              <w:t>。</w:t>
            </w:r>
          </w:p>
        </w:tc>
      </w:tr>
      <w:tr w14:paraId="3E4A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0FC1071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1.10.3</w:t>
            </w:r>
          </w:p>
        </w:tc>
        <w:tc>
          <w:tcPr>
            <w:tcW w:w="2178" w:type="dxa"/>
            <w:vAlign w:val="center"/>
          </w:tcPr>
          <w:p w14:paraId="7F52BA81">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采购人澄清的时间和形式</w:t>
            </w:r>
          </w:p>
        </w:tc>
        <w:tc>
          <w:tcPr>
            <w:tcW w:w="6770" w:type="dxa"/>
            <w:vAlign w:val="center"/>
          </w:tcPr>
          <w:p w14:paraId="6ECC951E">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投标截止时间15日前，</w:t>
            </w:r>
            <w:r>
              <w:rPr>
                <w:rFonts w:hint="eastAsia" w:ascii="仿宋" w:hAnsi="仿宋" w:eastAsia="仿宋" w:cs="仿宋"/>
                <w:color w:val="auto"/>
                <w:sz w:val="24"/>
                <w:szCs w:val="24"/>
                <w:highlight w:val="none"/>
              </w:rPr>
              <w:t>在原招标公告发布媒体上发布澄清公告</w:t>
            </w:r>
            <w:r>
              <w:rPr>
                <w:rFonts w:hint="eastAsia" w:ascii="仿宋" w:hAnsi="仿宋" w:eastAsia="仿宋" w:cs="仿宋"/>
                <w:color w:val="auto"/>
                <w:sz w:val="24"/>
                <w:szCs w:val="24"/>
                <w:highlight w:val="none"/>
                <w:lang w:eastAsia="zh-CN"/>
              </w:rPr>
              <w:t>。</w:t>
            </w:r>
          </w:p>
        </w:tc>
      </w:tr>
      <w:tr w14:paraId="2773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00712752">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w:t>
            </w:r>
          </w:p>
        </w:tc>
        <w:tc>
          <w:tcPr>
            <w:tcW w:w="2178" w:type="dxa"/>
            <w:vAlign w:val="center"/>
          </w:tcPr>
          <w:p w14:paraId="7E222C2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采购人是否允许分包</w:t>
            </w:r>
          </w:p>
        </w:tc>
        <w:tc>
          <w:tcPr>
            <w:tcW w:w="6770" w:type="dxa"/>
            <w:vAlign w:val="center"/>
          </w:tcPr>
          <w:p w14:paraId="71018520">
            <w:pPr>
              <w:keepNext w:val="0"/>
              <w:keepLines w:val="0"/>
              <w:pageBreakBefore w:val="0"/>
              <w:suppressLineNumbers w:val="0"/>
              <w:kinsoku/>
              <w:wordWrap w:val="0"/>
              <w:overflowPunct/>
              <w:bidi w:val="0"/>
              <w:spacing w:before="0" w:beforeAutospacing="0" w:after="0" w:afterAutospacing="0" w:line="360" w:lineRule="auto"/>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不允许</w:t>
            </w:r>
          </w:p>
        </w:tc>
      </w:tr>
      <w:tr w14:paraId="108D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C928A7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p>
        </w:tc>
        <w:tc>
          <w:tcPr>
            <w:tcW w:w="2178" w:type="dxa"/>
            <w:vAlign w:val="center"/>
          </w:tcPr>
          <w:p w14:paraId="37729BB3">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样品要求</w:t>
            </w:r>
          </w:p>
        </w:tc>
        <w:tc>
          <w:tcPr>
            <w:tcW w:w="6770" w:type="dxa"/>
            <w:vAlign w:val="center"/>
          </w:tcPr>
          <w:p w14:paraId="4F65C230">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是否要求提交样品：</w:t>
            </w:r>
          </w:p>
          <w:p w14:paraId="11AABA98">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■不要求</w:t>
            </w:r>
          </w:p>
          <w:p w14:paraId="0D636DFE">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□要求</w:t>
            </w:r>
          </w:p>
        </w:tc>
      </w:tr>
      <w:tr w14:paraId="04E8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11F0DC9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1.12.2</w:t>
            </w:r>
          </w:p>
        </w:tc>
        <w:tc>
          <w:tcPr>
            <w:tcW w:w="2178" w:type="dxa"/>
            <w:vAlign w:val="center"/>
          </w:tcPr>
          <w:p w14:paraId="2AE2A1F0">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eastAsia="zh-CN"/>
              </w:rPr>
              <w:t>样品提交检测报告</w:t>
            </w:r>
          </w:p>
        </w:tc>
        <w:tc>
          <w:tcPr>
            <w:tcW w:w="6770" w:type="dxa"/>
            <w:vAlign w:val="center"/>
          </w:tcPr>
          <w:p w14:paraId="63B77E3F">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是否要求随样品提交检测报告：</w:t>
            </w:r>
          </w:p>
          <w:p w14:paraId="523B6DD3">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■不要求</w:t>
            </w:r>
          </w:p>
          <w:p w14:paraId="0322B353">
            <w:pPr>
              <w:pageBreakBefore w:val="0"/>
              <w:wordWrap w:val="0"/>
              <w:autoSpaceDE/>
              <w:autoSpaceDN/>
              <w:bidi w:val="0"/>
              <w:jc w:val="both"/>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□要求</w:t>
            </w:r>
          </w:p>
        </w:tc>
      </w:tr>
      <w:tr w14:paraId="2CEA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exact"/>
        </w:trPr>
        <w:tc>
          <w:tcPr>
            <w:tcW w:w="976" w:type="dxa"/>
            <w:vAlign w:val="center"/>
          </w:tcPr>
          <w:p w14:paraId="1C3441D2">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1.13.1</w:t>
            </w:r>
          </w:p>
        </w:tc>
        <w:tc>
          <w:tcPr>
            <w:tcW w:w="2178" w:type="dxa"/>
            <w:vAlign w:val="center"/>
          </w:tcPr>
          <w:p w14:paraId="2B8139C7">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实质性要求和条件</w:t>
            </w:r>
          </w:p>
        </w:tc>
        <w:tc>
          <w:tcPr>
            <w:tcW w:w="6770" w:type="dxa"/>
            <w:vAlign w:val="center"/>
          </w:tcPr>
          <w:p w14:paraId="6F4B00A3">
            <w:pPr>
              <w:pageBreakBefore w:val="0"/>
              <w:wordWrap w:val="0"/>
              <w:autoSpaceDE/>
              <w:autoSpaceDN/>
              <w:bidi w:val="0"/>
              <w:ind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投标人应对所上传的公司证照、人员证书、社保、业绩等电子证明材料的真实性、完整性及合法性负责，提供审查资料真实有效承诺函；（如发现投标人所提供的资料为虚假资料，采购人拒绝投标申请并将其投标单位虚假资料上报行政主管部门追究相应责任。）</w:t>
            </w:r>
          </w:p>
          <w:p w14:paraId="7642CDCA">
            <w:pPr>
              <w:pageBreakBefore w:val="0"/>
              <w:wordWrap w:val="0"/>
              <w:autoSpaceDE/>
              <w:autoSpaceDN/>
              <w:bidi w:val="0"/>
              <w:ind w:firstLine="480" w:firstLineChars="200"/>
              <w:jc w:val="both"/>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lang w:val="en-US" w:eastAsia="zh-CN"/>
              </w:rPr>
              <w:t>本招标文件上下文中标识有“★”的条款和内容均属于本项目不允许偏离的实质性要求和条件，否则以否决投标处理。</w:t>
            </w:r>
          </w:p>
        </w:tc>
      </w:tr>
      <w:tr w14:paraId="3FBD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976" w:type="dxa"/>
            <w:vAlign w:val="center"/>
          </w:tcPr>
          <w:p w14:paraId="7F2D03A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1.13.3</w:t>
            </w:r>
          </w:p>
        </w:tc>
        <w:tc>
          <w:tcPr>
            <w:tcW w:w="2178" w:type="dxa"/>
            <w:vAlign w:val="center"/>
          </w:tcPr>
          <w:p w14:paraId="420A8438">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偏差</w:t>
            </w:r>
          </w:p>
        </w:tc>
        <w:tc>
          <w:tcPr>
            <w:tcW w:w="6770" w:type="dxa"/>
            <w:vAlign w:val="center"/>
          </w:tcPr>
          <w:p w14:paraId="48C1A839">
            <w:pPr>
              <w:keepNext w:val="0"/>
              <w:keepLines w:val="0"/>
              <w:pageBreakBefore w:val="0"/>
              <w:suppressLineNumbers w:val="0"/>
              <w:kinsoku/>
              <w:wordWrap w:val="0"/>
              <w:overflowPunct/>
              <w:bidi w:val="0"/>
              <w:spacing w:before="0" w:beforeAutospacing="0" w:after="0" w:afterAutospacing="0" w:line="360" w:lineRule="auto"/>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不允许</w:t>
            </w:r>
          </w:p>
        </w:tc>
      </w:tr>
      <w:tr w14:paraId="20F0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976" w:type="dxa"/>
            <w:vAlign w:val="center"/>
          </w:tcPr>
          <w:p w14:paraId="71232CA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2178" w:type="dxa"/>
            <w:vAlign w:val="center"/>
          </w:tcPr>
          <w:p w14:paraId="246709C9">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构成招标文件的其他资料</w:t>
            </w:r>
          </w:p>
        </w:tc>
        <w:tc>
          <w:tcPr>
            <w:tcW w:w="6770" w:type="dxa"/>
            <w:vAlign w:val="center"/>
          </w:tcPr>
          <w:p w14:paraId="3BFD55CC">
            <w:pPr>
              <w:keepNext w:val="0"/>
              <w:keepLines w:val="0"/>
              <w:pageBreakBefore w:val="0"/>
              <w:suppressLineNumbers w:val="0"/>
              <w:kinsoku/>
              <w:wordWrap w:val="0"/>
              <w:overflowPunct/>
              <w:bidi w:val="0"/>
              <w:spacing w:before="0" w:beforeAutospacing="0" w:after="0" w:afterAutospacing="0" w:line="360" w:lineRule="auto"/>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对招标文件作出的澄清、修改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p>
        </w:tc>
      </w:tr>
      <w:tr w14:paraId="70FE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976" w:type="dxa"/>
            <w:vAlign w:val="center"/>
          </w:tcPr>
          <w:p w14:paraId="6E79547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2178" w:type="dxa"/>
            <w:vAlign w:val="center"/>
          </w:tcPr>
          <w:p w14:paraId="3B2883D7">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要求对招标文件的澄清时间</w:t>
            </w:r>
          </w:p>
        </w:tc>
        <w:tc>
          <w:tcPr>
            <w:tcW w:w="6770" w:type="dxa"/>
            <w:vAlign w:val="center"/>
          </w:tcPr>
          <w:p w14:paraId="3732220E">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同1.10.2的时间要求</w:t>
            </w:r>
          </w:p>
          <w:p w14:paraId="3710207E">
            <w:pPr>
              <w:pageBreakBefore w:val="0"/>
              <w:wordWrap w:val="0"/>
              <w:autoSpaceDE/>
              <w:autoSpaceDN/>
              <w:bidi w:val="0"/>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投标人应仔细阅读和检查招标文件的全部内容。如发现缺页或附件不全，应及时向采购人提出，以便补齐。</w:t>
            </w:r>
          </w:p>
        </w:tc>
      </w:tr>
      <w:tr w14:paraId="3888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622F6450">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2.2.2</w:t>
            </w:r>
          </w:p>
        </w:tc>
        <w:tc>
          <w:tcPr>
            <w:tcW w:w="2178" w:type="dxa"/>
            <w:vAlign w:val="center"/>
          </w:tcPr>
          <w:p w14:paraId="50B0E455">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招标文件澄清的时间和形式</w:t>
            </w:r>
          </w:p>
        </w:tc>
        <w:tc>
          <w:tcPr>
            <w:tcW w:w="6770" w:type="dxa"/>
            <w:vAlign w:val="center"/>
          </w:tcPr>
          <w:p w14:paraId="21287085">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同1.10.3要求</w:t>
            </w:r>
          </w:p>
        </w:tc>
      </w:tr>
      <w:tr w14:paraId="2330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6F0166B0">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2178" w:type="dxa"/>
            <w:vAlign w:val="center"/>
          </w:tcPr>
          <w:p w14:paraId="18B9CD1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确认收到招标文件澄清的时间</w:t>
            </w:r>
          </w:p>
        </w:tc>
        <w:tc>
          <w:tcPr>
            <w:tcW w:w="6770" w:type="dxa"/>
            <w:vAlign w:val="center"/>
          </w:tcPr>
          <w:p w14:paraId="2F23EEC4">
            <w:pPr>
              <w:pageBreakBefore w:val="0"/>
              <w:wordWrap w:val="0"/>
              <w:autoSpaceDE/>
              <w:autoSpaceDN/>
              <w:bidi w:val="0"/>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自行登录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云南省政府采购网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政采云平台”获取澄清，无须回复确认已收到该澄清</w:t>
            </w:r>
            <w:r>
              <w:rPr>
                <w:rFonts w:hint="eastAsia" w:ascii="仿宋" w:hAnsi="仿宋" w:eastAsia="仿宋" w:cs="仿宋"/>
                <w:color w:val="auto"/>
                <w:sz w:val="24"/>
                <w:szCs w:val="24"/>
                <w:highlight w:val="none"/>
                <w:lang w:eastAsia="zh-CN"/>
              </w:rPr>
              <w:t>。</w:t>
            </w:r>
          </w:p>
        </w:tc>
      </w:tr>
      <w:tr w14:paraId="7B90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68EEFF6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p>
        </w:tc>
        <w:tc>
          <w:tcPr>
            <w:tcW w:w="2178" w:type="dxa"/>
            <w:vAlign w:val="center"/>
          </w:tcPr>
          <w:p w14:paraId="03B710E5">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招标文件修改发出的时间和形式</w:t>
            </w:r>
          </w:p>
        </w:tc>
        <w:tc>
          <w:tcPr>
            <w:tcW w:w="6770" w:type="dxa"/>
            <w:vAlign w:val="center"/>
          </w:tcPr>
          <w:p w14:paraId="0583C6CB">
            <w:pPr>
              <w:pageBreakBefore w:val="0"/>
              <w:wordWrap w:val="0"/>
              <w:autoSpaceDE/>
              <w:autoSpaceDN/>
              <w:bidi w:val="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同1.10.3要求</w:t>
            </w:r>
          </w:p>
        </w:tc>
      </w:tr>
      <w:tr w14:paraId="5F75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63E7236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2178" w:type="dxa"/>
            <w:vAlign w:val="center"/>
          </w:tcPr>
          <w:p w14:paraId="6B86B6FE">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确认收到招标文件修改的时间</w:t>
            </w:r>
          </w:p>
        </w:tc>
        <w:tc>
          <w:tcPr>
            <w:tcW w:w="6770" w:type="dxa"/>
            <w:vAlign w:val="center"/>
          </w:tcPr>
          <w:p w14:paraId="43CC6A4D">
            <w:pPr>
              <w:pageBreakBefore w:val="0"/>
              <w:wordWrap w:val="0"/>
              <w:autoSpaceDE/>
              <w:autoSpaceDN/>
              <w:bidi w:val="0"/>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自行登录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云南省政府采购网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政采云平台”收取修改内容，无须回复确认已收到该修改</w:t>
            </w:r>
            <w:r>
              <w:rPr>
                <w:rFonts w:hint="eastAsia" w:ascii="仿宋" w:hAnsi="仿宋" w:eastAsia="仿宋" w:cs="仿宋"/>
                <w:color w:val="auto"/>
                <w:sz w:val="24"/>
                <w:szCs w:val="24"/>
                <w:highlight w:val="none"/>
                <w:lang w:eastAsia="zh-CN"/>
              </w:rPr>
              <w:t>。</w:t>
            </w:r>
          </w:p>
        </w:tc>
      </w:tr>
      <w:tr w14:paraId="0B37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76" w:type="dxa"/>
            <w:vAlign w:val="center"/>
          </w:tcPr>
          <w:p w14:paraId="1DA4E4E7">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2178" w:type="dxa"/>
            <w:vAlign w:val="center"/>
          </w:tcPr>
          <w:p w14:paraId="47CDFBB2">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构成投标文件的其他材料</w:t>
            </w:r>
          </w:p>
        </w:tc>
        <w:tc>
          <w:tcPr>
            <w:tcW w:w="6770" w:type="dxa"/>
            <w:vAlign w:val="center"/>
          </w:tcPr>
          <w:p w14:paraId="18865822">
            <w:pPr>
              <w:pageBreakBefore w:val="0"/>
              <w:wordWrap w:val="0"/>
              <w:autoSpaceDE/>
              <w:autoSpaceDN/>
              <w:bidi w:val="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在评标过程中作出的符合法律法规和招标文件规定的</w:t>
            </w:r>
            <w:r>
              <w:rPr>
                <w:rFonts w:hint="eastAsia" w:ascii="仿宋" w:hAnsi="仿宋" w:eastAsia="仿宋" w:cs="仿宋"/>
                <w:color w:val="000000"/>
                <w:sz w:val="24"/>
                <w:szCs w:val="24"/>
                <w:highlight w:val="none"/>
                <w:lang w:val="en-US" w:eastAsia="zh-CN"/>
              </w:rPr>
              <w:t>澄清</w:t>
            </w:r>
            <w:r>
              <w:rPr>
                <w:rFonts w:hint="eastAsia" w:ascii="仿宋" w:hAnsi="仿宋" w:eastAsia="仿宋" w:cs="仿宋"/>
                <w:color w:val="auto"/>
                <w:sz w:val="24"/>
                <w:szCs w:val="24"/>
                <w:highlight w:val="none"/>
              </w:rPr>
              <w:t>、说明或者补正</w:t>
            </w:r>
          </w:p>
        </w:tc>
      </w:tr>
      <w:tr w14:paraId="475C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exact"/>
        </w:trPr>
        <w:tc>
          <w:tcPr>
            <w:tcW w:w="976" w:type="dxa"/>
            <w:vAlign w:val="center"/>
          </w:tcPr>
          <w:p w14:paraId="4E76E6E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3.2.1</w:t>
            </w:r>
          </w:p>
        </w:tc>
        <w:tc>
          <w:tcPr>
            <w:tcW w:w="2178" w:type="dxa"/>
            <w:vAlign w:val="center"/>
          </w:tcPr>
          <w:p w14:paraId="34B341A2">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6770" w:type="dxa"/>
            <w:vAlign w:val="center"/>
          </w:tcPr>
          <w:p w14:paraId="03EF6DFC">
            <w:pPr>
              <w:pageBreakBefore w:val="0"/>
              <w:wordWrap w:val="0"/>
              <w:autoSpaceDE/>
              <w:autoSpaceDN/>
              <w:bidi w:val="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投标人应充分了解该项目的总体情况以及影响投标报价的其他要素，就本项目采购内容做完整唯一报价，</w:t>
            </w:r>
            <w:r>
              <w:rPr>
                <w:rFonts w:hint="eastAsia" w:ascii="仿宋" w:hAnsi="仿宋" w:eastAsia="仿宋" w:cs="仿宋"/>
                <w:color w:val="auto"/>
                <w:sz w:val="24"/>
                <w:szCs w:val="24"/>
                <w:highlight w:val="none"/>
              </w:rPr>
              <w:t>不得缺项、漏项，否则其投标文件将按无效投标处理。由于</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分项报价填报不完整、不清楚或存在其它任何失误所导致的不良后果，均由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tc>
      </w:tr>
      <w:tr w14:paraId="75C2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76" w:type="dxa"/>
            <w:vAlign w:val="center"/>
          </w:tcPr>
          <w:p w14:paraId="5584234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3</w:t>
            </w:r>
          </w:p>
        </w:tc>
        <w:tc>
          <w:tcPr>
            <w:tcW w:w="2178" w:type="dxa"/>
            <w:vAlign w:val="center"/>
          </w:tcPr>
          <w:p w14:paraId="074B10C6">
            <w:pPr>
              <w:pageBreakBefore w:val="0"/>
              <w:wordWrap w:val="0"/>
              <w:autoSpaceDE/>
              <w:autoSpaceDN/>
              <w:bidi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最高投标限价★</w:t>
            </w:r>
          </w:p>
        </w:tc>
        <w:tc>
          <w:tcPr>
            <w:tcW w:w="6770" w:type="dxa"/>
            <w:vAlign w:val="center"/>
          </w:tcPr>
          <w:p w14:paraId="29163789">
            <w:pPr>
              <w:pageBreakBefore w:val="0"/>
              <w:wordWrap w:val="0"/>
              <w:autoSpaceDE/>
              <w:autoSpaceDN/>
              <w:bidi w:val="0"/>
              <w:jc w:val="lef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1558700.00</w:t>
            </w:r>
            <w:r>
              <w:rPr>
                <w:rFonts w:hint="eastAsia" w:ascii="仿宋" w:hAnsi="仿宋" w:eastAsia="仿宋" w:cs="仿宋"/>
                <w:color w:val="auto"/>
                <w:sz w:val="24"/>
                <w:szCs w:val="24"/>
                <w:highlight w:val="none"/>
                <w:lang w:val="en-US" w:eastAsia="zh-CN"/>
              </w:rPr>
              <w:t>元</w:t>
            </w:r>
          </w:p>
        </w:tc>
      </w:tr>
      <w:tr w14:paraId="61E0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4" w:hRule="exact"/>
        </w:trPr>
        <w:tc>
          <w:tcPr>
            <w:tcW w:w="976" w:type="dxa"/>
            <w:vAlign w:val="center"/>
          </w:tcPr>
          <w:p w14:paraId="24B2137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4</w:t>
            </w:r>
          </w:p>
        </w:tc>
        <w:tc>
          <w:tcPr>
            <w:tcW w:w="2178" w:type="dxa"/>
            <w:vAlign w:val="center"/>
          </w:tcPr>
          <w:p w14:paraId="558E2432">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投标报价的其他要求★</w:t>
            </w:r>
          </w:p>
        </w:tc>
        <w:tc>
          <w:tcPr>
            <w:tcW w:w="6770" w:type="dxa"/>
            <w:vAlign w:val="center"/>
          </w:tcPr>
          <w:p w14:paraId="15B3DC7E">
            <w:pPr>
              <w:pageBreakBefore w:val="0"/>
              <w:wordWrap w:val="0"/>
              <w:autoSpaceDE/>
              <w:autoSpaceDN/>
              <w:bidi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1.报价方式为全费用包干价报价。</w:t>
            </w:r>
          </w:p>
          <w:p w14:paraId="2394E6C9">
            <w:pPr>
              <w:pageBreakBefore w:val="0"/>
              <w:wordWrap w:val="0"/>
              <w:autoSpaceDE/>
              <w:autoSpaceDN/>
              <w:bidi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可根据项目情况及自身特点进行报价</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color w:val="auto"/>
                <w:sz w:val="24"/>
                <w:szCs w:val="24"/>
                <w:highlight w:val="none"/>
              </w:rPr>
              <w:t>报价不得超过上限价，否则按响应无效处理；</w:t>
            </w:r>
          </w:p>
          <w:p w14:paraId="3757F85A">
            <w:pPr>
              <w:keepNext w:val="0"/>
              <w:keepLines w:val="0"/>
              <w:pageBreakBefore w:val="0"/>
              <w:widowControl w:val="0"/>
              <w:kinsoku/>
              <w:wordWrap w:val="0"/>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应综合考虑成交后项目实际发生变化的风险，</w:t>
            </w:r>
            <w:r>
              <w:rPr>
                <w:rFonts w:hint="eastAsia" w:ascii="仿宋" w:hAnsi="仿宋" w:eastAsia="仿宋" w:cs="仿宋"/>
                <w:color w:val="auto"/>
                <w:sz w:val="24"/>
                <w:szCs w:val="24"/>
                <w:highlight w:val="none"/>
                <w:lang w:val="en-US" w:eastAsia="zh-CN"/>
              </w:rPr>
              <w:t>合同一旦签订，此价格在合同实施期间将不因市场价格等的变化而调整。</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所报总价</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将认为有关费用已包含在所报报价之中，</w:t>
            </w:r>
            <w:r>
              <w:rPr>
                <w:rFonts w:hint="eastAsia" w:ascii="仿宋" w:hAnsi="仿宋" w:eastAsia="仿宋" w:cs="仿宋"/>
                <w:color w:val="auto"/>
                <w:sz w:val="24"/>
                <w:szCs w:val="24"/>
                <w:highlight w:val="none"/>
                <w:lang w:val="en-US" w:eastAsia="zh-CN"/>
              </w:rPr>
              <w:t>包括完成该项目的人员、设备、税收、保险、利润、物价、差旅费、文本费、采购代理服务费等项目实施的一切费用，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不得以任何理由予以重复计价。</w:t>
            </w:r>
            <w:r>
              <w:rPr>
                <w:rFonts w:hint="eastAsia" w:ascii="仿宋" w:hAnsi="仿宋" w:eastAsia="仿宋" w:cs="仿宋"/>
                <w:color w:val="auto"/>
                <w:sz w:val="24"/>
                <w:szCs w:val="24"/>
                <w:highlight w:val="none"/>
                <w:lang w:val="en-US" w:eastAsia="zh-CN"/>
              </w:rPr>
              <w:t>该报价应符合市场行情并能保证投标人完成履行合同所需的一切工作</w:t>
            </w:r>
            <w:r>
              <w:rPr>
                <w:rFonts w:hint="eastAsia" w:ascii="仿宋" w:hAnsi="仿宋" w:eastAsia="仿宋" w:cs="仿宋"/>
                <w:color w:val="auto"/>
                <w:sz w:val="24"/>
                <w:szCs w:val="24"/>
                <w:highlight w:val="none"/>
              </w:rPr>
              <w:t>。</w:t>
            </w:r>
          </w:p>
          <w:p w14:paraId="4C51BD38">
            <w:pPr>
              <w:keepNext w:val="0"/>
              <w:keepLines w:val="0"/>
              <w:pageBreakBefore w:val="0"/>
              <w:widowControl w:val="0"/>
              <w:kinsoku/>
              <w:overflowPunct/>
              <w:topLinePunct w:val="0"/>
              <w:autoSpaceDE/>
              <w:autoSpaceDN/>
              <w:bidi w:val="0"/>
              <w:adjustRightInd/>
              <w:snapToGrid/>
              <w:spacing w:line="240" w:lineRule="auto"/>
              <w:ind w:firstLine="488"/>
              <w:textAlignment w:val="auto"/>
              <w:rPr>
                <w:rFonts w:hint="eastAsia" w:ascii="仿宋" w:hAnsi="仿宋" w:eastAsia="仿宋" w:cs="仿宋"/>
                <w:highlight w:val="none"/>
              </w:rPr>
            </w:pPr>
            <w:r>
              <w:rPr>
                <w:rFonts w:hint="eastAsia" w:ascii="仿宋" w:hAnsi="仿宋" w:eastAsia="仿宋" w:cs="仿宋"/>
                <w:color w:val="auto"/>
                <w:sz w:val="24"/>
                <w:szCs w:val="24"/>
                <w:highlight w:val="none"/>
              </w:rPr>
              <w:t>合同一旦签订，此价格在合同实施期间将不因市场价格等因素的变化而调整。</w:t>
            </w:r>
          </w:p>
        </w:tc>
      </w:tr>
      <w:tr w14:paraId="2FF5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76" w:type="dxa"/>
            <w:vAlign w:val="center"/>
          </w:tcPr>
          <w:p w14:paraId="762CF16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2178" w:type="dxa"/>
            <w:vAlign w:val="center"/>
          </w:tcPr>
          <w:p w14:paraId="32397D1E">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770" w:type="dxa"/>
            <w:vAlign w:val="center"/>
          </w:tcPr>
          <w:p w14:paraId="43B531D8">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自提交投标文件截止之日起计算90日历天</w:t>
            </w:r>
          </w:p>
        </w:tc>
      </w:tr>
      <w:tr w14:paraId="6C78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trPr>
        <w:tc>
          <w:tcPr>
            <w:tcW w:w="976" w:type="dxa"/>
            <w:vAlign w:val="center"/>
          </w:tcPr>
          <w:p w14:paraId="1C2CF18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w:t>
            </w:r>
          </w:p>
        </w:tc>
        <w:tc>
          <w:tcPr>
            <w:tcW w:w="2178" w:type="dxa"/>
            <w:vAlign w:val="center"/>
          </w:tcPr>
          <w:p w14:paraId="66BB139C">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770" w:type="dxa"/>
            <w:vAlign w:val="center"/>
          </w:tcPr>
          <w:p w14:paraId="62B62D2B">
            <w:pPr>
              <w:pageBreakBefore w:val="0"/>
              <w:wordWrap w:val="0"/>
              <w:autoSpaceDE/>
              <w:autoSpaceDN/>
              <w:bidi w:val="0"/>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lang w:val="en-US" w:eastAsia="zh-CN"/>
              </w:rPr>
              <w:t>本项目预算金额为155.87万元，按照</w:t>
            </w: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eastAsia="zh-CN"/>
              </w:rPr>
              <w:t>保证金不得超过采购项目估算价的2%的规定，本项目应收取保证金金额为3.10万元。</w:t>
            </w:r>
            <w:r>
              <w:rPr>
                <w:rFonts w:hint="eastAsia" w:ascii="仿宋" w:hAnsi="仿宋" w:eastAsia="仿宋" w:cs="仿宋"/>
                <w:b/>
                <w:bCs/>
                <w:color w:val="auto"/>
                <w:sz w:val="24"/>
                <w:szCs w:val="24"/>
                <w:highlight w:val="none"/>
                <w:lang w:val="en-US" w:eastAsia="zh-CN"/>
              </w:rPr>
              <w:t>采购人决定该项目免收投标保证金，投标人无需缴纳投标保证金。</w:t>
            </w:r>
            <w:r>
              <w:rPr>
                <w:rFonts w:hint="eastAsia" w:ascii="仿宋" w:hAnsi="仿宋" w:eastAsia="仿宋" w:cs="仿宋"/>
                <w:color w:val="auto"/>
                <w:sz w:val="24"/>
                <w:szCs w:val="24"/>
                <w:highlight w:val="none"/>
                <w:lang w:val="en-US" w:eastAsia="zh-CN"/>
              </w:rPr>
              <w:t>投标人出现其他违反法律法规规定情形的，采购人将依法追究投标人相关责任。</w:t>
            </w:r>
          </w:p>
        </w:tc>
      </w:tr>
      <w:tr w14:paraId="62CD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976" w:type="dxa"/>
            <w:vAlign w:val="center"/>
          </w:tcPr>
          <w:p w14:paraId="5448AF6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2178" w:type="dxa"/>
            <w:vAlign w:val="center"/>
          </w:tcPr>
          <w:p w14:paraId="58D628F0">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是否允许递交备选投标方案</w:t>
            </w:r>
          </w:p>
        </w:tc>
        <w:tc>
          <w:tcPr>
            <w:tcW w:w="6770" w:type="dxa"/>
            <w:vAlign w:val="center"/>
          </w:tcPr>
          <w:p w14:paraId="058A9D82">
            <w:pPr>
              <w:keepNext w:val="0"/>
              <w:keepLines w:val="0"/>
              <w:pageBreakBefore w:val="0"/>
              <w:suppressLineNumbers w:val="0"/>
              <w:kinsoku/>
              <w:wordWrap w:val="0"/>
              <w:overflowPunct/>
              <w:bidi w:val="0"/>
              <w:spacing w:before="0" w:beforeAutospacing="0" w:after="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53D5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976" w:type="dxa"/>
            <w:vAlign w:val="center"/>
          </w:tcPr>
          <w:p w14:paraId="0B9E2B9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3.7.</w:t>
            </w:r>
            <w:r>
              <w:rPr>
                <w:rFonts w:hint="eastAsia" w:ascii="仿宋" w:hAnsi="仿宋" w:eastAsia="仿宋" w:cs="仿宋"/>
                <w:color w:val="auto"/>
                <w:sz w:val="24"/>
                <w:szCs w:val="24"/>
                <w:highlight w:val="none"/>
                <w:lang w:val="en-US" w:eastAsia="zh-CN"/>
              </w:rPr>
              <w:t>5</w:t>
            </w:r>
          </w:p>
        </w:tc>
        <w:tc>
          <w:tcPr>
            <w:tcW w:w="2178" w:type="dxa"/>
            <w:vAlign w:val="center"/>
          </w:tcPr>
          <w:p w14:paraId="47F8F207">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投标文件电子签章及电子签名要求</w:t>
            </w:r>
          </w:p>
        </w:tc>
        <w:tc>
          <w:tcPr>
            <w:tcW w:w="6770" w:type="dxa"/>
            <w:vAlign w:val="center"/>
          </w:tcPr>
          <w:p w14:paraId="14E7331B">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在需要电子签章的地方进行电子签章</w:t>
            </w:r>
            <w:r>
              <w:rPr>
                <w:rFonts w:hint="eastAsia" w:ascii="仿宋" w:hAnsi="仿宋" w:eastAsia="仿宋" w:cs="仿宋"/>
                <w:color w:val="auto"/>
                <w:sz w:val="24"/>
                <w:szCs w:val="24"/>
                <w:highlight w:val="none"/>
                <w:lang w:val="en-US" w:eastAsia="zh-CN"/>
              </w:rPr>
              <w:t>或电子签名即可。</w:t>
            </w:r>
          </w:p>
        </w:tc>
      </w:tr>
      <w:tr w14:paraId="52028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976" w:type="dxa"/>
            <w:vAlign w:val="center"/>
          </w:tcPr>
          <w:p w14:paraId="0231EFA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3.7.</w:t>
            </w:r>
            <w:r>
              <w:rPr>
                <w:rFonts w:hint="eastAsia" w:ascii="仿宋" w:hAnsi="仿宋" w:eastAsia="仿宋" w:cs="仿宋"/>
                <w:color w:val="auto"/>
                <w:sz w:val="24"/>
                <w:szCs w:val="24"/>
                <w:highlight w:val="none"/>
                <w:lang w:val="en-US" w:eastAsia="zh-CN"/>
              </w:rPr>
              <w:t>6</w:t>
            </w:r>
          </w:p>
        </w:tc>
        <w:tc>
          <w:tcPr>
            <w:tcW w:w="2178" w:type="dxa"/>
            <w:vAlign w:val="center"/>
          </w:tcPr>
          <w:p w14:paraId="59DFC1CF">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是否要求提交纸质版投标文件</w:t>
            </w:r>
          </w:p>
        </w:tc>
        <w:tc>
          <w:tcPr>
            <w:tcW w:w="6770" w:type="dxa"/>
            <w:vAlign w:val="center"/>
          </w:tcPr>
          <w:p w14:paraId="0625CBA3">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■否</w:t>
            </w:r>
          </w:p>
          <w:p w14:paraId="6F2799B5">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□是：投标文件份数：壹正壹副</w:t>
            </w:r>
          </w:p>
          <w:p w14:paraId="2507B913">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由中标单位中标后向采购人提交壹正壹副纸质版投标文件</w:t>
            </w:r>
          </w:p>
        </w:tc>
      </w:tr>
      <w:tr w14:paraId="6430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976" w:type="dxa"/>
            <w:vAlign w:val="center"/>
          </w:tcPr>
          <w:p w14:paraId="4B9EBC4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3.7.</w:t>
            </w:r>
            <w:r>
              <w:rPr>
                <w:rFonts w:hint="eastAsia" w:ascii="仿宋" w:hAnsi="仿宋" w:eastAsia="仿宋" w:cs="仿宋"/>
                <w:color w:val="auto"/>
                <w:sz w:val="24"/>
                <w:szCs w:val="24"/>
                <w:highlight w:val="none"/>
                <w:lang w:val="en-US" w:eastAsia="zh-CN"/>
              </w:rPr>
              <w:t>7</w:t>
            </w:r>
          </w:p>
        </w:tc>
        <w:tc>
          <w:tcPr>
            <w:tcW w:w="2178" w:type="dxa"/>
            <w:vAlign w:val="center"/>
          </w:tcPr>
          <w:p w14:paraId="1750B46F">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是否要求提交可编辑电子版投标文件</w:t>
            </w:r>
          </w:p>
        </w:tc>
        <w:tc>
          <w:tcPr>
            <w:tcW w:w="6770" w:type="dxa"/>
            <w:vAlign w:val="center"/>
          </w:tcPr>
          <w:p w14:paraId="3B193E21">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■否</w:t>
            </w:r>
          </w:p>
          <w:p w14:paraId="7EACE4DE">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□是：格式为Word或Excel，存储媒介为U盘</w:t>
            </w:r>
          </w:p>
        </w:tc>
      </w:tr>
      <w:tr w14:paraId="1370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76" w:type="dxa"/>
            <w:vAlign w:val="center"/>
          </w:tcPr>
          <w:p w14:paraId="132C8BE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w:t>
            </w:r>
          </w:p>
        </w:tc>
        <w:tc>
          <w:tcPr>
            <w:tcW w:w="2178" w:type="dxa"/>
            <w:vAlign w:val="center"/>
          </w:tcPr>
          <w:p w14:paraId="1897AB60">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w:t>
            </w:r>
          </w:p>
        </w:tc>
        <w:tc>
          <w:tcPr>
            <w:tcW w:w="6770" w:type="dxa"/>
            <w:vAlign w:val="center"/>
          </w:tcPr>
          <w:p w14:paraId="758DB5BA">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rPr>
              <w:t>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rPr>
              <w:t>年</w:t>
            </w: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rPr>
              <w:t>月</w:t>
            </w:r>
            <w:r>
              <w:rPr>
                <w:rFonts w:hint="eastAsia" w:ascii="仿宋" w:hAnsi="仿宋" w:eastAsia="仿宋" w:cs="仿宋"/>
                <w:color w:val="auto"/>
                <w:sz w:val="24"/>
                <w:szCs w:val="24"/>
                <w:highlight w:val="none"/>
                <w:u w:val="none"/>
                <w:lang w:val="en-US" w:eastAsia="zh-CN"/>
              </w:rPr>
              <w:t>01</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15时00分</w:t>
            </w:r>
            <w:r>
              <w:rPr>
                <w:rFonts w:hint="eastAsia" w:ascii="仿宋" w:hAnsi="仿宋" w:eastAsia="仿宋" w:cs="仿宋"/>
                <w:color w:val="auto"/>
                <w:sz w:val="24"/>
                <w:szCs w:val="24"/>
                <w:highlight w:val="none"/>
              </w:rPr>
              <w:t>（北京时间）</w:t>
            </w:r>
          </w:p>
        </w:tc>
      </w:tr>
      <w:tr w14:paraId="1D8D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976" w:type="dxa"/>
            <w:vAlign w:val="center"/>
          </w:tcPr>
          <w:p w14:paraId="75E73A1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p>
        </w:tc>
        <w:tc>
          <w:tcPr>
            <w:tcW w:w="2178" w:type="dxa"/>
            <w:vAlign w:val="center"/>
          </w:tcPr>
          <w:p w14:paraId="776C5BB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是否退还已递交的投标文件</w:t>
            </w:r>
          </w:p>
        </w:tc>
        <w:tc>
          <w:tcPr>
            <w:tcW w:w="6770" w:type="dxa"/>
            <w:vAlign w:val="center"/>
          </w:tcPr>
          <w:p w14:paraId="5ED35996">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■否</w:t>
            </w:r>
          </w:p>
          <w:p w14:paraId="3BE3740D">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□是</w:t>
            </w:r>
          </w:p>
        </w:tc>
      </w:tr>
      <w:tr w14:paraId="6DA2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trPr>
        <w:tc>
          <w:tcPr>
            <w:tcW w:w="976" w:type="dxa"/>
            <w:vAlign w:val="center"/>
          </w:tcPr>
          <w:p w14:paraId="59E80832">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w:t>
            </w:r>
          </w:p>
        </w:tc>
        <w:tc>
          <w:tcPr>
            <w:tcW w:w="2178" w:type="dxa"/>
            <w:vAlign w:val="center"/>
          </w:tcPr>
          <w:p w14:paraId="4EBB541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投标文件的递交</w:t>
            </w:r>
          </w:p>
        </w:tc>
        <w:tc>
          <w:tcPr>
            <w:tcW w:w="6770" w:type="dxa"/>
            <w:vAlign w:val="center"/>
          </w:tcPr>
          <w:p w14:paraId="444FA242">
            <w:pPr>
              <w:pageBreakBefore w:val="0"/>
              <w:wordWrap w:val="0"/>
              <w:autoSpaceDE/>
              <w:autoSpaceDN/>
              <w:bidi w:val="0"/>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网上递交，登录政采云投标客户端投标。投标人应按照本项目招标文件和"政采云"平台的要求编制、加密后在响应文件提交截止时间前上传至"政采云"平台。投标人在开启响应文件前，提前登录政采云平台做好准备，并确保设备正常。项目到达响应文件开启时间，进入对应项目开标大厅。</w:t>
            </w:r>
          </w:p>
        </w:tc>
      </w:tr>
      <w:tr w14:paraId="3E03F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976" w:type="dxa"/>
            <w:vAlign w:val="center"/>
          </w:tcPr>
          <w:p w14:paraId="220B46E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2178" w:type="dxa"/>
            <w:vAlign w:val="center"/>
          </w:tcPr>
          <w:p w14:paraId="0A43CB2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6770" w:type="dxa"/>
            <w:vAlign w:val="center"/>
          </w:tcPr>
          <w:p w14:paraId="6FA9EFCA">
            <w:pPr>
              <w:pageBreakBefore w:val="0"/>
              <w:wordWrap w:val="0"/>
              <w:autoSpaceDE/>
              <w:autoSpaceDN/>
              <w:bidi w:val="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时间：同递交响应文件截止时间</w:t>
            </w:r>
          </w:p>
          <w:p w14:paraId="652D96DF">
            <w:pPr>
              <w:pageBreakBefore w:val="0"/>
              <w:wordWrap w:val="0"/>
              <w:autoSpaceDE/>
              <w:autoSpaceDN/>
              <w:bidi w:val="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地点：云南省普洱市思茅区思茅街道茶马古镇B区BM2-11二楼开标厅</w:t>
            </w:r>
          </w:p>
          <w:p w14:paraId="02B23776">
            <w:pPr>
              <w:pageBreakBefore w:val="0"/>
              <w:wordWrap w:val="0"/>
              <w:autoSpaceDE/>
              <w:autoSpaceDN/>
              <w:bidi w:val="0"/>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本项目采用网上智能开标远程解密方式，采购人不接受现场解密响应文件方式。</w:t>
            </w:r>
          </w:p>
        </w:tc>
      </w:tr>
      <w:tr w14:paraId="6EA33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976" w:type="dxa"/>
            <w:vAlign w:val="center"/>
          </w:tcPr>
          <w:p w14:paraId="61643F99">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7.1.1</w:t>
            </w:r>
          </w:p>
        </w:tc>
        <w:tc>
          <w:tcPr>
            <w:tcW w:w="2178" w:type="dxa"/>
            <w:vAlign w:val="center"/>
          </w:tcPr>
          <w:p w14:paraId="142B6A72">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评标委员会的组建</w:t>
            </w:r>
          </w:p>
        </w:tc>
        <w:tc>
          <w:tcPr>
            <w:tcW w:w="6770" w:type="dxa"/>
            <w:vAlign w:val="center"/>
          </w:tcPr>
          <w:p w14:paraId="454A067C">
            <w:pPr>
              <w:pageBreakBefore w:val="0"/>
              <w:wordWrap w:val="0"/>
              <w:autoSpaceDE/>
              <w:autoSpaceDN/>
              <w:bidi w:val="0"/>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评标委员会构成：由采购单位依法组建的五人及以上单数组成，其中：经济、技术方面的专家评委占三分之二，采购人代表总数不超过评委总数的三分之一。</w:t>
            </w:r>
          </w:p>
          <w:p w14:paraId="5F48B53C">
            <w:pPr>
              <w:pageBreakBefore w:val="0"/>
              <w:wordWrap w:val="0"/>
              <w:autoSpaceDE/>
              <w:autoSpaceDN/>
              <w:bidi w:val="0"/>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评标委员会组成方式：经济、技术方面的专家在云南省政府采购信息管理系统中随机抽取专家组成。</w:t>
            </w:r>
          </w:p>
        </w:tc>
      </w:tr>
      <w:tr w14:paraId="4A18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76" w:type="dxa"/>
            <w:vAlign w:val="center"/>
          </w:tcPr>
          <w:p w14:paraId="1DBFD44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w:t>
            </w:r>
          </w:p>
        </w:tc>
        <w:tc>
          <w:tcPr>
            <w:tcW w:w="2178" w:type="dxa"/>
            <w:vAlign w:val="center"/>
          </w:tcPr>
          <w:p w14:paraId="40D87D0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评标委员会推荐中标候选人的人数</w:t>
            </w:r>
          </w:p>
        </w:tc>
        <w:tc>
          <w:tcPr>
            <w:tcW w:w="6770" w:type="dxa"/>
            <w:vAlign w:val="center"/>
          </w:tcPr>
          <w:p w14:paraId="26D70AFB">
            <w:pPr>
              <w:pStyle w:val="26"/>
              <w:keepNext w:val="0"/>
              <w:keepLines w:val="0"/>
              <w:pageBreakBefore w:val="0"/>
              <w:suppressLineNumbers w:val="0"/>
              <w:kinsoku/>
              <w:wordWrap w:val="0"/>
              <w:overflowPunct/>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3人</w:t>
            </w:r>
          </w:p>
        </w:tc>
      </w:tr>
      <w:tr w14:paraId="5E08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7245C45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w:t>
            </w:r>
          </w:p>
        </w:tc>
        <w:tc>
          <w:tcPr>
            <w:tcW w:w="2178" w:type="dxa"/>
            <w:vAlign w:val="center"/>
          </w:tcPr>
          <w:p w14:paraId="341F12A7">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是否授权评标委员会确定中标人</w:t>
            </w:r>
          </w:p>
        </w:tc>
        <w:tc>
          <w:tcPr>
            <w:tcW w:w="6770" w:type="dxa"/>
            <w:vAlign w:val="center"/>
          </w:tcPr>
          <w:p w14:paraId="423FB3B9">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■否</w:t>
            </w:r>
          </w:p>
          <w:p w14:paraId="61BF1D55">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是</w:t>
            </w:r>
          </w:p>
        </w:tc>
      </w:tr>
      <w:tr w14:paraId="0FFF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976" w:type="dxa"/>
            <w:vAlign w:val="center"/>
          </w:tcPr>
          <w:p w14:paraId="256077F9">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2178" w:type="dxa"/>
            <w:vAlign w:val="center"/>
          </w:tcPr>
          <w:p w14:paraId="2EE1CAD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中标公告媒体及</w:t>
            </w:r>
          </w:p>
          <w:p w14:paraId="17EED4AC">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期限</w:t>
            </w:r>
          </w:p>
        </w:tc>
        <w:tc>
          <w:tcPr>
            <w:tcW w:w="6770" w:type="dxa"/>
            <w:vAlign w:val="center"/>
          </w:tcPr>
          <w:p w14:paraId="490B7464">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公告媒介：与招标公告发布媒介一致</w:t>
            </w:r>
          </w:p>
          <w:p w14:paraId="4B3A4CDF">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公告期限：1个工作日</w:t>
            </w:r>
          </w:p>
        </w:tc>
      </w:tr>
      <w:tr w14:paraId="768C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551DD90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8.5.1</w:t>
            </w:r>
          </w:p>
        </w:tc>
        <w:tc>
          <w:tcPr>
            <w:tcW w:w="2178" w:type="dxa"/>
            <w:vAlign w:val="center"/>
          </w:tcPr>
          <w:p w14:paraId="078F47CE">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是否要求提交履约保证金</w:t>
            </w:r>
          </w:p>
        </w:tc>
        <w:tc>
          <w:tcPr>
            <w:tcW w:w="6770" w:type="dxa"/>
            <w:vAlign w:val="center"/>
          </w:tcPr>
          <w:p w14:paraId="14D113FA">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■不要求</w:t>
            </w:r>
          </w:p>
          <w:p w14:paraId="74F64E16">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要求：</w:t>
            </w:r>
          </w:p>
          <w:p w14:paraId="36A01759">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履约保证金金额：采购人与中标人另行协商，不得超过中标合同金额的10%。</w:t>
            </w:r>
          </w:p>
          <w:p w14:paraId="3A860901">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履约保证金形式：</w:t>
            </w:r>
            <w:r>
              <w:rPr>
                <w:rFonts w:hint="eastAsia" w:ascii="仿宋" w:hAnsi="仿宋" w:eastAsia="仿宋" w:cs="仿宋"/>
                <w:color w:val="auto"/>
                <w:sz w:val="24"/>
                <w:szCs w:val="24"/>
                <w:highlight w:val="none"/>
                <w:lang w:val="en-US" w:eastAsia="zh-CN"/>
              </w:rPr>
              <w:t>银行转账、保函、支票、汇票、本票</w:t>
            </w:r>
          </w:p>
        </w:tc>
      </w:tr>
      <w:tr w14:paraId="7BBB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BF671D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178" w:type="dxa"/>
            <w:vAlign w:val="center"/>
          </w:tcPr>
          <w:p w14:paraId="1A7296A9">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是否采用电子化招标投标</w:t>
            </w:r>
          </w:p>
        </w:tc>
        <w:tc>
          <w:tcPr>
            <w:tcW w:w="6770" w:type="dxa"/>
            <w:vAlign w:val="center"/>
          </w:tcPr>
          <w:p w14:paraId="32665E08">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□否：本项目非电子化招投标项目，</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无需遵照招标文件中有关电子化招标投标的内容及规定。</w:t>
            </w:r>
          </w:p>
          <w:p w14:paraId="17010BBD">
            <w:pPr>
              <w:pageBreakBefore w:val="0"/>
              <w:wordWrap w:val="0"/>
              <w:autoSpaceDE/>
              <w:autoSpaceDN/>
              <w:bidi w:val="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■是</w:t>
            </w:r>
          </w:p>
        </w:tc>
      </w:tr>
      <w:tr w14:paraId="17AD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4" w:type="dxa"/>
            <w:gridSpan w:val="3"/>
            <w:vAlign w:val="center"/>
          </w:tcPr>
          <w:p w14:paraId="7E0C9FD2">
            <w:pPr>
              <w:pStyle w:val="26"/>
              <w:keepNext w:val="0"/>
              <w:keepLines w:val="0"/>
              <w:pageBreakBefore w:val="0"/>
              <w:suppressLineNumbers w:val="0"/>
              <w:kinsoku/>
              <w:wordWrap w:val="0"/>
              <w:overflowPunct/>
              <w:bidi w:val="0"/>
              <w:snapToGrid w:val="0"/>
              <w:spacing w:before="0" w:beforeAutospacing="0" w:after="0" w:afterAutospacing="0" w:line="360" w:lineRule="auto"/>
              <w:ind w:left="0" w:right="0"/>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需要补充的其他内容</w:t>
            </w:r>
          </w:p>
        </w:tc>
      </w:tr>
      <w:tr w14:paraId="30D9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511E39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13.1</w:t>
            </w:r>
          </w:p>
        </w:tc>
        <w:tc>
          <w:tcPr>
            <w:tcW w:w="2178" w:type="dxa"/>
            <w:vAlign w:val="center"/>
          </w:tcPr>
          <w:p w14:paraId="18824C05">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电子交易活动的</w:t>
            </w:r>
          </w:p>
          <w:p w14:paraId="40EE8441">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中止</w:t>
            </w:r>
          </w:p>
        </w:tc>
        <w:tc>
          <w:tcPr>
            <w:tcW w:w="6770" w:type="dxa"/>
            <w:vAlign w:val="center"/>
          </w:tcPr>
          <w:p w14:paraId="0AE20DD0">
            <w:pPr>
              <w:pageBreakBefore w:val="0"/>
              <w:wordWrap w:val="0"/>
              <w:autoSpaceDE/>
              <w:autoSpaceDN/>
              <w:bidi w:val="0"/>
              <w:jc w:val="both"/>
              <w:rPr>
                <w:rFonts w:hint="eastAsia" w:ascii="仿宋" w:hAnsi="仿宋" w:eastAsia="仿宋" w:cs="仿宋"/>
                <w:color w:val="auto"/>
                <w:kern w:val="2"/>
                <w:sz w:val="24"/>
                <w:szCs w:val="24"/>
                <w:highlight w:val="none"/>
              </w:rPr>
            </w:pPr>
            <w:r>
              <w:rPr>
                <w:rFonts w:hint="eastAsia" w:ascii="仿宋" w:hAnsi="仿宋" w:eastAsia="仿宋" w:cs="仿宋"/>
                <w:color w:val="000000"/>
                <w:sz w:val="24"/>
                <w:szCs w:val="24"/>
                <w:highlight w:val="none"/>
                <w:lang w:eastAsia="zh-CN"/>
              </w:rPr>
              <w:t>详见投标人须知正文</w:t>
            </w:r>
            <w:r>
              <w:rPr>
                <w:rFonts w:hint="eastAsia" w:ascii="仿宋" w:hAnsi="仿宋" w:eastAsia="仿宋" w:cs="仿宋"/>
                <w:color w:val="000000"/>
                <w:sz w:val="24"/>
                <w:szCs w:val="24"/>
                <w:highlight w:val="none"/>
                <w:lang w:val="en-US" w:eastAsia="zh-CN"/>
              </w:rPr>
              <w:t>13.1</w:t>
            </w:r>
            <w:r>
              <w:rPr>
                <w:rFonts w:hint="eastAsia" w:ascii="仿宋" w:hAnsi="仿宋" w:eastAsia="仿宋" w:cs="仿宋"/>
                <w:color w:val="000000"/>
                <w:sz w:val="24"/>
                <w:szCs w:val="24"/>
                <w:highlight w:val="none"/>
                <w:lang w:eastAsia="zh-CN"/>
              </w:rPr>
              <w:t>条</w:t>
            </w:r>
          </w:p>
        </w:tc>
      </w:tr>
      <w:tr w14:paraId="3A4D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AB906E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13.2</w:t>
            </w:r>
          </w:p>
        </w:tc>
        <w:tc>
          <w:tcPr>
            <w:tcW w:w="2178" w:type="dxa"/>
            <w:vAlign w:val="center"/>
          </w:tcPr>
          <w:p w14:paraId="71E9C612">
            <w:pPr>
              <w:keepNext w:val="0"/>
              <w:keepLines w:val="0"/>
              <w:pageBreakBefore w:val="0"/>
              <w:kinsoku/>
              <w:wordWrap w:val="0"/>
              <w:overflowPunct/>
              <w:autoSpaceDE/>
              <w:autoSpaceDN/>
              <w:bidi w:val="0"/>
              <w:adjustRightInd/>
              <w:snapToGrid/>
              <w:spacing w:line="400" w:lineRule="atLeast"/>
              <w:ind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复印件解释及规定</w:t>
            </w:r>
          </w:p>
        </w:tc>
        <w:tc>
          <w:tcPr>
            <w:tcW w:w="6770" w:type="dxa"/>
            <w:vAlign w:val="center"/>
          </w:tcPr>
          <w:p w14:paraId="79BF7696">
            <w:pPr>
              <w:keepNext w:val="0"/>
              <w:keepLines w:val="0"/>
              <w:pageBreakBefore w:val="0"/>
              <w:kinsoku/>
              <w:wordWrap w:val="0"/>
              <w:overflowPunct/>
              <w:autoSpaceDE/>
              <w:autoSpaceDN/>
              <w:bidi w:val="0"/>
              <w:adjustRightInd/>
              <w:snapToGrid/>
              <w:spacing w:line="400" w:lineRule="atLeast"/>
              <w:ind w:firstLine="480" w:firstLineChars="200"/>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rPr>
              <w:t>本招标文件上下文中出现的“复印件”均指原件的扫描件或复印件。</w:t>
            </w:r>
          </w:p>
        </w:tc>
      </w:tr>
      <w:tr w14:paraId="232C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2F5D8AB7">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13.3</w:t>
            </w:r>
          </w:p>
        </w:tc>
        <w:tc>
          <w:tcPr>
            <w:tcW w:w="2178" w:type="dxa"/>
            <w:vAlign w:val="center"/>
          </w:tcPr>
          <w:p w14:paraId="45AF9EFD">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追加合同金额</w:t>
            </w:r>
          </w:p>
        </w:tc>
        <w:tc>
          <w:tcPr>
            <w:tcW w:w="6770" w:type="dxa"/>
            <w:vAlign w:val="center"/>
          </w:tcPr>
          <w:p w14:paraId="736813CD">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政府采购合同履行中，采购人需追加与合同标的相同的货物、工程或者服务的，在不改变合同其他条款的前提下，可以与</w:t>
            </w:r>
            <w:r>
              <w:rPr>
                <w:rFonts w:hint="eastAsia" w:ascii="仿宋" w:hAnsi="仿宋" w:eastAsia="仿宋" w:cs="仿宋"/>
                <w:strike w:val="0"/>
                <w:dstrike w:val="0"/>
                <w:color w:val="auto"/>
                <w:sz w:val="24"/>
                <w:szCs w:val="24"/>
                <w:highlight w:val="none"/>
                <w:lang w:val="en-US" w:eastAsia="zh-CN"/>
              </w:rPr>
              <w:t>中</w:t>
            </w:r>
            <w:r>
              <w:rPr>
                <w:rFonts w:hint="eastAsia" w:ascii="仿宋" w:hAnsi="仿宋" w:eastAsia="仿宋" w:cs="仿宋"/>
                <w:color w:val="000000"/>
                <w:sz w:val="24"/>
                <w:szCs w:val="24"/>
                <w:highlight w:val="none"/>
                <w:lang w:val="en-US" w:eastAsia="zh-CN"/>
              </w:rPr>
              <w:t>标人协商签订补充合同，但所有补充合同的采购金额不得超过原合同采购金额的百分之十。</w:t>
            </w:r>
          </w:p>
        </w:tc>
      </w:tr>
      <w:tr w14:paraId="5011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5DA7EA0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13.4</w:t>
            </w:r>
          </w:p>
        </w:tc>
        <w:tc>
          <w:tcPr>
            <w:tcW w:w="2178" w:type="dxa"/>
            <w:vAlign w:val="center"/>
          </w:tcPr>
          <w:p w14:paraId="7EC00440">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本项目支付方式及具体要求</w:t>
            </w:r>
          </w:p>
        </w:tc>
        <w:tc>
          <w:tcPr>
            <w:tcW w:w="6770" w:type="dxa"/>
            <w:vAlign w:val="center"/>
          </w:tcPr>
          <w:p w14:paraId="111C02BD">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支付方式：银行转账</w:t>
            </w:r>
          </w:p>
          <w:p w14:paraId="52DEE61D">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具体要求：甲乙双方自行协商。</w:t>
            </w:r>
          </w:p>
        </w:tc>
      </w:tr>
      <w:tr w14:paraId="4402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5E2D56B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13.5</w:t>
            </w:r>
          </w:p>
        </w:tc>
        <w:tc>
          <w:tcPr>
            <w:tcW w:w="2178" w:type="dxa"/>
            <w:vAlign w:val="center"/>
          </w:tcPr>
          <w:p w14:paraId="7DB896DD">
            <w:pPr>
              <w:keepNext w:val="0"/>
              <w:keepLines w:val="0"/>
              <w:pageBreakBefore w:val="0"/>
              <w:kinsoku/>
              <w:wordWrap w:val="0"/>
              <w:overflowPunct/>
              <w:autoSpaceDE/>
              <w:autoSpaceDN/>
              <w:bidi w:val="0"/>
              <w:adjustRightInd/>
              <w:snapToGrid/>
              <w:spacing w:line="400" w:lineRule="atLeast"/>
              <w:ind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风险承担</w:t>
            </w:r>
            <w:r>
              <w:rPr>
                <w:rFonts w:hint="eastAsia" w:ascii="仿宋" w:hAnsi="仿宋" w:eastAsia="仿宋" w:cs="仿宋"/>
                <w:color w:val="auto"/>
                <w:sz w:val="24"/>
                <w:szCs w:val="24"/>
                <w:highlight w:val="none"/>
                <w:lang w:val="en-US" w:eastAsia="zh-CN"/>
              </w:rPr>
              <w:t>★</w:t>
            </w:r>
          </w:p>
        </w:tc>
        <w:tc>
          <w:tcPr>
            <w:tcW w:w="6770" w:type="dxa"/>
            <w:vAlign w:val="center"/>
          </w:tcPr>
          <w:p w14:paraId="078592B8">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投标人承担在服务实施过程</w:t>
            </w:r>
            <w:r>
              <w:rPr>
                <w:rFonts w:hint="eastAsia" w:ascii="仿宋" w:hAnsi="仿宋" w:eastAsia="仿宋" w:cs="仿宋"/>
                <w:strike w:val="0"/>
                <w:color w:val="auto"/>
                <w:sz w:val="24"/>
                <w:szCs w:val="24"/>
                <w:highlight w:val="none"/>
                <w:lang w:val="en-US" w:eastAsia="zh-CN"/>
              </w:rPr>
              <w:t>中</w:t>
            </w:r>
            <w:r>
              <w:rPr>
                <w:rFonts w:hint="eastAsia" w:ascii="仿宋" w:hAnsi="仿宋" w:eastAsia="仿宋" w:cs="仿宋"/>
                <w:color w:val="000000"/>
                <w:sz w:val="24"/>
                <w:szCs w:val="24"/>
                <w:highlight w:val="none"/>
                <w:lang w:val="en-US" w:eastAsia="zh-CN"/>
              </w:rPr>
              <w:t>的一切风险（包括实施人员的生命财产安全）。</w:t>
            </w:r>
          </w:p>
        </w:tc>
      </w:tr>
      <w:tr w14:paraId="3EB0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1C6116C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w:t>
            </w:r>
          </w:p>
        </w:tc>
        <w:tc>
          <w:tcPr>
            <w:tcW w:w="2178" w:type="dxa"/>
            <w:vAlign w:val="center"/>
          </w:tcPr>
          <w:p w14:paraId="3A333B8F">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知识产权</w:t>
            </w:r>
          </w:p>
        </w:tc>
        <w:tc>
          <w:tcPr>
            <w:tcW w:w="6770" w:type="dxa"/>
            <w:vAlign w:val="center"/>
          </w:tcPr>
          <w:p w14:paraId="4C9B2EF5">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构成本招标文件各个组成部分的文件，未经采购单位书面同意，投标人不得擅自复印和用于非本采购项目所需的其他目的。采购单位全部或者部分使用未中标人投标文件中的技术成果或技术方案时，需征得其书面同意，并不得擅自复印或提供给第三人。</w:t>
            </w:r>
          </w:p>
        </w:tc>
      </w:tr>
      <w:tr w14:paraId="2B7E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631534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13.7</w:t>
            </w:r>
          </w:p>
        </w:tc>
        <w:tc>
          <w:tcPr>
            <w:tcW w:w="2178" w:type="dxa"/>
            <w:vAlign w:val="center"/>
          </w:tcPr>
          <w:p w14:paraId="6FBB1C07">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同义词语</w:t>
            </w:r>
          </w:p>
        </w:tc>
        <w:tc>
          <w:tcPr>
            <w:tcW w:w="6770" w:type="dxa"/>
            <w:vAlign w:val="center"/>
          </w:tcPr>
          <w:p w14:paraId="39EC7259">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构成招标文件组成部分的“通用合同条款”“专用合同条款”“采购需求及要求”和“采购需求”等章节中出现的措辞“发包人”和“承包人”，在招标投标阶段应当分别按“采购单位”和“投标人”进行理解。在本招标文件中出现的“投标人”“供应商”均按“投标人”理解。</w:t>
            </w:r>
          </w:p>
        </w:tc>
      </w:tr>
      <w:tr w14:paraId="3E545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44BC957C">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2178" w:type="dxa"/>
            <w:vAlign w:val="center"/>
          </w:tcPr>
          <w:p w14:paraId="12CD12C2">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解释权</w:t>
            </w:r>
          </w:p>
        </w:tc>
        <w:tc>
          <w:tcPr>
            <w:tcW w:w="6770" w:type="dxa"/>
            <w:vAlign w:val="center"/>
          </w:tcPr>
          <w:p w14:paraId="2C0D19D8">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审办法、投标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4DBD1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10E5CC3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13.9</w:t>
            </w:r>
          </w:p>
        </w:tc>
        <w:tc>
          <w:tcPr>
            <w:tcW w:w="2178" w:type="dxa"/>
            <w:vAlign w:val="center"/>
          </w:tcPr>
          <w:p w14:paraId="2AF73BCB">
            <w:pPr>
              <w:pageBreakBefore w:val="0"/>
              <w:widowControl/>
              <w:kinsoku/>
              <w:wordWrap w:val="0"/>
              <w:bidi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其他说明</w:t>
            </w:r>
          </w:p>
        </w:tc>
        <w:tc>
          <w:tcPr>
            <w:tcW w:w="6770" w:type="dxa"/>
            <w:vAlign w:val="center"/>
          </w:tcPr>
          <w:p w14:paraId="421B00CC">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本招标文件中若存在相关产品的品牌、型号，均不作为指定要求，而仅为技术水平、产品品质的客观参考。以上内容不作为技术招标因素。</w:t>
            </w:r>
          </w:p>
          <w:p w14:paraId="45D0846A">
            <w:pPr>
              <w:pageBreakBefore w:val="0"/>
              <w:wordWrap w:val="0"/>
              <w:autoSpaceDE/>
              <w:autoSpaceDN/>
              <w:bidi w:val="0"/>
              <w:ind w:firstLine="482" w:firstLineChars="20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评标中遇不可预见的问题，由评标委员会集体讨论研究决定。</w:t>
            </w:r>
          </w:p>
          <w:p w14:paraId="4C890BAB">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根据《政府采购货物和服务招标投标管理办法》（财政部令第87号）第三十一条规定：</w:t>
            </w:r>
          </w:p>
          <w:p w14:paraId="00E5534C">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DE11A6F">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D3B62F2">
            <w:pPr>
              <w:pageBreakBefore w:val="0"/>
              <w:wordWrap w:val="0"/>
              <w:autoSpaceDE/>
              <w:autoSpaceDN/>
              <w:bidi w:val="0"/>
              <w:ind w:firstLine="482"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本项目使用综合评分法</w:t>
            </w:r>
            <w:r>
              <w:rPr>
                <w:rFonts w:hint="eastAsia" w:ascii="仿宋" w:hAnsi="仿宋" w:eastAsia="仿宋" w:cs="仿宋"/>
                <w:color w:val="000000"/>
                <w:sz w:val="24"/>
                <w:szCs w:val="24"/>
                <w:highlight w:val="none"/>
                <w:lang w:val="en-US" w:eastAsia="zh-CN"/>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ascii="仿宋" w:hAnsi="仿宋" w:eastAsia="仿宋" w:cs="仿宋"/>
                <w:b/>
                <w:bCs/>
                <w:color w:val="000000"/>
                <w:sz w:val="24"/>
                <w:szCs w:val="24"/>
                <w:highlight w:val="none"/>
                <w:lang w:val="en-US" w:eastAsia="zh-CN"/>
              </w:rPr>
              <w:t>随机抽取</w:t>
            </w:r>
            <w:r>
              <w:rPr>
                <w:rFonts w:hint="eastAsia" w:ascii="仿宋" w:hAnsi="仿宋" w:eastAsia="仿宋" w:cs="仿宋"/>
                <w:color w:val="000000"/>
                <w:sz w:val="24"/>
                <w:szCs w:val="24"/>
                <w:highlight w:val="none"/>
                <w:lang w:val="en-US" w:eastAsia="zh-CN"/>
              </w:rPr>
              <w:t>的方式确定一个投标人获得中标人推荐资格。</w:t>
            </w:r>
          </w:p>
        </w:tc>
      </w:tr>
      <w:tr w14:paraId="2748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3984E1D0">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13.10</w:t>
            </w:r>
          </w:p>
        </w:tc>
        <w:tc>
          <w:tcPr>
            <w:tcW w:w="2178" w:type="dxa"/>
            <w:vAlign w:val="center"/>
          </w:tcPr>
          <w:p w14:paraId="4BB12476">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pacing w:val="-3"/>
                <w:sz w:val="24"/>
                <w:szCs w:val="24"/>
                <w:highlight w:val="none"/>
              </w:rPr>
              <w:t>核心产品</w:t>
            </w:r>
          </w:p>
        </w:tc>
        <w:tc>
          <w:tcPr>
            <w:tcW w:w="6770" w:type="dxa"/>
            <w:vAlign w:val="center"/>
          </w:tcPr>
          <w:p w14:paraId="6CD5A3AC">
            <w:pPr>
              <w:keepNext w:val="0"/>
              <w:keepLines w:val="0"/>
              <w:pageBreakBefore w:val="0"/>
              <w:widowControl w:val="0"/>
              <w:kinsoku/>
              <w:wordWrap/>
              <w:overflowPunct/>
              <w:topLinePunct w:val="0"/>
              <w:autoSpaceDE/>
              <w:autoSpaceDN/>
              <w:bidi w:val="0"/>
              <w:adjustRightInd/>
              <w:snapToGrid/>
              <w:spacing w:line="410" w:lineRule="exact"/>
              <w:ind w:left="42" w:leftChars="20"/>
              <w:textAlignment w:val="auto"/>
              <w:rPr>
                <w:rFonts w:hint="eastAsia" w:ascii="仿宋" w:hAnsi="仿宋" w:eastAsia="仿宋" w:cs="仿宋"/>
                <w:b/>
                <w:bCs/>
                <w:color w:val="000000" w:themeColor="text1"/>
                <w:sz w:val="24"/>
                <w:szCs w:val="32"/>
                <w:highlight w:val="none"/>
                <w:lang w:val="en-US" w:eastAsia="zh-CN"/>
                <w14:textFill>
                  <w14:solidFill>
                    <w14:schemeClr w14:val="tx1"/>
                  </w14:solidFill>
                </w14:textFill>
              </w:rPr>
            </w:pPr>
            <w:r>
              <w:rPr>
                <w:rFonts w:hint="eastAsia" w:ascii="仿宋" w:hAnsi="仿宋" w:eastAsia="仿宋" w:cs="仿宋"/>
                <w:b/>
                <w:bCs/>
                <w:color w:val="000000" w:themeColor="text1"/>
                <w:sz w:val="24"/>
                <w:szCs w:val="32"/>
                <w:highlight w:val="none"/>
                <w:lang w:val="en-US" w:eastAsia="en-US"/>
                <w14:textFill>
                  <w14:solidFill>
                    <w14:schemeClr w14:val="tx1"/>
                  </w14:solidFill>
                </w14:textFill>
              </w:rPr>
              <w:t>■本项目为非单一产品采购项目</w:t>
            </w:r>
            <w:r>
              <w:rPr>
                <w:rFonts w:hint="eastAsia" w:ascii="仿宋" w:hAnsi="仿宋" w:eastAsia="仿宋" w:cs="仿宋"/>
                <w:b/>
                <w:bCs/>
                <w:color w:val="000000" w:themeColor="text1"/>
                <w:sz w:val="24"/>
                <w:szCs w:val="32"/>
                <w:highlight w:val="none"/>
                <w:lang w:val="en-US" w:eastAsia="zh-CN"/>
                <w14:textFill>
                  <w14:solidFill>
                    <w14:schemeClr w14:val="tx1"/>
                  </w14:solidFill>
                </w14:textFill>
              </w:rPr>
              <w:t>。</w:t>
            </w:r>
          </w:p>
          <w:p w14:paraId="4B1240B5">
            <w:pPr>
              <w:keepNext w:val="0"/>
              <w:keepLines w:val="0"/>
              <w:pageBreakBefore w:val="0"/>
              <w:widowControl w:val="0"/>
              <w:kinsoku/>
              <w:wordWrap/>
              <w:overflowPunct/>
              <w:topLinePunct w:val="0"/>
              <w:autoSpaceDE/>
              <w:autoSpaceDN/>
              <w:bidi w:val="0"/>
              <w:adjustRightInd/>
              <w:snapToGrid/>
              <w:spacing w:line="410" w:lineRule="exact"/>
              <w:ind w:left="42" w:leftChars="2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000000" w:themeColor="text1"/>
                <w:sz w:val="24"/>
                <w:szCs w:val="32"/>
                <w:highlight w:val="none"/>
                <w:lang w:val="en-US" w:eastAsia="en-US"/>
                <w14:textFill>
                  <w14:solidFill>
                    <w14:schemeClr w14:val="tx1"/>
                  </w14:solidFill>
                </w14:textFill>
              </w:rPr>
              <w:t>核心产品：LED切割灯</w:t>
            </w:r>
            <w:r>
              <w:rPr>
                <w:rFonts w:hint="eastAsia" w:ascii="仿宋" w:hAnsi="仿宋" w:eastAsia="仿宋" w:cs="仿宋"/>
                <w:b/>
                <w:bCs/>
                <w:color w:val="000000" w:themeColor="text1"/>
                <w:sz w:val="24"/>
                <w:szCs w:val="32"/>
                <w:highlight w:val="none"/>
                <w:lang w:val="en-US" w:eastAsia="zh-CN"/>
                <w14:textFill>
                  <w14:solidFill>
                    <w14:schemeClr w14:val="tx1"/>
                  </w14:solidFill>
                </w14:textFill>
              </w:rPr>
              <w:t>、钢琴</w:t>
            </w:r>
          </w:p>
        </w:tc>
      </w:tr>
      <w:tr w14:paraId="7976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14:paraId="63B430BC">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13.11</w:t>
            </w:r>
          </w:p>
        </w:tc>
        <w:tc>
          <w:tcPr>
            <w:tcW w:w="2178" w:type="dxa"/>
            <w:vAlign w:val="center"/>
          </w:tcPr>
          <w:p w14:paraId="7C0F999D">
            <w:pPr>
              <w:keepNext w:val="0"/>
              <w:keepLines w:val="0"/>
              <w:pageBreakBefore w:val="0"/>
              <w:suppressLineNumbers w:val="0"/>
              <w:kinsoku/>
              <w:wordWrap w:val="0"/>
              <w:overflowPunct/>
              <w:bidi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落实政府采购政策</w:t>
            </w:r>
          </w:p>
        </w:tc>
        <w:tc>
          <w:tcPr>
            <w:tcW w:w="6770" w:type="dxa"/>
            <w:vAlign w:val="center"/>
          </w:tcPr>
          <w:p w14:paraId="703DFEC1">
            <w:pPr>
              <w:pageBreakBefore w:val="0"/>
              <w:wordWrap w:val="0"/>
              <w:autoSpaceDE/>
              <w:autoSpaceDN/>
              <w:bidi w:val="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1.小型和微型企业价格扣除评分优惠政策</w:t>
            </w:r>
          </w:p>
          <w:p w14:paraId="05EF3F32">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是否适用于本项目：■适用 □不适用。</w:t>
            </w:r>
          </w:p>
          <w:p w14:paraId="31AAA205">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根据《政府采购促进中小企业发展管理办法》（财库〔2020〕46号）的规定，对符合条件的小型和微型投标人，在投标报价评分时给予投标报价10%的扣除，用扣除后的投标报价参与投标报价评分。</w:t>
            </w:r>
          </w:p>
          <w:p w14:paraId="583D9953">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注：（1）中小企业参与本项投标时，须提供本企业的《中小企业声明函》。</w:t>
            </w:r>
          </w:p>
          <w:p w14:paraId="50FF0EE6">
            <w:pPr>
              <w:pageBreakBefore w:val="0"/>
              <w:wordWrap w:val="0"/>
              <w:autoSpaceDE/>
              <w:autoSpaceDN/>
              <w:bidi w:val="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2.监狱企业价格扣除评分优惠政策</w:t>
            </w:r>
          </w:p>
          <w:p w14:paraId="12CD467C">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是否适用于本项目：■适用 □不适用。</w:t>
            </w:r>
          </w:p>
          <w:p w14:paraId="55A97A71">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根据《关于政府采购支持监狱企业发展有关问题的通知》（财库〔2014〕68号）的规定，监狱企业参与本项目投标时，视同小型、微型企业享受价格扣除等优惠政策。</w:t>
            </w:r>
          </w:p>
          <w:p w14:paraId="6507A14B">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注：监狱企业参加政府采购活动时，应当提供由省级以上监狱管理局、戒毒管理局（含新疆生产建设兵团）出具的属于监狱企业的证明文件。格式详见招标文件第五章投标文件格式。</w:t>
            </w:r>
          </w:p>
          <w:p w14:paraId="43300777">
            <w:pPr>
              <w:pageBreakBefore w:val="0"/>
              <w:wordWrap w:val="0"/>
              <w:autoSpaceDE/>
              <w:autoSpaceDN/>
              <w:bidi w:val="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3.残疾人福利性单位价格扣除优惠政策</w:t>
            </w:r>
          </w:p>
          <w:p w14:paraId="327F7713">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是否适用于本项目：■适用 □不适用。</w:t>
            </w:r>
          </w:p>
          <w:p w14:paraId="7FC40EAF">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根据《关于促进残疾人就业政府采购政策的通知》（财库〔2017〕141号）的规定，残疾人福利性单位参与本项目投标时，视同小型、微型企业享受价格扣除等优惠政策。</w:t>
            </w:r>
          </w:p>
          <w:p w14:paraId="110BD684">
            <w:pPr>
              <w:pageBreakBefore w:val="0"/>
              <w:wordWrap w:val="0"/>
              <w:autoSpaceDE/>
              <w:autoSpaceDN/>
              <w:bidi w:val="0"/>
              <w:ind w:firstLine="480" w:firstLineChars="20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残疾人福利性单位在参加政府采购活动时，应当提供《残疾人福利性单位声明函》，并对声明的真实性负责。中标、成交投标人为残疾人福利性单位的，采购人或者其委托的采购代理机构应当随中标、成交结果同时公告其《残疾人福利性单位声明函》，接受社会监督。《残疾人福利性单位声明函》格式详见招标文件第五章投标文件格式。</w:t>
            </w:r>
          </w:p>
          <w:p w14:paraId="3673E93D">
            <w:pPr>
              <w:pageBreakBefore w:val="0"/>
              <w:wordWrap w:val="0"/>
              <w:autoSpaceDE/>
              <w:autoSpaceDN/>
              <w:bidi w:val="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4.节能环保</w:t>
            </w:r>
          </w:p>
          <w:p w14:paraId="3871E8E2">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是否适用于本项目：□适用 ■不适用。</w:t>
            </w:r>
          </w:p>
          <w:p w14:paraId="0DD8C5F0">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若投标产品为节能产品、环境标志产品且能提供有效的认证证书，在投标报价评分时给予对应的投标分项报价0.5%的扣除，用扣除后的价格参与评审（若采购需求为政府强制采购产品，则不再对节能进行评审价格的扣除）。</w:t>
            </w:r>
          </w:p>
          <w:p w14:paraId="2609AD02">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节能产品、环境标志产品清单可通过：</w:t>
            </w:r>
          </w:p>
          <w:p w14:paraId="593E8B56">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中国政府采购网（http://www.ccgp.gov.cn）；</w:t>
            </w:r>
          </w:p>
          <w:p w14:paraId="315C9F9A">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国家发展改革委网站（http://hzs.ndrc.gov.cn）查阅、下载；国家生态环境部网（http://www.</w:t>
            </w:r>
            <w:r>
              <w:rPr>
                <w:rFonts w:hint="eastAsia" w:ascii="仿宋" w:hAnsi="仿宋" w:eastAsia="仿宋" w:cs="仿宋"/>
                <w:strike w:val="0"/>
                <w:dstrike w:val="0"/>
                <w:color w:val="auto"/>
                <w:sz w:val="24"/>
                <w:szCs w:val="24"/>
                <w:highlight w:val="none"/>
                <w:lang w:val="en-US" w:eastAsia="zh-CN"/>
              </w:rPr>
              <w:t>me</w:t>
            </w:r>
            <w:r>
              <w:rPr>
                <w:rFonts w:hint="eastAsia" w:ascii="仿宋" w:hAnsi="仿宋" w:eastAsia="仿宋" w:cs="仿宋"/>
                <w:color w:val="000000"/>
                <w:sz w:val="24"/>
                <w:szCs w:val="24"/>
                <w:highlight w:val="none"/>
                <w:lang w:val="en-US" w:eastAsia="zh-CN"/>
              </w:rPr>
              <w:t>e.gov.cn）查阅、下载。</w:t>
            </w:r>
          </w:p>
          <w:p w14:paraId="4073F1F4">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083D6833">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（2）鼓励环保政策：在技术、服务等指标同等条件下，优先采购国家公布的属于环境标志产品政府采购清单中产品。执行政策文件：《关于环境标志产品政府采购实施的意见》（财库〔2006〕90号）。</w:t>
            </w:r>
          </w:p>
          <w:p w14:paraId="77ACC94E">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（3）根据《节能产品政府采购实施意见》（财库[2004]185 号）、《财政部 发展改革委 生态环境部 市场监管总局 关于调整优化节能产品、环境标志产品政府采购执行机制的通知》（财库〔2019〕9号），如果投标人拟供的产品属于“节能产品政府采购清单”中的，按照评分办法中要求给予加分。投标人须提供证明材料（请提供在中国政府采购网“节能产品清单”中产品查询结果截图），否则评标时不予认可。</w:t>
            </w:r>
          </w:p>
          <w:p w14:paraId="029C42E0">
            <w:pPr>
              <w:pageBreakBefore w:val="0"/>
              <w:wordWrap w:val="0"/>
              <w:autoSpaceDE/>
              <w:autoSpaceDN/>
              <w:bidi w:val="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（4）根据《关于环境标志产品政府采购实施的意见》（财库[2006]90 号）、《财政部 发展改革委 生态环境部 市场监管总局 关于调整优化节能产品、环境标志产品政府采购执行机制的通知》（财库〔2019〕9号），如果投标人拟供的产品属于“环境标志产品政府采购清单”中的，按照评分办法中要求给予加分。投标人须提供证明材料（必须提供在中国政府采购网“环</w:t>
            </w:r>
            <w:r>
              <w:rPr>
                <w:rFonts w:hint="eastAsia" w:ascii="仿宋" w:hAnsi="仿宋" w:eastAsia="仿宋" w:cs="仿宋"/>
                <w:strike w:val="0"/>
                <w:dstrike w:val="0"/>
                <w:color w:val="auto"/>
                <w:sz w:val="24"/>
                <w:szCs w:val="24"/>
                <w:highlight w:val="none"/>
                <w:lang w:val="en-US" w:eastAsia="zh-CN"/>
              </w:rPr>
              <w:t>境</w:t>
            </w:r>
            <w:r>
              <w:rPr>
                <w:rFonts w:hint="eastAsia" w:ascii="仿宋" w:hAnsi="仿宋" w:eastAsia="仿宋" w:cs="仿宋"/>
                <w:color w:val="000000"/>
                <w:sz w:val="24"/>
                <w:szCs w:val="24"/>
                <w:highlight w:val="none"/>
                <w:lang w:val="en-US" w:eastAsia="zh-CN"/>
              </w:rPr>
              <w:t>标志产品清单” 中产品查询结果截图），否则评标时不予认可。</w:t>
            </w:r>
          </w:p>
          <w:p w14:paraId="7666C7C7">
            <w:pPr>
              <w:pageBreakBefore w:val="0"/>
              <w:wordWrap w:val="0"/>
              <w:autoSpaceDE/>
              <w:autoSpaceDN/>
              <w:bidi w:val="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5.支持脱贫攻坚政策</w:t>
            </w:r>
          </w:p>
          <w:p w14:paraId="1B953DCA">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是否适用于本项目：□适用 ■不适用。</w:t>
            </w:r>
          </w:p>
          <w:p w14:paraId="46E3FFA9">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根据《云南省财政厅 云南省人民政府扶贫开发办公室关于贯彻落实运用政府采购政策支持脱贫攻坚有关事宜的通知》（云财采〔2020〕9号）相关规定：采购人使用财政性资金采购物业服务时，对注册地在国家级贫困县域内，且聘用建档立卡贫困人员的物业公司所提供的服务能满足采购需求的，应当在同等条件下实行优先采购。</w:t>
            </w:r>
          </w:p>
          <w:p w14:paraId="0423A60B">
            <w:pPr>
              <w:pageBreakBefore w:val="0"/>
              <w:wordWrap w:val="0"/>
              <w:autoSpaceDE/>
              <w:autoSpaceDN/>
              <w:bidi w:val="0"/>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物业公司须提供其注册地所在县扶贫部门出具的聘用建档立卡贫困人员具体数量的证明。如中标后，其相关证明随中标结果一同公告。</w:t>
            </w:r>
          </w:p>
        </w:tc>
      </w:tr>
    </w:tbl>
    <w:p w14:paraId="66A05B8F">
      <w:pPr>
        <w:pageBreakBefore w:val="0"/>
        <w:kinsoku/>
        <w:wordWrap w:val="0"/>
        <w:overflowPunct/>
        <w:bidi w:val="0"/>
        <w:spacing w:line="360" w:lineRule="auto"/>
        <w:rPr>
          <w:rFonts w:hint="eastAsia" w:ascii="仿宋" w:hAnsi="仿宋" w:eastAsia="仿宋" w:cs="仿宋"/>
          <w:color w:val="auto"/>
          <w:highlight w:val="none"/>
        </w:rPr>
      </w:pPr>
    </w:p>
    <w:p w14:paraId="0CFFA6F9">
      <w:pPr>
        <w:pageBreakBefore w:val="0"/>
        <w:kinsoku/>
        <w:wordWrap w:val="0"/>
        <w:overflowPunct/>
        <w:bidi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51404A2">
      <w:pPr>
        <w:pStyle w:val="4"/>
        <w:pageBreakBefore w:val="0"/>
        <w:kinsoku/>
        <w:wordWrap w:val="0"/>
        <w:overflowPunct/>
        <w:bidi w:val="0"/>
        <w:spacing w:after="0" w:line="360" w:lineRule="auto"/>
        <w:jc w:val="center"/>
        <w:rPr>
          <w:rFonts w:hint="eastAsia" w:ascii="仿宋" w:hAnsi="仿宋" w:eastAsia="仿宋" w:cs="仿宋"/>
          <w:color w:val="auto"/>
          <w:sz w:val="28"/>
          <w:szCs w:val="28"/>
          <w:highlight w:val="none"/>
        </w:rPr>
      </w:pPr>
      <w:bookmarkStart w:id="25" w:name="_Toc13358"/>
      <w:bookmarkStart w:id="26" w:name="_Toc21401"/>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须知正文</w:t>
      </w:r>
      <w:bookmarkEnd w:id="25"/>
      <w:bookmarkEnd w:id="26"/>
    </w:p>
    <w:p w14:paraId="73BB6211">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27" w:name="_Toc11149"/>
      <w:bookmarkStart w:id="28" w:name="_Toc9416"/>
      <w:r>
        <w:rPr>
          <w:rFonts w:hint="eastAsia" w:ascii="仿宋" w:hAnsi="仿宋" w:eastAsia="仿宋" w:cs="仿宋"/>
          <w:color w:val="auto"/>
          <w:sz w:val="28"/>
          <w:szCs w:val="28"/>
          <w:highlight w:val="none"/>
        </w:rPr>
        <w:t>一、总则</w:t>
      </w:r>
      <w:bookmarkEnd w:id="27"/>
      <w:bookmarkEnd w:id="28"/>
    </w:p>
    <w:p w14:paraId="6C145BB6">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29" w:name="_Toc12059"/>
      <w:r>
        <w:rPr>
          <w:rFonts w:hint="eastAsia" w:ascii="仿宋" w:hAnsi="仿宋" w:eastAsia="仿宋" w:cs="仿宋"/>
          <w:color w:val="auto"/>
          <w:sz w:val="24"/>
          <w:szCs w:val="24"/>
          <w:highlight w:val="none"/>
        </w:rPr>
        <w:t>1.1项目概况</w:t>
      </w:r>
      <w:bookmarkEnd w:id="29"/>
    </w:p>
    <w:p w14:paraId="50049FB1">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bookmarkStart w:id="30" w:name="_Toc23665"/>
      <w:r>
        <w:rPr>
          <w:rFonts w:hint="eastAsia" w:ascii="仿宋" w:hAnsi="仿宋" w:eastAsia="仿宋" w:cs="仿宋"/>
          <w:color w:val="auto"/>
          <w:sz w:val="24"/>
          <w:szCs w:val="24"/>
          <w:highlight w:val="none"/>
        </w:rPr>
        <w:t xml:space="preserve">1.1.1 </w:t>
      </w:r>
      <w:r>
        <w:rPr>
          <w:rFonts w:hint="eastAsia" w:ascii="仿宋" w:hAnsi="仿宋" w:eastAsia="仿宋" w:cs="仿宋"/>
          <w:color w:val="000000" w:themeColor="text1"/>
          <w:sz w:val="24"/>
          <w:highlight w:val="none"/>
          <w14:textFill>
            <w14:solidFill>
              <w14:schemeClr w14:val="tx1"/>
            </w14:solidFill>
          </w14:textFill>
        </w:rPr>
        <w:t>根据《中华人民共和国政府采购法》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《中华人民共和国政府采购法实施条例》</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《政府采购货物和服务招标投标管理办法》（财政部令第 87 号）</w:t>
      </w:r>
      <w:r>
        <w:rPr>
          <w:rFonts w:hint="eastAsia" w:ascii="仿宋" w:hAnsi="仿宋" w:eastAsia="仿宋" w:cs="仿宋"/>
          <w:color w:val="000000" w:themeColor="text1"/>
          <w:sz w:val="24"/>
          <w:highlight w:val="none"/>
          <w14:textFill>
            <w14:solidFill>
              <w14:schemeClr w14:val="tx1"/>
            </w14:solidFill>
          </w14:textFill>
        </w:rPr>
        <w:t>等有关法律法规和规章的规定，本项目已获主管部门批准，现对本次货物采购采用</w:t>
      </w:r>
      <w:r>
        <w:rPr>
          <w:rFonts w:hint="eastAsia" w:ascii="仿宋" w:hAnsi="仿宋" w:eastAsia="仿宋" w:cs="仿宋"/>
          <w:color w:val="000000" w:themeColor="text1"/>
          <w:sz w:val="24"/>
          <w:highlight w:val="none"/>
          <w:lang w:val="en-US" w:eastAsia="zh-CN"/>
          <w14:textFill>
            <w14:solidFill>
              <w14:schemeClr w14:val="tx1"/>
            </w14:solidFill>
          </w14:textFill>
        </w:rPr>
        <w:t>公开招标</w:t>
      </w:r>
      <w:r>
        <w:rPr>
          <w:rFonts w:hint="eastAsia" w:ascii="仿宋" w:hAnsi="仿宋" w:eastAsia="仿宋" w:cs="仿宋"/>
          <w:color w:val="000000" w:themeColor="text1"/>
          <w:sz w:val="24"/>
          <w:highlight w:val="none"/>
          <w14:textFill>
            <w14:solidFill>
              <w14:schemeClr w14:val="tx1"/>
            </w14:solidFill>
          </w14:textFill>
        </w:rPr>
        <w:t>方式采购。</w:t>
      </w:r>
    </w:p>
    <w:p w14:paraId="06FE0D91">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0AE2F5B7">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w:t>
      </w:r>
      <w:r>
        <w:rPr>
          <w:rFonts w:hint="eastAsia" w:ascii="仿宋" w:hAnsi="仿宋" w:eastAsia="仿宋" w:cs="仿宋"/>
          <w:color w:val="auto"/>
          <w:sz w:val="24"/>
          <w:szCs w:val="24"/>
          <w:highlight w:val="none"/>
          <w:lang w:val="en-US" w:eastAsia="zh-CN"/>
        </w:rPr>
        <w:t>采购代理机构</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400FC72B">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 项目名称：见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2E6C7446">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 </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A64ED01">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 标段划分：见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87ECA52">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1.2资金</w:t>
      </w:r>
      <w:r>
        <w:rPr>
          <w:rFonts w:hint="eastAsia" w:ascii="仿宋" w:hAnsi="仿宋" w:eastAsia="仿宋" w:cs="仿宋"/>
          <w:color w:val="auto"/>
          <w:sz w:val="24"/>
          <w:szCs w:val="24"/>
          <w:highlight w:val="none"/>
          <w:lang w:val="en-US" w:eastAsia="zh-CN"/>
        </w:rPr>
        <w:t>来源及比例、</w:t>
      </w:r>
      <w:r>
        <w:rPr>
          <w:rFonts w:hint="eastAsia" w:ascii="仿宋" w:hAnsi="仿宋" w:eastAsia="仿宋" w:cs="仿宋"/>
          <w:color w:val="auto"/>
          <w:sz w:val="24"/>
          <w:szCs w:val="24"/>
          <w:highlight w:val="none"/>
        </w:rPr>
        <w:t>落实情况</w:t>
      </w:r>
      <w:bookmarkEnd w:id="30"/>
    </w:p>
    <w:p w14:paraId="1BAEEE95">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bookmarkStart w:id="31" w:name="_Toc3443"/>
      <w:r>
        <w:rPr>
          <w:rFonts w:hint="eastAsia" w:ascii="仿宋" w:hAnsi="仿宋" w:eastAsia="仿宋" w:cs="仿宋"/>
          <w:color w:val="auto"/>
          <w:sz w:val="24"/>
          <w:szCs w:val="24"/>
          <w:highlight w:val="none"/>
        </w:rPr>
        <w:t>1.2.1 资金来源及比例：见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4F5BF636">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资金落实情况：见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5A84964">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bookmarkEnd w:id="31"/>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、合同履行期限、</w:t>
      </w:r>
      <w:r>
        <w:rPr>
          <w:rFonts w:hint="eastAsia" w:ascii="仿宋" w:hAnsi="仿宋" w:eastAsia="仿宋" w:cs="仿宋"/>
          <w:color w:val="auto"/>
          <w:sz w:val="24"/>
          <w:szCs w:val="24"/>
          <w:highlight w:val="none"/>
          <w:lang w:val="en-US" w:eastAsia="zh-CN"/>
        </w:rPr>
        <w:t>交货</w:t>
      </w:r>
      <w:r>
        <w:rPr>
          <w:rFonts w:hint="eastAsia" w:ascii="仿宋" w:hAnsi="仿宋" w:eastAsia="仿宋" w:cs="仿宋"/>
          <w:color w:val="auto"/>
          <w:sz w:val="24"/>
          <w:szCs w:val="24"/>
          <w:highlight w:val="none"/>
        </w:rPr>
        <w:t>地点和质量标准</w:t>
      </w:r>
    </w:p>
    <w:p w14:paraId="3FF8ECF3">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BE757D7">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合同履行期限：见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04FC825F">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w:t>
      </w:r>
      <w:r>
        <w:rPr>
          <w:rFonts w:hint="eastAsia" w:ascii="仿宋" w:hAnsi="仿宋" w:eastAsia="仿宋" w:cs="仿宋"/>
          <w:color w:val="auto"/>
          <w:sz w:val="24"/>
          <w:szCs w:val="24"/>
          <w:highlight w:val="none"/>
          <w:lang w:val="en-US" w:eastAsia="zh-CN"/>
        </w:rPr>
        <w:t>交货</w:t>
      </w:r>
      <w:r>
        <w:rPr>
          <w:rFonts w:hint="eastAsia" w:ascii="仿宋" w:hAnsi="仿宋" w:eastAsia="仿宋" w:cs="仿宋"/>
          <w:color w:val="auto"/>
          <w:sz w:val="24"/>
          <w:szCs w:val="24"/>
          <w:highlight w:val="none"/>
        </w:rPr>
        <w:t>地点：见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F627FFC">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1.3.4 质量标准：见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6CB6ABB0">
      <w:pPr>
        <w:pageBreakBefore w:val="0"/>
        <w:kinsoku/>
        <w:wordWrap w:val="0"/>
        <w:overflowPunct/>
        <w:bidi w:val="0"/>
        <w:spacing w:line="360" w:lineRule="auto"/>
        <w:ind w:firstLine="240" w:firstLineChars="100"/>
        <w:rPr>
          <w:rFonts w:hint="eastAsia" w:ascii="仿宋" w:hAnsi="仿宋" w:eastAsia="仿宋" w:cs="仿宋"/>
          <w:highlight w:val="none"/>
          <w:lang w:val="en-US" w:eastAsia="zh-CN"/>
        </w:rPr>
      </w:pPr>
      <w:r>
        <w:rPr>
          <w:rFonts w:hint="eastAsia" w:ascii="仿宋" w:hAnsi="仿宋" w:eastAsia="仿宋" w:cs="仿宋"/>
          <w:color w:val="auto"/>
          <w:sz w:val="24"/>
          <w:szCs w:val="24"/>
          <w:highlight w:val="none"/>
          <w:lang w:val="en-US" w:eastAsia="zh-CN"/>
        </w:rPr>
        <w:t>1.3.5质保期：</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BB4DD9C">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2" w:name="_Toc13713"/>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en-US" w:eastAsia="zh-CN"/>
        </w:rPr>
        <w:t>资格</w:t>
      </w:r>
      <w:r>
        <w:rPr>
          <w:rFonts w:hint="eastAsia" w:ascii="仿宋" w:hAnsi="仿宋" w:eastAsia="仿宋" w:cs="仿宋"/>
          <w:color w:val="auto"/>
          <w:sz w:val="24"/>
          <w:szCs w:val="24"/>
          <w:highlight w:val="none"/>
        </w:rPr>
        <w:t>要求</w:t>
      </w:r>
      <w:bookmarkEnd w:id="32"/>
    </w:p>
    <w:p w14:paraId="1894CC74">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的资格要求：详见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0466E204">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1.4.2是否接受联合体投标：详见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须知前附表。如为接受联合体投标的，联合体</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除须符合本章第1.4.1条规定外，还须满足以下条件：</w:t>
      </w:r>
    </w:p>
    <w:p w14:paraId="494B23F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（1）联合体各方应按招标文件提供的格式签订联合体协议书，明确联合体牵头人和各方权利义务，并承诺就中标项目向采购人承担连带责任；</w:t>
      </w:r>
    </w:p>
    <w:p w14:paraId="5B44617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（2）联合体中有同类资质的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按照联合体分工承担相同工作的，应当按照资质等级较低的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确定资质等级；</w:t>
      </w:r>
    </w:p>
    <w:p w14:paraId="6A1BFD91">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（3）以联合体形式参加政府采购活动的，联合体各方不得再单独参加或者与其他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另外组成联合体参加同一合同段下的政府采购活动。</w:t>
      </w:r>
    </w:p>
    <w:p w14:paraId="6CEC1F8F">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不得存在下列情形之一：</w:t>
      </w:r>
    </w:p>
    <w:p w14:paraId="771B6729">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（1）与采购人存在利害关系可能影响招标公正性的；</w:t>
      </w:r>
    </w:p>
    <w:p w14:paraId="58104A2A">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（2）与本</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的其他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为同一个单位负责人；</w:t>
      </w:r>
    </w:p>
    <w:p w14:paraId="31E7A771">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（3）为本</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w:t>
      </w:r>
    </w:p>
    <w:p w14:paraId="1ACF0736">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（4）与本</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同为一个法定代表人；</w:t>
      </w:r>
    </w:p>
    <w:p w14:paraId="2305C29D">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（5）与本</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存在控股或参股关系；</w:t>
      </w:r>
    </w:p>
    <w:p w14:paraId="61AE036F">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（6）被依法暂停或者取消投标资格；</w:t>
      </w:r>
    </w:p>
    <w:p w14:paraId="2D8DA929">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（7）被责令停产停业、暂扣或者吊销许可证、暂扣或者吊销执照；</w:t>
      </w:r>
    </w:p>
    <w:p w14:paraId="1639BC30">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（8）进入清算程序，或被宣告破产，或其他丧失履约能力的情形；</w:t>
      </w:r>
    </w:p>
    <w:p w14:paraId="7C703070">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（9）法律法规或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须知前附表规定的其他情形。</w:t>
      </w:r>
    </w:p>
    <w:p w14:paraId="6CAF70F4">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1.4.4</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存在下列情况之一的，投标无效：</w:t>
      </w:r>
    </w:p>
    <w:p w14:paraId="6450C101">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（1）未按照招标文件的规定提交投标保证金的；</w:t>
      </w:r>
    </w:p>
    <w:p w14:paraId="33248991">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（2）投标文件未按招标文件要求签署、盖章的；</w:t>
      </w:r>
    </w:p>
    <w:p w14:paraId="7A57E3EA">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（3）不具备招标文件中规定的资格要求的；</w:t>
      </w:r>
    </w:p>
    <w:p w14:paraId="58538704">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（4）报价超过招标文件中规定的预算金额或者最高限价的；</w:t>
      </w:r>
    </w:p>
    <w:p w14:paraId="5FA7FA50">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（5）投标文件含有采购人不能接受的附加条件的；</w:t>
      </w:r>
    </w:p>
    <w:p w14:paraId="75C84BBD">
      <w:pPr>
        <w:pageBreakBefore w:val="0"/>
        <w:kinsoku/>
        <w:wordWrap w:val="0"/>
        <w:overflowPunct/>
        <w:bidi w:val="0"/>
        <w:spacing w:line="360" w:lineRule="auto"/>
        <w:ind w:firstLine="480" w:firstLineChars="200"/>
        <w:rPr>
          <w:rFonts w:hint="eastAsia" w:ascii="仿宋" w:hAnsi="仿宋" w:eastAsia="仿宋" w:cs="仿宋"/>
          <w:highlight w:val="none"/>
        </w:rPr>
      </w:pPr>
      <w:r>
        <w:rPr>
          <w:rFonts w:hint="eastAsia" w:ascii="仿宋" w:hAnsi="仿宋" w:eastAsia="仿宋" w:cs="仿宋"/>
          <w:b w:val="0"/>
          <w:bCs/>
          <w:color w:val="auto"/>
          <w:sz w:val="24"/>
          <w:szCs w:val="24"/>
          <w:highlight w:val="none"/>
        </w:rPr>
        <w:t>（6）法律法规和招标文件规定的其他无效情形。</w:t>
      </w:r>
    </w:p>
    <w:p w14:paraId="08D43A6F">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3" w:name="_Toc28971"/>
      <w:bookmarkStart w:id="34" w:name="_Toc6455"/>
      <w:r>
        <w:rPr>
          <w:rFonts w:hint="eastAsia" w:ascii="仿宋" w:hAnsi="仿宋" w:eastAsia="仿宋" w:cs="仿宋"/>
          <w:color w:val="auto"/>
          <w:sz w:val="24"/>
          <w:szCs w:val="24"/>
          <w:highlight w:val="none"/>
        </w:rPr>
        <w:t>1.5 费用承担</w:t>
      </w:r>
      <w:bookmarkEnd w:id="33"/>
    </w:p>
    <w:p w14:paraId="02103D4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1.5.1投标人应承担所有与编写和提交投标文件有关的费用，不论投标的结果如何，采购人或采购代理在任何情况下均无义务和责任承担这些费用。</w:t>
      </w:r>
    </w:p>
    <w:p w14:paraId="203F74C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1.5.2中标服务费：详见投标人须知前附表。</w:t>
      </w:r>
    </w:p>
    <w:p w14:paraId="0B3D578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1.5.3投标风险承担：由于投标给投标人造成的人身伤害或财产损失的，由投标人自行承担。投标人准备和参加投标活动发生的费用自理。</w:t>
      </w:r>
    </w:p>
    <w:p w14:paraId="7A1A38AF">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保密</w:t>
      </w:r>
      <w:bookmarkEnd w:id="34"/>
    </w:p>
    <w:p w14:paraId="0A72385A">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参与本次政府采购活动的各方应对招标文件和投标文件中的商业和技术等秘密保密，违者应对由此造成的后果承担法律责任。</w:t>
      </w:r>
    </w:p>
    <w:p w14:paraId="687A639F">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5" w:name="_Toc29168"/>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语言文字</w:t>
      </w:r>
      <w:bookmarkEnd w:id="35"/>
    </w:p>
    <w:p w14:paraId="5CC4D29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提交的投标文件以及</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与采购人、采购代理机构就有关投标的所有来往函电均应使用中文。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可以提交用其他语言的资料，但有关的段落必须翻译成中文，在有差异和矛盾时以中文为准。字体要便于辨识，以正楷、宋体为好。</w:t>
      </w:r>
    </w:p>
    <w:p w14:paraId="5E70E9C2">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用非中文版印刷的服务说明书、技术资料、资格资质证书等，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应提供符合中国有关法律法规的中文译本，并以采购人最终确认的中文译本为准。</w:t>
      </w:r>
    </w:p>
    <w:p w14:paraId="21A6ACD4">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6" w:name="_Toc21945"/>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计量单位</w:t>
      </w:r>
      <w:bookmarkEnd w:id="36"/>
    </w:p>
    <w:p w14:paraId="3B8CB34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投标文件中所使用的度量衡单位，除招标文件中有特殊要求外，一律用公制。</w:t>
      </w:r>
    </w:p>
    <w:p w14:paraId="5CE69F65">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7" w:name="_Toc13748"/>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现场踏勘</w:t>
      </w:r>
      <w:bookmarkEnd w:id="37"/>
    </w:p>
    <w:p w14:paraId="234F29D7">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.1采购人是否组织现场踏勘：详见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须知前附表。如采购人组织现场踏勘，</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应遵守如下规定：</w:t>
      </w:r>
    </w:p>
    <w:p w14:paraId="2CABD340">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须知前附表规定的时间和地点到现场进行踏勘；</w:t>
      </w:r>
    </w:p>
    <w:p w14:paraId="2361E1F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现场踏勘所发生的费用由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5D43BC9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（3）除采购人原因外，由于现场踏勘给</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造成的人身伤害或财产损失的，由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4B221592">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（4）采购人不对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据此作出的判断和决策负责。</w:t>
      </w:r>
    </w:p>
    <w:p w14:paraId="4684939E">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8" w:name="_Toc13362"/>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招标答疑会</w:t>
      </w:r>
      <w:bookmarkEnd w:id="38"/>
    </w:p>
    <w:p w14:paraId="34EE4F33">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.1采购人是否召开答疑会：详见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须知前附表。如采购人召开答疑会的，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应遵守如下规定：</w:t>
      </w:r>
    </w:p>
    <w:p w14:paraId="1731E0B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须知前附表规定的时间和形式将提出的问题送达采购人，以便采购人在会议期间澄清；</w:t>
      </w:r>
    </w:p>
    <w:p w14:paraId="5630443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不得以任何形式扰乱答疑会秩序。</w:t>
      </w:r>
    </w:p>
    <w:p w14:paraId="4B4DBACC">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.2采购人对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提出问题的澄清，以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须知前附表规定的形式通知所有登记参与本项目的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，该澄清内容为招标文件的组成部分。</w:t>
      </w:r>
    </w:p>
    <w:p w14:paraId="6A47F093">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.3 投标预备会后，采购人将对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所提问题的澄清，以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须知前附表规定的形式通知所有购买招标文件的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。该澄清内容为招标文件的组成部分。</w:t>
      </w:r>
    </w:p>
    <w:p w14:paraId="03B0EB77">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39" w:name="_Toc23575"/>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分包</w:t>
      </w:r>
      <w:bookmarkEnd w:id="39"/>
    </w:p>
    <w:p w14:paraId="0FC08264">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.1采购人是否允许分包：详见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须知前附表。如采购人允许分包的，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应遵守如下规定：</w:t>
      </w:r>
    </w:p>
    <w:p w14:paraId="7E10638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拟在中标后将中标项目的非主体、非关键性工作分包的，分包承担主体应当具备相应资质条件且不得再次分包；</w:t>
      </w:r>
    </w:p>
    <w:p w14:paraId="3DC500F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须知前附表规定的非主体、非关键性工作外的其他工作不得分包。</w:t>
      </w:r>
    </w:p>
    <w:p w14:paraId="74092CEF">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40" w:name="_Toc15928"/>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样品</w:t>
      </w:r>
      <w:bookmarkEnd w:id="40"/>
    </w:p>
    <w:p w14:paraId="3BE438A3">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.1采购人是否要求提供样品：详见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须知前附表。如采购人要求提供样品的，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须知前附表要求提交。</w:t>
      </w:r>
    </w:p>
    <w:p w14:paraId="4B3212BC">
      <w:pPr>
        <w:pageBreakBefore w:val="0"/>
        <w:kinsoku/>
        <w:wordWrap w:val="0"/>
        <w:overflowPunct/>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.2采购人是否要求随样品提交检测报告：详见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须知前附表。如采购人要求随样品提交检测报告的，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须知前附表要求提交。</w:t>
      </w:r>
    </w:p>
    <w:p w14:paraId="67CF7C58">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41" w:name="_Toc23214"/>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 响应和偏差</w:t>
      </w:r>
      <w:bookmarkEnd w:id="41"/>
    </w:p>
    <w:p w14:paraId="62119081">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 投标文件应当对招标文件的实质性要求和条件作出满足性或更有利于采购人的响应，否则，</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的投标将被否决。实质性要求和条件见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BF0EE3F">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应根据招标文件的要求对招标文件作出响应。</w:t>
      </w:r>
    </w:p>
    <w:p w14:paraId="189566E2">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.3 偏差:见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3501A052">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42" w:name="_Toc32407"/>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须知前附表中的符号定义</w:t>
      </w:r>
      <w:bookmarkEnd w:id="42"/>
    </w:p>
    <w:p w14:paraId="28CDC6F2">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“■”代表选择，“□”代表未选择。</w:t>
      </w:r>
    </w:p>
    <w:p w14:paraId="4D6078E6">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43" w:name="_Toc2955"/>
      <w:bookmarkStart w:id="44" w:name="_Toc27813"/>
      <w:r>
        <w:rPr>
          <w:rFonts w:hint="eastAsia" w:ascii="仿宋" w:hAnsi="仿宋" w:eastAsia="仿宋" w:cs="仿宋"/>
          <w:color w:val="auto"/>
          <w:sz w:val="28"/>
          <w:szCs w:val="28"/>
          <w:highlight w:val="none"/>
        </w:rPr>
        <w:t>二、招标文件</w:t>
      </w:r>
      <w:bookmarkEnd w:id="43"/>
      <w:bookmarkEnd w:id="44"/>
    </w:p>
    <w:p w14:paraId="26C8AF99">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45" w:name="_Toc10926"/>
      <w:r>
        <w:rPr>
          <w:rFonts w:hint="eastAsia" w:ascii="仿宋" w:hAnsi="仿宋" w:eastAsia="仿宋" w:cs="仿宋"/>
          <w:color w:val="auto"/>
          <w:sz w:val="24"/>
          <w:szCs w:val="24"/>
          <w:highlight w:val="none"/>
        </w:rPr>
        <w:t>2.1招标文件的组成</w:t>
      </w:r>
      <w:bookmarkEnd w:id="45"/>
    </w:p>
    <w:p w14:paraId="5454F88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5871B521">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w:t>
      </w:r>
    </w:p>
    <w:p w14:paraId="156A208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评标办法</w:t>
      </w:r>
    </w:p>
    <w:p w14:paraId="40F69A4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合同基本条款及格式</w:t>
      </w:r>
    </w:p>
    <w:p w14:paraId="0F94ECB3">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投标文件格式</w:t>
      </w:r>
    </w:p>
    <w:p w14:paraId="3CB456B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采购需求及要求</w:t>
      </w:r>
    </w:p>
    <w:p w14:paraId="482E726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注：对招标文件作出的澄清、修改属招标文件的组成部分。</w:t>
      </w:r>
    </w:p>
    <w:p w14:paraId="0D9BCFE8">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46" w:name="_Toc22250"/>
      <w:r>
        <w:rPr>
          <w:rFonts w:hint="eastAsia" w:ascii="仿宋" w:hAnsi="仿宋" w:eastAsia="仿宋" w:cs="仿宋"/>
          <w:color w:val="auto"/>
          <w:sz w:val="24"/>
          <w:szCs w:val="24"/>
          <w:highlight w:val="none"/>
        </w:rPr>
        <w:t>2.2招标文件的澄清</w:t>
      </w:r>
      <w:bookmarkEnd w:id="46"/>
    </w:p>
    <w:p w14:paraId="3FF82CA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应仔细阅读和检查招标文件的全部内容。如发现缺页或附件不全，应及时向采购人提出，以便补齐。如有疑问，应按照</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须知前附表规定的时间和形式将提出的问题送达采购人，要求采购人对招标文件予以澄清。</w:t>
      </w:r>
    </w:p>
    <w:p w14:paraId="0072FB5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2.2.2招标文件的澄清以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须知前附表规定的形式发给所有参与本项目的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，但不指明澄清问题的来源。澄清发出的时间距本章第4.2.1项规定的投标截止时间不足15日的，并且澄清内容可能影响投标文件编制的，将相应延长投标截止时间。</w:t>
      </w:r>
    </w:p>
    <w:p w14:paraId="74B3849D">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收到澄清通知后，应按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须知前附表规定的时间和形式通知采购人，确认已收到该澄清。</w:t>
      </w:r>
    </w:p>
    <w:p w14:paraId="1D954C6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2.2.4除非采购人认为确有必要答复，否则，采购人有权拒绝回复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在本章第2.2.1项规定的时间后的任何澄清要求。</w:t>
      </w:r>
    </w:p>
    <w:p w14:paraId="08F0FE67">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47" w:name="_Toc25182"/>
      <w:r>
        <w:rPr>
          <w:rFonts w:hint="eastAsia" w:ascii="仿宋" w:hAnsi="仿宋" w:eastAsia="仿宋" w:cs="仿宋"/>
          <w:color w:val="auto"/>
          <w:sz w:val="24"/>
          <w:szCs w:val="24"/>
          <w:highlight w:val="none"/>
        </w:rPr>
        <w:t>2.3 招标文件的修改</w:t>
      </w:r>
      <w:bookmarkEnd w:id="47"/>
    </w:p>
    <w:p w14:paraId="52AB427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2.3.1采购人以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须知前附表规定的形式修改招标文件，并通知所有已购买招标文件的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。修改招标文件的时间距本章4.2.1项规定的投标截止时间不足15日的，并且修改内容可能影响投标文件编制的，将相应延长投标截止时间。</w:t>
      </w:r>
    </w:p>
    <w:p w14:paraId="14FA7CEF">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收到修改内容后，应按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须知前附表规定的时间和形式通知采购人，确认已收到该修改。</w:t>
      </w:r>
    </w:p>
    <w:p w14:paraId="53F089FD">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48" w:name="_Toc1522"/>
      <w:bookmarkStart w:id="49" w:name="_Toc21874"/>
      <w:r>
        <w:rPr>
          <w:rFonts w:hint="eastAsia" w:ascii="仿宋" w:hAnsi="仿宋" w:eastAsia="仿宋" w:cs="仿宋"/>
          <w:color w:val="auto"/>
          <w:sz w:val="28"/>
          <w:szCs w:val="28"/>
          <w:highlight w:val="none"/>
        </w:rPr>
        <w:t>三、投标文件</w:t>
      </w:r>
      <w:bookmarkEnd w:id="48"/>
      <w:bookmarkEnd w:id="49"/>
    </w:p>
    <w:p w14:paraId="4ECB1036">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0" w:name="_Toc9753"/>
      <w:r>
        <w:rPr>
          <w:rFonts w:hint="eastAsia" w:ascii="仿宋" w:hAnsi="仿宋" w:eastAsia="仿宋" w:cs="仿宋"/>
          <w:color w:val="auto"/>
          <w:sz w:val="24"/>
          <w:szCs w:val="24"/>
          <w:highlight w:val="none"/>
        </w:rPr>
        <w:t>3.1 投标文件的组成</w:t>
      </w:r>
      <w:bookmarkEnd w:id="50"/>
    </w:p>
    <w:p w14:paraId="3985215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应按招标文件规定的内容和格式编制并提交投标文件，投标文件应包括以下内容：</w:t>
      </w:r>
    </w:p>
    <w:p w14:paraId="566B8DB7">
      <w:pPr>
        <w:pageBreakBefore w:val="0"/>
        <w:kinsoku/>
        <w:wordWrap w:val="0"/>
        <w:overflowPunct/>
        <w:bidi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（1）资格审查部分</w:t>
      </w:r>
    </w:p>
    <w:p w14:paraId="208D1315">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（2）技术部分</w:t>
      </w:r>
    </w:p>
    <w:p w14:paraId="0C28D50B">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（3）商务部分</w:t>
      </w:r>
    </w:p>
    <w:p w14:paraId="3C1E4FC2">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（4）招标文件要求或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认为需要提交的其他资料</w:t>
      </w:r>
    </w:p>
    <w:p w14:paraId="2FED233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在评标过程中作出的符合法律法规和招标文件规定的澄清、说明或者补正属投标文件的组成部分。</w:t>
      </w:r>
    </w:p>
    <w:p w14:paraId="31BCF4EE">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1" w:name="_Toc20206"/>
      <w:r>
        <w:rPr>
          <w:rFonts w:hint="eastAsia" w:ascii="仿宋" w:hAnsi="仿宋" w:eastAsia="仿宋" w:cs="仿宋"/>
          <w:color w:val="auto"/>
          <w:sz w:val="24"/>
          <w:szCs w:val="24"/>
          <w:highlight w:val="none"/>
        </w:rPr>
        <w:t>3.2 投标报价</w:t>
      </w:r>
      <w:bookmarkEnd w:id="51"/>
    </w:p>
    <w:p w14:paraId="7EE9037B">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应充分了解该项目的总体情况以及影响投标报价的其他要素</w:t>
      </w:r>
      <w:r>
        <w:rPr>
          <w:rFonts w:hint="eastAsia" w:ascii="仿宋" w:hAnsi="仿宋" w:eastAsia="仿宋" w:cs="仿宋"/>
          <w:strike w:val="0"/>
          <w:color w:val="auto"/>
          <w:sz w:val="24"/>
          <w:szCs w:val="24"/>
          <w:highlight w:val="none"/>
          <w:lang w:eastAsia="zh-CN"/>
        </w:rPr>
        <w:t>，</w:t>
      </w:r>
      <w:r>
        <w:rPr>
          <w:rFonts w:hint="eastAsia" w:ascii="仿宋" w:hAnsi="仿宋" w:eastAsia="仿宋" w:cs="仿宋"/>
          <w:color w:val="auto"/>
          <w:sz w:val="24"/>
          <w:szCs w:val="24"/>
          <w:highlight w:val="none"/>
        </w:rPr>
        <w:t>就本项目采购内容做完整唯一报价，不得缺项、漏项，否则其投标文件将按无效投标处理。由于</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分项报价填报不完整、不清楚或存在其它任何失误所导致的不良后果，均由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61B5362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设有最高投标限价的，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的投标报价不得超过最高投标限价，最高投标限价在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须知前附表中载明。</w:t>
      </w:r>
    </w:p>
    <w:p w14:paraId="4D9B0881">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 最高投标限价见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FDEC20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 xml:space="preserve"> 投标报价的其它要求见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27B9760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不得哄抬报价，也不能低于成本价竞标。评标委员会认为</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的投标报价或者某些分项报价明显不合理或者低于成本，有可能影响服务质量或不能诚信履约的，将要求其在规定的期限内提供书面文件予以解释说明，并提交相关证明材料；</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不能证明其报价合理性的，评标委员会将认定</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的投标文件无效。</w:t>
      </w:r>
    </w:p>
    <w:p w14:paraId="29BB071A">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2" w:name="_Toc31423"/>
      <w:r>
        <w:rPr>
          <w:rFonts w:hint="eastAsia" w:ascii="仿宋" w:hAnsi="仿宋" w:eastAsia="仿宋" w:cs="仿宋"/>
          <w:color w:val="auto"/>
          <w:sz w:val="24"/>
          <w:szCs w:val="24"/>
          <w:highlight w:val="none"/>
        </w:rPr>
        <w:t>3.3 投标有效期</w:t>
      </w:r>
      <w:bookmarkEnd w:id="52"/>
    </w:p>
    <w:p w14:paraId="650D0899">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须知前附表另有规定外，投标有效期</w:t>
      </w:r>
      <w:r>
        <w:rPr>
          <w:rFonts w:hint="eastAsia" w:ascii="仿宋" w:hAnsi="仿宋" w:eastAsia="仿宋" w:cs="仿宋"/>
          <w:color w:val="auto"/>
          <w:sz w:val="24"/>
          <w:szCs w:val="24"/>
          <w:highlight w:val="none"/>
          <w:lang w:val="en-US" w:eastAsia="zh-CN"/>
        </w:rPr>
        <w:t>为90</w:t>
      </w:r>
      <w:r>
        <w:rPr>
          <w:rFonts w:hint="eastAsia" w:ascii="仿宋" w:hAnsi="仿宋" w:eastAsia="仿宋" w:cs="仿宋"/>
          <w:color w:val="auto"/>
          <w:sz w:val="24"/>
          <w:szCs w:val="24"/>
          <w:highlight w:val="none"/>
        </w:rPr>
        <w:t>日历天。</w:t>
      </w:r>
    </w:p>
    <w:p w14:paraId="3762B83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3.3.2在投标有效期内，</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撤销或修改其投标文件的，应承担招标文件和法律规定的责任。</w:t>
      </w:r>
    </w:p>
    <w:p w14:paraId="35DFF20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3.3.3出现特殊情况需要延长投标有效期的，采购人以书面形式通知所有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延长投标有效期。</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应予以书面答复，同意延长的，应相应延长其投标保证金的有效期，但不得要求或被允许修改其投标文件；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拒绝延长的，其投标失效，但</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有权收回其投标保证金。</w:t>
      </w:r>
    </w:p>
    <w:p w14:paraId="64995DE5">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3" w:name="_Toc32204"/>
      <w:r>
        <w:rPr>
          <w:rFonts w:hint="eastAsia" w:ascii="仿宋" w:hAnsi="仿宋" w:eastAsia="仿宋" w:cs="仿宋"/>
          <w:color w:val="auto"/>
          <w:sz w:val="24"/>
          <w:szCs w:val="24"/>
          <w:highlight w:val="none"/>
        </w:rPr>
        <w:t>3.4 投标保证金</w:t>
      </w:r>
      <w:bookmarkEnd w:id="53"/>
    </w:p>
    <w:p w14:paraId="2A35C136">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在递交投标文件的同时，应按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须知前附表规定的金额、形式递交投标保证金。联合体投标的，其投标保证金可以由牵头人递交。</w:t>
      </w:r>
    </w:p>
    <w:p w14:paraId="4E915799">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不按本章第3.4.1项要求提交投标保证金的，其投标将被视为无效投标。</w:t>
      </w:r>
    </w:p>
    <w:p w14:paraId="51BC345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3.4.3采购人或者采购代理机构应当自中标通知书发出之日起5个工作日内退还未中标人的投标保证金，自采购合同签订之日起5个工作日内退还中标人的投标保证金或者转为中标人的履约保证金。</w:t>
      </w:r>
    </w:p>
    <w:p w14:paraId="1C431B13">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3.4.4有下列情形之一的，投标保证金将不予退还：</w:t>
      </w:r>
    </w:p>
    <w:p w14:paraId="15DB2EFC">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在投标有效期内撤销投标文件；</w:t>
      </w:r>
    </w:p>
    <w:p w14:paraId="5D89461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（2）中标人在收到中标通知书后，无正当理由不与采购人订立合同，在签订合同时向采购人提出附加条件，或者不按照招标文件要求提交履约保证金；</w:t>
      </w:r>
    </w:p>
    <w:p w14:paraId="41DEC42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（3）发生</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须知前附表规定的其他可以不予退还投标保证金的情形。</w:t>
      </w:r>
    </w:p>
    <w:p w14:paraId="7C814F1D">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4" w:name="_Toc13522"/>
      <w:r>
        <w:rPr>
          <w:rFonts w:hint="eastAsia" w:ascii="仿宋" w:hAnsi="仿宋" w:eastAsia="仿宋" w:cs="仿宋"/>
          <w:color w:val="auto"/>
          <w:sz w:val="24"/>
          <w:szCs w:val="24"/>
          <w:highlight w:val="none"/>
        </w:rPr>
        <w:t>3.5资格审查资料</w:t>
      </w:r>
    </w:p>
    <w:p w14:paraId="23C369DF">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须知前附表另有规定外，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 xml:space="preserve">应提供资格审查资料，以证明其满足本章第1.4款规定的资质、财务、信誉等要求。 </w:t>
      </w:r>
    </w:p>
    <w:p w14:paraId="00E5BC3A">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备选投标方案</w:t>
      </w:r>
    </w:p>
    <w:p w14:paraId="76513466">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3.6.1 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须知前附表规定允许外，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不得递交备选投标方案，否则其投标将被否决。</w:t>
      </w:r>
    </w:p>
    <w:p w14:paraId="0254817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3.6.2 允许</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递交备选投标方案的，只有中标人所递交的备选投标方案方可予以考虑。评标委员会认为中标人的备选投标方案优于其按照招标文件要求编制的投标方案的，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可以接受该备选投标方案。</w:t>
      </w:r>
    </w:p>
    <w:p w14:paraId="0DAD8D27">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3.6.3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提供两个或两个以上投标报价，或者在投标文件中提供一个报价，但同时提供两个或两个以上供货方案的，视为提供备选方案。</w:t>
      </w:r>
    </w:p>
    <w:p w14:paraId="267948DA">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3.7投标文件的编制</w:t>
      </w:r>
      <w:bookmarkEnd w:id="54"/>
    </w:p>
    <w:p w14:paraId="0D8E78F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3.7.1投标文件应按照第五章“投标文件格式”进行编写，如有必要，可以增加附页，投标文件内容不可书写潦草、字迹模糊不清难以辨认。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en-US" w:eastAsia="zh-CN"/>
        </w:rPr>
        <w:t>应</w:t>
      </w:r>
      <w:r>
        <w:rPr>
          <w:rFonts w:hint="eastAsia" w:ascii="仿宋" w:hAnsi="仿宋" w:eastAsia="仿宋" w:cs="仿宋"/>
          <w:b w:val="0"/>
          <w:bCs w:val="0"/>
          <w:snapToGrid/>
          <w:color w:val="000000"/>
          <w:kern w:val="2"/>
          <w:sz w:val="24"/>
          <w:szCs w:val="24"/>
          <w:highlight w:val="none"/>
          <w:lang w:val="en-US" w:eastAsia="zh-CN"/>
        </w:rPr>
        <w:t>对其提交的投标文件的真实性、合法性承担法律责任。</w:t>
      </w:r>
    </w:p>
    <w:p w14:paraId="6B4F933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3.7.2投标文件应当对招标文件有关采购需求的实质性内容做出响应。投标文件在满足招标文件实质性要求的基础上，可以提出比招标文件要求更有利于采购人的承诺。</w:t>
      </w:r>
    </w:p>
    <w:p w14:paraId="6BF65C27">
      <w:pPr>
        <w:pageBreakBefore w:val="0"/>
        <w:widowControl w:val="0"/>
        <w:kinsoku/>
        <w:wordWrap w:val="0"/>
        <w:overflowPunct/>
        <w:topLinePunct w:val="0"/>
        <w:bidi w:val="0"/>
        <w:spacing w:line="360" w:lineRule="auto"/>
        <w:ind w:left="0"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rPr>
        <w:t>3.7.3投标文件所附证书证件均为原件扫描件，</w:t>
      </w:r>
      <w:r>
        <w:rPr>
          <w:rFonts w:hint="eastAsia" w:ascii="仿宋" w:hAnsi="仿宋" w:eastAsia="仿宋" w:cs="仿宋"/>
          <w:color w:val="000000" w:themeColor="text1"/>
          <w:sz w:val="24"/>
          <w:highlight w:val="none"/>
          <w14:textFill>
            <w14:solidFill>
              <w14:schemeClr w14:val="tx1"/>
            </w14:solidFill>
          </w14:textFill>
        </w:rPr>
        <w:t>关键内容必须清晰可辨，若出现字迹潦草、表达不清、未按要求填写而导致非唯一理解，视为未实质性响应</w:t>
      </w:r>
      <w:r>
        <w:rPr>
          <w:rFonts w:hint="eastAsia" w:ascii="仿宋" w:hAnsi="仿宋" w:eastAsia="仿宋" w:cs="仿宋"/>
          <w:color w:val="000000" w:themeColor="text1"/>
          <w:sz w:val="24"/>
          <w:highlight w:val="none"/>
          <w:lang w:val="en-US" w:eastAsia="zh-CN"/>
          <w14:textFill>
            <w14:solidFill>
              <w14:schemeClr w14:val="tx1"/>
            </w14:solidFill>
          </w14:textFill>
        </w:rPr>
        <w:t>招标</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仿宋"/>
          <w:color w:val="auto"/>
          <w:sz w:val="24"/>
          <w:szCs w:val="24"/>
          <w:highlight w:val="none"/>
        </w:rPr>
        <w:t>投标文件</w:t>
      </w:r>
      <w:r>
        <w:rPr>
          <w:rFonts w:hint="eastAsia" w:ascii="仿宋" w:hAnsi="仿宋" w:eastAsia="仿宋" w:cs="仿宋"/>
          <w:color w:val="000000" w:themeColor="text1"/>
          <w:sz w:val="24"/>
          <w:highlight w:val="none"/>
          <w14:textFill>
            <w14:solidFill>
              <w14:schemeClr w14:val="tx1"/>
            </w14:solidFill>
          </w14:textFill>
        </w:rPr>
        <w:t>将按无效响应处理。</w:t>
      </w:r>
    </w:p>
    <w:p w14:paraId="0A2A27C2">
      <w:pPr>
        <w:pageBreakBefore w:val="0"/>
        <w:widowControl w:val="0"/>
        <w:kinsoku/>
        <w:wordWrap w:val="0"/>
        <w:overflowPunct/>
        <w:topLinePunct w:val="0"/>
        <w:bidi w:val="0"/>
        <w:spacing w:line="360" w:lineRule="auto"/>
        <w:ind w:firstLine="480" w:firstLineChars="200"/>
        <w:jc w:val="both"/>
        <w:textAlignment w:val="auto"/>
        <w:rPr>
          <w:rFonts w:hint="eastAsia" w:ascii="仿宋" w:hAnsi="仿宋" w:eastAsia="仿宋" w:cs="仿宋"/>
          <w:highlight w:val="none"/>
        </w:rPr>
      </w:pPr>
      <w:r>
        <w:rPr>
          <w:rFonts w:hint="eastAsia" w:ascii="仿宋" w:hAnsi="仿宋" w:eastAsia="仿宋" w:cs="仿宋"/>
          <w:color w:val="000000" w:themeColor="text1"/>
          <w:sz w:val="24"/>
          <w:highlight w:val="none"/>
          <w:lang w:val="en-US" w:eastAsia="zh-CN"/>
          <w14:textFill>
            <w14:solidFill>
              <w14:schemeClr w14:val="tx1"/>
            </w14:solidFill>
          </w14:textFill>
        </w:rPr>
        <w:t>3.7.4</w:t>
      </w:r>
      <w:r>
        <w:rPr>
          <w:rFonts w:hint="eastAsia" w:ascii="仿宋" w:hAnsi="仿宋" w:eastAsia="仿宋" w:cs="仿宋"/>
          <w:color w:val="auto"/>
          <w:sz w:val="24"/>
          <w:szCs w:val="24"/>
          <w:highlight w:val="none"/>
        </w:rPr>
        <w:t>投标文件</w:t>
      </w:r>
      <w:r>
        <w:rPr>
          <w:rFonts w:hint="eastAsia" w:ascii="仿宋" w:hAnsi="仿宋" w:eastAsia="仿宋" w:cs="仿宋"/>
          <w:color w:val="000000" w:themeColor="text1"/>
          <w:sz w:val="24"/>
          <w:highlight w:val="none"/>
          <w14:textFill>
            <w14:solidFill>
              <w14:schemeClr w14:val="tx1"/>
            </w14:solidFill>
          </w14:textFill>
        </w:rPr>
        <w:t>应尽量避免涂改、行间插字或删除。如果出现上述情况，改动之处应加盖</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的公章或</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法定代表人或委托代理人签字确认。</w:t>
      </w:r>
    </w:p>
    <w:p w14:paraId="61313781">
      <w:pPr>
        <w:pageBreakBefore w:val="0"/>
        <w:widowControl w:val="0"/>
        <w:kinsoku/>
        <w:wordWrap w:val="0"/>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3.7.5</w:t>
      </w:r>
      <w:r>
        <w:rPr>
          <w:rFonts w:hint="eastAsia" w:ascii="仿宋" w:hAnsi="仿宋" w:eastAsia="仿宋" w:cs="仿宋"/>
          <w:color w:val="auto"/>
          <w:sz w:val="24"/>
          <w:szCs w:val="24"/>
          <w:highlight w:val="none"/>
        </w:rPr>
        <w:t>响应文件签章要求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的法定代表人签字或加盖电子印章的，应附法定代表人身份证明，由代理人签字或加盖电子印章的，应附由法定代表人签署的授权委托书。签章、签字或盖章的具体要求见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0B7585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是否要求提交纸质版投标文件：详见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须知前附表。如要求提交纸质版投标文件，投标文件的份数详见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7B547D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是否要求提交可编辑电子版投标文件：详见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须知前附表。如要求提交可编辑电子版投标文件，投标文件的要求详见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081EEE10">
      <w:pPr>
        <w:pageBreakBefore w:val="0"/>
        <w:kinsoku/>
        <w:wordWrap w:val="0"/>
        <w:overflowPunct/>
        <w:bidi w:val="0"/>
        <w:spacing w:line="360" w:lineRule="auto"/>
        <w:ind w:firstLine="48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3.7.8电子投标文件编制要求：</w:t>
      </w:r>
    </w:p>
    <w:p w14:paraId="0B6CD1CB">
      <w:pPr>
        <w:pageBreakBefore w:val="0"/>
        <w:kinsoku/>
        <w:wordWrap w:val="0"/>
        <w:overflowPunct/>
        <w:bidi w:val="0"/>
        <w:spacing w:line="360" w:lineRule="auto"/>
        <w:ind w:firstLine="48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（1）投标人应按本招标文件规定的格式和顺序编制，投标文件内容不完整、编排混乱导致投标文件被误读、漏读或者查找不到相关内容的，是投标人的责任。</w:t>
      </w:r>
    </w:p>
    <w:p w14:paraId="58A6656D">
      <w:pPr>
        <w:pageBreakBefore w:val="0"/>
        <w:widowControl w:val="0"/>
        <w:kinsoku/>
        <w:wordWrap w:val="0"/>
        <w:overflowPunct/>
        <w:topLinePunct w:val="0"/>
        <w:bidi w:val="0"/>
        <w:spacing w:line="360" w:lineRule="auto"/>
        <w:ind w:firstLine="480" w:firstLineChars="200"/>
        <w:jc w:val="both"/>
        <w:textAlignment w:val="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000000" w:themeColor="text1"/>
          <w:sz w:val="24"/>
          <w:highlight w:val="none"/>
          <w14:textFill>
            <w14:solidFill>
              <w14:schemeClr w14:val="tx1"/>
            </w14:solidFill>
          </w14:textFill>
        </w:rPr>
        <w:t>文件全部采用电子文档，</w:t>
      </w: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应安装客户端软件—“政采云电子交易客户端”，并按照</w:t>
      </w:r>
      <w:r>
        <w:rPr>
          <w:rFonts w:hint="eastAsia" w:ascii="仿宋" w:hAnsi="仿宋" w:eastAsia="仿宋" w:cs="仿宋"/>
          <w:color w:val="000000" w:themeColor="text1"/>
          <w:sz w:val="24"/>
          <w:highlight w:val="none"/>
          <w:lang w:val="en-US" w:eastAsia="zh-CN"/>
          <w14:textFill>
            <w14:solidFill>
              <w14:schemeClr w14:val="tx1"/>
            </w14:solidFill>
          </w14:textFill>
        </w:rPr>
        <w:t>招标</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和政采云电子交易平台的要求编制，编制后应进行电子签名及加密。</w:t>
      </w:r>
    </w:p>
    <w:p w14:paraId="06BDD8C1">
      <w:pPr>
        <w:pageBreakBefore w:val="0"/>
        <w:kinsoku/>
        <w:wordWrap w:val="0"/>
        <w:overflowPunct/>
        <w:bidi w:val="0"/>
        <w:spacing w:line="360" w:lineRule="auto"/>
        <w:ind w:firstLine="48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（3）投标人在提交投标文件截止时间前，首先应将电子投标文件上传到政采云系统。如果投标人没有按规定网上递交电子投标文件，视为未按要求提交。</w:t>
      </w:r>
    </w:p>
    <w:p w14:paraId="2D1C59D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（4）如投标人提交的电子投标文件不符合要求或开标时无法读取导入或解密，其投标文件视为未按要求提交。</w:t>
      </w:r>
    </w:p>
    <w:p w14:paraId="0517B68C">
      <w:pPr>
        <w:pageBreakBefore w:val="0"/>
        <w:widowControl w:val="0"/>
        <w:kinsoku/>
        <w:wordWrap w:val="0"/>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响应文件份数：按“政采云”要求，上传电子响应文件壹份。</w:t>
      </w:r>
    </w:p>
    <w:p w14:paraId="46DB4DD8">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55" w:name="_Toc5573"/>
      <w:bookmarkStart w:id="56" w:name="_Toc5163"/>
      <w:r>
        <w:rPr>
          <w:rFonts w:hint="eastAsia" w:ascii="仿宋" w:hAnsi="仿宋" w:eastAsia="仿宋" w:cs="仿宋"/>
          <w:color w:val="auto"/>
          <w:sz w:val="28"/>
          <w:szCs w:val="28"/>
          <w:highlight w:val="none"/>
        </w:rPr>
        <w:t>四、投标</w:t>
      </w:r>
      <w:bookmarkEnd w:id="55"/>
      <w:bookmarkEnd w:id="56"/>
    </w:p>
    <w:p w14:paraId="29CE9DB8">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7" w:name="_Toc23058"/>
      <w:r>
        <w:rPr>
          <w:rFonts w:hint="eastAsia" w:ascii="仿宋" w:hAnsi="仿宋" w:eastAsia="仿宋" w:cs="仿宋"/>
          <w:color w:val="auto"/>
          <w:sz w:val="24"/>
          <w:szCs w:val="24"/>
          <w:highlight w:val="none"/>
        </w:rPr>
        <w:t>4.1投标文件的密封与标识</w:t>
      </w:r>
      <w:bookmarkEnd w:id="57"/>
    </w:p>
    <w:p w14:paraId="2E7669CB">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w:t>
      </w:r>
      <w:bookmarkStart w:id="58" w:name="_Toc18682"/>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进行电子交易应安装客户端软件—“政采云电子交易客户端”，并按照招标文件和电子交易平台的要求编制并加密投标文件。</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未按规定加密的投标文件，电子交易平台将拒收并提示。</w:t>
      </w:r>
    </w:p>
    <w:p w14:paraId="6CABADC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4.1.2</w:t>
      </w:r>
      <w:r>
        <w:rPr>
          <w:rFonts w:hint="eastAsia" w:ascii="仿宋" w:hAnsi="仿宋" w:eastAsia="仿宋" w:cs="仿宋"/>
          <w:color w:val="auto"/>
          <w:sz w:val="24"/>
          <w:szCs w:val="24"/>
          <w:highlight w:val="none"/>
        </w:rPr>
        <w:t>使用“政采云电子交易客户端”需要提前申领 CA 数字证书，申领流程见该项目招标公告。</w:t>
      </w:r>
    </w:p>
    <w:p w14:paraId="4AE6077F">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4.1.3</w:t>
      </w:r>
      <w:r>
        <w:rPr>
          <w:rFonts w:hint="eastAsia" w:ascii="仿宋" w:hAnsi="仿宋" w:eastAsia="仿宋" w:cs="仿宋"/>
          <w:color w:val="auto"/>
          <w:sz w:val="24"/>
          <w:szCs w:val="24"/>
          <w:highlight w:val="none"/>
        </w:rPr>
        <w:t>为确保网上操作合法、有效和安全，</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应当在投标文件提交截止时间前完成在 “政府采购云平台”的身份认证，确保在电子交易过程中能够对相关数据电文进行加密和使用电子签名。</w:t>
      </w:r>
    </w:p>
    <w:p w14:paraId="5EF32F4D">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投标文件的递交</w:t>
      </w:r>
      <w:bookmarkEnd w:id="58"/>
    </w:p>
    <w:p w14:paraId="12B76EB1">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须知前附表规定的投标截止时间前递交投标文件。</w:t>
      </w:r>
    </w:p>
    <w:p w14:paraId="54AD82F0">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须知前附表另有规定外，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所递交的投标文件不予退还。</w:t>
      </w:r>
    </w:p>
    <w:p w14:paraId="77FB1FBC">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4.2.3投标文件制作完成并生成加密电子标书后，</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需在开标前将加密的投标电子文件上传至政采云平台。</w:t>
      </w:r>
    </w:p>
    <w:p w14:paraId="2C12C57B">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59" w:name="_Toc13591"/>
      <w:r>
        <w:rPr>
          <w:rFonts w:hint="eastAsia" w:ascii="仿宋" w:hAnsi="仿宋" w:eastAsia="仿宋" w:cs="仿宋"/>
          <w:color w:val="auto"/>
          <w:sz w:val="24"/>
          <w:szCs w:val="24"/>
          <w:highlight w:val="none"/>
        </w:rPr>
        <w:t>4.3投标文件的修改与撤回</w:t>
      </w:r>
      <w:bookmarkEnd w:id="59"/>
    </w:p>
    <w:p w14:paraId="42EBF4C3">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4.3.1在本章第4.2.1项规定的投标截止时间前，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可以修改或撤回已在网上上传的投标文件，无须书面形式通知采购人。</w:t>
      </w:r>
    </w:p>
    <w:p w14:paraId="068FCAD7">
      <w:pPr>
        <w:pageBreakBefore w:val="0"/>
        <w:kinsoku/>
        <w:wordWrap w:val="0"/>
        <w:overflowPunct/>
        <w:bidi w:val="0"/>
        <w:spacing w:line="440" w:lineRule="exact"/>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撤回投标文件的，可在规定时间内申请退还已缴纳的投标保证金。</w:t>
      </w:r>
    </w:p>
    <w:p w14:paraId="4FC67174">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4.3.4修改的内容为投标文件的组成部分，修改的投标文件应按照本章第3条、第4条的规定进行编制、加密和递交，并标明“修改”字样。</w:t>
      </w:r>
    </w:p>
    <w:p w14:paraId="5DD40403">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60" w:name="_Toc5685"/>
      <w:bookmarkStart w:id="61" w:name="_Toc10152"/>
      <w:r>
        <w:rPr>
          <w:rFonts w:hint="eastAsia" w:ascii="仿宋" w:hAnsi="仿宋" w:eastAsia="仿宋" w:cs="仿宋"/>
          <w:color w:val="auto"/>
          <w:sz w:val="28"/>
          <w:szCs w:val="28"/>
          <w:highlight w:val="none"/>
        </w:rPr>
        <w:t>五、开标</w:t>
      </w:r>
      <w:bookmarkEnd w:id="60"/>
      <w:bookmarkEnd w:id="61"/>
    </w:p>
    <w:p w14:paraId="7D3887A2">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62" w:name="_Toc21160"/>
      <w:r>
        <w:rPr>
          <w:rFonts w:hint="eastAsia" w:ascii="仿宋" w:hAnsi="仿宋" w:eastAsia="仿宋" w:cs="仿宋"/>
          <w:color w:val="auto"/>
          <w:sz w:val="24"/>
          <w:szCs w:val="24"/>
          <w:highlight w:val="none"/>
        </w:rPr>
        <w:t>5.1开标时间和地点</w:t>
      </w:r>
      <w:bookmarkEnd w:id="62"/>
    </w:p>
    <w:p w14:paraId="6D099797">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采购人在本章第4.2.1项规定的投标截止时间（开标时间）和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须知前附表规定的地点进行开标。</w:t>
      </w:r>
    </w:p>
    <w:p w14:paraId="766422DA">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63" w:name="_Toc19799"/>
      <w:r>
        <w:rPr>
          <w:rFonts w:hint="eastAsia" w:ascii="仿宋" w:hAnsi="仿宋" w:eastAsia="仿宋" w:cs="仿宋"/>
          <w:color w:val="auto"/>
          <w:sz w:val="24"/>
          <w:szCs w:val="24"/>
          <w:highlight w:val="none"/>
        </w:rPr>
        <w:t>5.2开标程序</w:t>
      </w:r>
      <w:bookmarkEnd w:id="63"/>
    </w:p>
    <w:p w14:paraId="476DED6C">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5.2.1</w:t>
      </w:r>
      <w:r>
        <w:rPr>
          <w:rFonts w:hint="eastAsia" w:ascii="仿宋" w:hAnsi="仿宋" w:eastAsia="仿宋" w:cs="仿宋"/>
          <w:color w:val="auto"/>
          <w:sz w:val="24"/>
          <w:szCs w:val="24"/>
          <w:highlight w:val="none"/>
          <w:lang w:val="en-US" w:eastAsia="zh-CN"/>
        </w:rPr>
        <w:t xml:space="preserve">根据电子标系统显示投标人名称正顺序解密投标文件并唱标； </w:t>
      </w:r>
    </w:p>
    <w:p w14:paraId="083AD7C9">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5.2.2 采购代理机构在电子交易平台发起开始解密指令，投标人须使用加密时所用的CA 锁在投标截止时间前提前登录“政采云平台”（https://www.zcygov.cn）</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"http://116.55.195.71:8001/ynggfwpt-xinxi-web/#/homePage）”，进入开标室页面，并按照指令提示完成投标文件远程解密、查看开标一览表等相关操作。"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进入对应项目开标大厅</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，并在发起解密指令</w:t>
      </w:r>
      <w:r>
        <w:rPr>
          <w:rFonts w:hint="eastAsia" w:ascii="仿宋" w:hAnsi="仿宋" w:eastAsia="仿宋" w:cs="仿宋"/>
          <w:strike w:val="0"/>
          <w:dstrike w:val="0"/>
          <w:color w:val="auto"/>
          <w:sz w:val="24"/>
          <w:szCs w:val="24"/>
          <w:highlight w:val="none"/>
          <w:lang w:val="en-US" w:eastAsia="zh-CN"/>
        </w:rPr>
        <w:t>后的</w:t>
      </w:r>
      <w:r>
        <w:rPr>
          <w:rFonts w:hint="eastAsia" w:ascii="仿宋" w:hAnsi="仿宋" w:eastAsia="仿宋" w:cs="仿宋"/>
          <w:color w:val="auto"/>
          <w:sz w:val="24"/>
          <w:szCs w:val="24"/>
          <w:highlight w:val="none"/>
          <w:lang w:val="en-US" w:eastAsia="zh-CN"/>
        </w:rPr>
        <w:t>规定时间内完成对电子投标文件</w:t>
      </w:r>
      <w:r>
        <w:rPr>
          <w:rFonts w:hint="eastAsia" w:ascii="仿宋" w:hAnsi="仿宋" w:eastAsia="仿宋" w:cs="仿宋"/>
          <w:strike w:val="0"/>
          <w:color w:val="auto"/>
          <w:sz w:val="24"/>
          <w:szCs w:val="24"/>
          <w:highlight w:val="none"/>
          <w:lang w:val="en-US" w:eastAsia="zh-CN"/>
        </w:rPr>
        <w:t>的</w:t>
      </w:r>
      <w:r>
        <w:rPr>
          <w:rFonts w:hint="eastAsia" w:ascii="仿宋" w:hAnsi="仿宋" w:eastAsia="仿宋" w:cs="仿宋"/>
          <w:color w:val="auto"/>
          <w:sz w:val="24"/>
          <w:szCs w:val="24"/>
          <w:highlight w:val="none"/>
          <w:lang w:val="en-US" w:eastAsia="zh-CN"/>
        </w:rPr>
        <w:t>在线解密。因投标人操作失误或自身原因导致解密失败的，视为放弃此次投标；因投标人之外的原因造成投标文件未解密的，视为撤回其投标文件，投标人有权要求责任方赔偿因此遭受的直接损失。部分投标文件未解密的，其他投标文件的开标可以继续进行。</w:t>
      </w:r>
      <w:r>
        <w:rPr>
          <w:rFonts w:hint="eastAsia" w:ascii="仿宋" w:hAnsi="仿宋" w:eastAsia="仿宋" w:cs="仿宋"/>
          <w:color w:val="auto"/>
          <w:sz w:val="24"/>
          <w:szCs w:val="24"/>
          <w:highlight w:val="none"/>
        </w:rPr>
        <w:t>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成功解密投标文件，但未在“政采云”电子开标大厅参加开标的，视同认可开标过程和结果，由此产生的后果由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自行负责。</w:t>
      </w:r>
      <w:r>
        <w:rPr>
          <w:rFonts w:hint="eastAsia" w:ascii="仿宋" w:hAnsi="仿宋" w:eastAsia="仿宋" w:cs="仿宋"/>
          <w:color w:val="auto"/>
          <w:sz w:val="24"/>
          <w:szCs w:val="24"/>
          <w:highlight w:val="none"/>
          <w:lang w:val="en-US" w:eastAsia="zh-CN"/>
        </w:rPr>
        <w:t xml:space="preserve">唱标结束后，投标人未提出异议的，视为认可开标、唱标结果。 </w:t>
      </w:r>
    </w:p>
    <w:p w14:paraId="265D49BB">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5.2.4 开标会议结束。</w:t>
      </w:r>
    </w:p>
    <w:p w14:paraId="2D92D741">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 xml:space="preserve">5 </w:t>
      </w:r>
      <w:r>
        <w:rPr>
          <w:rFonts w:hint="eastAsia" w:ascii="仿宋" w:hAnsi="仿宋" w:eastAsia="仿宋" w:cs="仿宋"/>
          <w:color w:val="auto"/>
          <w:sz w:val="24"/>
          <w:szCs w:val="24"/>
          <w:highlight w:val="none"/>
        </w:rPr>
        <w:t>有以下情形之一者，将作为无效标书处理：</w:t>
      </w:r>
    </w:p>
    <w:p w14:paraId="2ABFC254">
      <w:pPr>
        <w:pageBreakBefore w:val="0"/>
        <w:kinsoku/>
        <w:wordWrap w:val="0"/>
        <w:overflowPunct/>
        <w:bidi w:val="0"/>
        <w:spacing w:line="44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（1）投标文件逾期送达的；</w:t>
      </w:r>
    </w:p>
    <w:p w14:paraId="1ED90FA7">
      <w:pPr>
        <w:pageBreakBefore w:val="0"/>
        <w:kinsoku/>
        <w:wordWrap w:val="0"/>
        <w:overflowPunct/>
        <w:bidi w:val="0"/>
        <w:spacing w:line="44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（2）投标文件未按要求加密的；</w:t>
      </w:r>
    </w:p>
    <w:p w14:paraId="2CC08597">
      <w:pPr>
        <w:pageBreakBefore w:val="0"/>
        <w:kinsoku/>
        <w:wordWrap w:val="0"/>
        <w:overflowPunct/>
        <w:bidi w:val="0"/>
        <w:spacing w:line="44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（3）投标文件未按招标文件要求进行电子签名的；</w:t>
      </w:r>
    </w:p>
    <w:p w14:paraId="50BDAEC2">
      <w:pPr>
        <w:pageBreakBefore w:val="0"/>
        <w:kinsoku/>
        <w:wordWrap w:val="0"/>
        <w:overflowPunct/>
        <w:bidi w:val="0"/>
        <w:spacing w:line="44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（4）投标文件未按规定的格式、内容和要求填写的；</w:t>
      </w:r>
    </w:p>
    <w:p w14:paraId="21B5D588">
      <w:pPr>
        <w:pageBreakBefore w:val="0"/>
        <w:kinsoku/>
        <w:wordWrap w:val="0"/>
        <w:overflowPunct/>
        <w:bidi w:val="0"/>
        <w:spacing w:line="44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（5）投标人未能按要求提交投标保证金的；</w:t>
      </w:r>
    </w:p>
    <w:p w14:paraId="1B37006F">
      <w:pPr>
        <w:pageBreakBefore w:val="0"/>
        <w:kinsoku/>
        <w:wordWrap w:val="0"/>
        <w:overflowPunct/>
        <w:bidi w:val="0"/>
        <w:spacing w:line="440" w:lineRule="exact"/>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（6）内容填写不全或者扫描件模糊不清的。</w:t>
      </w:r>
    </w:p>
    <w:p w14:paraId="63838EB2">
      <w:pPr>
        <w:pStyle w:val="5"/>
        <w:pageBreakBefore w:val="0"/>
        <w:kinsoku/>
        <w:wordWrap w:val="0"/>
        <w:overflowPunct/>
        <w:bidi w:val="0"/>
        <w:spacing w:before="0" w:after="0" w:line="440" w:lineRule="exact"/>
        <w:ind w:firstLine="103"/>
        <w:rPr>
          <w:rFonts w:hint="eastAsia" w:ascii="仿宋" w:hAnsi="仿宋" w:eastAsia="仿宋" w:cs="仿宋"/>
          <w:color w:val="auto"/>
          <w:sz w:val="24"/>
          <w:szCs w:val="24"/>
          <w:highlight w:val="none"/>
        </w:rPr>
      </w:pPr>
      <w:bookmarkStart w:id="64" w:name="_Toc300834983"/>
      <w:bookmarkStart w:id="65" w:name="_Toc13588"/>
      <w:bookmarkStart w:id="66" w:name="_Toc28868"/>
      <w:r>
        <w:rPr>
          <w:rFonts w:hint="eastAsia" w:ascii="仿宋" w:hAnsi="仿宋" w:eastAsia="仿宋" w:cs="仿宋"/>
          <w:color w:val="auto"/>
          <w:sz w:val="24"/>
          <w:szCs w:val="24"/>
          <w:highlight w:val="none"/>
        </w:rPr>
        <w:t>5.3 开标异议</w:t>
      </w:r>
      <w:bookmarkEnd w:id="64"/>
      <w:bookmarkEnd w:id="65"/>
      <w:bookmarkEnd w:id="66"/>
    </w:p>
    <w:p w14:paraId="7B638683">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投标人对开标有异议的，应当在“政采云平台”（https://www.zcygov.cn）提出，</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当场作出答复。</w:t>
      </w:r>
    </w:p>
    <w:p w14:paraId="4D3AFBAC">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投标人不足</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家的，不得开标。</w:t>
      </w:r>
    </w:p>
    <w:p w14:paraId="06A215FF">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67" w:name="_Toc12404"/>
      <w:bookmarkStart w:id="68" w:name="_Toc12953"/>
      <w:r>
        <w:rPr>
          <w:rFonts w:hint="eastAsia" w:ascii="仿宋" w:hAnsi="仿宋" w:eastAsia="仿宋" w:cs="仿宋"/>
          <w:color w:val="auto"/>
          <w:sz w:val="28"/>
          <w:szCs w:val="28"/>
          <w:highlight w:val="none"/>
        </w:rPr>
        <w:t>六、资格审查</w:t>
      </w:r>
      <w:bookmarkEnd w:id="67"/>
      <w:bookmarkEnd w:id="68"/>
    </w:p>
    <w:p w14:paraId="55B99F8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根据《政府采购货物和服务招标投标管理办法》（财政部令第</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87</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号）规定，开标结束后，采购人或者采购代理机构应当依法对投标人的资格进行审查。</w:t>
      </w:r>
    </w:p>
    <w:p w14:paraId="57F82CC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合格投标人不足</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家的，不得评标。</w:t>
      </w:r>
    </w:p>
    <w:p w14:paraId="2183499B">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69" w:name="_Toc18526"/>
      <w:bookmarkStart w:id="70" w:name="_Toc25704"/>
      <w:r>
        <w:rPr>
          <w:rFonts w:hint="eastAsia" w:ascii="仿宋" w:hAnsi="仿宋" w:eastAsia="仿宋" w:cs="仿宋"/>
          <w:color w:val="auto"/>
          <w:sz w:val="28"/>
          <w:szCs w:val="28"/>
          <w:highlight w:val="none"/>
        </w:rPr>
        <w:t>七、评标</w:t>
      </w:r>
      <w:bookmarkEnd w:id="69"/>
      <w:bookmarkEnd w:id="70"/>
    </w:p>
    <w:p w14:paraId="26F59769">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1" w:name="_Toc15646"/>
      <w:r>
        <w:rPr>
          <w:rFonts w:hint="eastAsia" w:ascii="仿宋" w:hAnsi="仿宋" w:eastAsia="仿宋" w:cs="仿宋"/>
          <w:color w:val="auto"/>
          <w:sz w:val="24"/>
          <w:szCs w:val="24"/>
          <w:highlight w:val="none"/>
        </w:rPr>
        <w:t>7.1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评标委员会</w:t>
      </w:r>
      <w:bookmarkEnd w:id="71"/>
    </w:p>
    <w:p w14:paraId="1A8F66D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评标由采购人依法组建的评标委员会负责。评标委员会由采购人代表以及有关技术、经济等方面的专家组成。评标委员会成员人数以及技术、经济等方面专家的确定方式详见投标人须知前附表。</w:t>
      </w:r>
    </w:p>
    <w:p w14:paraId="31BCB5DB">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评标委员会成员有下列情形之一的，应当回避：</w:t>
      </w:r>
    </w:p>
    <w:p w14:paraId="1BA27FE2">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（1）投标人或投标人主要负责人的近亲属；</w:t>
      </w:r>
    </w:p>
    <w:p w14:paraId="3F58E71E">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（2）项目主管部门或者行政监督部门的人员；</w:t>
      </w:r>
    </w:p>
    <w:p w14:paraId="64BB6555">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（3）与投标人有经济利益关系；</w:t>
      </w:r>
    </w:p>
    <w:p w14:paraId="4E875768">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（4）曾因在招标、评标以及其他与招标投标有关活动中从事违法行为而受过行政处罚或刑事处罚的；</w:t>
      </w:r>
    </w:p>
    <w:p w14:paraId="40F4DC8C">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（5）与投标人有其他利害关系。</w:t>
      </w:r>
    </w:p>
    <w:p w14:paraId="1842DF0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评标委员会成员有下列情形之一的，不得担任评标委员会成员：</w:t>
      </w:r>
    </w:p>
    <w:p w14:paraId="712561A6">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（1）招标采购单位就招标文件征询过意见的专家，不得再作为评标专家参加评标；</w:t>
      </w:r>
    </w:p>
    <w:p w14:paraId="4E601186">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（2）采购人不得以专家身份参与本部门或者本单位采购项目的评标；</w:t>
      </w:r>
    </w:p>
    <w:p w14:paraId="7A4C7ADF">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（3）采购代理机构工作人员不得参加由本机构代理的政府采购项目评标；</w:t>
      </w:r>
    </w:p>
    <w:p w14:paraId="4813638F">
      <w:pPr>
        <w:pageBreakBefore w:val="0"/>
        <w:kinsoku/>
        <w:wordWrap w:val="0"/>
        <w:overflowPunct/>
        <w:bidi w:val="0"/>
        <w:spacing w:line="360" w:lineRule="auto"/>
        <w:ind w:firstLine="488"/>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4）评审专家不得参加与自己有利害关系的政府采购项目的评审活动。对与自己有利害关系的评审项目，如受到邀请，应主动提出回避。财政部门、采购人或采购代理机构也可要求该评审专家回避。有利害关系主要是指</w:t>
      </w:r>
      <w:r>
        <w:rPr>
          <w:rFonts w:hint="eastAsia" w:ascii="仿宋" w:hAnsi="仿宋" w:eastAsia="仿宋" w:cs="仿宋"/>
          <w:b/>
          <w:bCs/>
          <w:color w:val="auto"/>
          <w:sz w:val="24"/>
          <w:szCs w:val="24"/>
          <w:highlight w:val="none"/>
          <w:lang w:eastAsia="zh-CN"/>
        </w:rPr>
        <w:t xml:space="preserve"> </w:t>
      </w: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eastAsia="zh-CN"/>
        </w:rPr>
        <w:t xml:space="preserve"> </w:t>
      </w:r>
      <w:r>
        <w:rPr>
          <w:rFonts w:hint="eastAsia" w:ascii="仿宋" w:hAnsi="仿宋" w:eastAsia="仿宋" w:cs="仿宋"/>
          <w:b/>
          <w:bCs/>
          <w:color w:val="auto"/>
          <w:sz w:val="24"/>
          <w:szCs w:val="24"/>
          <w:highlight w:val="none"/>
        </w:rPr>
        <w:t>年内曾在参加该采购项目</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中任职（包括一般工作）或担任顾问，配偶或直系亲属在参加该采购项目的</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中任职或担任顾问，与参加该采购项目</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发生过法律纠纷，以及其他可能影响公正评标的情况。</w:t>
      </w:r>
    </w:p>
    <w:p w14:paraId="32896CBD">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7.1.4</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058556A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7.1.5</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评标过程中，评标委员会成员有回避事由、擅离职守或者因健康等原因不能继续评标的，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有权更换。被更换的评标委员会成员作出的评审结论无效，由更换后的评标委员会成员重新进行评审。</w:t>
      </w:r>
    </w:p>
    <w:p w14:paraId="39348703">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14:paraId="449EC7C5">
      <w:pPr>
        <w:pageBreakBefore w:val="0"/>
        <w:kinsoku/>
        <w:wordWrap w:val="0"/>
        <w:overflowPunct/>
        <w:bidi w:val="0"/>
        <w:spacing w:line="360" w:lineRule="auto"/>
        <w:ind w:firstLine="488"/>
        <w:rPr>
          <w:rFonts w:hint="eastAsia" w:ascii="仿宋" w:hAnsi="仿宋" w:eastAsia="仿宋" w:cs="仿宋"/>
          <w:color w:val="auto"/>
          <w:highlight w:val="none"/>
        </w:rPr>
      </w:pPr>
      <w:r>
        <w:rPr>
          <w:rFonts w:hint="eastAsia" w:ascii="仿宋" w:hAnsi="仿宋" w:eastAsia="仿宋" w:cs="仿宋"/>
          <w:color w:val="auto"/>
          <w:sz w:val="24"/>
          <w:szCs w:val="24"/>
          <w:highlight w:val="none"/>
        </w:rPr>
        <w:t>采购人或者采购代理机构应当将变更、重新组建评标委员会的情况予以记录，并随采购文件一并存档。</w:t>
      </w:r>
    </w:p>
    <w:p w14:paraId="09B2C97B">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2" w:name="_Toc532"/>
      <w:r>
        <w:rPr>
          <w:rFonts w:hint="eastAsia" w:ascii="仿宋" w:hAnsi="仿宋" w:eastAsia="仿宋" w:cs="仿宋"/>
          <w:color w:val="auto"/>
          <w:sz w:val="24"/>
          <w:szCs w:val="24"/>
          <w:highlight w:val="none"/>
        </w:rPr>
        <w:t>7.2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评标原则</w:t>
      </w:r>
      <w:bookmarkEnd w:id="72"/>
    </w:p>
    <w:p w14:paraId="6076F6E0">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48220D97">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3" w:name="_Toc32643"/>
      <w:r>
        <w:rPr>
          <w:rFonts w:hint="eastAsia" w:ascii="仿宋" w:hAnsi="仿宋" w:eastAsia="仿宋" w:cs="仿宋"/>
          <w:color w:val="auto"/>
          <w:sz w:val="24"/>
          <w:szCs w:val="24"/>
          <w:highlight w:val="none"/>
        </w:rPr>
        <w:t>7.3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w:t>
      </w:r>
      <w:bookmarkEnd w:id="73"/>
    </w:p>
    <w:p w14:paraId="7752A45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评标委员会按照第三章“评标办法”规定的方法、评审因素、标准和程序对投标文件进行评审。第三章“评标办法”没有规定的方法、评审因素和标准，不作为评标依据。</w:t>
      </w:r>
    </w:p>
    <w:p w14:paraId="3D50CF8C">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评标完成后，评标委员会应当向采购人提交书面评标报告和中标候选人名单。评标委员会推荐中标候选人的人数见投标人须知前附表。</w:t>
      </w:r>
    </w:p>
    <w:p w14:paraId="7CFE235B">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74" w:name="_Toc22983"/>
      <w:bookmarkStart w:id="75" w:name="_Toc16498"/>
      <w:r>
        <w:rPr>
          <w:rFonts w:hint="eastAsia" w:ascii="仿宋" w:hAnsi="仿宋" w:eastAsia="仿宋" w:cs="仿宋"/>
          <w:color w:val="auto"/>
          <w:sz w:val="28"/>
          <w:szCs w:val="28"/>
          <w:highlight w:val="none"/>
        </w:rPr>
        <w:t>八、中标和合同</w:t>
      </w:r>
      <w:bookmarkEnd w:id="74"/>
      <w:bookmarkEnd w:id="75"/>
    </w:p>
    <w:p w14:paraId="41C96A86">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6" w:name="_Toc14180"/>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定标</w:t>
      </w:r>
      <w:bookmarkEnd w:id="76"/>
    </w:p>
    <w:p w14:paraId="34CDC66E">
      <w:pPr>
        <w:pageBreakBefore w:val="0"/>
        <w:kinsoku/>
        <w:wordWrap w:val="0"/>
        <w:overflowPunct/>
        <w:bidi w:val="0"/>
        <w:spacing w:line="360" w:lineRule="auto"/>
        <w:ind w:firstLine="48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采购人应当自收到评标报告之日起</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个工作日内依法确定中标人</w:t>
      </w:r>
      <w:r>
        <w:rPr>
          <w:rFonts w:hint="eastAsia" w:ascii="仿宋" w:hAnsi="仿宋" w:eastAsia="仿宋" w:cs="仿宋"/>
          <w:color w:val="auto"/>
          <w:sz w:val="24"/>
          <w:szCs w:val="24"/>
          <w:highlight w:val="none"/>
          <w:lang w:eastAsia="zh-CN"/>
        </w:rPr>
        <w:t>。</w:t>
      </w:r>
    </w:p>
    <w:p w14:paraId="5B74F914">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7" w:name="_Toc13564"/>
      <w:r>
        <w:rPr>
          <w:rFonts w:hint="eastAsia" w:ascii="仿宋" w:hAnsi="仿宋" w:eastAsia="仿宋" w:cs="仿宋"/>
          <w:color w:val="auto"/>
          <w:sz w:val="24"/>
          <w:szCs w:val="24"/>
          <w:highlight w:val="none"/>
        </w:rPr>
        <w:t>8.2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中标公告</w:t>
      </w:r>
      <w:bookmarkEnd w:id="77"/>
    </w:p>
    <w:p w14:paraId="1BC7BDD6">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采购人或者采购代理机构应当自中标人确定之日起</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个工作日内，按照投标人须知前附表规定的公示媒介和期限公示中标人，公示期不得少于</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个工作日。</w:t>
      </w:r>
    </w:p>
    <w:p w14:paraId="1220326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中标公告期限详见投标人须知前附表。</w:t>
      </w:r>
    </w:p>
    <w:p w14:paraId="74C59DE9">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8" w:name="_Toc9686"/>
      <w:r>
        <w:rPr>
          <w:rFonts w:hint="eastAsia" w:ascii="仿宋" w:hAnsi="仿宋" w:eastAsia="仿宋" w:cs="仿宋"/>
          <w:color w:val="auto"/>
          <w:sz w:val="24"/>
          <w:szCs w:val="24"/>
          <w:highlight w:val="none"/>
        </w:rPr>
        <w:t>8.3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中标结果质疑</w:t>
      </w:r>
      <w:bookmarkEnd w:id="78"/>
    </w:p>
    <w:p w14:paraId="0A9F1D5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对中标结果有质疑的，应当在中标结果公告期限届满之日起七个工作日内提出。采购人应当在收到投标人的书面质疑后七个工作日内作出答复，并以书面形式通知质疑投标人，但答复的内容不得涉及商业秘密。</w:t>
      </w:r>
    </w:p>
    <w:p w14:paraId="1FE796D0">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79" w:name="_Toc9109"/>
      <w:r>
        <w:rPr>
          <w:rFonts w:hint="eastAsia" w:ascii="仿宋" w:hAnsi="仿宋" w:eastAsia="仿宋" w:cs="仿宋"/>
          <w:color w:val="auto"/>
          <w:sz w:val="24"/>
          <w:szCs w:val="24"/>
          <w:highlight w:val="none"/>
        </w:rPr>
        <w:t>8.4</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中标通知</w:t>
      </w:r>
      <w:bookmarkEnd w:id="79"/>
    </w:p>
    <w:p w14:paraId="593961C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在本章第</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项规定的投标有效期内，在公告中标结果的同时，采购人或者采购代理机构应当向中标人发出中标通知书；对未通过资格审查的投标人，应当告知其未通过的原因。同时应当告知未中标人本人的评审得分与排序。</w:t>
      </w:r>
    </w:p>
    <w:p w14:paraId="5AC77459">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80" w:name="_Toc20966"/>
      <w:r>
        <w:rPr>
          <w:rFonts w:hint="eastAsia" w:ascii="仿宋" w:hAnsi="仿宋" w:eastAsia="仿宋" w:cs="仿宋"/>
          <w:color w:val="auto"/>
          <w:sz w:val="24"/>
          <w:szCs w:val="24"/>
          <w:highlight w:val="none"/>
        </w:rPr>
        <w:t>8.5</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履约保证金</w:t>
      </w:r>
      <w:bookmarkEnd w:id="80"/>
    </w:p>
    <w:p w14:paraId="21DE2489">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8.5.1 在签订合同前，中标人应按投标人须知前附表规定的形式、金额向采购人提交履约保证金。联合体中标的，其履约保证金以联合体各方或者联合体牵头人的名义提交。</w:t>
      </w:r>
    </w:p>
    <w:p w14:paraId="7BF4746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8.5.2 中标人不能按本章第</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8.5.1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项要求提交履约保证金，视为放弃中标，其投标保证金不予退还，给采购人造成的损失超过投标保证金数额的，中标人还应当对超过部分予以赔偿。</w:t>
      </w:r>
    </w:p>
    <w:p w14:paraId="64144AEE">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81" w:name="_Toc18168"/>
      <w:r>
        <w:rPr>
          <w:rFonts w:hint="eastAsia" w:ascii="仿宋" w:hAnsi="仿宋" w:eastAsia="仿宋" w:cs="仿宋"/>
          <w:color w:val="auto"/>
          <w:sz w:val="24"/>
          <w:szCs w:val="24"/>
          <w:highlight w:val="none"/>
        </w:rPr>
        <w:t>8.6 签订合同</w:t>
      </w:r>
      <w:bookmarkEnd w:id="81"/>
    </w:p>
    <w:p w14:paraId="23836C8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采购人应当自中标通知书发出之日起</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30</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日内，按照招标文件和中标人投标文件的规定，与中标人签订书面合同。所签订的合同不得对招标文件明确的事项和中标人投标文件作实质性修改。采购人不得向中标人提出任何不合理的要求作为签订合同的条件。</w:t>
      </w:r>
    </w:p>
    <w:p w14:paraId="480A041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中标通知书发出后，采购人不得违法改变中标结果，中标人无正当理由不得放弃中标。</w:t>
      </w:r>
    </w:p>
    <w:p w14:paraId="1FD78B7F">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联合体中标的，联合体各方应当共同与采购人签订合同，就中标项目向采购人承担连带责任。</w:t>
      </w:r>
    </w:p>
    <w:p w14:paraId="72B29070">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82" w:name="_Toc4403"/>
      <w:bookmarkStart w:id="83" w:name="_Toc17312"/>
      <w:r>
        <w:rPr>
          <w:rFonts w:hint="eastAsia" w:ascii="仿宋" w:hAnsi="仿宋" w:eastAsia="仿宋" w:cs="仿宋"/>
          <w:color w:val="auto"/>
          <w:sz w:val="28"/>
          <w:szCs w:val="28"/>
          <w:highlight w:val="none"/>
        </w:rPr>
        <w:t>九、</w:t>
      </w:r>
      <w:bookmarkStart w:id="84" w:name="_Toc17040904"/>
      <w:bookmarkStart w:id="85" w:name="_Toc25118"/>
      <w:bookmarkStart w:id="86" w:name="_Toc17040783"/>
      <w:bookmarkStart w:id="87" w:name="_Toc17041022"/>
      <w:r>
        <w:rPr>
          <w:rFonts w:hint="eastAsia" w:ascii="仿宋" w:hAnsi="仿宋" w:eastAsia="仿宋" w:cs="仿宋"/>
          <w:color w:val="auto"/>
          <w:sz w:val="28"/>
          <w:szCs w:val="28"/>
          <w:highlight w:val="none"/>
        </w:rPr>
        <w:t>重新招标和不再招标</w:t>
      </w:r>
      <w:bookmarkEnd w:id="82"/>
      <w:bookmarkEnd w:id="84"/>
      <w:bookmarkEnd w:id="85"/>
      <w:bookmarkEnd w:id="86"/>
      <w:bookmarkEnd w:id="87"/>
    </w:p>
    <w:p w14:paraId="4C05A2E4">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bookmarkStart w:id="88" w:name="_Toc260172683"/>
      <w:bookmarkStart w:id="89" w:name="_Toc209498845"/>
      <w:bookmarkStart w:id="90" w:name="_Toc17040784"/>
      <w:bookmarkStart w:id="91" w:name="_Toc13096"/>
      <w:bookmarkStart w:id="92" w:name="_Toc17041023"/>
      <w:bookmarkStart w:id="93" w:name="_Toc262675350"/>
      <w:bookmarkStart w:id="94" w:name="_Toc3285"/>
      <w:bookmarkStart w:id="95" w:name="_Toc17040905"/>
      <w:bookmarkStart w:id="96" w:name="_Toc247277970"/>
      <w:bookmarkStart w:id="97" w:name="_Toc491246674"/>
      <w:r>
        <w:rPr>
          <w:rFonts w:hint="eastAsia" w:ascii="仿宋" w:hAnsi="仿宋" w:eastAsia="仿宋" w:cs="仿宋"/>
          <w:b/>
          <w:bCs/>
          <w:color w:val="auto"/>
          <w:sz w:val="24"/>
          <w:szCs w:val="24"/>
          <w:highlight w:val="none"/>
        </w:rPr>
        <w:t>9.1 重新招标</w:t>
      </w:r>
      <w:bookmarkEnd w:id="88"/>
      <w:bookmarkEnd w:id="89"/>
      <w:bookmarkEnd w:id="90"/>
      <w:bookmarkEnd w:id="91"/>
      <w:bookmarkEnd w:id="92"/>
      <w:bookmarkEnd w:id="93"/>
      <w:bookmarkEnd w:id="94"/>
      <w:bookmarkEnd w:id="95"/>
      <w:bookmarkEnd w:id="96"/>
      <w:bookmarkEnd w:id="97"/>
    </w:p>
    <w:p w14:paraId="14B23CA3">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有下列情形之一的，采购人将重新招标：</w:t>
      </w:r>
    </w:p>
    <w:p w14:paraId="0B8DB27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（1）投标截止时间止，投标人少于</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个的；</w:t>
      </w:r>
    </w:p>
    <w:p w14:paraId="475CFA8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（2）经评标委员会评审后否决所有投标的。</w:t>
      </w:r>
    </w:p>
    <w:p w14:paraId="28CC9DFF">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（3）评标委员会否决不合格投标或者界定为否决投标后因有效投标不足</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个使得投标明显缺乏竞争，评标委员会决定否决全部投标的；</w:t>
      </w:r>
    </w:p>
    <w:p w14:paraId="2762B95C">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（4）同意延长投标有效期的投标人少于</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个的；</w:t>
      </w:r>
    </w:p>
    <w:p w14:paraId="0F49DA0D">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（5）中标候选人均未与采购人签订合同的。</w:t>
      </w:r>
    </w:p>
    <w:p w14:paraId="17D717AE">
      <w:pPr>
        <w:pageBreakBefore w:val="0"/>
        <w:kinsoku/>
        <w:wordWrap w:val="0"/>
        <w:overflowPunct/>
        <w:bidi w:val="0"/>
        <w:spacing w:line="360" w:lineRule="auto"/>
        <w:ind w:firstLine="488"/>
        <w:rPr>
          <w:rFonts w:hint="eastAsia" w:ascii="仿宋" w:hAnsi="仿宋" w:eastAsia="仿宋" w:cs="仿宋"/>
          <w:b/>
          <w:bCs/>
          <w:color w:val="auto"/>
          <w:sz w:val="24"/>
          <w:szCs w:val="24"/>
          <w:highlight w:val="none"/>
        </w:rPr>
      </w:pPr>
      <w:bookmarkStart w:id="98" w:name="_Toc17041024"/>
      <w:bookmarkStart w:id="99" w:name="_Toc260172684"/>
      <w:bookmarkStart w:id="100" w:name="_Toc18494"/>
      <w:bookmarkStart w:id="101" w:name="_Toc17040906"/>
      <w:bookmarkStart w:id="102" w:name="_Toc262675351"/>
      <w:bookmarkStart w:id="103" w:name="_Toc8322"/>
      <w:bookmarkStart w:id="104" w:name="_Toc247277971"/>
      <w:bookmarkStart w:id="105" w:name="_Toc209498846"/>
      <w:bookmarkStart w:id="106" w:name="_Toc491246675"/>
      <w:bookmarkStart w:id="107" w:name="_Toc17040785"/>
      <w:r>
        <w:rPr>
          <w:rFonts w:hint="eastAsia" w:ascii="仿宋" w:hAnsi="仿宋" w:eastAsia="仿宋" w:cs="仿宋"/>
          <w:b/>
          <w:bCs/>
          <w:color w:val="auto"/>
          <w:sz w:val="24"/>
          <w:szCs w:val="24"/>
          <w:highlight w:val="none"/>
        </w:rPr>
        <w:t>9.2 不再招标</w:t>
      </w:r>
      <w:bookmarkEnd w:id="98"/>
      <w:bookmarkEnd w:id="99"/>
      <w:bookmarkEnd w:id="100"/>
      <w:bookmarkEnd w:id="101"/>
      <w:bookmarkEnd w:id="102"/>
      <w:bookmarkEnd w:id="103"/>
      <w:bookmarkEnd w:id="104"/>
      <w:bookmarkEnd w:id="105"/>
      <w:bookmarkEnd w:id="106"/>
      <w:bookmarkEnd w:id="107"/>
    </w:p>
    <w:p w14:paraId="0D538024">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重新招标后，仍出现本章第</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9.1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条规定情形之一的，属于必须审批或核准的项目建设项目，经原审批或核准部门批准后不再进行招标。</w:t>
      </w:r>
    </w:p>
    <w:p w14:paraId="7C448D9B">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08" w:name="_Toc15494"/>
      <w:r>
        <w:rPr>
          <w:rFonts w:hint="eastAsia" w:ascii="仿宋" w:hAnsi="仿宋" w:eastAsia="仿宋" w:cs="仿宋"/>
          <w:color w:val="auto"/>
          <w:sz w:val="28"/>
          <w:szCs w:val="28"/>
          <w:highlight w:val="none"/>
        </w:rPr>
        <w:t>十、纪律和监督</w:t>
      </w:r>
      <w:bookmarkEnd w:id="83"/>
      <w:bookmarkEnd w:id="108"/>
    </w:p>
    <w:p w14:paraId="08CEA5E8">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109" w:name="_Toc26177"/>
      <w:r>
        <w:rPr>
          <w:rFonts w:hint="eastAsia" w:ascii="仿宋" w:hAnsi="仿宋" w:eastAsia="仿宋" w:cs="仿宋"/>
          <w:color w:val="auto"/>
          <w:sz w:val="24"/>
          <w:szCs w:val="24"/>
          <w:highlight w:val="none"/>
        </w:rPr>
        <w:t>10.1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对采购人的纪律要求</w:t>
      </w:r>
      <w:bookmarkEnd w:id="109"/>
    </w:p>
    <w:p w14:paraId="0086254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（1）按照《政府采购货物和服务招标投标管理办法》（财政部令第</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87</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号）的规定编制采购需求；</w:t>
      </w:r>
    </w:p>
    <w:p w14:paraId="35F647B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（2）采购人不得向投标人索要或者接受其给予的赠品、回扣或者与采购无关的其他商品、服务；</w:t>
      </w:r>
    </w:p>
    <w:p w14:paraId="368F7CE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（3）在规定时间内确定中标人；</w:t>
      </w:r>
    </w:p>
    <w:p w14:paraId="6EAA94CB">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（4）不得向中标人提出不合理要求作为签订合同条件。</w:t>
      </w:r>
    </w:p>
    <w:p w14:paraId="56C00B3F">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110" w:name="_Toc28677"/>
      <w:r>
        <w:rPr>
          <w:rFonts w:hint="eastAsia" w:ascii="仿宋" w:hAnsi="仿宋" w:eastAsia="仿宋" w:cs="仿宋"/>
          <w:color w:val="auto"/>
          <w:sz w:val="24"/>
          <w:szCs w:val="24"/>
          <w:highlight w:val="none"/>
        </w:rPr>
        <w:t>10.2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对投标人的纪律要求</w:t>
      </w:r>
      <w:bookmarkEnd w:id="110"/>
    </w:p>
    <w:p w14:paraId="2CA7ED8E">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10.2.1 </w:t>
      </w:r>
      <w:r>
        <w:rPr>
          <w:rFonts w:hint="eastAsia" w:ascii="仿宋" w:hAnsi="仿宋" w:eastAsia="仿宋" w:cs="仿宋"/>
          <w:color w:val="auto"/>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r>
        <w:rPr>
          <w:rFonts w:hint="eastAsia" w:ascii="仿宋" w:hAnsi="仿宋" w:eastAsia="仿宋" w:cs="仿宋"/>
          <w:strike w:val="0"/>
          <w:color w:val="auto"/>
          <w:sz w:val="24"/>
          <w:szCs w:val="24"/>
          <w:highlight w:val="none"/>
          <w:lang w:eastAsia="zh-CN"/>
        </w:rPr>
        <w:t>并</w:t>
      </w:r>
      <w:r>
        <w:rPr>
          <w:rFonts w:hint="eastAsia" w:ascii="仿宋" w:hAnsi="仿宋" w:eastAsia="仿宋" w:cs="仿宋"/>
          <w:color w:val="auto"/>
          <w:sz w:val="24"/>
          <w:szCs w:val="24"/>
          <w:highlight w:val="none"/>
        </w:rPr>
        <w:t>提供纪律承诺书。</w:t>
      </w:r>
    </w:p>
    <w:p w14:paraId="3DC3F003">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10.2.2 </w:t>
      </w:r>
      <w:r>
        <w:rPr>
          <w:rFonts w:hint="eastAsia" w:ascii="仿宋" w:hAnsi="仿宋" w:eastAsia="仿宋" w:cs="仿宋"/>
          <w:color w:val="auto"/>
          <w:sz w:val="24"/>
          <w:szCs w:val="24"/>
          <w:highlight w:val="none"/>
        </w:rPr>
        <w:t>有下列情形之一的，视为投标人串通投标，其投标无效：</w:t>
      </w:r>
    </w:p>
    <w:p w14:paraId="01D74457">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（1）不同投标人的投标文件由同一台电脑编制上传的；</w:t>
      </w:r>
    </w:p>
    <w:p w14:paraId="0F2692C1">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（2）不同投标人委托同一单位或者个人办理投标事宜；</w:t>
      </w:r>
    </w:p>
    <w:p w14:paraId="5DBB6EB1">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（3）不同投标人的投标文件载明的项目管理成员或者联系人员为同一人；</w:t>
      </w:r>
    </w:p>
    <w:p w14:paraId="02E999D3">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（4）不同投标人的投标文件异常一致或投标报价呈规律性差异；</w:t>
      </w:r>
    </w:p>
    <w:p w14:paraId="487EED0C">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（5）不同投标人的投标文件相互混装；</w:t>
      </w:r>
    </w:p>
    <w:p w14:paraId="71483C19">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（6）不同投标人的投标保证金从同一单位或者个人的账户转出；</w:t>
      </w:r>
    </w:p>
    <w:p w14:paraId="0F91FF42">
      <w:pPr>
        <w:pageBreakBefore w:val="0"/>
        <w:kinsoku/>
        <w:wordWrap w:val="0"/>
        <w:overflowPunct/>
        <w:bidi w:val="0"/>
        <w:spacing w:line="360" w:lineRule="auto"/>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（7）不同投标人在投标文件上电子签名或电子签章相同的。</w:t>
      </w:r>
    </w:p>
    <w:p w14:paraId="6191D34C">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111" w:name="_Toc2929"/>
      <w:r>
        <w:rPr>
          <w:rFonts w:hint="eastAsia" w:ascii="仿宋" w:hAnsi="仿宋" w:eastAsia="仿宋" w:cs="仿宋"/>
          <w:color w:val="auto"/>
          <w:sz w:val="24"/>
          <w:szCs w:val="24"/>
          <w:highlight w:val="none"/>
        </w:rPr>
        <w:t>10.3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对评标委员会成员的纪律要求</w:t>
      </w:r>
      <w:bookmarkEnd w:id="111"/>
    </w:p>
    <w:p w14:paraId="2F66976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评标委员会及其成员不得有下列行为：</w:t>
      </w:r>
    </w:p>
    <w:p w14:paraId="4777CF5F">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（1）确定参与评标至评标结束前私自接触投标人；</w:t>
      </w:r>
    </w:p>
    <w:p w14:paraId="6D33DE76">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（2）接受投标人提出的与投标文件不一致的澄清或者说明；</w:t>
      </w:r>
    </w:p>
    <w:p w14:paraId="2043A09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（3）违反评标纪律发表倾向性意见或者征询采购人的倾向性意见；</w:t>
      </w:r>
    </w:p>
    <w:p w14:paraId="62D68C8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（4）对需要专业判断的主观评审因素协商评分；</w:t>
      </w:r>
    </w:p>
    <w:p w14:paraId="7828D7A6">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（5）在评标过程中擅离职守，影响评标程序正常进行的；</w:t>
      </w:r>
    </w:p>
    <w:p w14:paraId="222B2B1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（6）记录、复制或者带走任何评标资料；</w:t>
      </w:r>
    </w:p>
    <w:p w14:paraId="7A80A722">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（7）其他不遵守评标纪律的行为。</w:t>
      </w:r>
    </w:p>
    <w:p w14:paraId="4FFC665F">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评标委员会成员有前款第（1）至（7）项行为之一的，其评审意见无效，并不得获取评审劳务报酬和报销异地评审差旅费。</w:t>
      </w:r>
    </w:p>
    <w:p w14:paraId="0ED5FD28">
      <w:pPr>
        <w:pStyle w:val="5"/>
        <w:pageBreakBefore w:val="0"/>
        <w:kinsoku/>
        <w:wordWrap w:val="0"/>
        <w:overflowPunct/>
        <w:bidi w:val="0"/>
        <w:spacing w:before="0" w:after="0" w:line="360" w:lineRule="auto"/>
        <w:rPr>
          <w:rFonts w:hint="eastAsia" w:ascii="仿宋" w:hAnsi="仿宋" w:eastAsia="仿宋" w:cs="仿宋"/>
          <w:color w:val="auto"/>
          <w:sz w:val="24"/>
          <w:szCs w:val="24"/>
          <w:highlight w:val="none"/>
        </w:rPr>
      </w:pPr>
      <w:bookmarkStart w:id="112" w:name="_Toc9715"/>
      <w:r>
        <w:rPr>
          <w:rFonts w:hint="eastAsia" w:ascii="仿宋" w:hAnsi="仿宋" w:eastAsia="仿宋" w:cs="仿宋"/>
          <w:color w:val="auto"/>
          <w:sz w:val="24"/>
          <w:szCs w:val="24"/>
          <w:highlight w:val="none"/>
        </w:rPr>
        <w:t>10.4</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对评标活动有关的工作人员的纪律要求</w:t>
      </w:r>
      <w:bookmarkEnd w:id="112"/>
    </w:p>
    <w:p w14:paraId="03176703">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6AA993A">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13" w:name="_Toc2892"/>
      <w:bookmarkStart w:id="114" w:name="_Toc15671"/>
      <w:r>
        <w:rPr>
          <w:rFonts w:hint="eastAsia" w:ascii="仿宋" w:hAnsi="仿宋" w:eastAsia="仿宋" w:cs="仿宋"/>
          <w:color w:val="auto"/>
          <w:sz w:val="28"/>
          <w:szCs w:val="28"/>
          <w:highlight w:val="none"/>
        </w:rPr>
        <w:t>十一、质疑与投诉</w:t>
      </w:r>
      <w:bookmarkEnd w:id="113"/>
      <w:bookmarkEnd w:id="114"/>
    </w:p>
    <w:p w14:paraId="72E9CA50">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投标人认为招标文件、采购过程、中标结果使自己的权益受到损害的，可以在知道或者应知其权益受到损害之日起</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个工作日内，以书面形式向采购代理机构或采购人提出质疑。质疑内容不得含有虚假、恶意成分。当事人对自己提出的主张，有责任提供证据，提出质疑时应同时提交相关证据材料和注明事实的确切来源。</w:t>
      </w:r>
    </w:p>
    <w:p w14:paraId="09071E10">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投标人应知其权益受到损害之日，是指：</w:t>
      </w:r>
    </w:p>
    <w:p w14:paraId="565E4E7B">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（1）对可以质疑的招标文件提出质疑的，为投标人获取招标文件之日；</w:t>
      </w:r>
    </w:p>
    <w:p w14:paraId="0EEE3741">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（2）对采购过程提出质疑的，为各采购程序环节结束之日；</w:t>
      </w:r>
    </w:p>
    <w:p w14:paraId="55B4548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（3）对中标结果提出质疑的，为中标结果公告期限届满之日。</w:t>
      </w:r>
    </w:p>
    <w:p w14:paraId="48F05015">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投标人提供的质疑应符合《政府采购质疑和投诉办法》（财政部令第</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94</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号）的规定。投标人提供的质疑函（如材料中有外文资料应同时附上中文译本）应当包括以下主要内容：</w:t>
      </w:r>
    </w:p>
    <w:p w14:paraId="7C97A48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（1）投标人的姓名或者名称、地址、邮编、联系人及联系电话；</w:t>
      </w:r>
    </w:p>
    <w:p w14:paraId="026332A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（2）质疑项目的名称、编号；</w:t>
      </w:r>
    </w:p>
    <w:p w14:paraId="7FA4291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（3）具体、明确的质疑事项和与质疑事项相关的请求；</w:t>
      </w:r>
    </w:p>
    <w:p w14:paraId="2203FF29">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（4）事实依据；</w:t>
      </w:r>
    </w:p>
    <w:p w14:paraId="7D3CFFB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（5）必要的法律依据；</w:t>
      </w:r>
    </w:p>
    <w:p w14:paraId="45E7256A">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（6）提出的质疑日期。</w:t>
      </w:r>
    </w:p>
    <w:p w14:paraId="56C80438">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投标人为自然人的，应当由本人签字；投标人为法人或者其他组织的，应当由法定代表人、主要负责人，或者其授权代表签字或者盖章，并加盖公章。</w:t>
      </w:r>
    </w:p>
    <w:p w14:paraId="17015D01">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采购人、采购代理机构将在收到投标人的书面质疑后</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个工作日内作出答复，但答复的内容不涉及商业秘密。</w:t>
      </w:r>
    </w:p>
    <w:p w14:paraId="3E54DFBB">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参与政府采购活动的投标人对评审过程或者结果提出质疑的，采购人或采购代理机构可以组织原评审委员会协助处理质疑事项，并依据评审委员会出具的意见进行答复。质疑答复导致中标结果改变的，采购人或采购代理机构应将相关情况报财政部门备案。</w:t>
      </w:r>
    </w:p>
    <w:p w14:paraId="0AAEAB82">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投诉必须首先经过质疑程序。质疑人对采购人、采购代理机构的答复不满意，或者采购人、采购代理机构未在规定的时间内作出答复的，可以在答复期满后</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个工作日内书面向同级财政部门提出投诉。</w:t>
      </w:r>
    </w:p>
    <w:p w14:paraId="56350218">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15" w:name="_Toc2831"/>
      <w:bookmarkStart w:id="116" w:name="_Toc3286"/>
      <w:r>
        <w:rPr>
          <w:rFonts w:hint="eastAsia" w:ascii="仿宋" w:hAnsi="仿宋" w:eastAsia="仿宋" w:cs="仿宋"/>
          <w:color w:val="auto"/>
          <w:sz w:val="28"/>
          <w:szCs w:val="28"/>
          <w:highlight w:val="none"/>
        </w:rPr>
        <w:t>十二、是否采用电子化招标投标</w:t>
      </w:r>
      <w:bookmarkEnd w:id="115"/>
      <w:bookmarkEnd w:id="116"/>
    </w:p>
    <w:p w14:paraId="17AABDE3">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本采购项目是否采用电子招标投标方式：详见投标人须知前附表。</w:t>
      </w:r>
    </w:p>
    <w:p w14:paraId="240DF198">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17" w:name="_Toc20750"/>
      <w:bookmarkStart w:id="118" w:name="_Toc23513"/>
      <w:r>
        <w:rPr>
          <w:rFonts w:hint="eastAsia" w:ascii="仿宋" w:hAnsi="仿宋" w:eastAsia="仿宋" w:cs="仿宋"/>
          <w:color w:val="auto"/>
          <w:sz w:val="28"/>
          <w:szCs w:val="28"/>
          <w:highlight w:val="none"/>
        </w:rPr>
        <w:t>十三、需要补充的其他内容</w:t>
      </w:r>
      <w:bookmarkEnd w:id="117"/>
      <w:bookmarkEnd w:id="118"/>
    </w:p>
    <w:p w14:paraId="0D8A08C5">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13.1 电子交易活动的中止</w:t>
      </w:r>
    </w:p>
    <w:p w14:paraId="3B686F6F">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采购过程中出现以下情形，导致电子交易平台无法正常运行，或者无法保证电子交易的公平、公正和安全时，采购代理机构可中止电子交易活动：</w:t>
      </w:r>
    </w:p>
    <w:p w14:paraId="3CEAE34E">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（1）电子交易平台发生故障而无法登录访问的；</w:t>
      </w:r>
    </w:p>
    <w:p w14:paraId="407D1B32">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（2）电子交易平台应用或数据库出现错误，不能进行正常操作的；</w:t>
      </w:r>
    </w:p>
    <w:p w14:paraId="5D912511">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（3）电子交易平台发现严重安全漏洞，有潜在泄密危险的；</w:t>
      </w:r>
    </w:p>
    <w:p w14:paraId="1CFB6830">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（4）病毒发作导致不能进行正常操作的；</w:t>
      </w:r>
    </w:p>
    <w:p w14:paraId="70AA782C">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（5）其他无法保证电子交易的公平、公正和安全的情况。</w:t>
      </w:r>
    </w:p>
    <w:p w14:paraId="110F1767">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w:t>
      </w:r>
      <w:r>
        <w:rPr>
          <w:rFonts w:hint="eastAsia" w:ascii="仿宋" w:hAnsi="仿宋" w:eastAsia="仿宋" w:cs="仿宋"/>
          <w:strike w:val="0"/>
          <w:color w:val="auto"/>
          <w:sz w:val="24"/>
          <w:szCs w:val="24"/>
          <w:highlight w:val="none"/>
          <w:lang w:eastAsia="zh-CN"/>
        </w:rPr>
        <w:t xml:space="preserve">上述 </w:t>
      </w:r>
      <w:r>
        <w:rPr>
          <w:rFonts w:hint="eastAsia" w:ascii="仿宋" w:hAnsi="仿宋" w:eastAsia="仿宋" w:cs="仿宋"/>
          <w:color w:val="auto"/>
          <w:sz w:val="24"/>
          <w:szCs w:val="24"/>
          <w:highlight w:val="none"/>
          <w:lang w:val="en-US" w:eastAsia="zh-CN"/>
        </w:rPr>
        <w:t xml:space="preserve">13.1 </w:t>
      </w:r>
      <w:r>
        <w:rPr>
          <w:rFonts w:hint="eastAsia" w:ascii="仿宋" w:hAnsi="仿宋" w:eastAsia="仿宋" w:cs="仿宋"/>
          <w:color w:val="auto"/>
          <w:sz w:val="24"/>
          <w:szCs w:val="24"/>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BE7D31A">
      <w:pPr>
        <w:pageBreakBefore w:val="0"/>
        <w:kinsoku/>
        <w:wordWrap w:val="0"/>
        <w:overflowPunct/>
        <w:bidi w:val="0"/>
        <w:spacing w:line="360" w:lineRule="auto"/>
        <w:ind w:firstLine="48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需要补充的其他内容：详见投标人须知前附表。</w:t>
      </w:r>
    </w:p>
    <w:p w14:paraId="64B7DEB0">
      <w:pPr>
        <w:pStyle w:val="2"/>
        <w:rPr>
          <w:rFonts w:hint="eastAsia" w:ascii="仿宋" w:hAnsi="仿宋" w:eastAsia="仿宋" w:cs="仿宋"/>
          <w:highlight w:val="none"/>
        </w:rPr>
      </w:pPr>
    </w:p>
    <w:p w14:paraId="2EA0FDB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0ED72567">
      <w:pPr>
        <w:pStyle w:val="27"/>
        <w:pageBreakBefore w:val="0"/>
        <w:kinsoku/>
        <w:wordWrap w:val="0"/>
        <w:overflowPunct/>
        <w:bidi w:val="0"/>
        <w:rPr>
          <w:rFonts w:hint="eastAsia" w:ascii="仿宋" w:hAnsi="仿宋" w:eastAsia="仿宋" w:cs="仿宋"/>
          <w:color w:val="auto"/>
          <w:highlight w:val="none"/>
        </w:rPr>
      </w:pPr>
    </w:p>
    <w:p w14:paraId="36B7BBEE">
      <w:pPr>
        <w:pStyle w:val="3"/>
        <w:pageBreakBefore w:val="0"/>
        <w:numPr>
          <w:ilvl w:val="0"/>
          <w:numId w:val="1"/>
        </w:numPr>
        <w:kinsoku/>
        <w:wordWrap w:val="0"/>
        <w:overflowPunct/>
        <w:bidi w:val="0"/>
        <w:spacing w:line="360" w:lineRule="auto"/>
        <w:jc w:val="center"/>
        <w:rPr>
          <w:rFonts w:hint="eastAsia" w:ascii="仿宋" w:hAnsi="仿宋" w:eastAsia="仿宋" w:cs="仿宋"/>
          <w:color w:val="auto"/>
          <w:highlight w:val="none"/>
        </w:rPr>
      </w:pPr>
      <w:bookmarkStart w:id="119" w:name="_Toc28969"/>
      <w:bookmarkStart w:id="120" w:name="_Toc23647"/>
      <w:r>
        <w:rPr>
          <w:rFonts w:hint="eastAsia" w:ascii="仿宋" w:hAnsi="仿宋" w:eastAsia="仿宋" w:cs="仿宋"/>
          <w:color w:val="auto"/>
          <w:highlight w:val="none"/>
        </w:rPr>
        <w:t>评标办法</w:t>
      </w:r>
      <w:bookmarkEnd w:id="119"/>
      <w:r>
        <w:rPr>
          <w:rFonts w:hint="eastAsia" w:ascii="仿宋" w:hAnsi="仿宋" w:eastAsia="仿宋" w:cs="仿宋"/>
          <w:color w:val="auto"/>
          <w:highlight w:val="none"/>
        </w:rPr>
        <w:t>（综合评分法）</w:t>
      </w:r>
      <w:bookmarkEnd w:id="120"/>
    </w:p>
    <w:p w14:paraId="6753A5C3">
      <w:pPr>
        <w:pStyle w:val="4"/>
        <w:pageBreakBefore w:val="0"/>
        <w:kinsoku/>
        <w:wordWrap w:val="0"/>
        <w:overflowPunct/>
        <w:bidi w:val="0"/>
        <w:spacing w:before="0" w:after="0" w:line="400" w:lineRule="exact"/>
        <w:jc w:val="center"/>
        <w:rPr>
          <w:rFonts w:hint="eastAsia" w:ascii="仿宋" w:hAnsi="仿宋" w:eastAsia="仿宋" w:cs="仿宋"/>
          <w:color w:val="auto"/>
          <w:sz w:val="24"/>
          <w:szCs w:val="24"/>
          <w:highlight w:val="none"/>
        </w:rPr>
      </w:pPr>
      <w:bookmarkStart w:id="121" w:name="_Toc3797"/>
      <w:bookmarkStart w:id="122" w:name="_Toc19079"/>
      <w:bookmarkStart w:id="123" w:name="_Toc23692"/>
      <w:r>
        <w:rPr>
          <w:rFonts w:hint="eastAsia" w:ascii="仿宋" w:hAnsi="仿宋" w:eastAsia="仿宋" w:cs="仿宋"/>
          <w:color w:val="auto"/>
          <w:sz w:val="24"/>
          <w:szCs w:val="24"/>
          <w:highlight w:val="none"/>
        </w:rPr>
        <w:t>评标办法前附表</w:t>
      </w:r>
      <w:bookmarkEnd w:id="121"/>
      <w:bookmarkEnd w:id="122"/>
      <w:bookmarkEnd w:id="123"/>
    </w:p>
    <w:tbl>
      <w:tblPr>
        <w:tblStyle w:val="22"/>
        <w:tblW w:w="5000" w:type="pct"/>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25"/>
        <w:gridCol w:w="2922"/>
        <w:gridCol w:w="5199"/>
      </w:tblGrid>
      <w:tr w14:paraId="3220CC03">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1" w:type="dxa"/>
            <w:gridSpan w:val="2"/>
            <w:vAlign w:val="center"/>
          </w:tcPr>
          <w:p w14:paraId="117AFEB9">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2922" w:type="dxa"/>
            <w:vAlign w:val="center"/>
          </w:tcPr>
          <w:p w14:paraId="64BC23D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5199" w:type="dxa"/>
            <w:vAlign w:val="center"/>
          </w:tcPr>
          <w:p w14:paraId="3B019E8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14:paraId="78E36BEB">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restart"/>
            <w:vAlign w:val="center"/>
          </w:tcPr>
          <w:p w14:paraId="56B78B0A">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6.3.1</w:t>
            </w:r>
          </w:p>
        </w:tc>
        <w:tc>
          <w:tcPr>
            <w:tcW w:w="1025" w:type="dxa"/>
            <w:vMerge w:val="restart"/>
            <w:vAlign w:val="center"/>
          </w:tcPr>
          <w:p w14:paraId="4706A138">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w:t>
            </w:r>
          </w:p>
        </w:tc>
        <w:tc>
          <w:tcPr>
            <w:tcW w:w="2922" w:type="dxa"/>
            <w:vAlign w:val="center"/>
          </w:tcPr>
          <w:p w14:paraId="3D810E02">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具有独立承担民事责任的能力</w:t>
            </w:r>
          </w:p>
        </w:tc>
        <w:tc>
          <w:tcPr>
            <w:tcW w:w="5199" w:type="dxa"/>
            <w:vAlign w:val="center"/>
          </w:tcPr>
          <w:p w14:paraId="2562A3DA">
            <w:pPr>
              <w:pStyle w:val="13"/>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6C526F93">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6423B337">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161EC65A">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1555470D">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具有良好的商业信誉和健全的财务会计制度</w:t>
            </w:r>
          </w:p>
        </w:tc>
        <w:tc>
          <w:tcPr>
            <w:tcW w:w="5199" w:type="dxa"/>
            <w:vAlign w:val="center"/>
          </w:tcPr>
          <w:p w14:paraId="64C42488">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07F4B263">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6E3A587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37FBC3CD">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2507DD2D">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有依法缴纳税收和社会保障资金的良好记录</w:t>
            </w:r>
          </w:p>
        </w:tc>
        <w:tc>
          <w:tcPr>
            <w:tcW w:w="5199" w:type="dxa"/>
          </w:tcPr>
          <w:p w14:paraId="596393D6">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394800F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60B0267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34B0A0FC">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42C2197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tc>
        <w:tc>
          <w:tcPr>
            <w:tcW w:w="5199" w:type="dxa"/>
          </w:tcPr>
          <w:p w14:paraId="1C9DC12D">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1C7B304F">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816" w:type="dxa"/>
            <w:vMerge w:val="continue"/>
            <w:vAlign w:val="center"/>
          </w:tcPr>
          <w:p w14:paraId="5F08615C">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35F2A34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40F70BC2">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参加政府采购活动前三年内，在经营活动中没有重大违法记录</w:t>
            </w:r>
          </w:p>
        </w:tc>
        <w:tc>
          <w:tcPr>
            <w:tcW w:w="5199" w:type="dxa"/>
          </w:tcPr>
          <w:p w14:paraId="4C9E2B13">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54DC61F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668FC42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14B48315">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569353D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法律、行政法规规定的其他条件</w:t>
            </w:r>
          </w:p>
        </w:tc>
        <w:tc>
          <w:tcPr>
            <w:tcW w:w="5199" w:type="dxa"/>
          </w:tcPr>
          <w:p w14:paraId="3A894C2F">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3AB9752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41E902A2">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7DC5C8AE">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1F258DB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落实政府采购政策需满足的资格要求</w:t>
            </w:r>
          </w:p>
        </w:tc>
        <w:tc>
          <w:tcPr>
            <w:tcW w:w="5199" w:type="dxa"/>
          </w:tcPr>
          <w:p w14:paraId="74049A00">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1D5C669B">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10840F4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340294F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6E7FFAF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本项目的特定资格要求</w:t>
            </w:r>
          </w:p>
        </w:tc>
        <w:tc>
          <w:tcPr>
            <w:tcW w:w="5199" w:type="dxa"/>
            <w:vAlign w:val="center"/>
          </w:tcPr>
          <w:p w14:paraId="05C9DE7D">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符合第二章“投标人须知正文”第1.4.1项规定</w:t>
            </w:r>
          </w:p>
        </w:tc>
      </w:tr>
      <w:tr w14:paraId="413773F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restart"/>
            <w:vAlign w:val="center"/>
          </w:tcPr>
          <w:p w14:paraId="0BF9A2B9">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6.4.1</w:t>
            </w:r>
          </w:p>
        </w:tc>
        <w:tc>
          <w:tcPr>
            <w:tcW w:w="1025" w:type="dxa"/>
            <w:vMerge w:val="restart"/>
            <w:vAlign w:val="center"/>
          </w:tcPr>
          <w:p w14:paraId="59B9CE6E">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符合性评审标准</w:t>
            </w:r>
          </w:p>
        </w:tc>
        <w:tc>
          <w:tcPr>
            <w:tcW w:w="2922" w:type="dxa"/>
            <w:vAlign w:val="center"/>
          </w:tcPr>
          <w:p w14:paraId="4BB360C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5199" w:type="dxa"/>
            <w:vAlign w:val="center"/>
          </w:tcPr>
          <w:p w14:paraId="7C3204A0">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符合第二章“投标人须知正文”第3.2项规定</w:t>
            </w:r>
          </w:p>
        </w:tc>
      </w:tr>
      <w:tr w14:paraId="465C03A9">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7B725411">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p>
        </w:tc>
        <w:tc>
          <w:tcPr>
            <w:tcW w:w="1025" w:type="dxa"/>
            <w:vMerge w:val="continue"/>
            <w:vAlign w:val="center"/>
          </w:tcPr>
          <w:p w14:paraId="6768059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5AF57A6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报价唯一</w:t>
            </w:r>
          </w:p>
        </w:tc>
        <w:tc>
          <w:tcPr>
            <w:tcW w:w="5199" w:type="dxa"/>
            <w:vAlign w:val="center"/>
          </w:tcPr>
          <w:p w14:paraId="3F62D7B5">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只能有一个有效报价</w:t>
            </w:r>
          </w:p>
        </w:tc>
      </w:tr>
      <w:tr w14:paraId="01A2F61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1F80029B">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p>
        </w:tc>
        <w:tc>
          <w:tcPr>
            <w:tcW w:w="1025" w:type="dxa"/>
            <w:vMerge w:val="continue"/>
            <w:vAlign w:val="center"/>
          </w:tcPr>
          <w:p w14:paraId="44617BE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28F07CD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投标文件格式</w:t>
            </w:r>
          </w:p>
        </w:tc>
        <w:tc>
          <w:tcPr>
            <w:tcW w:w="5199" w:type="dxa"/>
            <w:vAlign w:val="center"/>
          </w:tcPr>
          <w:p w14:paraId="46BCBB35">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符合第二章“投标人须知正文”第3.7项规定</w:t>
            </w:r>
          </w:p>
        </w:tc>
      </w:tr>
      <w:tr w14:paraId="1EC4FA4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76AEAE3E">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p>
        </w:tc>
        <w:tc>
          <w:tcPr>
            <w:tcW w:w="1025" w:type="dxa"/>
            <w:vMerge w:val="continue"/>
            <w:vAlign w:val="center"/>
          </w:tcPr>
          <w:p w14:paraId="00364B3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61A2BFA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投标文件的电子签章</w:t>
            </w:r>
          </w:p>
        </w:tc>
        <w:tc>
          <w:tcPr>
            <w:tcW w:w="5199" w:type="dxa"/>
            <w:vAlign w:val="center"/>
          </w:tcPr>
          <w:p w14:paraId="0C36783B">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符合第二章“投标人须知正文”第3.7.</w:t>
            </w:r>
            <w:r>
              <w:rPr>
                <w:rFonts w:hint="eastAsia" w:ascii="仿宋" w:hAnsi="仿宋" w:eastAsia="仿宋" w:cs="仿宋"/>
                <w:color w:val="auto"/>
                <w:sz w:val="24"/>
                <w:szCs w:val="24"/>
                <w:highlight w:val="none"/>
                <w:lang w:val="en-US" w:eastAsia="zh-CN"/>
              </w:rPr>
              <w:t>5</w:t>
            </w:r>
            <w:r>
              <w:rPr>
                <w:rFonts w:hint="eastAsia" w:ascii="仿宋" w:hAnsi="仿宋" w:eastAsia="仿宋" w:cs="仿宋"/>
                <w:strike w:val="0"/>
                <w:color w:val="auto"/>
                <w:sz w:val="24"/>
                <w:szCs w:val="24"/>
                <w:highlight w:val="none"/>
                <w:lang w:val="en-US" w:eastAsia="zh-CN"/>
              </w:rPr>
              <w:t>项</w:t>
            </w:r>
            <w:r>
              <w:rPr>
                <w:rFonts w:hint="eastAsia" w:ascii="仿宋" w:hAnsi="仿宋" w:eastAsia="仿宋" w:cs="仿宋"/>
                <w:color w:val="auto"/>
                <w:sz w:val="24"/>
                <w:szCs w:val="24"/>
                <w:highlight w:val="none"/>
              </w:rPr>
              <w:t>要求</w:t>
            </w:r>
          </w:p>
        </w:tc>
      </w:tr>
      <w:tr w14:paraId="6E95B9A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42E626F9">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1074D46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46ABCDFE">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投标内容</w:t>
            </w:r>
          </w:p>
        </w:tc>
        <w:tc>
          <w:tcPr>
            <w:tcW w:w="5199" w:type="dxa"/>
            <w:vAlign w:val="center"/>
          </w:tcPr>
          <w:p w14:paraId="1A011687">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符合第二章“投标人须知正文”第1.</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项规定</w:t>
            </w:r>
          </w:p>
        </w:tc>
      </w:tr>
      <w:tr w14:paraId="1BAB623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20DAABB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568F7C89">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50801B94">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5199" w:type="dxa"/>
            <w:vAlign w:val="center"/>
          </w:tcPr>
          <w:p w14:paraId="4857A110">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w:t>
            </w:r>
            <w:r>
              <w:rPr>
                <w:rFonts w:hint="eastAsia" w:ascii="仿宋" w:hAnsi="仿宋" w:eastAsia="仿宋" w:cs="仿宋"/>
                <w:color w:val="auto"/>
                <w:sz w:val="24"/>
                <w:szCs w:val="24"/>
                <w:highlight w:val="none"/>
                <w:lang w:val="en-US" w:eastAsia="zh-CN"/>
              </w:rPr>
              <w:t>1.3.2</w:t>
            </w:r>
            <w:r>
              <w:rPr>
                <w:rFonts w:hint="eastAsia" w:ascii="仿宋" w:hAnsi="仿宋" w:eastAsia="仿宋" w:cs="仿宋"/>
                <w:color w:val="auto"/>
                <w:sz w:val="24"/>
                <w:szCs w:val="24"/>
                <w:highlight w:val="none"/>
              </w:rPr>
              <w:t>项规定</w:t>
            </w:r>
          </w:p>
        </w:tc>
      </w:tr>
      <w:tr w14:paraId="19C5B81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5A6AF33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2DC7AC98">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42176568">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质量标准</w:t>
            </w:r>
          </w:p>
        </w:tc>
        <w:tc>
          <w:tcPr>
            <w:tcW w:w="5199" w:type="dxa"/>
            <w:vAlign w:val="center"/>
          </w:tcPr>
          <w:p w14:paraId="52610F89">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w:t>
            </w:r>
            <w:r>
              <w:rPr>
                <w:rFonts w:hint="eastAsia" w:ascii="仿宋" w:hAnsi="仿宋" w:eastAsia="仿宋" w:cs="仿宋"/>
                <w:color w:val="auto"/>
                <w:sz w:val="24"/>
                <w:szCs w:val="24"/>
                <w:highlight w:val="none"/>
                <w:lang w:val="en-US" w:eastAsia="zh-CN"/>
              </w:rPr>
              <w:t>1.3.4</w:t>
            </w:r>
            <w:r>
              <w:rPr>
                <w:rFonts w:hint="eastAsia" w:ascii="仿宋" w:hAnsi="仿宋" w:eastAsia="仿宋" w:cs="仿宋"/>
                <w:color w:val="auto"/>
                <w:sz w:val="24"/>
                <w:szCs w:val="24"/>
                <w:highlight w:val="none"/>
              </w:rPr>
              <w:t>项规定</w:t>
            </w:r>
          </w:p>
        </w:tc>
      </w:tr>
      <w:tr w14:paraId="23B8E91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0B7BBF2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58C95E0A">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649F4AF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5199" w:type="dxa"/>
            <w:vAlign w:val="center"/>
          </w:tcPr>
          <w:p w14:paraId="5EAAC619">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w:t>
            </w:r>
            <w:r>
              <w:rPr>
                <w:rFonts w:hint="eastAsia" w:ascii="仿宋" w:hAnsi="仿宋" w:eastAsia="仿宋" w:cs="仿宋"/>
                <w:color w:val="auto"/>
                <w:sz w:val="24"/>
                <w:szCs w:val="24"/>
                <w:highlight w:val="none"/>
                <w:lang w:val="en-US" w:eastAsia="zh-CN"/>
              </w:rPr>
              <w:t>1.3.5</w:t>
            </w:r>
            <w:r>
              <w:rPr>
                <w:rFonts w:hint="eastAsia" w:ascii="仿宋" w:hAnsi="仿宋" w:eastAsia="仿宋" w:cs="仿宋"/>
                <w:color w:val="auto"/>
                <w:sz w:val="24"/>
                <w:szCs w:val="24"/>
                <w:highlight w:val="none"/>
              </w:rPr>
              <w:t>项规定</w:t>
            </w:r>
          </w:p>
        </w:tc>
      </w:tr>
      <w:tr w14:paraId="16CF5726">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42D4480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515093ED">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62B2D168">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5199" w:type="dxa"/>
            <w:vAlign w:val="center"/>
          </w:tcPr>
          <w:p w14:paraId="4241CC71">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符合第二章“投标人须知正文”第3.3.1项规定</w:t>
            </w:r>
          </w:p>
        </w:tc>
      </w:tr>
      <w:tr w14:paraId="112FD455">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26CA1AE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5A1E2CAA">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29E691C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5199" w:type="dxa"/>
            <w:vAlign w:val="center"/>
          </w:tcPr>
          <w:p w14:paraId="5D6FCD5A">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符合第二章“投标人须知正文”第3.4项规定</w:t>
            </w:r>
          </w:p>
        </w:tc>
      </w:tr>
      <w:tr w14:paraId="47715F0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6" w:type="dxa"/>
            <w:vMerge w:val="continue"/>
            <w:vAlign w:val="center"/>
          </w:tcPr>
          <w:p w14:paraId="2F2BF5C2">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78A94A2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2AE6B8C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权利义务</w:t>
            </w:r>
          </w:p>
        </w:tc>
        <w:tc>
          <w:tcPr>
            <w:tcW w:w="5199" w:type="dxa"/>
            <w:vAlign w:val="center"/>
          </w:tcPr>
          <w:p w14:paraId="28E9107C">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符合第四章“合同条款及格式”规定的权利义务</w:t>
            </w:r>
          </w:p>
        </w:tc>
      </w:tr>
      <w:tr w14:paraId="43ABF89D">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22A463E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2BBD8A5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5305593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法定代表人身份证明书及授权委托书</w:t>
            </w:r>
          </w:p>
        </w:tc>
        <w:tc>
          <w:tcPr>
            <w:tcW w:w="5199" w:type="dxa"/>
            <w:vAlign w:val="center"/>
          </w:tcPr>
          <w:p w14:paraId="7A54F821">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已按招标文件规定的格式和内容提供</w:t>
            </w:r>
          </w:p>
        </w:tc>
      </w:tr>
      <w:tr w14:paraId="4125E1E4">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15FA13FC">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7063FBB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24352EFC">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不得存在的其他情形</w:t>
            </w:r>
          </w:p>
        </w:tc>
        <w:tc>
          <w:tcPr>
            <w:tcW w:w="5199" w:type="dxa"/>
            <w:vAlign w:val="center"/>
          </w:tcPr>
          <w:p w14:paraId="6B9B854A">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不存在第二章“投标人须知正文”第1.4.</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项规定</w:t>
            </w:r>
            <w:r>
              <w:rPr>
                <w:rFonts w:hint="eastAsia" w:ascii="仿宋" w:hAnsi="仿宋" w:eastAsia="仿宋" w:cs="仿宋"/>
                <w:strike w:val="0"/>
                <w:color w:val="auto"/>
                <w:sz w:val="24"/>
                <w:szCs w:val="24"/>
                <w:highlight w:val="none"/>
                <w:lang w:eastAsia="zh-CN"/>
              </w:rPr>
              <w:t>的情形</w:t>
            </w:r>
          </w:p>
        </w:tc>
      </w:tr>
      <w:tr w14:paraId="5E509A5B">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29EFF5CC">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2CFC4E3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63E83850">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串通投标等违法行为</w:t>
            </w:r>
          </w:p>
        </w:tc>
        <w:tc>
          <w:tcPr>
            <w:tcW w:w="5199" w:type="dxa"/>
            <w:vAlign w:val="center"/>
          </w:tcPr>
          <w:p w14:paraId="07EBED59">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不存在第二章“投标人须知正文”第</w:t>
            </w:r>
            <w:r>
              <w:rPr>
                <w:rFonts w:hint="eastAsia" w:ascii="仿宋" w:hAnsi="仿宋" w:eastAsia="仿宋" w:cs="仿宋"/>
                <w:color w:val="auto"/>
                <w:sz w:val="24"/>
                <w:szCs w:val="24"/>
                <w:highlight w:val="none"/>
                <w:lang w:val="en-US" w:eastAsia="zh-CN"/>
              </w:rPr>
              <w:t>10.2.1</w:t>
            </w:r>
            <w:r>
              <w:rPr>
                <w:rFonts w:hint="eastAsia" w:ascii="仿宋" w:hAnsi="仿宋" w:eastAsia="仿宋" w:cs="仿宋"/>
                <w:color w:val="auto"/>
                <w:sz w:val="24"/>
                <w:szCs w:val="24"/>
                <w:highlight w:val="none"/>
              </w:rPr>
              <w:t>项规定</w:t>
            </w:r>
            <w:r>
              <w:rPr>
                <w:rFonts w:hint="eastAsia" w:ascii="仿宋" w:hAnsi="仿宋" w:eastAsia="仿宋" w:cs="仿宋"/>
                <w:strike w:val="0"/>
                <w:color w:val="auto"/>
                <w:sz w:val="24"/>
                <w:szCs w:val="24"/>
                <w:highlight w:val="none"/>
                <w:lang w:eastAsia="zh-CN"/>
              </w:rPr>
              <w:t>的情形</w:t>
            </w:r>
          </w:p>
        </w:tc>
      </w:tr>
      <w:tr w14:paraId="2D97BA6F">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16" w:type="dxa"/>
            <w:vMerge w:val="continue"/>
            <w:vAlign w:val="center"/>
          </w:tcPr>
          <w:p w14:paraId="706B8E8B">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66968179">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4226EF54">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招标文件规定的实质性</w:t>
            </w:r>
          </w:p>
          <w:p w14:paraId="7AB40FA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sz w:val="24"/>
                <w:szCs w:val="24"/>
                <w:highlight w:val="none"/>
                <w:vertAlign w:val="baseline"/>
                <w:lang w:val="en-US" w:eastAsia="zh-CN"/>
              </w:rPr>
              <w:t>要求</w:t>
            </w:r>
          </w:p>
        </w:tc>
        <w:tc>
          <w:tcPr>
            <w:tcW w:w="5199" w:type="dxa"/>
            <w:vAlign w:val="center"/>
          </w:tcPr>
          <w:p w14:paraId="394A1FC9">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strike w:val="0"/>
                <w:sz w:val="24"/>
                <w:szCs w:val="24"/>
                <w:highlight w:val="none"/>
                <w:vertAlign w:val="baseline"/>
                <w:lang w:val="en-US" w:eastAsia="zh-CN"/>
              </w:rPr>
              <w:t>响应</w:t>
            </w:r>
            <w:r>
              <w:rPr>
                <w:rFonts w:hint="eastAsia" w:ascii="仿宋" w:hAnsi="仿宋" w:eastAsia="仿宋" w:cs="仿宋"/>
                <w:sz w:val="24"/>
                <w:szCs w:val="24"/>
                <w:highlight w:val="none"/>
                <w:vertAlign w:val="baseline"/>
                <w:lang w:val="en-US" w:eastAsia="zh-CN"/>
              </w:rPr>
              <w:t>招标文件规定的实质性要求</w:t>
            </w:r>
          </w:p>
        </w:tc>
      </w:tr>
      <w:tr w14:paraId="681391E7">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dxa"/>
            <w:vMerge w:val="continue"/>
            <w:vAlign w:val="center"/>
          </w:tcPr>
          <w:p w14:paraId="1B74997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025" w:type="dxa"/>
            <w:vMerge w:val="continue"/>
            <w:vAlign w:val="center"/>
          </w:tcPr>
          <w:p w14:paraId="49F8221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2922" w:type="dxa"/>
            <w:vAlign w:val="center"/>
          </w:tcPr>
          <w:p w14:paraId="33F4AE2A">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w:t>
            </w:r>
            <w:r>
              <w:rPr>
                <w:rFonts w:hint="eastAsia" w:ascii="仿宋" w:hAnsi="仿宋" w:eastAsia="仿宋" w:cs="仿宋"/>
                <w:strike w:val="0"/>
                <w:dstrike w:val="0"/>
                <w:color w:val="auto"/>
                <w:sz w:val="24"/>
                <w:szCs w:val="24"/>
                <w:highlight w:val="none"/>
                <w:lang w:eastAsia="zh-CN"/>
              </w:rPr>
              <w:t>他</w:t>
            </w:r>
            <w:r>
              <w:rPr>
                <w:rFonts w:hint="eastAsia" w:ascii="仿宋" w:hAnsi="仿宋" w:eastAsia="仿宋" w:cs="仿宋"/>
                <w:color w:val="auto"/>
                <w:sz w:val="24"/>
                <w:szCs w:val="24"/>
                <w:highlight w:val="none"/>
              </w:rPr>
              <w:t>要求</w:t>
            </w:r>
          </w:p>
        </w:tc>
        <w:tc>
          <w:tcPr>
            <w:tcW w:w="5199" w:type="dxa"/>
            <w:vAlign w:val="center"/>
          </w:tcPr>
          <w:p w14:paraId="718FB4E1">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响应招标文件要求，且投标文件无采购人不能接受</w:t>
            </w:r>
            <w:r>
              <w:rPr>
                <w:rFonts w:hint="eastAsia" w:ascii="仿宋" w:hAnsi="仿宋" w:eastAsia="仿宋" w:cs="仿宋"/>
                <w:strike w:val="0"/>
                <w:color w:val="auto"/>
                <w:sz w:val="24"/>
                <w:szCs w:val="24"/>
                <w:highlight w:val="none"/>
                <w:lang w:eastAsia="zh-CN"/>
              </w:rPr>
              <w:t>的</w:t>
            </w:r>
            <w:r>
              <w:rPr>
                <w:rFonts w:hint="eastAsia" w:ascii="仿宋" w:hAnsi="仿宋" w:eastAsia="仿宋" w:cs="仿宋"/>
                <w:color w:val="auto"/>
                <w:sz w:val="24"/>
                <w:szCs w:val="24"/>
                <w:highlight w:val="none"/>
              </w:rPr>
              <w:t>附加条件，无法律法规和招标文件规定的无效投标情形</w:t>
            </w:r>
          </w:p>
        </w:tc>
      </w:tr>
    </w:tbl>
    <w:p w14:paraId="1D0EBE0D">
      <w:pPr>
        <w:pageBreakBefore w:val="0"/>
        <w:kinsoku/>
        <w:wordWrap w:val="0"/>
        <w:overflowPunct/>
        <w:bidi w:val="0"/>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续上表</w:t>
      </w:r>
    </w:p>
    <w:tbl>
      <w:tblPr>
        <w:tblStyle w:val="22"/>
        <w:tblW w:w="9826"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51"/>
        <w:gridCol w:w="1763"/>
        <w:gridCol w:w="5762"/>
      </w:tblGrid>
      <w:tr w14:paraId="58BCA91F">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01" w:type="dxa"/>
            <w:gridSpan w:val="2"/>
            <w:vAlign w:val="center"/>
          </w:tcPr>
          <w:p w14:paraId="13C60437">
            <w:pPr>
              <w:keepNext w:val="0"/>
              <w:keepLines w:val="0"/>
              <w:pageBreakBefore w:val="0"/>
              <w:suppressLineNumbers w:val="0"/>
              <w:kinsoku/>
              <w:wordWrap w:val="0"/>
              <w:overflowPunct/>
              <w:bidi w:val="0"/>
              <w:spacing w:before="0" w:beforeAutospacing="0" w:after="0" w:afterAutospacing="0" w:line="400" w:lineRule="exact"/>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763" w:type="dxa"/>
            <w:vAlign w:val="center"/>
          </w:tcPr>
          <w:p w14:paraId="7BF97FD8">
            <w:pPr>
              <w:keepNext w:val="0"/>
              <w:keepLines w:val="0"/>
              <w:pageBreakBefore w:val="0"/>
              <w:suppressLineNumbers w:val="0"/>
              <w:kinsoku/>
              <w:wordWrap w:val="0"/>
              <w:overflowPunct/>
              <w:bidi w:val="0"/>
              <w:spacing w:before="0" w:beforeAutospacing="0" w:after="0" w:afterAutospacing="0" w:line="400" w:lineRule="exact"/>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条款内容</w:t>
            </w:r>
          </w:p>
        </w:tc>
        <w:tc>
          <w:tcPr>
            <w:tcW w:w="5762" w:type="dxa"/>
            <w:vAlign w:val="center"/>
          </w:tcPr>
          <w:p w14:paraId="5AC01EE3">
            <w:pPr>
              <w:keepNext w:val="0"/>
              <w:keepLines w:val="0"/>
              <w:pageBreakBefore w:val="0"/>
              <w:suppressLineNumbers w:val="0"/>
              <w:kinsoku/>
              <w:wordWrap w:val="0"/>
              <w:overflowPunct/>
              <w:bidi w:val="0"/>
              <w:spacing w:before="0" w:beforeAutospacing="0" w:after="0" w:afterAutospacing="0" w:line="400" w:lineRule="exact"/>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编列内容</w:t>
            </w:r>
          </w:p>
        </w:tc>
      </w:tr>
      <w:tr w14:paraId="0BED4B55">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2301" w:type="dxa"/>
            <w:gridSpan w:val="2"/>
            <w:vAlign w:val="center"/>
          </w:tcPr>
          <w:p w14:paraId="365352C4">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6.6.1</w:t>
            </w:r>
          </w:p>
        </w:tc>
        <w:tc>
          <w:tcPr>
            <w:tcW w:w="1763" w:type="dxa"/>
            <w:vAlign w:val="center"/>
          </w:tcPr>
          <w:p w14:paraId="09085654">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分值构成</w:t>
            </w:r>
          </w:p>
          <w:p w14:paraId="7FF400C9">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（总分100分）</w:t>
            </w:r>
          </w:p>
        </w:tc>
        <w:tc>
          <w:tcPr>
            <w:tcW w:w="5762" w:type="dxa"/>
            <w:vAlign w:val="center"/>
          </w:tcPr>
          <w:p w14:paraId="1E3B4A4E">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评标总得分=F1＋F2＋……＋Fn</w:t>
            </w:r>
          </w:p>
          <w:p w14:paraId="340A14D7">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F1、F2……Fn分别为各项评审因素的得分；</w:t>
            </w:r>
          </w:p>
          <w:p w14:paraId="6BB2007D">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F1—投标报价评分（满分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3097006A">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F2—技术部分评分（满分</w:t>
            </w: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分）</w:t>
            </w:r>
          </w:p>
          <w:p w14:paraId="0F8BEB2C">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商务</w:t>
            </w:r>
            <w:r>
              <w:rPr>
                <w:rFonts w:hint="eastAsia" w:ascii="仿宋" w:hAnsi="仿宋" w:eastAsia="仿宋" w:cs="仿宋"/>
                <w:color w:val="auto"/>
                <w:sz w:val="24"/>
                <w:szCs w:val="24"/>
                <w:highlight w:val="none"/>
              </w:rPr>
              <w:t>部分评分（</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r>
      <w:tr w14:paraId="58BF8106">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59" w:hRule="exact"/>
          <w:jc w:val="center"/>
        </w:trPr>
        <w:tc>
          <w:tcPr>
            <w:tcW w:w="2301" w:type="dxa"/>
            <w:gridSpan w:val="2"/>
            <w:vAlign w:val="center"/>
          </w:tcPr>
          <w:p w14:paraId="7674F77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6.6.1(1)</w:t>
            </w:r>
          </w:p>
        </w:tc>
        <w:tc>
          <w:tcPr>
            <w:tcW w:w="1763" w:type="dxa"/>
            <w:vAlign w:val="center"/>
          </w:tcPr>
          <w:p w14:paraId="23631E24">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评标基准价</w:t>
            </w:r>
          </w:p>
        </w:tc>
        <w:tc>
          <w:tcPr>
            <w:tcW w:w="5762" w:type="dxa"/>
            <w:vAlign w:val="center"/>
          </w:tcPr>
          <w:p w14:paraId="2FB0D55B">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满足招标文件要求且投标价格最低的投标报价</w:t>
            </w:r>
          </w:p>
        </w:tc>
      </w:tr>
      <w:tr w14:paraId="5BFAE6F6">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826" w:type="dxa"/>
            <w:gridSpan w:val="4"/>
            <w:vAlign w:val="center"/>
          </w:tcPr>
          <w:p w14:paraId="5FCFF195">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评分标准</w:t>
            </w:r>
          </w:p>
        </w:tc>
      </w:tr>
      <w:tr w14:paraId="38CD8BE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9" w:hRule="exact"/>
          <w:jc w:val="center"/>
        </w:trPr>
        <w:tc>
          <w:tcPr>
            <w:tcW w:w="2301" w:type="dxa"/>
            <w:gridSpan w:val="2"/>
            <w:vAlign w:val="center"/>
          </w:tcPr>
          <w:p w14:paraId="50A5206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条款号</w:t>
            </w:r>
          </w:p>
        </w:tc>
        <w:tc>
          <w:tcPr>
            <w:tcW w:w="1763" w:type="dxa"/>
            <w:vAlign w:val="center"/>
          </w:tcPr>
          <w:p w14:paraId="2DF868F7">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评分因素</w:t>
            </w:r>
          </w:p>
        </w:tc>
        <w:tc>
          <w:tcPr>
            <w:tcW w:w="5762" w:type="dxa"/>
            <w:vAlign w:val="center"/>
          </w:tcPr>
          <w:p w14:paraId="5697C8F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评分标准</w:t>
            </w:r>
          </w:p>
        </w:tc>
      </w:tr>
      <w:tr w14:paraId="0B51C547">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8450" w:hRule="atLeast"/>
          <w:jc w:val="center"/>
        </w:trPr>
        <w:tc>
          <w:tcPr>
            <w:tcW w:w="1050" w:type="dxa"/>
            <w:vAlign w:val="center"/>
          </w:tcPr>
          <w:p w14:paraId="28BC22B6">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6.6.2(1)</w:t>
            </w:r>
          </w:p>
        </w:tc>
        <w:tc>
          <w:tcPr>
            <w:tcW w:w="1251" w:type="dxa"/>
            <w:vAlign w:val="center"/>
          </w:tcPr>
          <w:p w14:paraId="097CFFA5">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F1—投标报价评分（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0E60DBF5">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763" w:type="dxa"/>
            <w:vAlign w:val="center"/>
          </w:tcPr>
          <w:p w14:paraId="1B7FD23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报价评分</w:t>
            </w:r>
          </w:p>
          <w:p w14:paraId="35F1E695">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5762" w:type="dxa"/>
            <w:vAlign w:val="center"/>
          </w:tcPr>
          <w:p w14:paraId="18105E46">
            <w:pPr>
              <w:keepNext w:val="0"/>
              <w:keepLines w:val="0"/>
              <w:pageBreakBefore w:val="0"/>
              <w:suppressLineNumbers w:val="0"/>
              <w:kinsoku/>
              <w:wordWrap w:val="0"/>
              <w:overflowPunct/>
              <w:bidi w:val="0"/>
              <w:spacing w:before="0" w:beforeAutospacing="0" w:after="0" w:afterAutospacing="0" w:line="340" w:lineRule="exact"/>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一、中小企业：</w:t>
            </w:r>
          </w:p>
          <w:p w14:paraId="25CD12A3">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strike w:val="0"/>
                <w:color w:val="auto"/>
                <w:sz w:val="24"/>
                <w:szCs w:val="24"/>
                <w:highlight w:val="none"/>
                <w:lang w:eastAsia="zh-CN"/>
              </w:rPr>
              <w:t>根</w:t>
            </w:r>
            <w:r>
              <w:rPr>
                <w:rFonts w:hint="eastAsia" w:ascii="仿宋" w:hAnsi="仿宋" w:eastAsia="仿宋" w:cs="仿宋"/>
                <w:color w:val="auto"/>
                <w:sz w:val="24"/>
                <w:szCs w:val="24"/>
                <w:highlight w:val="none"/>
              </w:rPr>
              <w:t>据《政府采购促进中小企业发展管理办法》（财库〔2020〕46号）、《关于进一步加大政府采购支持中小企业力度的通知》（财库〔2022〕19号）、云南省财政厅关于贯彻《财政部关于进一步加大政府采购支持中小企业力度的通知》的通知（云财采〔2022〕9号）、《财政部 民政部 中国残疾人联合会关于促进残疾人就业政府采购政策的通知》（财库〔2017〕141号）及《财政部 司法部关于政府采购支持监狱企业发展有关问题的通知》（财库〔2014〕68号）的规定，本次招标将对符合要求的小微企业、残疾人福利性单位、监狱企业的投标人投标报价部分进行10%的价格扣除，用扣除后的价格参与评标。</w:t>
            </w:r>
          </w:p>
          <w:p w14:paraId="5E5C1C40">
            <w:pPr>
              <w:keepNext w:val="0"/>
              <w:keepLines w:val="0"/>
              <w:pageBreakBefore w:val="0"/>
              <w:suppressLineNumbers w:val="0"/>
              <w:kinsoku/>
              <w:wordWrap w:val="0"/>
              <w:overflowPunct/>
              <w:bidi w:val="0"/>
              <w:spacing w:before="0" w:beforeAutospacing="0" w:after="0" w:afterAutospacing="0" w:line="340" w:lineRule="exact"/>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二、报价分计算方式：</w:t>
            </w:r>
          </w:p>
          <w:p w14:paraId="28DB6D46">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以通过资格性审查和符合性审查的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最低价格为基准价，其</w:t>
            </w:r>
            <w:r>
              <w:rPr>
                <w:rFonts w:hint="eastAsia" w:ascii="仿宋" w:hAnsi="仿宋" w:eastAsia="仿宋" w:cs="仿宋"/>
                <w:strike w:val="0"/>
                <w:dstrike w:val="0"/>
                <w:color w:val="auto"/>
                <w:sz w:val="24"/>
                <w:szCs w:val="24"/>
                <w:highlight w:val="none"/>
                <w:lang w:eastAsia="zh-CN"/>
              </w:rPr>
              <w:t>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的价格分统一按照下列公式计算：</w:t>
            </w:r>
          </w:p>
          <w:p w14:paraId="133CE889">
            <w:pPr>
              <w:keepNext w:val="0"/>
              <w:keepLines w:val="0"/>
              <w:pageBreakBefore w:val="0"/>
              <w:suppressLineNumbers w:val="0"/>
              <w:kinsoku/>
              <w:wordWrap w:val="0"/>
              <w:overflowPunct/>
              <w:bidi w:val="0"/>
              <w:spacing w:before="0" w:beforeAutospacing="0" w:after="0" w:afterAutospacing="0" w:line="340" w:lineRule="exact"/>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投标报价得分=（评标基准价/投标报价）×</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。（计算到小数点后二位）</w:t>
            </w:r>
          </w:p>
          <w:p w14:paraId="77D0D105">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rPr>
              <w:t>备注：投标人的报价明显低于其他通过资格性审查和符合性审查投标人的报价，有可能影响产品质量或者不能诚信履约的，应当要求其在合理的时间内提供书面说明，必要时提交相关证明材料；投标人不能证明其报价合理性的，评标委员会应当将其作为无效投标处理。</w:t>
            </w:r>
          </w:p>
        </w:tc>
      </w:tr>
      <w:tr w14:paraId="35FA80E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100" w:hRule="atLeast"/>
          <w:jc w:val="center"/>
        </w:trPr>
        <w:tc>
          <w:tcPr>
            <w:tcW w:w="1050" w:type="dxa"/>
            <w:vMerge w:val="restart"/>
            <w:vAlign w:val="center"/>
          </w:tcPr>
          <w:p w14:paraId="72B87BF5">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6.6.2(2)</w:t>
            </w:r>
          </w:p>
        </w:tc>
        <w:tc>
          <w:tcPr>
            <w:tcW w:w="1251" w:type="dxa"/>
            <w:vMerge w:val="restart"/>
            <w:vAlign w:val="center"/>
          </w:tcPr>
          <w:p w14:paraId="21DD2EF6">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F2—技术部分评分（</w:t>
            </w: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分）</w:t>
            </w:r>
          </w:p>
        </w:tc>
        <w:tc>
          <w:tcPr>
            <w:tcW w:w="1763" w:type="dxa"/>
            <w:vAlign w:val="center"/>
          </w:tcPr>
          <w:p w14:paraId="1BB7125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技术参数响应评审</w:t>
            </w:r>
          </w:p>
          <w:p w14:paraId="2E76861C">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分）</w:t>
            </w:r>
          </w:p>
        </w:tc>
        <w:tc>
          <w:tcPr>
            <w:tcW w:w="5762" w:type="dxa"/>
            <w:vAlign w:val="center"/>
          </w:tcPr>
          <w:p w14:paraId="017EEE2E">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投标人提供的投标产品技术响应所有技术指标及要求无负偏离项或优于招标文件要求的得满分19分。带“★”号的技术指标及要求，有一项负偏离扣1分，扣完为止；未带“★”号的技术指标及要求，有一项负偏离扣0.3分，扣完为止。</w:t>
            </w:r>
          </w:p>
          <w:p w14:paraId="72A85FD9">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带“★”号项的技术指标每提供一项CNAS或CMA标识的有效检测报告复印件加2分，最多加10分。</w:t>
            </w:r>
          </w:p>
          <w:p w14:paraId="24D7C5C5">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1、“采购需求及要求”中有“★”号标识的均为重要技术参数，第六章《采购需求及要求》中有要求技术支持资料的，以第六章要求为准，若投标文件中技术支持资料参数与技术条款偏离表应答不符或无支持资料应答的，评标委员会在评审时可以视为不响应该条技术条款的规定。</w:t>
            </w:r>
          </w:p>
          <w:p w14:paraId="5744B143">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highlight w:val="none"/>
                <w:lang w:val="en-US" w:eastAsia="zh-CN"/>
              </w:rPr>
            </w:pPr>
            <w:r>
              <w:rPr>
                <w:rFonts w:hint="eastAsia" w:ascii="仿宋" w:hAnsi="仿宋" w:eastAsia="仿宋" w:cs="仿宋"/>
                <w:b w:val="0"/>
                <w:bCs w:val="0"/>
                <w:color w:val="auto"/>
                <w:sz w:val="24"/>
                <w:szCs w:val="24"/>
                <w:highlight w:val="none"/>
                <w:lang w:val="en-US" w:eastAsia="zh-CN"/>
              </w:rPr>
              <w:t>2、若投标文件响应情况与第六章《采购需求及要求》“一、技术参数”中的技术条款不符或无有效证明，而投标人又未在投标文件中作出说明和解释的，评标委员会在评审时可以视为不响应该条技术条款的规定。</w:t>
            </w:r>
          </w:p>
        </w:tc>
      </w:tr>
      <w:tr w14:paraId="43C014BE">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0" w:type="dxa"/>
            <w:vMerge w:val="continue"/>
            <w:vAlign w:val="center"/>
          </w:tcPr>
          <w:p w14:paraId="1217F7C1">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251" w:type="dxa"/>
            <w:vMerge w:val="continue"/>
            <w:vAlign w:val="center"/>
          </w:tcPr>
          <w:p w14:paraId="6452F808">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763" w:type="dxa"/>
            <w:shd w:val="clear" w:color="auto" w:fill="auto"/>
            <w:vAlign w:val="center"/>
          </w:tcPr>
          <w:p w14:paraId="2E60B4AE">
            <w:pPr>
              <w:keepNext w:val="0"/>
              <w:keepLines w:val="0"/>
              <w:pageBreakBefore w:val="0"/>
              <w:suppressLineNumbers w:val="0"/>
              <w:kinsoku/>
              <w:wordWrap w:val="0"/>
              <w:overflowPunct/>
              <w:bidi w:val="0"/>
              <w:spacing w:before="0" w:beforeAutospacing="0" w:after="0" w:afterAutospacing="0" w:line="340" w:lineRule="exact"/>
              <w:ind w:left="0" w:leftChars="0" w:right="0" w:right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项目实施方案（满分</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w:t>
            </w:r>
          </w:p>
        </w:tc>
        <w:tc>
          <w:tcPr>
            <w:tcW w:w="5762" w:type="dxa"/>
            <w:shd w:val="clear" w:color="auto" w:fill="auto"/>
            <w:vAlign w:val="center"/>
          </w:tcPr>
          <w:p w14:paraId="778C2540">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根据投标人针对本项目的项目实施方案进行评审，内容包含但不限于：</w:t>
            </w:r>
          </w:p>
          <w:p w14:paraId="4D9896E8">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1、供货安装调试方案；</w:t>
            </w:r>
          </w:p>
          <w:p w14:paraId="6187DEDB">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2、项目实施保障措施；</w:t>
            </w:r>
          </w:p>
          <w:p w14:paraId="4D17B46B">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3、时间进度计划安排；</w:t>
            </w:r>
          </w:p>
          <w:p w14:paraId="23B55E31">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4、项目团队专业人员配置；</w:t>
            </w:r>
          </w:p>
          <w:p w14:paraId="6EFFFCE1">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5、项目验收、培训方案；</w:t>
            </w:r>
          </w:p>
          <w:p w14:paraId="3D6B1E5C">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以上5个方面均有完整且合理具体描述的，项目实施方案阐述详细、全面、清晰且可行性、有效性、可操作性强，内容具体、项目实施方案能够完全满足项目需求的得满分15分，每有一项内容缺失的扣3分，每有一项存在缺陷（缺陷是指缺乏完整性、缺乏合理可行性）扣2分，此项评分最高得15分，最低得0分。</w:t>
            </w:r>
          </w:p>
        </w:tc>
      </w:tr>
      <w:tr w14:paraId="3FAFF18E">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50" w:type="dxa"/>
            <w:vMerge w:val="continue"/>
            <w:vAlign w:val="center"/>
          </w:tcPr>
          <w:p w14:paraId="720BE4BF">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251" w:type="dxa"/>
            <w:vMerge w:val="continue"/>
            <w:vAlign w:val="center"/>
          </w:tcPr>
          <w:p w14:paraId="538E0955">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763" w:type="dxa"/>
            <w:vAlign w:val="center"/>
          </w:tcPr>
          <w:p w14:paraId="31BEC692">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质量保证措施及承诺</w:t>
            </w:r>
          </w:p>
          <w:p w14:paraId="67D0495C">
            <w:pPr>
              <w:keepNext w:val="0"/>
              <w:keepLines w:val="0"/>
              <w:pageBreakBefore w:val="0"/>
              <w:suppressLineNumbers w:val="0"/>
              <w:kinsoku/>
              <w:wordWrap w:val="0"/>
              <w:overflowPunct/>
              <w:bidi w:val="0"/>
              <w:spacing w:before="0" w:beforeAutospacing="0" w:after="0" w:afterAutospacing="0" w:line="340" w:lineRule="exact"/>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（满分</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5762" w:type="dxa"/>
            <w:vAlign w:val="center"/>
          </w:tcPr>
          <w:p w14:paraId="6187349E">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根据投标人针对本项目所投产品提供的产品质量保证措施及承诺进行评审，内容包含但不限于：</w:t>
            </w:r>
          </w:p>
          <w:p w14:paraId="344F9129">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1、产品来源，进货渠道；</w:t>
            </w:r>
          </w:p>
          <w:p w14:paraId="2F543EC1">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2、产品的质量承诺及保证措施；</w:t>
            </w:r>
          </w:p>
          <w:p w14:paraId="493B479E">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3、产品的安全性、耐用性、稳定性保证措施及承诺；</w:t>
            </w:r>
          </w:p>
          <w:p w14:paraId="258F0FA1">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4、产品的备品备件服务保证措施及承诺；</w:t>
            </w:r>
          </w:p>
          <w:p w14:paraId="61FD9C6F">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5、产品质量违约承诺及处罚措施；</w:t>
            </w:r>
          </w:p>
          <w:p w14:paraId="71F54E9D">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质量保证措施及承诺方案中以上5个方面均包含，质量保证措施及承诺阐述详细、全面、清晰且可行性、有效性、可操作性强，设备产品来源清晰、质保期明确，质保方式、质保内容能够完全满足项目需求的得10分，每有一项内容缺失的扣2分，每有一项存在缺陷（缺陷是指缺乏完整性、缺乏合理可行性）扣1分，扣完为止。</w:t>
            </w:r>
          </w:p>
        </w:tc>
      </w:tr>
      <w:tr w14:paraId="5993B00E">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4388" w:hRule="atLeast"/>
          <w:jc w:val="center"/>
        </w:trPr>
        <w:tc>
          <w:tcPr>
            <w:tcW w:w="1050" w:type="dxa"/>
            <w:vMerge w:val="continue"/>
            <w:vAlign w:val="center"/>
          </w:tcPr>
          <w:p w14:paraId="149C2014">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251" w:type="dxa"/>
            <w:vMerge w:val="continue"/>
            <w:vAlign w:val="center"/>
          </w:tcPr>
          <w:p w14:paraId="6B61D823">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p>
        </w:tc>
        <w:tc>
          <w:tcPr>
            <w:tcW w:w="1763" w:type="dxa"/>
            <w:vAlign w:val="center"/>
          </w:tcPr>
          <w:p w14:paraId="00F143BD">
            <w:pPr>
              <w:keepNext w:val="0"/>
              <w:keepLines w:val="0"/>
              <w:pageBreakBefore w:val="0"/>
              <w:suppressLineNumbers w:val="0"/>
              <w:kinsoku/>
              <w:wordWrap w:val="0"/>
              <w:overflowPunct/>
              <w:bidi w:val="0"/>
              <w:spacing w:before="0" w:beforeAutospacing="0" w:after="0" w:afterAutospacing="0" w:line="340" w:lineRule="exac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售后服务保证措施及承诺（满分10分）</w:t>
            </w:r>
          </w:p>
        </w:tc>
        <w:tc>
          <w:tcPr>
            <w:tcW w:w="5762" w:type="dxa"/>
            <w:vAlign w:val="center"/>
          </w:tcPr>
          <w:p w14:paraId="4E9D0C92">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根据投标人提供的售后服务保证措施及承诺内容进行评审</w:t>
            </w:r>
            <w:r>
              <w:rPr>
                <w:rFonts w:hint="eastAsia" w:ascii="仿宋" w:hAnsi="仿宋" w:eastAsia="仿宋" w:cs="仿宋"/>
                <w:b w:val="0"/>
                <w:bCs w:val="0"/>
                <w:strike w:val="0"/>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内容包含但不限于：</w:t>
            </w:r>
          </w:p>
          <w:p w14:paraId="3D55CA2E">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1、售后服务组织机构；</w:t>
            </w:r>
          </w:p>
          <w:p w14:paraId="56C1B505">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2、售后服务方式与流程；</w:t>
            </w:r>
          </w:p>
          <w:p w14:paraId="5BE423D8">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3、产品维修及更换措施；</w:t>
            </w:r>
          </w:p>
          <w:p w14:paraId="37B65531">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4、售后响应时限及承诺；</w:t>
            </w:r>
          </w:p>
          <w:p w14:paraId="1CA83D5D">
            <w:pPr>
              <w:keepNext w:val="0"/>
              <w:keepLines w:val="0"/>
              <w:pageBreakBefore w:val="0"/>
              <w:suppressLineNumbers w:val="0"/>
              <w:kinsoku/>
              <w:wordWrap w:val="0"/>
              <w:overflowPunct/>
              <w:bidi w:val="0"/>
              <w:spacing w:before="0" w:beforeAutospacing="0" w:after="0" w:afterAutospacing="0" w:line="340" w:lineRule="exact"/>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5、售后服务违约承诺及处罚措施；</w:t>
            </w:r>
          </w:p>
          <w:p w14:paraId="6F40D679">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以上5个方面均有完整且合理具体描述的，售后服务保证措施及承诺阐述详细、全面、清晰且可行性、有效性、可操作性强，售后服务内容、售后服务方式与流程、响应时间、违约处罚措施能够完全满足项目需求的得满分10分，每有一项内容缺失的扣2分，每有一项存在缺陷（缺陷是指缺乏完整性、缺乏合理可行性）扣1分，此项评分最高得10分，最低得0分。</w:t>
            </w:r>
          </w:p>
        </w:tc>
      </w:tr>
      <w:tr w14:paraId="67691CC3">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1050" w:type="dxa"/>
            <w:vAlign w:val="center"/>
          </w:tcPr>
          <w:p w14:paraId="6CBA74EE">
            <w:pPr>
              <w:keepNext w:val="0"/>
              <w:keepLines w:val="0"/>
              <w:pageBreakBefore w:val="0"/>
              <w:suppressLineNumbers w:val="0"/>
              <w:kinsoku/>
              <w:wordWrap w:val="0"/>
              <w:overflowPunct/>
              <w:bidi w:val="0"/>
              <w:spacing w:before="0" w:beforeAutospacing="0" w:after="0" w:afterAutospacing="0" w:line="340" w:lineRule="exact"/>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p>
        </w:tc>
        <w:tc>
          <w:tcPr>
            <w:tcW w:w="1251" w:type="dxa"/>
            <w:vAlign w:val="center"/>
          </w:tcPr>
          <w:p w14:paraId="15B028DD">
            <w:pPr>
              <w:keepNext w:val="0"/>
              <w:keepLines w:val="0"/>
              <w:pageBreakBefore w:val="0"/>
              <w:suppressLineNumbers w:val="0"/>
              <w:kinsoku/>
              <w:wordWrap w:val="0"/>
              <w:overflowPunct/>
              <w:bidi w:val="0"/>
              <w:spacing w:before="0" w:beforeAutospacing="0" w:after="0" w:afterAutospacing="0" w:line="340" w:lineRule="exac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商务</w:t>
            </w:r>
            <w:r>
              <w:rPr>
                <w:rFonts w:hint="eastAsia" w:ascii="仿宋" w:hAnsi="仿宋" w:eastAsia="仿宋" w:cs="仿宋"/>
                <w:color w:val="auto"/>
                <w:sz w:val="24"/>
                <w:szCs w:val="24"/>
                <w:highlight w:val="none"/>
              </w:rPr>
              <w:t>部分评分（</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1763" w:type="dxa"/>
            <w:vAlign w:val="center"/>
          </w:tcPr>
          <w:p w14:paraId="2F222A3E">
            <w:pPr>
              <w:keepNext w:val="0"/>
              <w:keepLines w:val="0"/>
              <w:pageBreakBefore w:val="0"/>
              <w:suppressLineNumbers w:val="0"/>
              <w:kinsoku/>
              <w:wordWrap w:val="0"/>
              <w:overflowPunct/>
              <w:bidi w:val="0"/>
              <w:spacing w:before="0" w:beforeAutospacing="0" w:after="0" w:afterAutospacing="0" w:line="340" w:lineRule="exact"/>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类似业绩</w:t>
            </w:r>
          </w:p>
        </w:tc>
        <w:tc>
          <w:tcPr>
            <w:tcW w:w="5762" w:type="dxa"/>
            <w:vAlign w:val="center"/>
          </w:tcPr>
          <w:p w14:paraId="7CC1613C">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投标人每提供一个有效类似项目业绩证明材料的得2分，本项最高得6分。</w:t>
            </w:r>
          </w:p>
          <w:p w14:paraId="3A3FAEB2">
            <w:pPr>
              <w:keepNext w:val="0"/>
              <w:keepLines w:val="0"/>
              <w:pageBreakBefore w:val="0"/>
              <w:suppressLineNumbers w:val="0"/>
              <w:kinsoku/>
              <w:wordWrap w:val="0"/>
              <w:overflowPunct/>
              <w:bidi w:val="0"/>
              <w:spacing w:before="0" w:beforeAutospacing="0" w:after="0" w:afterAutospacing="0" w:line="340" w:lineRule="exact"/>
              <w:ind w:left="0" w:right="0" w:firstLine="480" w:firstLineChars="20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有效类似项目业绩是指2022年10月1日至今（以合同签订时间为准），提供采购产品的类似供货业绩，以所提供的合同、供货协议或中标/成交通知书等相关证明材料为准。</w:t>
            </w:r>
          </w:p>
        </w:tc>
      </w:tr>
    </w:tbl>
    <w:p w14:paraId="3BE8D85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3B95EFA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根据《中华人民共和国政府采购法》《中华人民共和国政府采购法实施条例》《</w:t>
      </w:r>
      <w:r>
        <w:rPr>
          <w:rFonts w:hint="eastAsia" w:ascii="仿宋" w:hAnsi="仿宋" w:eastAsia="仿宋" w:cs="仿宋"/>
          <w:color w:val="auto"/>
          <w:spacing w:val="10"/>
          <w:sz w:val="24"/>
          <w:szCs w:val="24"/>
          <w:highlight w:val="none"/>
        </w:rPr>
        <w:t>政府采购货物和服务采购投标管理办法》（财政部令第87号）等相关法律法规和规章的规定</w:t>
      </w:r>
      <w:r>
        <w:rPr>
          <w:rFonts w:hint="eastAsia" w:ascii="仿宋" w:hAnsi="仿宋" w:eastAsia="仿宋" w:cs="仿宋"/>
          <w:color w:val="auto"/>
          <w:sz w:val="24"/>
          <w:szCs w:val="24"/>
          <w:highlight w:val="none"/>
        </w:rPr>
        <w:t>制定本办法。</w:t>
      </w:r>
    </w:p>
    <w:p w14:paraId="2134753F">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24" w:name="_Toc14198"/>
      <w:bookmarkStart w:id="125" w:name="_Toc13502"/>
      <w:r>
        <w:rPr>
          <w:rFonts w:hint="eastAsia" w:ascii="仿宋" w:hAnsi="仿宋" w:eastAsia="仿宋" w:cs="仿宋"/>
          <w:color w:val="auto"/>
          <w:sz w:val="28"/>
          <w:szCs w:val="28"/>
          <w:highlight w:val="none"/>
        </w:rPr>
        <w:t>一、评标机构</w:t>
      </w:r>
      <w:bookmarkEnd w:id="124"/>
      <w:bookmarkEnd w:id="125"/>
    </w:p>
    <w:p w14:paraId="588DAC63">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评标委员会构成：由采购单位依法组建的五人及其以上单数组成，其中：经济、技术方面的专家评委占三分之二，采购人代表总数不超过评委总数的三分之一。</w:t>
      </w:r>
    </w:p>
    <w:p w14:paraId="29CA923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评标委员会组成方式：经济、技术方面的专家在云南省政府采购信息管理系统中随机抽取专家组成。</w:t>
      </w:r>
      <w:bookmarkStart w:id="126" w:name="_Toc20416"/>
    </w:p>
    <w:p w14:paraId="64F15AC9">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27" w:name="_Toc1264"/>
      <w:r>
        <w:rPr>
          <w:rFonts w:hint="eastAsia" w:ascii="仿宋" w:hAnsi="仿宋" w:eastAsia="仿宋" w:cs="仿宋"/>
          <w:color w:val="auto"/>
          <w:sz w:val="28"/>
          <w:szCs w:val="28"/>
          <w:highlight w:val="none"/>
        </w:rPr>
        <w:t>二、采购人或者采购代理机构职责</w:t>
      </w:r>
      <w:bookmarkEnd w:id="126"/>
      <w:bookmarkEnd w:id="127"/>
    </w:p>
    <w:p w14:paraId="241412B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采购人或者采购代理机构负责组织评标工作，并履行下列职责：</w:t>
      </w:r>
    </w:p>
    <w:p w14:paraId="0F547E8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（1）核对评审专家身份和采购人代表授权函，对评审专家在政府采购活动中的职责履行情况予以记录，并及时将有关违法违规行为向财政部门报告；</w:t>
      </w:r>
    </w:p>
    <w:p w14:paraId="7DDB2A5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（2）对投标人资格进行审查；</w:t>
      </w:r>
    </w:p>
    <w:p w14:paraId="0571FD36">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（3）核对评标结果，有《政府采购货物和服务招标投标管理办法》（财政部令第87号）第六十四条规定情形的，要求评标委员会复核或者书面说明理由，评标委员会拒绝的，应予记录并向本级财政部门报告；</w:t>
      </w:r>
    </w:p>
    <w:p w14:paraId="773438FB">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（4）处理与评标有关的其他事项。</w:t>
      </w:r>
    </w:p>
    <w:p w14:paraId="7CB051FE">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28" w:name="_Toc20693"/>
      <w:bookmarkStart w:id="129" w:name="_Toc6443"/>
      <w:r>
        <w:rPr>
          <w:rFonts w:hint="eastAsia" w:ascii="仿宋" w:hAnsi="仿宋" w:eastAsia="仿宋" w:cs="仿宋"/>
          <w:color w:val="auto"/>
          <w:sz w:val="28"/>
          <w:szCs w:val="28"/>
          <w:highlight w:val="none"/>
        </w:rPr>
        <w:t>三、评标委员会职责</w:t>
      </w:r>
      <w:bookmarkEnd w:id="128"/>
      <w:bookmarkEnd w:id="129"/>
    </w:p>
    <w:p w14:paraId="6D0F79A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评标委员会负责具体评标事务，并独立履行下列职责：</w:t>
      </w:r>
    </w:p>
    <w:p w14:paraId="1339B7F0">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（1）审查、评价投标文件是否符合招标文件的商务、技术等实质性要求；</w:t>
      </w:r>
    </w:p>
    <w:p w14:paraId="202E23D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（2）要求投标人对投标文件有关事项作出澄清或者说明；</w:t>
      </w:r>
    </w:p>
    <w:p w14:paraId="4096F2C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（3）对投标文件进行比较和评价；</w:t>
      </w:r>
    </w:p>
    <w:p w14:paraId="1B147FF2">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（4）确定中标候选人名单，或根据采购人委托直接确定中标人；</w:t>
      </w:r>
    </w:p>
    <w:p w14:paraId="2DEF3D1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（5）向采购人、采购代理机构或者有关部门报告评标中发现的违法行为。</w:t>
      </w:r>
    </w:p>
    <w:p w14:paraId="0D15A326">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30" w:name="_Toc14830"/>
      <w:bookmarkStart w:id="131" w:name="_Toc19076"/>
      <w:r>
        <w:rPr>
          <w:rFonts w:hint="eastAsia" w:ascii="仿宋" w:hAnsi="仿宋" w:eastAsia="仿宋" w:cs="仿宋"/>
          <w:color w:val="auto"/>
          <w:sz w:val="28"/>
          <w:szCs w:val="28"/>
          <w:highlight w:val="none"/>
        </w:rPr>
        <w:t>四、评标纪律</w:t>
      </w:r>
      <w:bookmarkEnd w:id="130"/>
      <w:bookmarkEnd w:id="131"/>
    </w:p>
    <w:p w14:paraId="2A8296E7">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（1）对评标内容和评标过程要严格保密，不得向投标人或与该过程无关的其</w:t>
      </w:r>
      <w:r>
        <w:rPr>
          <w:rFonts w:hint="eastAsia" w:ascii="仿宋" w:hAnsi="仿宋" w:eastAsia="仿宋" w:cs="仿宋"/>
          <w:strike w:val="0"/>
          <w:dstrike w:val="0"/>
          <w:color w:val="auto"/>
          <w:sz w:val="24"/>
          <w:szCs w:val="24"/>
          <w:highlight w:val="none"/>
          <w:lang w:eastAsia="zh-CN"/>
        </w:rPr>
        <w:t>他</w:t>
      </w:r>
      <w:r>
        <w:rPr>
          <w:rFonts w:hint="eastAsia" w:ascii="仿宋" w:hAnsi="仿宋" w:eastAsia="仿宋" w:cs="仿宋"/>
          <w:color w:val="auto"/>
          <w:sz w:val="24"/>
          <w:szCs w:val="24"/>
          <w:highlight w:val="none"/>
        </w:rPr>
        <w:t>人员泄露。</w:t>
      </w:r>
    </w:p>
    <w:p w14:paraId="02297E6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（2）评标期间的一切资料，包括评标意见、评标记录和评标结论，一律不得向外传</w:t>
      </w:r>
      <w:r>
        <w:rPr>
          <w:rFonts w:hint="eastAsia" w:ascii="仿宋" w:hAnsi="仿宋" w:eastAsia="仿宋" w:cs="仿宋"/>
          <w:strike w:val="0"/>
          <w:color w:val="auto"/>
          <w:sz w:val="24"/>
          <w:szCs w:val="24"/>
          <w:highlight w:val="none"/>
          <w:lang w:eastAsia="zh-CN"/>
        </w:rPr>
        <w:t>播</w:t>
      </w:r>
      <w:r>
        <w:rPr>
          <w:rFonts w:hint="eastAsia" w:ascii="仿宋" w:hAnsi="仿宋" w:eastAsia="仿宋" w:cs="仿宋"/>
          <w:color w:val="auto"/>
          <w:sz w:val="24"/>
          <w:szCs w:val="24"/>
          <w:highlight w:val="none"/>
        </w:rPr>
        <w:t>和泄露。</w:t>
      </w:r>
    </w:p>
    <w:p w14:paraId="0B10526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（3）任何属于投标文件审查、澄清、评价的资料，不得向投标人或与该过程无关的其</w:t>
      </w:r>
      <w:r>
        <w:rPr>
          <w:rFonts w:hint="eastAsia" w:ascii="仿宋" w:hAnsi="仿宋" w:eastAsia="仿宋" w:cs="仿宋"/>
          <w:strike w:val="0"/>
          <w:dstrike w:val="0"/>
          <w:color w:val="auto"/>
          <w:sz w:val="24"/>
          <w:szCs w:val="24"/>
          <w:highlight w:val="none"/>
          <w:lang w:eastAsia="zh-CN"/>
        </w:rPr>
        <w:t>他</w:t>
      </w:r>
      <w:r>
        <w:rPr>
          <w:rFonts w:hint="eastAsia" w:ascii="仿宋" w:hAnsi="仿宋" w:eastAsia="仿宋" w:cs="仿宋"/>
          <w:color w:val="auto"/>
          <w:sz w:val="24"/>
          <w:szCs w:val="24"/>
          <w:highlight w:val="none"/>
        </w:rPr>
        <w:t>人员泄露。</w:t>
      </w:r>
    </w:p>
    <w:p w14:paraId="671340E7">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（4）所有资料（包括招标文件、投标文件、评标表格及各种文字记录）在评标结束后均应分别整理、存档备查，任何人不得复制和保留。</w:t>
      </w:r>
    </w:p>
    <w:p w14:paraId="769C90EF">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（5）评标期间，未经允许评标委员会以外任何单位或部门不得参加评标和采访评标工作。</w:t>
      </w:r>
    </w:p>
    <w:p w14:paraId="270DA161">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（6）评标期间，评标人员不得外出，确需外出时应事先请假。</w:t>
      </w:r>
    </w:p>
    <w:p w14:paraId="68255C6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（7）评标期间，所有与会人员不得私自以任何方式和投标人进行联系，需要询问、澄清的问题由评标委员会统一组织办理。</w:t>
      </w:r>
    </w:p>
    <w:p w14:paraId="2548DB61">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（8）评标结束后，与会人员不得向外界透露评标人员的评标意见，如因此造成的后果由责任者承担。</w:t>
      </w:r>
    </w:p>
    <w:p w14:paraId="7464883D">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32" w:name="_Toc4405"/>
      <w:bookmarkStart w:id="133" w:name="_Toc14048"/>
      <w:r>
        <w:rPr>
          <w:rFonts w:hint="eastAsia" w:ascii="仿宋" w:hAnsi="仿宋" w:eastAsia="仿宋" w:cs="仿宋"/>
          <w:color w:val="auto"/>
          <w:sz w:val="28"/>
          <w:szCs w:val="28"/>
          <w:highlight w:val="none"/>
        </w:rPr>
        <w:t>五、评标原则</w:t>
      </w:r>
      <w:bookmarkEnd w:id="132"/>
      <w:bookmarkEnd w:id="133"/>
    </w:p>
    <w:p w14:paraId="56E7161A">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评标将遵循下列原则：</w:t>
      </w:r>
    </w:p>
    <w:p w14:paraId="5A04977E">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（1）坚持公平、公正、科学、择优的原则，本着实事求是的精神，不带任何主观意愿和偏见，认真负责地做好评标工作，公平、公正地对待每一个投标人。</w:t>
      </w:r>
    </w:p>
    <w:p w14:paraId="775824A3">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（2）全面分析，综合评审。</w:t>
      </w:r>
    </w:p>
    <w:p w14:paraId="7AEF9BCB">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（3）评标只对投标人的投标文件进行评审，投标文件以外资料、信息不作为评标的依据。</w:t>
      </w:r>
    </w:p>
    <w:p w14:paraId="46EB783D">
      <w:pPr>
        <w:pStyle w:val="4"/>
        <w:pageBreakBefore w:val="0"/>
        <w:kinsoku/>
        <w:wordWrap w:val="0"/>
        <w:overflowPunct/>
        <w:bidi w:val="0"/>
        <w:spacing w:after="0" w:line="360" w:lineRule="auto"/>
        <w:rPr>
          <w:rFonts w:hint="eastAsia" w:ascii="仿宋" w:hAnsi="仿宋" w:eastAsia="仿宋" w:cs="仿宋"/>
          <w:color w:val="auto"/>
          <w:sz w:val="28"/>
          <w:szCs w:val="28"/>
          <w:highlight w:val="none"/>
        </w:rPr>
      </w:pPr>
      <w:bookmarkStart w:id="134" w:name="_Toc10454"/>
      <w:bookmarkStart w:id="135" w:name="_Toc13577"/>
      <w:r>
        <w:rPr>
          <w:rFonts w:hint="eastAsia" w:ascii="仿宋" w:hAnsi="仿宋" w:eastAsia="仿宋" w:cs="仿宋"/>
          <w:color w:val="auto"/>
          <w:sz w:val="28"/>
          <w:szCs w:val="28"/>
          <w:highlight w:val="none"/>
        </w:rPr>
        <w:t>六、评标程序</w:t>
      </w:r>
      <w:bookmarkEnd w:id="134"/>
      <w:bookmarkEnd w:id="135"/>
    </w:p>
    <w:p w14:paraId="088504C1">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本次招标所采用的评标办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350387C9">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6.2评标只对通过资格审查的投标文件进行评审，评标程序：资格审查→符合性审查→报价、商务和技术评估、综合比较与评价→得分汇总→评标报告编写。</w:t>
      </w:r>
    </w:p>
    <w:p w14:paraId="5515372F">
      <w:pPr>
        <w:pageBreakBefore w:val="0"/>
        <w:kinsoku/>
        <w:wordWrap w:val="0"/>
        <w:overflowPunct/>
        <w:bidi w:val="0"/>
        <w:spacing w:line="360" w:lineRule="auto"/>
        <w:ind w:firstLine="482" w:firstLineChars="200"/>
        <w:rPr>
          <w:rFonts w:hint="eastAsia" w:ascii="仿宋" w:hAnsi="仿宋" w:eastAsia="仿宋" w:cs="仿宋"/>
          <w:b/>
          <w:bCs/>
          <w:color w:val="auto"/>
          <w:sz w:val="24"/>
          <w:szCs w:val="24"/>
          <w:highlight w:val="none"/>
        </w:rPr>
      </w:pPr>
      <w:bookmarkStart w:id="136" w:name="_Toc510164598"/>
      <w:bookmarkStart w:id="137" w:name="_Toc522249814"/>
      <w:bookmarkStart w:id="138" w:name="_Toc510168199"/>
      <w:bookmarkStart w:id="139" w:name="_Toc532026899"/>
      <w:bookmarkStart w:id="140" w:name="_Toc522705438"/>
      <w:bookmarkStart w:id="141" w:name="_Toc532026507"/>
      <w:bookmarkStart w:id="142" w:name="_Toc510164551"/>
      <w:bookmarkStart w:id="143" w:name="_Toc522249415"/>
      <w:bookmarkStart w:id="144" w:name="_Toc512145677"/>
      <w:bookmarkStart w:id="145" w:name="_Toc510164454"/>
      <w:bookmarkStart w:id="146" w:name="_Toc510164803"/>
      <w:bookmarkStart w:id="147" w:name="_Toc24531792"/>
      <w:bookmarkStart w:id="148" w:name="_Toc36621972"/>
      <w:bookmarkStart w:id="149" w:name="_Toc510168028"/>
      <w:bookmarkStart w:id="150" w:name="_Toc535054230"/>
      <w:bookmarkStart w:id="151" w:name="_Toc521313388"/>
      <w:bookmarkStart w:id="152" w:name="_Toc532025724"/>
      <w:bookmarkStart w:id="153" w:name="_Toc535053841"/>
      <w:bookmarkStart w:id="154" w:name="_Toc522792533"/>
      <w:bookmarkStart w:id="155" w:name="_Toc524152292"/>
      <w:bookmarkStart w:id="156" w:name="_Toc427534"/>
      <w:r>
        <w:rPr>
          <w:rFonts w:hint="eastAsia" w:ascii="仿宋" w:hAnsi="仿宋" w:eastAsia="仿宋" w:cs="仿宋"/>
          <w:b/>
          <w:bCs/>
          <w:color w:val="auto"/>
          <w:sz w:val="24"/>
          <w:szCs w:val="24"/>
          <w:highlight w:val="none"/>
        </w:rPr>
        <w:t>6.3资格审查</w:t>
      </w:r>
    </w:p>
    <w:p w14:paraId="6ECD721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开标结束后，采购人或者采购代理机构将首先对投标文件进行资格审查，评审标准详见本章“评标办法前附表”6.3.1项条款；</w:t>
      </w:r>
    </w:p>
    <w:p w14:paraId="2FA3D287">
      <w:pPr>
        <w:pageBreakBefore w:val="0"/>
        <w:kinsoku/>
        <w:wordWrap w:val="0"/>
        <w:overflowPunct/>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6.4符合性评审</w:t>
      </w:r>
    </w:p>
    <w:p w14:paraId="66CF862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6.4.1评标委员会对符合资格审查的投标人的投标文件进行符合性审查，以确定其是否满足招标文件的实质性要求，评审标准详见本章“评标办法前附表”6.4.1项条款；</w:t>
      </w:r>
    </w:p>
    <w:p w14:paraId="19C03225">
      <w:pPr>
        <w:pageBreakBefore w:val="0"/>
        <w:kinsoku/>
        <w:wordWrap w:val="0"/>
        <w:overflowPunct/>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6.5投标文件的澄清</w:t>
      </w:r>
    </w:p>
    <w:p w14:paraId="298900F4">
      <w:pPr>
        <w:pageBreakBefore w:val="0"/>
        <w:kinsoku/>
        <w:wordWrap w:val="0"/>
        <w:overflowPunct/>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6.5.1投标文件内容澄清</w:t>
      </w:r>
    </w:p>
    <w:p w14:paraId="15789390">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委托代理人签字。投标人的澄清、说明或者补正不得超出投标文件的范围或者改变投标文件的实质性内容。</w:t>
      </w:r>
    </w:p>
    <w:p w14:paraId="0B32D650">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6.5.2报价不一致澄清</w:t>
      </w:r>
    </w:p>
    <w:p w14:paraId="758DAB1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投标文件报价出现前后不一致的，除招标文件另有规定外，按照下列规定修正：</w:t>
      </w:r>
    </w:p>
    <w:p w14:paraId="2AD71350">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（1）投标文件中开标一览表（报价表）内容与投标文件中相应内容不一致的，以开标一览表（报价表）为准；</w:t>
      </w:r>
    </w:p>
    <w:p w14:paraId="53505A0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（2）大写金额和小</w:t>
      </w:r>
      <w:r>
        <w:rPr>
          <w:rFonts w:hint="eastAsia" w:ascii="仿宋" w:hAnsi="仿宋" w:eastAsia="仿宋" w:cs="仿宋"/>
          <w:color w:val="auto"/>
          <w:sz w:val="24"/>
          <w:szCs w:val="24"/>
          <w:highlight w:val="none"/>
          <w:lang w:val="en-US" w:eastAsia="zh-CN"/>
        </w:rPr>
        <w:t>写</w:t>
      </w:r>
      <w:r>
        <w:rPr>
          <w:rFonts w:hint="eastAsia" w:ascii="仿宋" w:hAnsi="仿宋" w:eastAsia="仿宋" w:cs="仿宋"/>
          <w:color w:val="auto"/>
          <w:sz w:val="24"/>
          <w:szCs w:val="24"/>
          <w:highlight w:val="none"/>
        </w:rPr>
        <w:t>金额不一致的，以大写金额为准；</w:t>
      </w:r>
    </w:p>
    <w:p w14:paraId="719CC12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（3）单价金额小数点或者百分比有明显错位的，以开标一览表的总价为准，并修改单价；</w:t>
      </w:r>
    </w:p>
    <w:p w14:paraId="7947035C">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（4）总价金额与单价汇总金额不一致的，以单价金额计算结果为准。</w:t>
      </w:r>
    </w:p>
    <w:p w14:paraId="142E23A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同时出现两种以上不一致的，按照前款规定的顺序修正。修正后的报价经投标人确认后产生约束力，投标人不确认的，其投标无效。</w:t>
      </w:r>
    </w:p>
    <w:p w14:paraId="6ACADEB7">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6.5.3报价过低澄清</w:t>
      </w:r>
    </w:p>
    <w:p w14:paraId="283BAFB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认为投标人的报价（总价或单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5B8C1DB7">
      <w:pPr>
        <w:pageBreakBefore w:val="0"/>
        <w:kinsoku/>
        <w:wordWrap w:val="0"/>
        <w:overflowPunct/>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6.6综合评分法（满分100分）</w:t>
      </w:r>
    </w:p>
    <w:p w14:paraId="6A08D9D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6.6.1综合评分分值构成详见本章“评标办法前附表”第6.6.（1）项条款；</w:t>
      </w:r>
    </w:p>
    <w:p w14:paraId="7D33D52A">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6.6.2综合评分标准详见本章“评标办法前附表”第6.6.2（1）（2）（3）项条款；</w:t>
      </w:r>
    </w:p>
    <w:p w14:paraId="055DF3E2">
      <w:pPr>
        <w:pageBreakBefore w:val="0"/>
        <w:kinsoku/>
        <w:wordWrap w:val="0"/>
        <w:overflowPunct/>
        <w:bidi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6.6.3统分原则</w:t>
      </w:r>
    </w:p>
    <w:p w14:paraId="13640D92">
      <w:pPr>
        <w:pageBreakBefore w:val="0"/>
        <w:kinsoku/>
        <w:wordWrap w:val="0"/>
        <w:overflowPunct/>
        <w:bidi w:val="0"/>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（1）评标委员会按本章第6.6.2款规定的量化因素和分值进行打分，并计算出综合评估得分。</w:t>
      </w:r>
    </w:p>
    <w:p w14:paraId="29B96381">
      <w:pPr>
        <w:pageBreakBefore w:val="0"/>
        <w:kinsoku/>
        <w:wordWrap w:val="0"/>
        <w:overflowPunct/>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（2）评分分值计算保留小数点后两位，小数点后第三位“四舍五入”。</w:t>
      </w:r>
    </w:p>
    <w:p w14:paraId="09CDC7F0">
      <w:pPr>
        <w:pageBreakBefore w:val="0"/>
        <w:kinsoku/>
        <w:wordWrap w:val="0"/>
        <w:overflowPunct/>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（3）统计分数原则：除报价以外所有评委有效评分的算术平均分值（保留小数点后两位）。</w:t>
      </w:r>
    </w:p>
    <w:p w14:paraId="3DE07C0B">
      <w:pPr>
        <w:pStyle w:val="13"/>
        <w:pageBreakBefore w:val="0"/>
        <w:kinsoku/>
        <w:wordWrap w:val="0"/>
        <w:overflowPunct/>
        <w:bidi w:val="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（4）投标人最后得分：=F1＋F2＋F3（满分100分）</w:t>
      </w:r>
    </w:p>
    <w:p w14:paraId="3E94B06A">
      <w:pPr>
        <w:pageBreakBefore w:val="0"/>
        <w:kinsoku/>
        <w:wordWrap w:val="0"/>
        <w:overflowPunct/>
        <w:bidi w:val="0"/>
        <w:spacing w:line="3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F1—投标报价评分（满分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p w14:paraId="5098FE7A">
      <w:pPr>
        <w:pageBreakBefore w:val="0"/>
        <w:kinsoku/>
        <w:wordWrap w:val="0"/>
        <w:overflowPunct/>
        <w:bidi w:val="0"/>
        <w:spacing w:line="3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F2—技术部分评分（满分</w:t>
      </w: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分）</w:t>
      </w:r>
    </w:p>
    <w:p w14:paraId="2BDA9E71">
      <w:pPr>
        <w:pStyle w:val="13"/>
        <w:pageBreakBefore w:val="0"/>
        <w:kinsoku/>
        <w:wordWrap w:val="0"/>
        <w:overflowPunct/>
        <w:bidi w:val="0"/>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rPr>
        <w:t>F3—商务部分评分（满分</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147A1B15">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6.6.4推荐</w:t>
      </w:r>
    </w:p>
    <w:p w14:paraId="0B8DD793">
      <w:pPr>
        <w:pageBreakBefore w:val="0"/>
        <w:kinsoku/>
        <w:wordWrap w:val="0"/>
        <w:overflowPunct/>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第二章“投标人须知”授权直接确定中标人外，评标委员会按照得分由高到低的顺序推荐中标候选人。总得分相同的，按投标价格（F1）由低到高顺序排列；总得分且投标报价相同的，按技术评审得分（F2）合计由高到低顺序排列，依此类推。</w:t>
      </w:r>
    </w:p>
    <w:p w14:paraId="33C96F54">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6.6.5评标报告</w:t>
      </w:r>
    </w:p>
    <w:p w14:paraId="24170633">
      <w:pPr>
        <w:pageBreakBefore w:val="0"/>
        <w:kinsoku/>
        <w:wordWrap w:val="0"/>
        <w:overflowPunct/>
        <w:bidi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评标委员会根据评审情况推荐中标候选人名单并编写书面评标报告。</w:t>
      </w:r>
    </w:p>
    <w:p w14:paraId="12A176AA">
      <w:pPr>
        <w:pageBreakBefore w:val="0"/>
        <w:kinsoku/>
        <w:wordWrap w:val="0"/>
        <w:overflowPunct/>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BA46A26">
      <w:pPr>
        <w:pageBreakBefore w:val="0"/>
        <w:kinsoku/>
        <w:wordWrap w:val="0"/>
        <w:overflowPunct/>
        <w:bidi w:val="0"/>
        <w:spacing w:line="360" w:lineRule="auto"/>
        <w:rPr>
          <w:rFonts w:hint="eastAsia" w:ascii="仿宋" w:hAnsi="仿宋" w:eastAsia="仿宋" w:cs="仿宋"/>
          <w:color w:val="auto"/>
          <w:sz w:val="24"/>
          <w:szCs w:val="24"/>
          <w:highlight w:val="none"/>
        </w:rPr>
      </w:pPr>
    </w:p>
    <w:p w14:paraId="3CD924CE">
      <w:pPr>
        <w:pStyle w:val="3"/>
        <w:pageBreakBefore w:val="0"/>
        <w:kinsoku/>
        <w:wordWrap w:val="0"/>
        <w:overflowPunct/>
        <w:bidi w:val="0"/>
        <w:spacing w:line="360" w:lineRule="auto"/>
        <w:jc w:val="center"/>
        <w:rPr>
          <w:rFonts w:hint="eastAsia" w:ascii="仿宋" w:hAnsi="仿宋" w:eastAsia="仿宋" w:cs="仿宋"/>
          <w:color w:val="auto"/>
          <w:highlight w:val="none"/>
        </w:rPr>
      </w:pPr>
      <w:bookmarkStart w:id="157" w:name="_Toc18947"/>
      <w:bookmarkStart w:id="158" w:name="_Toc25479"/>
      <w:r>
        <w:rPr>
          <w:rFonts w:hint="eastAsia" w:ascii="仿宋" w:hAnsi="仿宋" w:eastAsia="仿宋" w:cs="仿宋"/>
          <w:color w:val="auto"/>
          <w:highlight w:val="none"/>
        </w:rPr>
        <w:t>第四章 合同基本条款及格式</w:t>
      </w:r>
      <w:bookmarkEnd w:id="157"/>
      <w:bookmarkEnd w:id="158"/>
    </w:p>
    <w:p w14:paraId="4132D0BE">
      <w:pPr>
        <w:pageBreakBefore w:val="0"/>
        <w:kinsoku/>
        <w:wordWrap w:val="0"/>
        <w:overflowPunct/>
        <w:bidi w:val="0"/>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（本合同范本仅供参考，具体以实际签订合同为准）</w:t>
      </w:r>
    </w:p>
    <w:p w14:paraId="35725940">
      <w:pPr>
        <w:pageBreakBefore w:val="0"/>
        <w:kinsoku/>
        <w:wordWrap w:val="0"/>
        <w:overflowPunct/>
        <w:bidi w:val="0"/>
        <w:spacing w:line="360" w:lineRule="auto"/>
        <w:rPr>
          <w:rFonts w:hint="eastAsia" w:ascii="仿宋" w:hAnsi="仿宋" w:eastAsia="仿宋" w:cs="仿宋"/>
          <w:b/>
          <w:bCs/>
          <w:color w:val="auto"/>
          <w:highlight w:val="none"/>
        </w:rPr>
      </w:pPr>
      <w:r>
        <w:rPr>
          <w:rFonts w:hint="eastAsia" w:ascii="仿宋" w:hAnsi="仿宋" w:eastAsia="仿宋" w:cs="仿宋"/>
          <w:b/>
          <w:color w:val="auto"/>
          <w:highlight w:val="none"/>
        </w:rPr>
        <w:t>合同编号：</w:t>
      </w:r>
      <w:r>
        <w:rPr>
          <w:rFonts w:hint="eastAsia" w:ascii="仿宋" w:hAnsi="仿宋" w:eastAsia="仿宋" w:cs="仿宋"/>
          <w:b/>
          <w:color w:val="auto"/>
          <w:highlight w:val="none"/>
          <w:u w:val="single"/>
        </w:rPr>
        <w:t xml:space="preserve">            </w:t>
      </w:r>
      <w:r>
        <w:rPr>
          <w:rFonts w:hint="eastAsia" w:ascii="仿宋" w:hAnsi="仿宋" w:eastAsia="仿宋" w:cs="仿宋"/>
          <w:b/>
          <w:bCs/>
          <w:color w:val="auto"/>
          <w:highlight w:val="none"/>
        </w:rPr>
        <w:t xml:space="preserve">   </w:t>
      </w:r>
      <w:r>
        <w:rPr>
          <w:rFonts w:hint="eastAsia" w:ascii="仿宋" w:hAnsi="仿宋" w:eastAsia="仿宋" w:cs="仿宋"/>
          <w:b/>
          <w:color w:val="auto"/>
          <w:highlight w:val="none"/>
        </w:rPr>
        <w:t xml:space="preserve">    合同自编号：</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rPr>
          <w:rFonts w:hint="eastAsia" w:ascii="仿宋" w:hAnsi="仿宋" w:eastAsia="仿宋" w:cs="仿宋"/>
          <w:b/>
          <w:bCs/>
          <w:color w:val="auto"/>
          <w:highlight w:val="none"/>
        </w:rPr>
        <w:t xml:space="preserve">  项目编号：</w:t>
      </w:r>
      <w:r>
        <w:rPr>
          <w:rFonts w:hint="eastAsia" w:ascii="仿宋" w:hAnsi="仿宋" w:eastAsia="仿宋" w:cs="仿宋"/>
          <w:b/>
          <w:color w:val="auto"/>
          <w:highlight w:val="none"/>
          <w:u w:val="single"/>
        </w:rPr>
        <w:t xml:space="preserve">            </w:t>
      </w:r>
    </w:p>
    <w:p w14:paraId="3561E60C">
      <w:pPr>
        <w:pageBreakBefore w:val="0"/>
        <w:kinsoku/>
        <w:wordWrap w:val="0"/>
        <w:overflowPunct/>
        <w:bidi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  </w:t>
      </w:r>
    </w:p>
    <w:p w14:paraId="224D6E3F">
      <w:pPr>
        <w:pageBreakBefore w:val="0"/>
        <w:kinsoku/>
        <w:wordWrap w:val="0"/>
        <w:overflowPunct/>
        <w:bidi w:val="0"/>
        <w:spacing w:line="360" w:lineRule="auto"/>
        <w:rPr>
          <w:rFonts w:hint="eastAsia" w:ascii="仿宋" w:hAnsi="仿宋" w:eastAsia="仿宋" w:cs="仿宋"/>
          <w:b/>
          <w:bCs/>
          <w:color w:val="auto"/>
          <w:highlight w:val="none"/>
        </w:rPr>
      </w:pPr>
      <w:r>
        <w:rPr>
          <w:rFonts w:hint="eastAsia" w:ascii="仿宋" w:hAnsi="仿宋" w:eastAsia="仿宋" w:cs="仿宋"/>
          <w:b/>
          <w:color w:val="auto"/>
          <w:highlight w:val="none"/>
        </w:rPr>
        <w:t>●本合同须加盖甲乙双方骑缝章有效</w:t>
      </w:r>
    </w:p>
    <w:p w14:paraId="693C792A">
      <w:pPr>
        <w:pageBreakBefore w:val="0"/>
        <w:kinsoku/>
        <w:wordWrap w:val="0"/>
        <w:overflowPunct/>
        <w:bidi w:val="0"/>
        <w:spacing w:line="360" w:lineRule="auto"/>
        <w:rPr>
          <w:rFonts w:hint="eastAsia" w:ascii="仿宋" w:hAnsi="仿宋" w:eastAsia="仿宋" w:cs="仿宋"/>
          <w:b/>
          <w:bCs/>
          <w:color w:val="auto"/>
          <w:szCs w:val="21"/>
          <w:highlight w:val="none"/>
        </w:rPr>
      </w:pPr>
    </w:p>
    <w:p w14:paraId="673BC3B9">
      <w:pPr>
        <w:autoSpaceDE w:val="0"/>
        <w:autoSpaceDN w:val="0"/>
        <w:adjustRightInd w:val="0"/>
        <w:spacing w:line="300" w:lineRule="auto"/>
        <w:jc w:val="center"/>
        <w:rPr>
          <w:rFonts w:hint="eastAsia" w:ascii="仿宋" w:hAnsi="仿宋" w:eastAsia="仿宋" w:cs="仿宋"/>
          <w:color w:val="auto"/>
          <w:kern w:val="0"/>
          <w:sz w:val="52"/>
          <w:szCs w:val="52"/>
          <w:highlight w:val="none"/>
        </w:rPr>
      </w:pPr>
      <w:r>
        <w:rPr>
          <w:rFonts w:hint="eastAsia" w:ascii="仿宋" w:hAnsi="仿宋" w:eastAsia="仿宋" w:cs="仿宋"/>
          <w:color w:val="auto"/>
          <w:kern w:val="0"/>
          <w:sz w:val="52"/>
          <w:szCs w:val="52"/>
          <w:highlight w:val="none"/>
        </w:rPr>
        <w:t>云南省省级政府采购</w:t>
      </w:r>
    </w:p>
    <w:p w14:paraId="37856677">
      <w:pPr>
        <w:autoSpaceDE w:val="0"/>
        <w:autoSpaceDN w:val="0"/>
        <w:adjustRightInd w:val="0"/>
        <w:spacing w:line="30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（委托采购）</w:t>
      </w:r>
    </w:p>
    <w:p w14:paraId="13E19484">
      <w:pPr>
        <w:autoSpaceDE w:val="0"/>
        <w:autoSpaceDN w:val="0"/>
        <w:adjustRightInd w:val="0"/>
        <w:spacing w:line="300" w:lineRule="auto"/>
        <w:jc w:val="center"/>
        <w:rPr>
          <w:rFonts w:hint="eastAsia" w:ascii="仿宋" w:hAnsi="仿宋" w:eastAsia="仿宋" w:cs="仿宋"/>
          <w:color w:val="auto"/>
          <w:kern w:val="0"/>
          <w:sz w:val="18"/>
          <w:szCs w:val="18"/>
          <w:highlight w:val="none"/>
        </w:rPr>
      </w:pPr>
    </w:p>
    <w:p w14:paraId="3D422E32">
      <w:pPr>
        <w:autoSpaceDE w:val="0"/>
        <w:autoSpaceDN w:val="0"/>
        <w:adjustRightInd w:val="0"/>
        <w:spacing w:line="300" w:lineRule="auto"/>
        <w:jc w:val="center"/>
        <w:rPr>
          <w:rFonts w:hint="eastAsia" w:ascii="仿宋" w:hAnsi="仿宋" w:eastAsia="仿宋" w:cs="仿宋"/>
          <w:color w:val="auto"/>
          <w:kern w:val="0"/>
          <w:sz w:val="18"/>
          <w:szCs w:val="18"/>
          <w:highlight w:val="none"/>
        </w:rPr>
      </w:pPr>
    </w:p>
    <w:p w14:paraId="7087BAF2">
      <w:pPr>
        <w:autoSpaceDE w:val="0"/>
        <w:autoSpaceDN w:val="0"/>
        <w:adjustRightInd w:val="0"/>
        <w:spacing w:line="300" w:lineRule="auto"/>
        <w:jc w:val="center"/>
        <w:rPr>
          <w:rFonts w:hint="eastAsia" w:ascii="仿宋" w:hAnsi="仿宋" w:eastAsia="仿宋" w:cs="仿宋"/>
          <w:color w:val="auto"/>
          <w:kern w:val="0"/>
          <w:sz w:val="84"/>
          <w:szCs w:val="84"/>
          <w:highlight w:val="none"/>
        </w:rPr>
      </w:pPr>
      <w:r>
        <w:rPr>
          <w:rFonts w:hint="eastAsia" w:ascii="仿宋" w:hAnsi="仿宋" w:eastAsia="仿宋" w:cs="仿宋"/>
          <w:color w:val="auto"/>
          <w:kern w:val="0"/>
          <w:sz w:val="84"/>
          <w:szCs w:val="84"/>
          <w:highlight w:val="none"/>
        </w:rPr>
        <w:t xml:space="preserve">合 </w:t>
      </w:r>
    </w:p>
    <w:p w14:paraId="1E19E1F2">
      <w:pPr>
        <w:autoSpaceDE w:val="0"/>
        <w:autoSpaceDN w:val="0"/>
        <w:adjustRightInd w:val="0"/>
        <w:spacing w:line="300" w:lineRule="auto"/>
        <w:jc w:val="center"/>
        <w:rPr>
          <w:rFonts w:hint="eastAsia" w:ascii="仿宋" w:hAnsi="仿宋" w:eastAsia="仿宋" w:cs="仿宋"/>
          <w:color w:val="auto"/>
          <w:kern w:val="0"/>
          <w:sz w:val="72"/>
          <w:szCs w:val="72"/>
          <w:highlight w:val="none"/>
        </w:rPr>
      </w:pPr>
      <w:r>
        <w:rPr>
          <w:rFonts w:hint="eastAsia" w:ascii="仿宋" w:hAnsi="仿宋" w:eastAsia="仿宋" w:cs="仿宋"/>
          <w:color w:val="auto"/>
          <w:kern w:val="0"/>
          <w:sz w:val="84"/>
          <w:szCs w:val="84"/>
          <w:highlight w:val="none"/>
        </w:rPr>
        <w:t xml:space="preserve">同 </w:t>
      </w:r>
    </w:p>
    <w:p w14:paraId="0CAD7E4D">
      <w:pPr>
        <w:autoSpaceDE w:val="0"/>
        <w:autoSpaceDN w:val="0"/>
        <w:adjustRightInd w:val="0"/>
        <w:spacing w:line="300" w:lineRule="auto"/>
        <w:jc w:val="center"/>
        <w:rPr>
          <w:rFonts w:hint="eastAsia" w:ascii="仿宋" w:hAnsi="仿宋" w:eastAsia="仿宋" w:cs="仿宋"/>
          <w:color w:val="auto"/>
          <w:kern w:val="0"/>
          <w:sz w:val="84"/>
          <w:szCs w:val="84"/>
          <w:highlight w:val="none"/>
        </w:rPr>
      </w:pPr>
      <w:r>
        <w:rPr>
          <w:rFonts w:hint="eastAsia" w:ascii="仿宋" w:hAnsi="仿宋" w:eastAsia="仿宋" w:cs="仿宋"/>
          <w:color w:val="auto"/>
          <w:kern w:val="0"/>
          <w:sz w:val="84"/>
          <w:szCs w:val="84"/>
          <w:highlight w:val="none"/>
        </w:rPr>
        <w:t xml:space="preserve">书 </w:t>
      </w:r>
    </w:p>
    <w:p w14:paraId="17395682">
      <w:pPr>
        <w:autoSpaceDE w:val="0"/>
        <w:autoSpaceDN w:val="0"/>
        <w:adjustRightInd w:val="0"/>
        <w:spacing w:line="300" w:lineRule="auto"/>
        <w:jc w:val="center"/>
        <w:rPr>
          <w:rFonts w:hint="eastAsia" w:ascii="仿宋" w:hAnsi="仿宋" w:eastAsia="仿宋" w:cs="仿宋"/>
          <w:color w:val="auto"/>
          <w:kern w:val="0"/>
          <w:sz w:val="72"/>
          <w:szCs w:val="72"/>
          <w:highlight w:val="none"/>
        </w:rPr>
      </w:pPr>
    </w:p>
    <w:p w14:paraId="55328B84">
      <w:pPr>
        <w:rPr>
          <w:rFonts w:hint="eastAsia" w:ascii="仿宋" w:hAnsi="仿宋" w:eastAsia="仿宋" w:cs="仿宋"/>
          <w:color w:val="auto"/>
          <w:highlight w:val="none"/>
        </w:rPr>
      </w:pPr>
    </w:p>
    <w:p w14:paraId="3D6FE60A">
      <w:pPr>
        <w:rPr>
          <w:rFonts w:hint="eastAsia" w:ascii="仿宋" w:hAnsi="仿宋" w:eastAsia="仿宋" w:cs="仿宋"/>
          <w:color w:val="auto"/>
          <w:highlight w:val="none"/>
        </w:rPr>
      </w:pPr>
    </w:p>
    <w:p w14:paraId="2C5289F9">
      <w:pPr>
        <w:autoSpaceDE w:val="0"/>
        <w:autoSpaceDN w:val="0"/>
        <w:adjustRightInd w:val="0"/>
        <w:spacing w:line="300" w:lineRule="auto"/>
        <w:jc w:val="center"/>
        <w:rPr>
          <w:rFonts w:hint="eastAsia" w:ascii="仿宋" w:hAnsi="仿宋" w:eastAsia="仿宋" w:cs="仿宋"/>
          <w:b/>
          <w:color w:val="auto"/>
          <w:kern w:val="0"/>
          <w:sz w:val="36"/>
          <w:szCs w:val="36"/>
          <w:highlight w:val="none"/>
          <w:lang w:val="zh-CN"/>
        </w:rPr>
      </w:pPr>
      <w:r>
        <w:rPr>
          <w:rFonts w:hint="eastAsia" w:ascii="仿宋" w:hAnsi="仿宋" w:eastAsia="仿宋" w:cs="仿宋"/>
          <w:b/>
          <w:color w:val="auto"/>
          <w:kern w:val="0"/>
          <w:sz w:val="36"/>
          <w:szCs w:val="36"/>
          <w:highlight w:val="none"/>
          <w:lang w:val="zh-CN"/>
        </w:rPr>
        <w:t>签订地点：</w:t>
      </w:r>
      <w:r>
        <w:rPr>
          <w:rFonts w:hint="eastAsia" w:ascii="仿宋" w:hAnsi="仿宋" w:eastAsia="仿宋" w:cs="仿宋"/>
          <w:b/>
          <w:color w:val="auto"/>
          <w:spacing w:val="40"/>
          <w:kern w:val="0"/>
          <w:sz w:val="36"/>
          <w:szCs w:val="36"/>
          <w:highlight w:val="none"/>
          <w:lang w:val="zh-CN"/>
        </w:rPr>
        <w:t>云南省普洱市</w:t>
      </w:r>
    </w:p>
    <w:p w14:paraId="3286D0B3">
      <w:pPr>
        <w:autoSpaceDE w:val="0"/>
        <w:autoSpaceDN w:val="0"/>
        <w:adjustRightInd w:val="0"/>
        <w:spacing w:line="300" w:lineRule="auto"/>
        <w:jc w:val="center"/>
        <w:rPr>
          <w:rFonts w:hint="eastAsia" w:ascii="仿宋" w:hAnsi="仿宋" w:eastAsia="仿宋" w:cs="仿宋"/>
          <w:b/>
          <w:color w:val="auto"/>
          <w:kern w:val="0"/>
          <w:sz w:val="36"/>
          <w:szCs w:val="36"/>
          <w:highlight w:val="none"/>
          <w:lang w:val="zh-CN"/>
        </w:rPr>
      </w:pPr>
      <w:r>
        <w:rPr>
          <w:rFonts w:hint="eastAsia" w:ascii="仿宋" w:hAnsi="仿宋" w:eastAsia="仿宋" w:cs="仿宋"/>
          <w:b/>
          <w:color w:val="auto"/>
          <w:kern w:val="0"/>
          <w:sz w:val="36"/>
          <w:szCs w:val="36"/>
          <w:highlight w:val="none"/>
          <w:lang w:val="zh-CN"/>
        </w:rPr>
        <w:t>云南省财政厅制</w:t>
      </w:r>
    </w:p>
    <w:p w14:paraId="3F00159F">
      <w:pPr>
        <w:autoSpaceDE w:val="0"/>
        <w:autoSpaceDN w:val="0"/>
        <w:adjustRightInd w:val="0"/>
        <w:spacing w:line="300" w:lineRule="auto"/>
        <w:jc w:val="left"/>
        <w:rPr>
          <w:rFonts w:hint="eastAsia" w:ascii="仿宋" w:hAnsi="仿宋" w:eastAsia="仿宋" w:cs="仿宋"/>
          <w:bCs/>
          <w:color w:val="auto"/>
          <w:sz w:val="32"/>
          <w:szCs w:val="32"/>
          <w:highlight w:val="none"/>
        </w:rPr>
      </w:pPr>
    </w:p>
    <w:p w14:paraId="6552BC5C">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甲方（采购方）：</w:t>
      </w:r>
      <w:r>
        <w:rPr>
          <w:rFonts w:hint="eastAsia" w:ascii="仿宋" w:hAnsi="仿宋" w:eastAsia="仿宋" w:cs="仿宋"/>
          <w:bCs/>
          <w:color w:val="auto"/>
          <w:sz w:val="24"/>
          <w:szCs w:val="24"/>
          <w:highlight w:val="none"/>
          <w:u w:val="single"/>
        </w:rPr>
        <w:t>________________________</w:t>
      </w:r>
    </w:p>
    <w:p w14:paraId="4758E658">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乙方（供货方）：</w:t>
      </w:r>
      <w:r>
        <w:rPr>
          <w:rFonts w:hint="eastAsia" w:ascii="仿宋" w:hAnsi="仿宋" w:eastAsia="仿宋" w:cs="仿宋"/>
          <w:bCs/>
          <w:color w:val="auto"/>
          <w:sz w:val="24"/>
          <w:szCs w:val="24"/>
          <w:highlight w:val="none"/>
          <w:u w:val="single"/>
        </w:rPr>
        <w:t>________________________</w:t>
      </w:r>
    </w:p>
    <w:p w14:paraId="7EAD4166">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丙方（鉴证方）：</w:t>
      </w:r>
      <w:r>
        <w:rPr>
          <w:rFonts w:hint="eastAsia" w:ascii="仿宋" w:hAnsi="仿宋" w:eastAsia="仿宋" w:cs="仿宋"/>
          <w:bCs/>
          <w:color w:val="auto"/>
          <w:sz w:val="24"/>
          <w:szCs w:val="24"/>
          <w:highlight w:val="none"/>
          <w:u w:val="single"/>
        </w:rPr>
        <w:t>________________________</w:t>
      </w:r>
    </w:p>
    <w:p w14:paraId="575E79BC">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甲乙双方根据</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kern w:val="0"/>
          <w:sz w:val="24"/>
          <w:szCs w:val="24"/>
          <w:highlight w:val="none"/>
          <w:u w:val="single"/>
        </w:rPr>
        <w:t>代理机构）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按照《中华人民共和国政府采购法》、《中华人民共和国政府采购法实施条例》和有关制度规定纳入省级政府采购、编号为：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采购结果，经双方协定达成一致，签订以下内容：</w:t>
      </w:r>
    </w:p>
    <w:p w14:paraId="6C75FCAF">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名称、品牌及型号规格、产地、制造商名、数量、单价（涉及金额均为人民币，下同）</w:t>
      </w:r>
    </w:p>
    <w:p w14:paraId="4D710C7D">
      <w:pPr>
        <w:keepNext w:val="0"/>
        <w:keepLines w:val="0"/>
        <w:pageBreakBefore w:val="0"/>
        <w:widowControl w:val="0"/>
        <w:kinsoku/>
        <w:wordWrap/>
        <w:overflowPunct/>
        <w:topLinePunct w:val="0"/>
        <w:bidi w:val="0"/>
        <w:spacing w:line="440" w:lineRule="exact"/>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设备</w:t>
      </w:r>
      <w:r>
        <w:rPr>
          <w:rFonts w:hint="eastAsia" w:ascii="仿宋" w:hAnsi="仿宋" w:eastAsia="仿宋" w:cs="仿宋"/>
          <w:b/>
          <w:color w:val="auto"/>
          <w:sz w:val="24"/>
          <w:szCs w:val="24"/>
          <w:highlight w:val="none"/>
        </w:rPr>
        <w:t>内容不够填写时可另作附件）</w:t>
      </w:r>
    </w:p>
    <w:p w14:paraId="69CEEC49">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的质量（或项目建设）符合标准及规定，并满足甲方技术要求。</w:t>
      </w:r>
    </w:p>
    <w:p w14:paraId="56DF7F6E">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附件 1：《</w:t>
      </w:r>
      <w:r>
        <w:rPr>
          <w:rFonts w:hint="eastAsia" w:ascii="仿宋" w:hAnsi="仿宋" w:eastAsia="仿宋" w:cs="仿宋"/>
          <w:color w:val="auto"/>
          <w:sz w:val="24"/>
          <w:szCs w:val="24"/>
          <w:highlight w:val="none"/>
          <w:lang w:val="en-US" w:eastAsia="zh-CN"/>
        </w:rPr>
        <w:t>设备</w:t>
      </w:r>
      <w:r>
        <w:rPr>
          <w:rFonts w:hint="eastAsia" w:ascii="仿宋" w:hAnsi="仿宋" w:eastAsia="仿宋" w:cs="仿宋"/>
          <w:b w:val="0"/>
          <w:bCs/>
          <w:color w:val="auto"/>
          <w:sz w:val="24"/>
          <w:szCs w:val="24"/>
          <w:highlight w:val="none"/>
        </w:rPr>
        <w:t>详细配置清单》作为本合同不可分割的组成部分，与合同正文具有同等法律效力。</w:t>
      </w:r>
    </w:p>
    <w:p w14:paraId="324E3E46">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设备</w:t>
      </w:r>
      <w:r>
        <w:rPr>
          <w:rFonts w:hint="eastAsia" w:ascii="仿宋" w:hAnsi="仿宋" w:eastAsia="仿宋" w:cs="仿宋"/>
          <w:b/>
          <w:color w:val="auto"/>
          <w:sz w:val="24"/>
          <w:szCs w:val="24"/>
          <w:highlight w:val="none"/>
        </w:rPr>
        <w:t>的安装服务要求或项目集成服务范围及内容：</w:t>
      </w:r>
    </w:p>
    <w:p w14:paraId="2F4C018F">
      <w:pPr>
        <w:keepNext w:val="0"/>
        <w:keepLines w:val="0"/>
        <w:pageBreakBefore w:val="0"/>
        <w:widowControl w:val="0"/>
        <w:kinsoku/>
        <w:wordWrap/>
        <w:overflowPunct/>
        <w:topLinePunct w:val="0"/>
        <w:bidi w:val="0"/>
        <w:spacing w:line="440" w:lineRule="exact"/>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设备交货时的配套设备、备品备件（含易损件或消耗品）内容及</w:t>
      </w:r>
      <w:r>
        <w:rPr>
          <w:rFonts w:hint="eastAsia" w:ascii="仿宋" w:hAnsi="仿宋" w:eastAsia="仿宋" w:cs="仿宋"/>
          <w:b/>
          <w:color w:val="auto"/>
          <w:sz w:val="24"/>
          <w:szCs w:val="24"/>
          <w:highlight w:val="none"/>
          <w:lang w:val="en-US" w:eastAsia="zh-CN"/>
        </w:rPr>
        <w:t>设备</w:t>
      </w:r>
      <w:r>
        <w:rPr>
          <w:rFonts w:hint="eastAsia" w:ascii="仿宋" w:hAnsi="仿宋" w:eastAsia="仿宋" w:cs="仿宋"/>
          <w:b/>
          <w:color w:val="auto"/>
          <w:sz w:val="24"/>
          <w:szCs w:val="24"/>
          <w:highlight w:val="none"/>
        </w:rPr>
        <w:t>的使用期内备品备件供应的优惠条件：</w:t>
      </w:r>
    </w:p>
    <w:p w14:paraId="6EA6A454">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二、合同总价</w:t>
      </w:r>
    </w:p>
    <w:p w14:paraId="35027841">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人民币小写：</w:t>
      </w:r>
    </w:p>
    <w:p w14:paraId="3AE2E7C3">
      <w:pPr>
        <w:keepNext w:val="0"/>
        <w:keepLines w:val="0"/>
        <w:pageBreakBefore w:val="0"/>
        <w:widowControl w:val="0"/>
        <w:kinsoku/>
        <w:wordWrap/>
        <w:overflowPunct/>
        <w:topLinePunct w:val="0"/>
        <w:bidi w:val="0"/>
        <w:spacing w:line="440" w:lineRule="exact"/>
        <w:ind w:firstLine="1200" w:firstLineChars="5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kern w:val="0"/>
          <w:sz w:val="24"/>
          <w:szCs w:val="24"/>
          <w:highlight w:val="none"/>
          <w:lang w:val="zh-CN"/>
        </w:rPr>
        <w:t>大写：</w:t>
      </w:r>
    </w:p>
    <w:p w14:paraId="5FB87FB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其中：资金归属</w:t>
      </w:r>
      <w:r>
        <w:rPr>
          <w:rFonts w:hint="eastAsia" w:ascii="仿宋" w:hAnsi="仿宋" w:eastAsia="仿宋" w:cs="仿宋"/>
          <w:bCs/>
          <w:color w:val="auto"/>
          <w:kern w:val="0"/>
          <w:sz w:val="24"/>
          <w:szCs w:val="24"/>
          <w:highlight w:val="none"/>
        </w:rPr>
        <w:t>（请在</w:t>
      </w:r>
      <w:r>
        <w:rPr>
          <w:rFonts w:hint="eastAsia" w:ascii="仿宋" w:hAnsi="仿宋" w:eastAsia="仿宋" w:cs="仿宋"/>
          <w:color w:val="auto"/>
          <w:kern w:val="0"/>
          <w:sz w:val="24"/>
          <w:szCs w:val="24"/>
          <w:highlight w:val="none"/>
        </w:rPr>
        <w:t>□内打√，其余打×）</w:t>
      </w:r>
    </w:p>
    <w:p w14:paraId="4333CA16">
      <w:pPr>
        <w:keepNext w:val="0"/>
        <w:keepLines w:val="0"/>
        <w:pageBreakBefore w:val="0"/>
        <w:widowControl w:val="0"/>
        <w:numPr>
          <w:ilvl w:val="0"/>
          <w:numId w:val="2"/>
        </w:numPr>
        <w:kinsoku/>
        <w:wordWrap/>
        <w:overflowPunct/>
        <w:topLinePunct w:val="0"/>
        <w:autoSpaceDE w:val="0"/>
        <w:autoSpaceDN w:val="0"/>
        <w:bidi w:val="0"/>
        <w:adjustRightInd w:val="0"/>
        <w:spacing w:line="440" w:lineRule="exact"/>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财政资金：</w:t>
      </w:r>
    </w:p>
    <w:p w14:paraId="4A4E13C9">
      <w:pPr>
        <w:keepNext w:val="0"/>
        <w:keepLines w:val="0"/>
        <w:pageBreakBefore w:val="0"/>
        <w:widowControl w:val="0"/>
        <w:kinsoku/>
        <w:wordWrap/>
        <w:overflowPunct/>
        <w:topLinePunct w:val="0"/>
        <w:autoSpaceDE w:val="0"/>
        <w:autoSpaceDN w:val="0"/>
        <w:bidi w:val="0"/>
        <w:adjustRightInd w:val="0"/>
        <w:spacing w:line="440" w:lineRule="exact"/>
        <w:ind w:left="720" w:leftChars="343" w:firstLine="720" w:firstLineChars="300"/>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小写：</w:t>
      </w:r>
    </w:p>
    <w:p w14:paraId="5C4AA80C">
      <w:pPr>
        <w:keepNext w:val="0"/>
        <w:keepLines w:val="0"/>
        <w:pageBreakBefore w:val="0"/>
        <w:widowControl w:val="0"/>
        <w:kinsoku/>
        <w:wordWrap/>
        <w:overflowPunct/>
        <w:topLinePunct w:val="0"/>
        <w:autoSpaceDE w:val="0"/>
        <w:autoSpaceDN w:val="0"/>
        <w:bidi w:val="0"/>
        <w:adjustRightInd w:val="0"/>
        <w:spacing w:line="440" w:lineRule="exact"/>
        <w:ind w:firstLine="1279" w:firstLineChars="533"/>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大写：</w:t>
      </w:r>
    </w:p>
    <w:p w14:paraId="75AB574B">
      <w:pPr>
        <w:keepNext w:val="0"/>
        <w:keepLines w:val="0"/>
        <w:pageBreakBefore w:val="0"/>
        <w:widowControl w:val="0"/>
        <w:numPr>
          <w:ilvl w:val="0"/>
          <w:numId w:val="3"/>
        </w:numPr>
        <w:kinsoku/>
        <w:wordWrap/>
        <w:overflowPunct/>
        <w:topLinePunct w:val="0"/>
        <w:autoSpaceDE w:val="0"/>
        <w:autoSpaceDN w:val="0"/>
        <w:bidi w:val="0"/>
        <w:adjustRightInd w:val="0"/>
        <w:spacing w:line="440" w:lineRule="exact"/>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自筹资金：</w:t>
      </w:r>
    </w:p>
    <w:p w14:paraId="38A5BB35">
      <w:pPr>
        <w:keepNext w:val="0"/>
        <w:keepLines w:val="0"/>
        <w:pageBreakBefore w:val="0"/>
        <w:widowControl w:val="0"/>
        <w:kinsoku/>
        <w:wordWrap/>
        <w:overflowPunct/>
        <w:topLinePunct w:val="0"/>
        <w:autoSpaceDE w:val="0"/>
        <w:autoSpaceDN w:val="0"/>
        <w:bidi w:val="0"/>
        <w:adjustRightInd w:val="0"/>
        <w:spacing w:line="440" w:lineRule="exact"/>
        <w:ind w:firstLine="1291" w:firstLineChars="538"/>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小写：</w:t>
      </w:r>
    </w:p>
    <w:p w14:paraId="1F3D61C1">
      <w:pPr>
        <w:keepNext w:val="0"/>
        <w:keepLines w:val="0"/>
        <w:pageBreakBefore w:val="0"/>
        <w:widowControl w:val="0"/>
        <w:kinsoku/>
        <w:wordWrap/>
        <w:overflowPunct/>
        <w:topLinePunct w:val="0"/>
        <w:autoSpaceDE w:val="0"/>
        <w:autoSpaceDN w:val="0"/>
        <w:bidi w:val="0"/>
        <w:adjustRightInd w:val="0"/>
        <w:spacing w:line="440" w:lineRule="exact"/>
        <w:ind w:firstLine="1291" w:firstLineChars="538"/>
        <w:jc w:val="lef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大写：</w:t>
      </w:r>
    </w:p>
    <w:p w14:paraId="40C1090C">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以上价格为甲方指定地点统一交货价并不得再有其他费用。</w:t>
      </w:r>
    </w:p>
    <w:p w14:paraId="170E04DE">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三、甲乙双方的权利和义务</w:t>
      </w:r>
    </w:p>
    <w:p w14:paraId="233B2523">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（一）甲方的权利和义务</w:t>
      </w:r>
    </w:p>
    <w:p w14:paraId="05D4D258">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1．负责合同签订后项目实施的工作（如与乙方的具体联系和衔接）；</w:t>
      </w:r>
    </w:p>
    <w:p w14:paraId="2396481F">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2．负责提供</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和安装调试或项目建设施工所必须的场地和环境；</w:t>
      </w:r>
    </w:p>
    <w:p w14:paraId="40FC9AAE">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3．负责组织成立验收组对货物或项目进行验收并签署验收报告；</w:t>
      </w:r>
    </w:p>
    <w:p w14:paraId="5C40B04A">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4．按合同规定享有乙方提供的</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或项目服务；</w:t>
      </w:r>
    </w:p>
    <w:p w14:paraId="555A464A">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5．在乙方完全履行合同义务的前提下，按政府采购规范落实采购资金并办理</w:t>
      </w:r>
      <w:r>
        <w:rPr>
          <w:rFonts w:hint="eastAsia" w:ascii="仿宋" w:hAnsi="仿宋" w:eastAsia="仿宋" w:cs="仿宋"/>
          <w:color w:val="auto"/>
          <w:kern w:val="0"/>
          <w:sz w:val="24"/>
          <w:szCs w:val="24"/>
          <w:highlight w:val="none"/>
        </w:rPr>
        <w:t>采购资金划拨手续。</w:t>
      </w:r>
    </w:p>
    <w:p w14:paraId="76716F3F">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（二）乙方的权利和义务</w:t>
      </w:r>
    </w:p>
    <w:p w14:paraId="619C940A">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strike w:val="0"/>
          <w:dstrike w:val="0"/>
          <w:color w:val="auto"/>
          <w:sz w:val="24"/>
          <w:szCs w:val="24"/>
          <w:highlight w:val="none"/>
          <w:lang w:eastAsia="zh-CN"/>
        </w:rPr>
        <w:t xml:space="preserve">. </w:t>
      </w:r>
      <w:r>
        <w:rPr>
          <w:rFonts w:hint="eastAsia" w:ascii="仿宋" w:hAnsi="仿宋" w:eastAsia="仿宋" w:cs="仿宋"/>
          <w:color w:val="auto"/>
          <w:sz w:val="24"/>
          <w:szCs w:val="24"/>
          <w:highlight w:val="none"/>
        </w:rPr>
        <w:t>乙方保证按合同规定条款完成甲方项目，提供原装全新（包括零部件）并符合合同规定的</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w:t>
      </w:r>
    </w:p>
    <w:p w14:paraId="50A2873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2．保证甲方在合同</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或项目在使用期间不受第三方提出侵犯其</w:t>
      </w:r>
      <w:r>
        <w:rPr>
          <w:rFonts w:hint="eastAsia" w:ascii="仿宋" w:hAnsi="仿宋" w:eastAsia="仿宋" w:cs="仿宋"/>
          <w:color w:val="auto"/>
          <w:sz w:val="24"/>
          <w:szCs w:val="24"/>
          <w:highlight w:val="none"/>
          <w:lang w:val="en-US" w:eastAsia="zh-CN"/>
        </w:rPr>
        <w:t>知识产</w:t>
      </w:r>
      <w:r>
        <w:rPr>
          <w:rFonts w:hint="eastAsia" w:ascii="仿宋" w:hAnsi="仿宋" w:eastAsia="仿宋" w:cs="仿宋"/>
          <w:color w:val="auto"/>
          <w:sz w:val="24"/>
          <w:szCs w:val="24"/>
          <w:highlight w:val="none"/>
        </w:rPr>
        <w:t>权</w:t>
      </w:r>
      <w:r>
        <w:rPr>
          <w:rFonts w:hint="eastAsia" w:ascii="仿宋" w:hAnsi="仿宋" w:eastAsia="仿宋" w:cs="仿宋"/>
          <w:color w:val="auto"/>
          <w:sz w:val="24"/>
          <w:szCs w:val="24"/>
          <w:highlight w:val="none"/>
          <w:lang w:val="en-US" w:eastAsia="zh-CN"/>
        </w:rPr>
        <w:t>（包括但不限于专利权</w:t>
      </w:r>
      <w:r>
        <w:rPr>
          <w:rFonts w:hint="eastAsia" w:ascii="仿宋" w:hAnsi="仿宋" w:eastAsia="仿宋" w:cs="仿宋"/>
          <w:color w:val="auto"/>
          <w:sz w:val="24"/>
          <w:szCs w:val="24"/>
          <w:highlight w:val="none"/>
        </w:rPr>
        <w:t>、商标权</w:t>
      </w:r>
      <w:r>
        <w:rPr>
          <w:rFonts w:hint="eastAsia" w:ascii="仿宋" w:hAnsi="仿宋" w:eastAsia="仿宋" w:cs="仿宋"/>
          <w:color w:val="auto"/>
          <w:sz w:val="24"/>
          <w:szCs w:val="24"/>
          <w:highlight w:val="none"/>
          <w:lang w:val="en-US" w:eastAsia="zh-CN"/>
        </w:rPr>
        <w:t>、著作权、商业秘密等）</w:t>
      </w:r>
      <w:r>
        <w:rPr>
          <w:rFonts w:hint="eastAsia" w:ascii="仿宋" w:hAnsi="仿宋" w:eastAsia="仿宋" w:cs="仿宋"/>
          <w:color w:val="auto"/>
          <w:sz w:val="24"/>
          <w:szCs w:val="24"/>
          <w:highlight w:val="none"/>
        </w:rPr>
        <w:t>的起诉</w:t>
      </w:r>
      <w:r>
        <w:rPr>
          <w:rFonts w:hint="eastAsia" w:ascii="仿宋" w:hAnsi="仿宋" w:eastAsia="仿宋" w:cs="仿宋"/>
          <w:color w:val="auto"/>
          <w:sz w:val="24"/>
          <w:szCs w:val="24"/>
          <w:highlight w:val="none"/>
          <w:lang w:val="en-US" w:eastAsia="zh-CN"/>
        </w:rPr>
        <w:t>或主张。如发生第三方就合同设备或项目提出知识产权侵权索赔或诉讼，乙方应负责处理，并承担由此产生的全部法律责任和费用。因此给甲方造成损失的，乙方应予以全额赔偿。乙方应承担包括诉讼费、停产损失在内的全部赔偿责任，并采取一切必要措施确保甲方继续使用相关货物或服务。</w:t>
      </w:r>
      <w:r>
        <w:rPr>
          <w:rFonts w:hint="eastAsia" w:ascii="仿宋" w:hAnsi="仿宋" w:eastAsia="仿宋" w:cs="仿宋"/>
          <w:color w:val="auto"/>
          <w:sz w:val="24"/>
          <w:szCs w:val="24"/>
          <w:highlight w:val="none"/>
        </w:rPr>
        <w:t>；</w:t>
      </w:r>
    </w:p>
    <w:p w14:paraId="44FEDE17">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3．严格遵守投标、技术澄清、商务谈判、</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所承诺的一切规定和条款；</w:t>
      </w:r>
    </w:p>
    <w:p w14:paraId="5C999142">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4．参与甲方共同进行</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和项目的验收；</w:t>
      </w:r>
    </w:p>
    <w:p w14:paraId="58156B88">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5．按合同规定收取合同款项。</w:t>
      </w:r>
    </w:p>
    <w:p w14:paraId="1067DC95">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6．设备安装、调试正常运行，符合合同的规定和国家质量标准。</w:t>
      </w:r>
    </w:p>
    <w:p w14:paraId="28C203F9">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．乙方对在履行本合同过程中获知的甲方的商业秘密及其他保密信息负有保密义务。未经甲方书面同意，乙方不得向第三方披露、转让、许可使用或以其他方式使用上述信息。</w:t>
      </w:r>
    </w:p>
    <w:p w14:paraId="2AAF9F9B">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售后服务标准及要求：</w:t>
      </w:r>
    </w:p>
    <w:p w14:paraId="4F7F12D7">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本合同范围内的</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质保期为</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年（自货物验收合格之日起计算），质保期内，乙方对货物提供全免费上门保修、维护或免费更换。</w:t>
      </w:r>
    </w:p>
    <w:p w14:paraId="79112F5D">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甲方在</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使用过程中发生技术质量问题，乙方应提供及时有效的技术支持及服务。</w:t>
      </w:r>
    </w:p>
    <w:p w14:paraId="4F650C19">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乙方技术支持电话：</w:t>
      </w:r>
    </w:p>
    <w:p w14:paraId="398A8931">
      <w:pPr>
        <w:keepNext w:val="0"/>
        <w:keepLines w:val="0"/>
        <w:pageBreakBefore w:val="0"/>
        <w:widowControl w:val="0"/>
        <w:kinsoku/>
        <w:wordWrap/>
        <w:overflowPunct/>
        <w:topLinePunct w:val="0"/>
        <w:autoSpaceDE w:val="0"/>
        <w:autoSpaceDN w:val="0"/>
        <w:bidi w:val="0"/>
        <w:adjustRightInd w:val="0"/>
        <w:spacing w:line="440" w:lineRule="exact"/>
        <w:ind w:firstLine="1680" w:firstLineChars="7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138C63DE">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乙方应向甲方提供在省内的维修服务中心、特约维修服务站等售后服务网点的名单、联系地址、联系电话（内容不够填写时可另作附件）。</w:t>
      </w:r>
    </w:p>
    <w:p w14:paraId="5E42B1E0">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售后服务网点地址：</w:t>
      </w:r>
    </w:p>
    <w:p w14:paraId="37DCC1B9">
      <w:pPr>
        <w:keepNext w:val="0"/>
        <w:keepLines w:val="0"/>
        <w:pageBreakBefore w:val="0"/>
        <w:widowControl w:val="0"/>
        <w:kinsoku/>
        <w:wordWrap/>
        <w:overflowPunct/>
        <w:topLinePunct w:val="0"/>
        <w:autoSpaceDE w:val="0"/>
        <w:autoSpaceDN w:val="0"/>
        <w:bidi w:val="0"/>
        <w:adjustRightInd w:val="0"/>
        <w:spacing w:line="440" w:lineRule="exact"/>
        <w:ind w:firstLine="1200" w:firstLineChars="5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负责人姓名：         </w:t>
      </w:r>
    </w:p>
    <w:p w14:paraId="225CF9BE">
      <w:pPr>
        <w:keepNext w:val="0"/>
        <w:keepLines w:val="0"/>
        <w:pageBreakBefore w:val="0"/>
        <w:widowControl w:val="0"/>
        <w:kinsoku/>
        <w:wordWrap/>
        <w:overflowPunct/>
        <w:topLinePunct w:val="0"/>
        <w:autoSpaceDE w:val="0"/>
        <w:autoSpaceDN w:val="0"/>
        <w:bidi w:val="0"/>
        <w:adjustRightInd w:val="0"/>
        <w:spacing w:line="440" w:lineRule="exact"/>
        <w:ind w:firstLine="1440" w:firstLineChars="6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D787C1D">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甲、乙双方约定的其他售后服务内容：</w:t>
      </w:r>
    </w:p>
    <w:p w14:paraId="0C3AB07F">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（内容不够填写时可另作附件）</w:t>
      </w:r>
    </w:p>
    <w:p w14:paraId="7391B3D4">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本项目培训方案：</w:t>
      </w:r>
    </w:p>
    <w:p w14:paraId="2F12A455">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（内容不够填写时可另作附件）</w:t>
      </w:r>
    </w:p>
    <w:p w14:paraId="777886F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四、以上内容与政府采购监督管理部门审核以及甲方确认采购和乙方</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承诺情况一致并不得改变或放弃。</w:t>
      </w:r>
    </w:p>
    <w:p w14:paraId="29D1CC2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五、整体项目完成时间或货物送达甲方指定地点并按规范安装调试完毕时间为合同签订生效后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日内。乙方逾期交付的，每逾期一日，应向甲方支付合同总价0.5%的违约金，逾期超过30日的，甲方有权解除合同。</w:t>
      </w:r>
    </w:p>
    <w:p w14:paraId="0761D020">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六、验收及验收标准</w:t>
      </w:r>
    </w:p>
    <w:p w14:paraId="7928778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项目验收：</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到达甲方指定地点安装调试完毕后，由乙方提出申请，甲、乙双方应共同进行验收是否符合合同的要求及标准，并应填写验收单。一般性项目由采购人代表两人以上（应有相关技术人员）组成验收组负责项目验收；大型或复杂的政府采购项目，应当邀请国家认可的有关部门参加验收工作。验收方成员应当在验收书上签字。</w:t>
      </w:r>
    </w:p>
    <w:p w14:paraId="4D0CC41D">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具体的验收程序、标准和要求如下：</w:t>
      </w:r>
    </w:p>
    <w:p w14:paraId="54AD7507">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七、合同价款结算</w:t>
      </w:r>
    </w:p>
    <w:p w14:paraId="7FFE1F62">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color w:val="auto"/>
          <w:kern w:val="0"/>
          <w:sz w:val="24"/>
          <w:szCs w:val="24"/>
          <w:highlight w:val="none"/>
        </w:rPr>
        <w:t>（一）</w:t>
      </w:r>
      <w:r>
        <w:rPr>
          <w:rFonts w:hint="eastAsia" w:ascii="仿宋" w:hAnsi="仿宋" w:eastAsia="仿宋" w:cs="仿宋"/>
          <w:b/>
          <w:bCs/>
          <w:color w:val="auto"/>
          <w:kern w:val="0"/>
          <w:sz w:val="24"/>
          <w:szCs w:val="24"/>
          <w:highlight w:val="none"/>
        </w:rPr>
        <w:t>履约保证、费用支付和采购资金保证</w:t>
      </w:r>
    </w:p>
    <w:p w14:paraId="13D99A35">
      <w:pPr>
        <w:keepNext w:val="0"/>
        <w:keepLines w:val="0"/>
        <w:pageBreakBefore w:val="0"/>
        <w:widowControl w:val="0"/>
        <w:tabs>
          <w:tab w:val="left" w:pos="6930"/>
        </w:tabs>
        <w:kinsoku/>
        <w:wordWrap/>
        <w:overflowPunct/>
        <w:topLinePunct w:val="0"/>
        <w:autoSpaceDE w:val="0"/>
        <w:autoSpaceDN w:val="0"/>
        <w:bidi w:val="0"/>
        <w:adjustRightInd w:val="0"/>
        <w:spacing w:line="440" w:lineRule="exact"/>
        <w:ind w:right="-154"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乙方应根据招标文件要求取得</w:t>
      </w:r>
      <w:r>
        <w:rPr>
          <w:rFonts w:hint="eastAsia" w:ascii="仿宋" w:hAnsi="仿宋" w:eastAsia="仿宋" w:cs="仿宋"/>
          <w:bCs/>
          <w:color w:val="auto"/>
          <w:kern w:val="0"/>
          <w:sz w:val="24"/>
          <w:szCs w:val="24"/>
          <w:highlight w:val="none"/>
          <w:u w:val="single"/>
          <w:lang w:val="en-US" w:eastAsia="zh-CN"/>
        </w:rPr>
        <w:t xml:space="preserve">                 </w:t>
      </w:r>
      <w:r>
        <w:rPr>
          <w:rFonts w:hint="eastAsia" w:ascii="仿宋" w:hAnsi="仿宋" w:eastAsia="仿宋" w:cs="仿宋"/>
          <w:color w:val="auto"/>
          <w:sz w:val="24"/>
          <w:szCs w:val="24"/>
          <w:highlight w:val="none"/>
        </w:rPr>
        <w:t>的签章，合同才正式生效。</w:t>
      </w:r>
    </w:p>
    <w:p w14:paraId="53A47976">
      <w:pPr>
        <w:keepNext w:val="0"/>
        <w:keepLines w:val="0"/>
        <w:pageBreakBefore w:val="0"/>
        <w:widowControl w:val="0"/>
        <w:tabs>
          <w:tab w:val="left" w:pos="6930"/>
        </w:tabs>
        <w:kinsoku/>
        <w:wordWrap/>
        <w:overflowPunct/>
        <w:topLinePunct w:val="0"/>
        <w:autoSpaceDE w:val="0"/>
        <w:autoSpaceDN w:val="0"/>
        <w:bidi w:val="0"/>
        <w:adjustRightInd w:val="0"/>
        <w:spacing w:line="440" w:lineRule="exact"/>
        <w:ind w:right="-154"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合同签订时，甲方应保证采购资金已落实并按照合同约定的时间及时向乙方支付合同款项。否则，由此产生的一切后果和导致的法律责任、行政责任均由甲方自行承担。</w:t>
      </w:r>
    </w:p>
    <w:p w14:paraId="39246EC8">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（二）非国库支付</w:t>
      </w:r>
    </w:p>
    <w:p w14:paraId="37DB8A10">
      <w:pPr>
        <w:keepNext w:val="0"/>
        <w:keepLines w:val="0"/>
        <w:pageBreakBefore w:val="0"/>
        <w:widowControl w:val="0"/>
        <w:tabs>
          <w:tab w:val="left" w:pos="6930"/>
        </w:tabs>
        <w:kinsoku/>
        <w:wordWrap/>
        <w:overflowPunct/>
        <w:topLinePunct w:val="0"/>
        <w:autoSpaceDE w:val="0"/>
        <w:autoSpaceDN w:val="0"/>
        <w:bidi w:val="0"/>
        <w:adjustRightInd w:val="0"/>
        <w:spacing w:line="440" w:lineRule="exact"/>
        <w:ind w:right="-154"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26681A13">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（三）国库集中支付</w:t>
      </w:r>
    </w:p>
    <w:p w14:paraId="6E2A2F0C">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甲方按合同规定审查无误后按国库支付规定的方式和比例向云南省财政厅国库处申请付款；</w:t>
      </w:r>
    </w:p>
    <w:p w14:paraId="1A7F6750">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国库集中支付的有关规定和手续问题由财政国库部门负责解释。</w:t>
      </w:r>
    </w:p>
    <w:p w14:paraId="72915107">
      <w:pPr>
        <w:keepNext w:val="0"/>
        <w:keepLines w:val="0"/>
        <w:pageBreakBefore w:val="0"/>
        <w:widowControl w:val="0"/>
        <w:kinsoku/>
        <w:wordWrap/>
        <w:overflowPunct/>
        <w:topLinePunct w:val="0"/>
        <w:autoSpaceDE w:val="0"/>
        <w:autoSpaceDN w:val="0"/>
        <w:bidi w:val="0"/>
        <w:adjustRightInd w:val="0"/>
        <w:spacing w:line="440" w:lineRule="exact"/>
        <w:ind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（四）本合同价款的支付办法</w:t>
      </w:r>
    </w:p>
    <w:p w14:paraId="4A3313A5">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根据招标文件及</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承诺，本合同按以下方式支付合同款：</w:t>
      </w:r>
    </w:p>
    <w:p w14:paraId="3B359ED3">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八、违约责任</w:t>
      </w:r>
    </w:p>
    <w:p w14:paraId="44A9829D">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未经甲方书面同意，乙方不得将合同项下的任何权利或义务分包或转包给第三方，违反此规定的，乙方应支付合同总价20%的违约金。</w:t>
      </w:r>
    </w:p>
    <w:p w14:paraId="78C047D8">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九、甲方有权拒付合同价以外的任何费用；乙方有权拒绝合同整体范围以外的条件。</w:t>
      </w:r>
    </w:p>
    <w:p w14:paraId="4BD793C5">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w:t>
      </w:r>
      <w:bookmarkStart w:id="159" w:name="_Hlk92787362"/>
      <w:r>
        <w:rPr>
          <w:rFonts w:hint="eastAsia" w:ascii="仿宋" w:hAnsi="仿宋" w:eastAsia="仿宋" w:cs="仿宋"/>
          <w:color w:val="auto"/>
          <w:sz w:val="24"/>
          <w:szCs w:val="24"/>
          <w:highlight w:val="none"/>
        </w:rPr>
        <w:t>因本协议引起的或者与本协议有关的任何争议，由甲乙双方协商解决，协商不成的，协议双方一致同意提交甲方所在地人民法院受理争议，届时，违约方需要承担守约方为维护自身合法权益所支付的费用，包括</w:t>
      </w:r>
      <w:r>
        <w:rPr>
          <w:rFonts w:hint="eastAsia" w:ascii="仿宋" w:hAnsi="仿宋" w:eastAsia="仿宋" w:cs="仿宋"/>
          <w:strike w:val="0"/>
          <w:color w:val="auto"/>
          <w:sz w:val="24"/>
          <w:szCs w:val="24"/>
          <w:highlight w:val="none"/>
          <w:lang w:eastAsia="zh-CN"/>
        </w:rPr>
        <w:t>但</w:t>
      </w:r>
      <w:r>
        <w:rPr>
          <w:rFonts w:hint="eastAsia" w:ascii="仿宋" w:hAnsi="仿宋" w:eastAsia="仿宋" w:cs="仿宋"/>
          <w:color w:val="auto"/>
          <w:sz w:val="24"/>
          <w:szCs w:val="24"/>
          <w:highlight w:val="none"/>
        </w:rPr>
        <w:t>不限于诉讼费、律师费、公告费、评估费、担保费、保全费、拍卖费等。</w:t>
      </w:r>
      <w:bookmarkEnd w:id="159"/>
    </w:p>
    <w:p w14:paraId="5CFB1C44">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十一、本合同其他未尽事宜，按国家《中华人民共和国民法典》有关规定处理。</w:t>
      </w:r>
      <w:r>
        <w:rPr>
          <w:rFonts w:hint="eastAsia" w:ascii="仿宋" w:hAnsi="仿宋" w:eastAsia="仿宋" w:cs="仿宋"/>
          <w:color w:val="auto"/>
          <w:sz w:val="24"/>
          <w:szCs w:val="24"/>
          <w:highlight w:val="none"/>
          <w:lang w:val="en-US" w:eastAsia="zh-CN"/>
        </w:rPr>
        <w:t>本合同发生争议，由甲方所在地人民法院管辖争议。</w:t>
      </w:r>
    </w:p>
    <w:p w14:paraId="44E5479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十二、本合同一式伍份，甲方二份（含监督管理部门备案的一份），乙方二份（含用于结算支付的一份），丙方一份。</w:t>
      </w:r>
    </w:p>
    <w:p w14:paraId="2F5EE650">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十三、本合同自三方共同签订之日起生效。</w:t>
      </w:r>
    </w:p>
    <w:p w14:paraId="2ADE9E8A">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十四、本合同不可分割之部分及解释顺序</w:t>
      </w:r>
    </w:p>
    <w:p w14:paraId="2EB7A914">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合同书及附件；</w:t>
      </w:r>
    </w:p>
    <w:p w14:paraId="4EB510A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通知书；</w:t>
      </w:r>
    </w:p>
    <w:p w14:paraId="625CB4A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及澄清或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w:t>
      </w:r>
    </w:p>
    <w:p w14:paraId="37E9DC14">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招标文件。</w:t>
      </w:r>
    </w:p>
    <w:p w14:paraId="7FE793D9">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十五、附件名称（如有请在□内打√，其余打×）</w:t>
      </w:r>
    </w:p>
    <w:p w14:paraId="160980CB">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技术参数和详细配置明细表         □</w:t>
      </w:r>
    </w:p>
    <w:p w14:paraId="5DD52E29">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售后服务细则                     □</w:t>
      </w:r>
    </w:p>
    <w:p w14:paraId="390FA76C">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3.合同</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使用详细培训方案或计划           □</w:t>
      </w:r>
    </w:p>
    <w:p w14:paraId="74233BF0">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技术资料清单                     □</w:t>
      </w:r>
    </w:p>
    <w:p w14:paraId="007D39C6">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5.廉政合同                                 □</w:t>
      </w:r>
    </w:p>
    <w:p w14:paraId="369C753E">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                                     □</w:t>
      </w:r>
    </w:p>
    <w:p w14:paraId="1C410865">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br w:type="page"/>
      </w:r>
    </w:p>
    <w:p w14:paraId="05C961E4">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甲方（采购人）名      称：</w:t>
      </w:r>
    </w:p>
    <w:p w14:paraId="473A816D">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地      址：</w:t>
      </w:r>
    </w:p>
    <w:p w14:paraId="012AB32F">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邮      编：</w:t>
      </w:r>
    </w:p>
    <w:p w14:paraId="740AB3BB">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法定代表人:</w:t>
      </w:r>
    </w:p>
    <w:p w14:paraId="19B2BBBA">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委托代理人：</w:t>
      </w:r>
    </w:p>
    <w:p w14:paraId="177607C5">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项目（技术）负责人：</w:t>
      </w:r>
    </w:p>
    <w:p w14:paraId="6C9C9E92">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电</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话：</w:t>
      </w:r>
    </w:p>
    <w:p w14:paraId="166648DB">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开户  银行：</w:t>
      </w:r>
    </w:p>
    <w:p w14:paraId="66032FE3">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账      号：</w:t>
      </w:r>
    </w:p>
    <w:p w14:paraId="51F3ADFC">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签订  日期：</w:t>
      </w:r>
    </w:p>
    <w:p w14:paraId="4742EABD">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kern w:val="0"/>
          <w:sz w:val="24"/>
          <w:szCs w:val="24"/>
          <w:highlight w:val="none"/>
        </w:rPr>
      </w:pPr>
    </w:p>
    <w:p w14:paraId="6CA271CA">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乙方（投标人）名      称：</w:t>
      </w:r>
    </w:p>
    <w:p w14:paraId="197C5368">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地      址：</w:t>
      </w:r>
    </w:p>
    <w:p w14:paraId="1B8A870D">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邮      编：</w:t>
      </w:r>
    </w:p>
    <w:p w14:paraId="29ED5EB1">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法定代表人：</w:t>
      </w:r>
    </w:p>
    <w:p w14:paraId="79065913">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委托代理人：</w:t>
      </w:r>
    </w:p>
    <w:p w14:paraId="0375C8DB">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电      话：</w:t>
      </w:r>
    </w:p>
    <w:p w14:paraId="40F4EA2B">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开户  银行：</w:t>
      </w:r>
    </w:p>
    <w:p w14:paraId="095C943A">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账      号：</w:t>
      </w:r>
    </w:p>
    <w:p w14:paraId="73E87E2E">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签订  日期：</w:t>
      </w:r>
    </w:p>
    <w:p w14:paraId="203CDE18">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kern w:val="0"/>
          <w:sz w:val="24"/>
          <w:szCs w:val="24"/>
          <w:highlight w:val="none"/>
          <w:lang w:val="zh-CN"/>
        </w:rPr>
      </w:pPr>
    </w:p>
    <w:p w14:paraId="2320BD9C">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丙方（鉴证方）名</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称：</w:t>
      </w:r>
    </w:p>
    <w:p w14:paraId="40283A04">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地</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址：</w:t>
      </w:r>
    </w:p>
    <w:p w14:paraId="7818D2D6">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邮</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编：</w:t>
      </w:r>
    </w:p>
    <w:p w14:paraId="6413A6D5">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法定代表人：</w:t>
      </w:r>
    </w:p>
    <w:p w14:paraId="380C25FA">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委托代理人：</w:t>
      </w:r>
    </w:p>
    <w:p w14:paraId="1C83B4E5">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zh-CN"/>
        </w:rPr>
        <w:t>经</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办</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人：</w:t>
      </w:r>
    </w:p>
    <w:p w14:paraId="20E7FBD6">
      <w:pPr>
        <w:keepNext w:val="0"/>
        <w:keepLines w:val="0"/>
        <w:pageBreakBefore w:val="0"/>
        <w:widowControl w:val="0"/>
        <w:kinsoku/>
        <w:wordWrap/>
        <w:overflowPunct/>
        <w:topLinePunct w:val="0"/>
        <w:autoSpaceDE w:val="0"/>
        <w:autoSpaceDN w:val="0"/>
        <w:bidi w:val="0"/>
        <w:adjustRightInd w:val="0"/>
        <w:snapToGrid w:val="0"/>
        <w:spacing w:line="400" w:lineRule="exact"/>
        <w:ind w:firstLine="1680" w:firstLineChars="7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电</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lang w:val="zh-CN"/>
        </w:rPr>
        <w:t>话：</w:t>
      </w:r>
    </w:p>
    <w:p w14:paraId="275C0DFF">
      <w:pPr>
        <w:keepNext w:val="0"/>
        <w:keepLines w:val="0"/>
        <w:pageBreakBefore w:val="0"/>
        <w:widowControl w:val="0"/>
        <w:kinsoku/>
        <w:wordWrap/>
        <w:overflowPunct/>
        <w:topLinePunct w:val="0"/>
        <w:autoSpaceDE w:val="0"/>
        <w:autoSpaceDN w:val="0"/>
        <w:bidi w:val="0"/>
        <w:adjustRightInd w:val="0"/>
        <w:snapToGrid w:val="0"/>
        <w:spacing w:line="400" w:lineRule="exact"/>
        <w:ind w:firstLine="1692" w:firstLineChars="705"/>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开户  名称：</w:t>
      </w:r>
    </w:p>
    <w:p w14:paraId="32BBE60D">
      <w:pPr>
        <w:keepNext w:val="0"/>
        <w:keepLines w:val="0"/>
        <w:pageBreakBefore w:val="0"/>
        <w:widowControl w:val="0"/>
        <w:kinsoku/>
        <w:wordWrap/>
        <w:overflowPunct/>
        <w:topLinePunct w:val="0"/>
        <w:autoSpaceDE w:val="0"/>
        <w:autoSpaceDN w:val="0"/>
        <w:bidi w:val="0"/>
        <w:adjustRightInd w:val="0"/>
        <w:snapToGrid w:val="0"/>
        <w:spacing w:line="400" w:lineRule="exact"/>
        <w:ind w:firstLine="1692" w:firstLineChars="705"/>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开户  银行：</w:t>
      </w:r>
    </w:p>
    <w:p w14:paraId="516B6657">
      <w:pPr>
        <w:keepNext w:val="0"/>
        <w:keepLines w:val="0"/>
        <w:pageBreakBefore w:val="0"/>
        <w:widowControl w:val="0"/>
        <w:kinsoku/>
        <w:wordWrap/>
        <w:overflowPunct/>
        <w:topLinePunct w:val="0"/>
        <w:autoSpaceDE w:val="0"/>
        <w:autoSpaceDN w:val="0"/>
        <w:bidi w:val="0"/>
        <w:adjustRightInd w:val="0"/>
        <w:snapToGrid w:val="0"/>
        <w:spacing w:line="400" w:lineRule="exact"/>
        <w:ind w:firstLine="1692" w:firstLineChars="705"/>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账      号：</w:t>
      </w:r>
    </w:p>
    <w:p w14:paraId="553A8C92">
      <w:pPr>
        <w:keepNext w:val="0"/>
        <w:keepLines w:val="0"/>
        <w:pageBreakBefore w:val="0"/>
        <w:widowControl w:val="0"/>
        <w:kinsoku/>
        <w:wordWrap/>
        <w:overflowPunct/>
        <w:topLinePunct w:val="0"/>
        <w:autoSpaceDE w:val="0"/>
        <w:autoSpaceDN w:val="0"/>
        <w:bidi w:val="0"/>
        <w:adjustRightInd w:val="0"/>
        <w:snapToGrid w:val="0"/>
        <w:spacing w:line="400" w:lineRule="exact"/>
        <w:ind w:firstLine="1692" w:firstLineChars="705"/>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鉴证  日期：</w:t>
      </w:r>
    </w:p>
    <w:p w14:paraId="54927D0D">
      <w:pPr>
        <w:pageBreakBefore w:val="0"/>
        <w:kinsoku/>
        <w:wordWrap w:val="0"/>
        <w:overflowPunct/>
        <w:bidi w:val="0"/>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p>
    <w:p w14:paraId="54A4D475">
      <w:pPr>
        <w:pStyle w:val="3"/>
        <w:pageBreakBefore w:val="0"/>
        <w:kinsoku/>
        <w:wordWrap w:val="0"/>
        <w:overflowPunct/>
        <w:bidi w:val="0"/>
        <w:spacing w:line="360" w:lineRule="auto"/>
        <w:jc w:val="center"/>
        <w:rPr>
          <w:rFonts w:hint="eastAsia" w:ascii="仿宋" w:hAnsi="仿宋" w:eastAsia="仿宋" w:cs="仿宋"/>
          <w:color w:val="auto"/>
          <w:highlight w:val="none"/>
        </w:rPr>
      </w:pPr>
      <w:bookmarkStart w:id="160" w:name="_Toc11517"/>
      <w:bookmarkStart w:id="161" w:name="_Toc17681"/>
      <w:r>
        <w:rPr>
          <w:rFonts w:hint="eastAsia" w:ascii="仿宋" w:hAnsi="仿宋" w:eastAsia="仿宋" w:cs="仿宋"/>
          <w:color w:val="auto"/>
          <w:highlight w:val="none"/>
        </w:rPr>
        <w:t>第五章 投标文件格式</w:t>
      </w:r>
      <w:bookmarkEnd w:id="160"/>
      <w:bookmarkEnd w:id="161"/>
    </w:p>
    <w:p w14:paraId="79BC2D59">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
          <w:color w:val="auto"/>
          <w:sz w:val="52"/>
          <w:szCs w:val="52"/>
          <w:highlight w:val="none"/>
          <w:lang w:eastAsia="zh-CN"/>
        </w:rPr>
        <w:t>普洱市大剧院设备更新</w:t>
      </w:r>
    </w:p>
    <w:p w14:paraId="41D98555">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1658CBF3">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387E4213">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3AA6CC0F">
      <w:pPr>
        <w:pStyle w:val="2"/>
        <w:rPr>
          <w:rFonts w:hint="eastAsia" w:ascii="仿宋" w:hAnsi="仿宋" w:eastAsia="仿宋" w:cs="仿宋"/>
          <w:bCs/>
          <w:color w:val="auto"/>
          <w:sz w:val="24"/>
          <w:szCs w:val="24"/>
          <w:highlight w:val="none"/>
        </w:rPr>
      </w:pPr>
    </w:p>
    <w:p w14:paraId="71F3B8AC">
      <w:pPr>
        <w:pStyle w:val="2"/>
        <w:rPr>
          <w:rFonts w:hint="eastAsia" w:ascii="仿宋" w:hAnsi="仿宋" w:eastAsia="仿宋" w:cs="仿宋"/>
          <w:bCs/>
          <w:color w:val="auto"/>
          <w:sz w:val="24"/>
          <w:szCs w:val="24"/>
          <w:highlight w:val="none"/>
        </w:rPr>
      </w:pPr>
    </w:p>
    <w:p w14:paraId="5235FDDB">
      <w:pPr>
        <w:pageBreakBefore w:val="0"/>
        <w:kinsoku/>
        <w:wordWrap w:val="0"/>
        <w:overflowPunct/>
        <w:bidi w:val="0"/>
        <w:spacing w:line="360" w:lineRule="auto"/>
        <w:rPr>
          <w:rFonts w:hint="eastAsia" w:ascii="仿宋" w:hAnsi="仿宋" w:eastAsia="仿宋" w:cs="仿宋"/>
          <w:color w:val="auto"/>
          <w:highlight w:val="none"/>
        </w:rPr>
      </w:pPr>
    </w:p>
    <w:p w14:paraId="7B2D1426">
      <w:pPr>
        <w:pageBreakBefore w:val="0"/>
        <w:kinsoku/>
        <w:wordWrap w:val="0"/>
        <w:overflowPunct/>
        <w:bidi w:val="0"/>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投标文件</w:t>
      </w:r>
    </w:p>
    <w:p w14:paraId="2E16422F">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09BDB168">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62E68BB3">
      <w:pPr>
        <w:pageBreakBefore w:val="0"/>
        <w:kinsoku/>
        <w:wordWrap w:val="0"/>
        <w:overflowPunct/>
        <w:bidi w:val="0"/>
        <w:spacing w:line="360" w:lineRule="auto"/>
        <w:ind w:firstLine="3012" w:firstLineChars="10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项目编号：</w:t>
      </w:r>
      <w:r>
        <w:rPr>
          <w:rFonts w:hint="eastAsia" w:ascii="仿宋" w:hAnsi="仿宋" w:eastAsia="仿宋" w:cs="仿宋"/>
          <w:b/>
          <w:color w:val="auto"/>
          <w:sz w:val="30"/>
          <w:szCs w:val="30"/>
          <w:highlight w:val="none"/>
          <w:u w:val="single"/>
        </w:rPr>
        <w:t xml:space="preserve">            </w:t>
      </w:r>
    </w:p>
    <w:p w14:paraId="362C020B">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37CF59AE">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2C5E21B9">
      <w:pPr>
        <w:pStyle w:val="2"/>
        <w:rPr>
          <w:rFonts w:hint="eastAsia" w:ascii="仿宋" w:hAnsi="仿宋" w:eastAsia="仿宋" w:cs="仿宋"/>
          <w:bCs/>
          <w:color w:val="auto"/>
          <w:sz w:val="24"/>
          <w:szCs w:val="24"/>
          <w:highlight w:val="none"/>
        </w:rPr>
      </w:pPr>
    </w:p>
    <w:p w14:paraId="1F28CB09">
      <w:pPr>
        <w:pStyle w:val="2"/>
        <w:rPr>
          <w:rFonts w:hint="eastAsia" w:ascii="仿宋" w:hAnsi="仿宋" w:eastAsia="仿宋" w:cs="仿宋"/>
          <w:bCs/>
          <w:color w:val="auto"/>
          <w:sz w:val="24"/>
          <w:szCs w:val="24"/>
          <w:highlight w:val="none"/>
        </w:rPr>
      </w:pPr>
    </w:p>
    <w:p w14:paraId="73510A25">
      <w:pPr>
        <w:pStyle w:val="2"/>
        <w:rPr>
          <w:rFonts w:hint="eastAsia" w:ascii="仿宋" w:hAnsi="仿宋" w:eastAsia="仿宋" w:cs="仿宋"/>
          <w:bCs/>
          <w:color w:val="auto"/>
          <w:sz w:val="24"/>
          <w:szCs w:val="24"/>
          <w:highlight w:val="none"/>
        </w:rPr>
      </w:pPr>
    </w:p>
    <w:p w14:paraId="538D6FE6">
      <w:pPr>
        <w:pageBreakBefore w:val="0"/>
        <w:kinsoku/>
        <w:wordWrap w:val="0"/>
        <w:overflowPunct/>
        <w:bidi w:val="0"/>
        <w:spacing w:line="360" w:lineRule="auto"/>
        <w:jc w:val="center"/>
        <w:rPr>
          <w:rFonts w:hint="eastAsia" w:ascii="仿宋" w:hAnsi="仿宋" w:eastAsia="仿宋" w:cs="仿宋"/>
          <w:bCs/>
          <w:color w:val="auto"/>
          <w:sz w:val="24"/>
          <w:szCs w:val="24"/>
          <w:highlight w:val="none"/>
        </w:rPr>
      </w:pPr>
    </w:p>
    <w:p w14:paraId="187FEF70">
      <w:pPr>
        <w:keepNext w:val="0"/>
        <w:keepLines w:val="0"/>
        <w:pageBreakBefore w:val="0"/>
        <w:widowControl w:val="0"/>
        <w:kinsoku/>
        <w:wordWrap w:val="0"/>
        <w:overflowPunct/>
        <w:topLinePunct w:val="0"/>
        <w:autoSpaceDE/>
        <w:autoSpaceDN/>
        <w:bidi w:val="0"/>
        <w:adjustRightInd/>
        <w:snapToGrid/>
        <w:spacing w:line="360" w:lineRule="auto"/>
        <w:ind w:firstLine="602" w:firstLineChars="200"/>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投标人名称：</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none"/>
        </w:rPr>
        <w:t>（电子签章）</w:t>
      </w:r>
    </w:p>
    <w:p w14:paraId="5112AC37">
      <w:pPr>
        <w:keepNext w:val="0"/>
        <w:keepLines w:val="0"/>
        <w:pageBreakBefore w:val="0"/>
        <w:widowControl w:val="0"/>
        <w:kinsoku/>
        <w:wordWrap w:val="0"/>
        <w:overflowPunct/>
        <w:topLinePunct w:val="0"/>
        <w:autoSpaceDE/>
        <w:autoSpaceDN/>
        <w:bidi w:val="0"/>
        <w:adjustRightInd/>
        <w:snapToGrid/>
        <w:spacing w:line="360" w:lineRule="auto"/>
        <w:ind w:firstLine="602" w:firstLineChars="200"/>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法定代表人或委托代理人：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none"/>
        </w:rPr>
        <w:t>（电子签章）</w:t>
      </w:r>
    </w:p>
    <w:p w14:paraId="7472198F">
      <w:pPr>
        <w:keepNext w:val="0"/>
        <w:keepLines w:val="0"/>
        <w:pageBreakBefore w:val="0"/>
        <w:widowControl w:val="0"/>
        <w:kinsoku/>
        <w:wordWrap w:val="0"/>
        <w:overflowPunct/>
        <w:topLinePunct w:val="0"/>
        <w:autoSpaceDE/>
        <w:autoSpaceDN/>
        <w:bidi w:val="0"/>
        <w:adjustRightInd/>
        <w:snapToGrid/>
        <w:spacing w:line="360" w:lineRule="auto"/>
        <w:ind w:firstLine="602" w:firstLineChars="200"/>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日期：</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rPr>
        <w:t>日</w:t>
      </w:r>
    </w:p>
    <w:p w14:paraId="613257A1">
      <w:pPr>
        <w:pageBreakBefore w:val="0"/>
        <w:kinsoku/>
        <w:wordWrap w:val="0"/>
        <w:overflowPunct/>
        <w:bidi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3A6ED053">
      <w:pPr>
        <w:pStyle w:val="4"/>
        <w:pageBreakBefore w:val="0"/>
        <w:kinsoku/>
        <w:wordWrap w:val="0"/>
        <w:overflowPunct/>
        <w:bidi w:val="0"/>
        <w:spacing w:after="0" w:line="360" w:lineRule="auto"/>
        <w:jc w:val="center"/>
        <w:rPr>
          <w:rFonts w:hint="eastAsia" w:ascii="仿宋" w:hAnsi="仿宋" w:eastAsia="仿宋" w:cs="仿宋"/>
          <w:color w:val="auto"/>
          <w:sz w:val="28"/>
          <w:szCs w:val="28"/>
          <w:highlight w:val="none"/>
        </w:rPr>
      </w:pPr>
      <w:bookmarkStart w:id="162" w:name="_Toc25148"/>
      <w:bookmarkStart w:id="163" w:name="_Toc29823"/>
      <w:r>
        <w:rPr>
          <w:rFonts w:hint="eastAsia" w:ascii="仿宋" w:hAnsi="仿宋" w:eastAsia="仿宋" w:cs="仿宋"/>
          <w:color w:val="auto"/>
          <w:sz w:val="28"/>
          <w:szCs w:val="28"/>
          <w:highlight w:val="none"/>
        </w:rPr>
        <w:t>一、资格审查部分</w:t>
      </w:r>
      <w:bookmarkEnd w:id="162"/>
      <w:bookmarkEnd w:id="163"/>
    </w:p>
    <w:p w14:paraId="2D1DA99F">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color w:val="auto"/>
          <w:sz w:val="24"/>
          <w:szCs w:val="24"/>
          <w:highlight w:val="none"/>
        </w:rPr>
      </w:pPr>
      <w:bookmarkStart w:id="164" w:name="_Toc23877"/>
      <w:bookmarkStart w:id="165" w:name="_Toc29771"/>
      <w:bookmarkStart w:id="166" w:name="_Toc3969336"/>
      <w:bookmarkStart w:id="167" w:name="_Toc18922"/>
      <w:bookmarkStart w:id="168" w:name="_Toc5586"/>
      <w:r>
        <w:rPr>
          <w:rFonts w:hint="eastAsia" w:ascii="仿宋" w:hAnsi="仿宋" w:eastAsia="仿宋" w:cs="仿宋"/>
          <w:b/>
          <w:bCs/>
          <w:color w:val="000000"/>
          <w:kern w:val="0"/>
          <w:sz w:val="28"/>
          <w:szCs w:val="28"/>
          <w:highlight w:val="none"/>
          <w:lang w:val="en-US" w:eastAsia="zh-CN" w:bidi="ar-SA"/>
        </w:rPr>
        <w:t>（一）</w:t>
      </w:r>
      <w:r>
        <w:rPr>
          <w:rFonts w:hint="eastAsia" w:ascii="仿宋" w:hAnsi="仿宋" w:eastAsia="仿宋" w:cs="仿宋"/>
          <w:b/>
          <w:bCs/>
          <w:color w:val="000000"/>
          <w:sz w:val="28"/>
          <w:szCs w:val="28"/>
          <w:highlight w:val="none"/>
        </w:rPr>
        <w:t>具有独立承担民事责任的能力</w:t>
      </w:r>
      <w:bookmarkEnd w:id="164"/>
      <w:bookmarkEnd w:id="165"/>
    </w:p>
    <w:p w14:paraId="65BBC224">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投标人基本情况表</w:t>
      </w:r>
      <w:bookmarkEnd w:id="166"/>
      <w:bookmarkEnd w:id="167"/>
      <w:bookmarkEnd w:id="168"/>
    </w:p>
    <w:tbl>
      <w:tblPr>
        <w:tblStyle w:val="22"/>
        <w:tblW w:w="9720"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0"/>
        <w:gridCol w:w="1496"/>
        <w:gridCol w:w="1023"/>
        <w:gridCol w:w="1574"/>
        <w:gridCol w:w="1119"/>
        <w:gridCol w:w="3908"/>
      </w:tblGrid>
      <w:tr w14:paraId="6A619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0" w:hRule="atLeast"/>
        </w:trPr>
        <w:tc>
          <w:tcPr>
            <w:tcW w:w="600" w:type="dxa"/>
            <w:vAlign w:val="center"/>
          </w:tcPr>
          <w:p w14:paraId="66635F66">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120" w:type="dxa"/>
            <w:gridSpan w:val="5"/>
            <w:vAlign w:val="center"/>
          </w:tcPr>
          <w:p w14:paraId="36BADF36">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r>
      <w:tr w14:paraId="7FE0A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3" w:hRule="atLeast"/>
        </w:trPr>
        <w:tc>
          <w:tcPr>
            <w:tcW w:w="600" w:type="dxa"/>
            <w:vAlign w:val="center"/>
          </w:tcPr>
          <w:p w14:paraId="2F1F3FA9">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120" w:type="dxa"/>
            <w:gridSpan w:val="5"/>
            <w:vAlign w:val="center"/>
          </w:tcPr>
          <w:p w14:paraId="5C797159">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总部地址</w:t>
            </w:r>
          </w:p>
        </w:tc>
      </w:tr>
      <w:tr w14:paraId="7A541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4" w:hRule="atLeast"/>
        </w:trPr>
        <w:tc>
          <w:tcPr>
            <w:tcW w:w="600" w:type="dxa"/>
            <w:vAlign w:val="center"/>
          </w:tcPr>
          <w:p w14:paraId="4E835B51">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120" w:type="dxa"/>
            <w:gridSpan w:val="5"/>
            <w:vAlign w:val="center"/>
          </w:tcPr>
          <w:p w14:paraId="16BAC34B">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当地代表处地址</w:t>
            </w:r>
          </w:p>
        </w:tc>
      </w:tr>
      <w:tr w14:paraId="18FE6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9" w:hRule="atLeast"/>
        </w:trPr>
        <w:tc>
          <w:tcPr>
            <w:tcW w:w="600" w:type="dxa"/>
            <w:vAlign w:val="center"/>
          </w:tcPr>
          <w:p w14:paraId="736E1799">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093" w:type="dxa"/>
            <w:gridSpan w:val="3"/>
            <w:vAlign w:val="center"/>
          </w:tcPr>
          <w:p w14:paraId="06661F33">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5027" w:type="dxa"/>
            <w:gridSpan w:val="2"/>
            <w:vAlign w:val="center"/>
          </w:tcPr>
          <w:p w14:paraId="33E484FD">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r>
      <w:tr w14:paraId="53D0F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3" w:hRule="atLeast"/>
        </w:trPr>
        <w:tc>
          <w:tcPr>
            <w:tcW w:w="600" w:type="dxa"/>
            <w:vAlign w:val="center"/>
          </w:tcPr>
          <w:p w14:paraId="626F798E">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4093" w:type="dxa"/>
            <w:gridSpan w:val="3"/>
            <w:vAlign w:val="center"/>
          </w:tcPr>
          <w:p w14:paraId="7037F0E5">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c>
          <w:tcPr>
            <w:tcW w:w="5027" w:type="dxa"/>
            <w:gridSpan w:val="2"/>
            <w:vAlign w:val="center"/>
          </w:tcPr>
          <w:p w14:paraId="54EB1944">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r>
      <w:tr w14:paraId="70302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600" w:type="dxa"/>
            <w:vAlign w:val="center"/>
          </w:tcPr>
          <w:p w14:paraId="28EB4581">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4093" w:type="dxa"/>
            <w:gridSpan w:val="3"/>
            <w:vAlign w:val="center"/>
          </w:tcPr>
          <w:p w14:paraId="7FD1FFBA">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w:t>
            </w:r>
          </w:p>
        </w:tc>
        <w:tc>
          <w:tcPr>
            <w:tcW w:w="5027" w:type="dxa"/>
            <w:gridSpan w:val="2"/>
            <w:vAlign w:val="center"/>
          </w:tcPr>
          <w:p w14:paraId="1E908F0B">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注册年份</w:t>
            </w:r>
          </w:p>
        </w:tc>
      </w:tr>
      <w:tr w14:paraId="40788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600" w:type="dxa"/>
            <w:vMerge w:val="restart"/>
            <w:vAlign w:val="center"/>
          </w:tcPr>
          <w:p w14:paraId="071C3C70">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496" w:type="dxa"/>
            <w:tcBorders>
              <w:right w:val="single" w:color="auto" w:sz="4" w:space="0"/>
            </w:tcBorders>
            <w:vAlign w:val="center"/>
          </w:tcPr>
          <w:p w14:paraId="73F725C7">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1023" w:type="dxa"/>
            <w:tcBorders>
              <w:left w:val="single" w:color="auto" w:sz="4" w:space="0"/>
              <w:right w:val="single" w:color="auto" w:sz="4" w:space="0"/>
            </w:tcBorders>
            <w:vAlign w:val="center"/>
          </w:tcPr>
          <w:p w14:paraId="57D6A5AF">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574" w:type="dxa"/>
            <w:tcBorders>
              <w:left w:val="single" w:color="auto" w:sz="4" w:space="0"/>
            </w:tcBorders>
            <w:vAlign w:val="center"/>
          </w:tcPr>
          <w:p w14:paraId="736538BC">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19" w:type="dxa"/>
            <w:tcBorders>
              <w:right w:val="single" w:color="auto" w:sz="4" w:space="0"/>
            </w:tcBorders>
            <w:vAlign w:val="center"/>
          </w:tcPr>
          <w:p w14:paraId="772C248D">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3908" w:type="dxa"/>
            <w:tcBorders>
              <w:left w:val="single" w:color="auto" w:sz="4" w:space="0"/>
            </w:tcBorders>
            <w:vAlign w:val="center"/>
          </w:tcPr>
          <w:p w14:paraId="194F6C02">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p>
        </w:tc>
      </w:tr>
      <w:tr w14:paraId="21D66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600" w:type="dxa"/>
            <w:vMerge w:val="continue"/>
            <w:vAlign w:val="center"/>
          </w:tcPr>
          <w:p w14:paraId="306822E9">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96" w:type="dxa"/>
            <w:tcBorders>
              <w:right w:val="single" w:color="auto" w:sz="4" w:space="0"/>
            </w:tcBorders>
            <w:vAlign w:val="center"/>
          </w:tcPr>
          <w:p w14:paraId="3499CF41">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w:t>
            </w:r>
          </w:p>
        </w:tc>
        <w:tc>
          <w:tcPr>
            <w:tcW w:w="1023" w:type="dxa"/>
            <w:tcBorders>
              <w:left w:val="single" w:color="auto" w:sz="4" w:space="0"/>
              <w:right w:val="single" w:color="auto" w:sz="4" w:space="0"/>
            </w:tcBorders>
            <w:vAlign w:val="center"/>
          </w:tcPr>
          <w:p w14:paraId="0C5FEFFA">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574" w:type="dxa"/>
            <w:tcBorders>
              <w:left w:val="single" w:color="auto" w:sz="4" w:space="0"/>
            </w:tcBorders>
            <w:vAlign w:val="center"/>
          </w:tcPr>
          <w:p w14:paraId="1BFB8D28">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19" w:type="dxa"/>
            <w:tcBorders>
              <w:right w:val="single" w:color="auto" w:sz="4" w:space="0"/>
            </w:tcBorders>
            <w:vAlign w:val="center"/>
          </w:tcPr>
          <w:p w14:paraId="45983556">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3908" w:type="dxa"/>
            <w:tcBorders>
              <w:left w:val="single" w:color="auto" w:sz="4" w:space="0"/>
            </w:tcBorders>
            <w:vAlign w:val="center"/>
          </w:tcPr>
          <w:p w14:paraId="219C803F">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p>
        </w:tc>
      </w:tr>
      <w:tr w14:paraId="63791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4" w:hRule="atLeast"/>
        </w:trPr>
        <w:tc>
          <w:tcPr>
            <w:tcW w:w="600" w:type="dxa"/>
            <w:vAlign w:val="center"/>
          </w:tcPr>
          <w:p w14:paraId="4004FF2A">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9120" w:type="dxa"/>
            <w:gridSpan w:val="5"/>
            <w:vAlign w:val="center"/>
          </w:tcPr>
          <w:p w14:paraId="495FD307">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公司资质等级证书名称及书号                  （请将有关证书的扫描件附后）</w:t>
            </w:r>
          </w:p>
        </w:tc>
      </w:tr>
      <w:tr w14:paraId="01005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34" w:hRule="atLeast"/>
        </w:trPr>
        <w:tc>
          <w:tcPr>
            <w:tcW w:w="600" w:type="dxa"/>
            <w:vAlign w:val="center"/>
          </w:tcPr>
          <w:p w14:paraId="5484C1E7">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9120" w:type="dxa"/>
            <w:gridSpan w:val="5"/>
            <w:vAlign w:val="center"/>
          </w:tcPr>
          <w:p w14:paraId="3021682F">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主营范围</w:t>
            </w:r>
          </w:p>
          <w:p w14:paraId="41FF2AFA">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p>
        </w:tc>
      </w:tr>
      <w:tr w14:paraId="221B1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0" w:hRule="atLeast"/>
        </w:trPr>
        <w:tc>
          <w:tcPr>
            <w:tcW w:w="600" w:type="dxa"/>
            <w:vAlign w:val="center"/>
          </w:tcPr>
          <w:p w14:paraId="3829F474">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9120" w:type="dxa"/>
            <w:gridSpan w:val="5"/>
            <w:vAlign w:val="center"/>
          </w:tcPr>
          <w:p w14:paraId="668AC175">
            <w:pPr>
              <w:keepNext w:val="0"/>
              <w:keepLines w:val="0"/>
              <w:pageBreakBefore w:val="0"/>
              <w:suppressLineNumbers w:val="0"/>
              <w:tabs>
                <w:tab w:val="left" w:pos="1980"/>
              </w:tabs>
              <w:kinsoku/>
              <w:wordWrap w:val="0"/>
              <w:overflowPunct/>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其他需要说明的情况</w:t>
            </w:r>
          </w:p>
        </w:tc>
      </w:tr>
    </w:tbl>
    <w:p w14:paraId="7989584F">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仿宋" w:hAnsi="仿宋" w:eastAsia="仿宋" w:cs="仿宋"/>
          <w:b/>
          <w:color w:val="auto"/>
          <w:sz w:val="24"/>
          <w:szCs w:val="24"/>
          <w:highlight w:val="none"/>
        </w:rPr>
      </w:pPr>
    </w:p>
    <w:p w14:paraId="0920213B">
      <w:pPr>
        <w:keepNext w:val="0"/>
        <w:keepLines w:val="0"/>
        <w:pageBreakBefore w:val="0"/>
        <w:widowControl w:val="0"/>
        <w:suppressLineNumbers w:val="0"/>
        <w:kinsoku/>
        <w:wordWrap w:val="0"/>
        <w:overflowPunct/>
        <w:bidi w:val="0"/>
        <w:spacing w:before="0" w:beforeAutospacing="0" w:after="0" w:afterAutospacing="0"/>
        <w:ind w:left="0" w:right="0"/>
        <w:jc w:val="both"/>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注：本表后附有效的营业执照副本扫描件及资格审查中所提及的证书证件等。</w:t>
      </w:r>
    </w:p>
    <w:p w14:paraId="4EC49453">
      <w:pPr>
        <w:pStyle w:val="2"/>
        <w:rPr>
          <w:rFonts w:hint="eastAsia" w:ascii="仿宋" w:hAnsi="仿宋" w:eastAsia="仿宋" w:cs="仿宋"/>
          <w:highlight w:val="none"/>
        </w:rPr>
      </w:pPr>
      <w:bookmarkStart w:id="169" w:name="_Toc32216"/>
      <w:bookmarkStart w:id="170" w:name="_Toc6555"/>
    </w:p>
    <w:p w14:paraId="04552CB0">
      <w:pPr>
        <w:pStyle w:val="2"/>
        <w:rPr>
          <w:rFonts w:hint="eastAsia" w:ascii="仿宋" w:hAnsi="仿宋" w:eastAsia="仿宋" w:cs="仿宋"/>
          <w:highlight w:val="none"/>
        </w:rPr>
      </w:pPr>
    </w:p>
    <w:p w14:paraId="179CECC3">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（二）具有良好的商业信誉和健全的财务会计制度</w:t>
      </w:r>
      <w:bookmarkEnd w:id="169"/>
    </w:p>
    <w:p w14:paraId="453F4D8C">
      <w:pPr>
        <w:keepNext w:val="0"/>
        <w:keepLines w:val="0"/>
        <w:pageBreakBefore w:val="0"/>
        <w:widowControl w:val="0"/>
        <w:kinsoku/>
        <w:wordWrap w:val="0"/>
        <w:overflowPunct/>
        <w:topLinePunct w:val="0"/>
        <w:autoSpaceDE/>
        <w:autoSpaceDN/>
        <w:bidi w:val="0"/>
        <w:adjustRightInd/>
        <w:spacing w:line="360" w:lineRule="auto"/>
        <w:ind w:firstLine="480" w:firstLineChars="200"/>
        <w:jc w:val="left"/>
        <w:textAlignment w:val="auto"/>
        <w:rPr>
          <w:rFonts w:hint="eastAsia" w:ascii="仿宋" w:hAnsi="仿宋" w:eastAsia="仿宋" w:cs="仿宋"/>
          <w:color w:val="auto"/>
          <w:sz w:val="24"/>
          <w:szCs w:val="24"/>
          <w:highlight w:val="none"/>
        </w:rPr>
      </w:pPr>
    </w:p>
    <w:bookmarkEnd w:id="170"/>
    <w:p w14:paraId="3A64E8E5">
      <w:pPr>
        <w:keepNext w:val="0"/>
        <w:keepLines w:val="0"/>
        <w:pageBreakBefore w:val="0"/>
        <w:widowControl w:val="0"/>
        <w:numPr>
          <w:ilvl w:val="0"/>
          <w:numId w:val="0"/>
        </w:numPr>
        <w:kinsoku/>
        <w:wordWrap w:val="0"/>
        <w:overflowPunct/>
        <w:topLinePunct w:val="0"/>
        <w:autoSpaceDE/>
        <w:autoSpaceDN/>
        <w:bidi w:val="0"/>
        <w:adjustRightInd/>
        <w:spacing w:line="360" w:lineRule="auto"/>
        <w:ind w:firstLine="480" w:firstLineChars="200"/>
        <w:jc w:val="both"/>
        <w:textAlignment w:val="auto"/>
        <w:rPr>
          <w:rFonts w:hint="eastAsia" w:ascii="仿宋" w:hAnsi="仿宋" w:eastAsia="仿宋" w:cs="仿宋"/>
          <w:highlight w:val="none"/>
          <w:lang w:eastAsia="zh-CN"/>
        </w:rPr>
      </w:pPr>
      <w:bookmarkStart w:id="171" w:name="_Toc24779"/>
      <w:bookmarkStart w:id="172" w:name="_Toc3969343"/>
      <w:bookmarkStart w:id="173" w:name="_Toc26999"/>
      <w:r>
        <w:rPr>
          <w:rFonts w:hint="eastAsia" w:ascii="仿宋" w:hAnsi="仿宋" w:eastAsia="仿宋" w:cs="仿宋"/>
          <w:color w:val="000000"/>
          <w:sz w:val="24"/>
          <w:szCs w:val="24"/>
          <w:highlight w:val="none"/>
          <w:lang w:val="en-US" w:eastAsia="zh-CN"/>
        </w:rPr>
        <w:t>（1）信誉证明：投标人</w:t>
      </w:r>
      <w:r>
        <w:rPr>
          <w:rFonts w:hint="eastAsia" w:ascii="仿宋" w:hAnsi="仿宋" w:eastAsia="仿宋" w:cs="仿宋"/>
          <w:color w:val="000000"/>
          <w:sz w:val="24"/>
          <w:szCs w:val="24"/>
          <w:highlight w:val="none"/>
        </w:rPr>
        <w:t>在“信用中国”网站（www.creditchina.gov.cn）</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未被列入失信被执行人记录、重大税收违法案件当事人名单，在中国政府采购网（www.ccgp.gov.cn）没有政府采购严重违法失信行为记录（被禁止在一定期限内参加政府采购活动但期限届满的除外），</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提供信用承诺书，查询结果以采购人、采购代理机构查询结果为准</w:t>
      </w:r>
      <w:r>
        <w:rPr>
          <w:rFonts w:hint="eastAsia" w:ascii="仿宋" w:hAnsi="仿宋" w:eastAsia="仿宋" w:cs="仿宋"/>
          <w:color w:val="000000"/>
          <w:sz w:val="24"/>
          <w:szCs w:val="24"/>
          <w:highlight w:val="none"/>
          <w:lang w:eastAsia="zh-CN"/>
        </w:rPr>
        <w:t>。</w:t>
      </w:r>
    </w:p>
    <w:p w14:paraId="08ACDB31">
      <w:pPr>
        <w:pStyle w:val="2"/>
        <w:keepNext w:val="0"/>
        <w:keepLines w:val="0"/>
        <w:pageBreakBefore w:val="0"/>
        <w:widowControl w:val="0"/>
        <w:kinsoku/>
        <w:overflowPunct/>
        <w:topLinePunct w:val="0"/>
        <w:autoSpaceDE/>
        <w:autoSpaceDN/>
        <w:bidi w:val="0"/>
        <w:adjustRightInd/>
        <w:ind w:firstLine="480" w:firstLineChars="200"/>
        <w:textAlignment w:val="auto"/>
        <w:rPr>
          <w:rFonts w:hint="eastAsia" w:ascii="仿宋" w:hAnsi="仿宋" w:eastAsia="仿宋" w:cs="仿宋"/>
          <w:highlight w:val="none"/>
          <w:lang w:eastAsia="zh-CN"/>
        </w:rPr>
      </w:pPr>
    </w:p>
    <w:p w14:paraId="13F0F5B7">
      <w:pPr>
        <w:keepNext w:val="0"/>
        <w:keepLines w:val="0"/>
        <w:pageBreakBefore w:val="0"/>
        <w:widowControl w:val="0"/>
        <w:kinsoku/>
        <w:wordWrap w:val="0"/>
        <w:overflowPunct/>
        <w:topLinePunct w:val="0"/>
        <w:autoSpaceDE/>
        <w:autoSpaceDN/>
        <w:bidi w:val="0"/>
        <w:adjustRightInd/>
        <w:spacing w:line="360" w:lineRule="auto"/>
        <w:ind w:firstLine="480" w:firstLineChars="200"/>
        <w:jc w:val="both"/>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财务状况</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内容可为以下两者之一</w:t>
      </w:r>
    </w:p>
    <w:p w14:paraId="4697DB01">
      <w:pPr>
        <w:keepNext w:val="0"/>
        <w:keepLines w:val="0"/>
        <w:pageBreakBefore w:val="0"/>
        <w:widowControl w:val="0"/>
        <w:kinsoku/>
        <w:wordWrap w:val="0"/>
        <w:overflowPunct/>
        <w:topLinePunct w:val="0"/>
        <w:autoSpaceDE/>
        <w:autoSpaceDN/>
        <w:bidi w:val="0"/>
        <w:adjustRightInd/>
        <w:spacing w:line="360" w:lineRule="auto"/>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①提供</w:t>
      </w:r>
      <w:r>
        <w:rPr>
          <w:rFonts w:hint="eastAsia" w:ascii="仿宋" w:hAnsi="仿宋" w:eastAsia="仿宋" w:cs="仿宋"/>
          <w:color w:val="000000"/>
          <w:sz w:val="24"/>
          <w:szCs w:val="24"/>
          <w:highlight w:val="none"/>
          <w:lang w:val="en-US" w:eastAsia="zh-CN"/>
        </w:rPr>
        <w:t>2024年</w:t>
      </w:r>
      <w:r>
        <w:rPr>
          <w:rFonts w:hint="eastAsia" w:ascii="仿宋" w:hAnsi="仿宋" w:eastAsia="仿宋" w:cs="仿宋"/>
          <w:color w:val="000000"/>
          <w:sz w:val="24"/>
          <w:szCs w:val="24"/>
          <w:highlight w:val="none"/>
        </w:rPr>
        <w:t>经审计的财务报告（包括资产负债表、利润表、现金流量表、所有者权益变动表及其附注），新成立不满1年的</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提供自成立至今的财务报表；</w:t>
      </w:r>
    </w:p>
    <w:p w14:paraId="04FB0053">
      <w:pPr>
        <w:keepNext w:val="0"/>
        <w:keepLines w:val="0"/>
        <w:pageBreakBefore w:val="0"/>
        <w:widowControl w:val="0"/>
        <w:kinsoku/>
        <w:wordWrap w:val="0"/>
        <w:overflowPunct/>
        <w:topLinePunct w:val="0"/>
        <w:autoSpaceDE/>
        <w:autoSpaceDN/>
        <w:bidi w:val="0"/>
        <w:adjustRightIn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②提供自</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文件提交截止时间前三个月内基本开户银行出具的资信证明；</w:t>
      </w:r>
    </w:p>
    <w:p w14:paraId="19AF71F6">
      <w:pPr>
        <w:pageBreakBefore w:val="0"/>
        <w:kinsoku/>
        <w:wordWrap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57B4283">
      <w:pPr>
        <w:pageBreakBefore w:val="0"/>
        <w:kinsoku/>
        <w:wordWrap w:val="0"/>
        <w:bidi w:val="0"/>
        <w:spacing w:line="360" w:lineRule="auto"/>
        <w:jc w:val="center"/>
        <w:rPr>
          <w:rFonts w:hint="eastAsia" w:ascii="仿宋" w:hAnsi="仿宋" w:eastAsia="仿宋" w:cs="仿宋"/>
          <w:color w:val="auto"/>
          <w:sz w:val="24"/>
          <w:szCs w:val="24"/>
          <w:highlight w:val="none"/>
        </w:rPr>
      </w:pPr>
    </w:p>
    <w:p w14:paraId="7F4C1519">
      <w:pPr>
        <w:pageBreakBefore w:val="0"/>
        <w:kinsoku/>
        <w:wordWrap w:val="0"/>
        <w:bidi w:val="0"/>
        <w:spacing w:line="360" w:lineRule="auto"/>
        <w:jc w:val="center"/>
        <w:rPr>
          <w:rFonts w:hint="eastAsia" w:ascii="仿宋" w:hAnsi="仿宋" w:eastAsia="仿宋" w:cs="仿宋"/>
          <w:color w:val="000000"/>
          <w:sz w:val="24"/>
          <w:highlight w:val="none"/>
        </w:rPr>
      </w:pPr>
      <w:r>
        <w:rPr>
          <w:rFonts w:hint="eastAsia" w:ascii="仿宋" w:hAnsi="仿宋" w:eastAsia="仿宋" w:cs="仿宋"/>
          <w:b/>
          <w:bCs/>
          <w:sz w:val="32"/>
          <w:szCs w:val="28"/>
          <w:highlight w:val="none"/>
          <w:lang w:eastAsia="zh-CN"/>
        </w:rPr>
        <w:t>（</w:t>
      </w:r>
      <w:r>
        <w:rPr>
          <w:rFonts w:hint="eastAsia" w:ascii="仿宋" w:hAnsi="仿宋" w:eastAsia="仿宋" w:cs="仿宋"/>
          <w:b/>
          <w:bCs/>
          <w:sz w:val="32"/>
          <w:szCs w:val="28"/>
          <w:highlight w:val="none"/>
          <w:lang w:val="en-US" w:eastAsia="zh-CN"/>
        </w:rPr>
        <w:t>1</w:t>
      </w:r>
      <w:r>
        <w:rPr>
          <w:rFonts w:hint="eastAsia" w:ascii="仿宋" w:hAnsi="仿宋" w:eastAsia="仿宋" w:cs="仿宋"/>
          <w:b/>
          <w:bCs/>
          <w:sz w:val="32"/>
          <w:szCs w:val="28"/>
          <w:highlight w:val="none"/>
          <w:lang w:eastAsia="zh-CN"/>
        </w:rPr>
        <w:t>）</w:t>
      </w:r>
      <w:r>
        <w:rPr>
          <w:rFonts w:hint="eastAsia" w:ascii="仿宋" w:hAnsi="仿宋" w:eastAsia="仿宋" w:cs="仿宋"/>
          <w:b/>
          <w:bCs/>
          <w:sz w:val="32"/>
          <w:szCs w:val="28"/>
          <w:highlight w:val="none"/>
        </w:rPr>
        <w:t>信誉承诺书</w:t>
      </w:r>
    </w:p>
    <w:p w14:paraId="2CF52209">
      <w:pPr>
        <w:pageBreakBefore w:val="0"/>
        <w:kinsoku/>
        <w:wordWrap w:val="0"/>
        <w:overflowPunct w:val="0"/>
        <w:topLinePunct/>
        <w:bidi w:val="0"/>
        <w:spacing w:line="360" w:lineRule="auto"/>
        <w:jc w:val="left"/>
        <w:rPr>
          <w:rFonts w:hint="eastAsia" w:ascii="仿宋" w:hAnsi="仿宋" w:eastAsia="仿宋" w:cs="仿宋"/>
          <w:color w:val="000000"/>
          <w:sz w:val="24"/>
          <w:highlight w:val="none"/>
          <w:u w:val="single"/>
          <w:lang w:eastAsia="zh-CN"/>
        </w:rPr>
      </w:pPr>
      <w:r>
        <w:rPr>
          <w:rFonts w:hint="eastAsia" w:ascii="仿宋" w:hAnsi="仿宋" w:eastAsia="仿宋" w:cs="仿宋"/>
          <w:color w:val="000000"/>
          <w:sz w:val="24"/>
          <w:highlight w:val="none"/>
        </w:rPr>
        <w:t>致：</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（采购人名称）</w:t>
      </w:r>
    </w:p>
    <w:p w14:paraId="45230F10">
      <w:pPr>
        <w:pStyle w:val="32"/>
        <w:pageBreakBefore w:val="0"/>
        <w:kinsoku/>
        <w:wordWrap w:val="0"/>
        <w:overflowPunct w:val="0"/>
        <w:topLinePunct/>
        <w:bidi w:val="0"/>
        <w:spacing w:before="0"/>
        <w:ind w:firstLine="480"/>
        <w:jc w:val="left"/>
        <w:rPr>
          <w:rFonts w:hint="eastAsia" w:ascii="仿宋" w:hAnsi="仿宋" w:eastAsia="仿宋" w:cs="仿宋"/>
          <w:color w:val="000000"/>
          <w:kern w:val="0"/>
          <w:highlight w:val="none"/>
          <w:lang w:bidi="ar"/>
        </w:rPr>
      </w:pPr>
      <w:r>
        <w:rPr>
          <w:rFonts w:hint="eastAsia" w:ascii="仿宋" w:hAnsi="仿宋" w:eastAsia="仿宋" w:cs="仿宋"/>
          <w:color w:val="000000"/>
          <w:kern w:val="0"/>
          <w:highlight w:val="none"/>
          <w:lang w:bidi="ar"/>
        </w:rPr>
        <w:t>我公司依法参加</w:t>
      </w:r>
      <w:r>
        <w:rPr>
          <w:rFonts w:hint="eastAsia" w:ascii="仿宋" w:hAnsi="仿宋" w:eastAsia="仿宋" w:cs="仿宋"/>
          <w:color w:val="000000"/>
          <w:highlight w:val="none"/>
        </w:rPr>
        <w:t>（项目名称：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w:t>
      </w:r>
      <w:r>
        <w:rPr>
          <w:rFonts w:hint="eastAsia" w:ascii="仿宋" w:hAnsi="仿宋" w:eastAsia="仿宋" w:cs="仿宋"/>
          <w:color w:val="000000"/>
          <w:highlight w:val="none"/>
          <w:lang w:val="zh-CN"/>
        </w:rPr>
        <w:t>项目编号</w:t>
      </w:r>
      <w:r>
        <w:rPr>
          <w:rFonts w:hint="eastAsia" w:ascii="仿宋" w:hAnsi="仿宋" w:eastAsia="仿宋" w:cs="仿宋"/>
          <w:color w:val="000000"/>
          <w:highlight w:val="none"/>
        </w:rPr>
        <w:t>：</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）采购活动</w:t>
      </w:r>
      <w:r>
        <w:rPr>
          <w:rFonts w:hint="eastAsia" w:ascii="仿宋" w:hAnsi="仿宋" w:eastAsia="仿宋" w:cs="仿宋"/>
          <w:color w:val="000000"/>
          <w:kern w:val="0"/>
          <w:highlight w:val="none"/>
          <w:lang w:bidi="ar"/>
        </w:rPr>
        <w:t>。现本公司郑重承诺：</w:t>
      </w:r>
    </w:p>
    <w:p w14:paraId="0514B5E2">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1、我公司在参加政府采购活动前3年内未因违法经营被禁止在一定期限内参加政府采购活动，可以参加本次政府采购活动。</w:t>
      </w:r>
    </w:p>
    <w:p w14:paraId="4AFADBCF">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2、我方未被列入“信用中国”网站失信被执行人名单。</w:t>
      </w:r>
    </w:p>
    <w:p w14:paraId="3CF178B4">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3、我方未被列入“信用中国”网站重大税收违法案件当事人名单。</w:t>
      </w:r>
    </w:p>
    <w:p w14:paraId="6E36E401">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4、我方未被列入“中国政府采购网”政府采购严重违法失信行为记录名单。</w:t>
      </w:r>
    </w:p>
    <w:p w14:paraId="5825E235">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kern w:val="0"/>
          <w:sz w:val="24"/>
          <w:highlight w:val="none"/>
          <w:lang w:bidi="ar"/>
        </w:rPr>
      </w:pPr>
      <w:r>
        <w:rPr>
          <w:rFonts w:hint="eastAsia" w:ascii="仿宋" w:hAnsi="仿宋" w:eastAsia="仿宋" w:cs="仿宋"/>
          <w:color w:val="000000"/>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sz w:val="24"/>
          <w:highlight w:val="none"/>
        </w:rPr>
        <w:t>如有不实，我方将无条件地退出本项目的采购活动，并遵照《政府采购法》有关“提供虚假材料的规定”接受处罚</w:t>
      </w:r>
      <w:r>
        <w:rPr>
          <w:rFonts w:hint="eastAsia" w:ascii="仿宋" w:hAnsi="仿宋" w:eastAsia="仿宋" w:cs="仿宋"/>
          <w:color w:val="000000"/>
          <w:kern w:val="0"/>
          <w:sz w:val="24"/>
          <w:highlight w:val="none"/>
          <w:lang w:bidi="ar"/>
        </w:rPr>
        <w:t>。</w:t>
      </w:r>
    </w:p>
    <w:p w14:paraId="7FCF712A">
      <w:pPr>
        <w:pageBreakBefore w:val="0"/>
        <w:kinsoku/>
        <w:wordWrap w:val="0"/>
        <w:overflowPunct w:val="0"/>
        <w:topLinePunct/>
        <w:bidi w:val="0"/>
        <w:spacing w:line="360" w:lineRule="auto"/>
        <w:jc w:val="left"/>
        <w:rPr>
          <w:rFonts w:hint="eastAsia" w:ascii="仿宋" w:hAnsi="仿宋" w:eastAsia="仿宋" w:cs="仿宋"/>
          <w:color w:val="000000"/>
          <w:sz w:val="24"/>
          <w:highlight w:val="none"/>
        </w:rPr>
      </w:pPr>
    </w:p>
    <w:p w14:paraId="7A990C78">
      <w:pPr>
        <w:pageBreakBefore w:val="0"/>
        <w:kinsoku/>
        <w:wordWrap w:val="0"/>
        <w:overflowPunct w:val="0"/>
        <w:topLinePunct/>
        <w:bidi w:val="0"/>
        <w:spacing w:line="360" w:lineRule="auto"/>
        <w:jc w:val="left"/>
        <w:rPr>
          <w:rFonts w:hint="eastAsia" w:ascii="仿宋" w:hAnsi="仿宋" w:eastAsia="仿宋" w:cs="仿宋"/>
          <w:color w:val="000000"/>
          <w:sz w:val="24"/>
          <w:highlight w:val="none"/>
        </w:rPr>
      </w:pPr>
    </w:p>
    <w:p w14:paraId="79594F63">
      <w:pPr>
        <w:pStyle w:val="9"/>
        <w:pageBreakBefore w:val="0"/>
        <w:kinsoku/>
        <w:wordWrap w:val="0"/>
        <w:bidi w:val="0"/>
        <w:rPr>
          <w:rFonts w:hint="eastAsia" w:ascii="仿宋" w:hAnsi="仿宋" w:eastAsia="仿宋" w:cs="仿宋"/>
          <w:color w:val="000000"/>
          <w:sz w:val="24"/>
          <w:highlight w:val="none"/>
        </w:rPr>
      </w:pPr>
    </w:p>
    <w:p w14:paraId="6B721CC0">
      <w:pPr>
        <w:pageBreakBefore w:val="0"/>
        <w:kinsoku/>
        <w:wordWrap w:val="0"/>
        <w:overflowPunct w:val="0"/>
        <w:topLinePunct/>
        <w:bidi w:val="0"/>
        <w:spacing w:line="360" w:lineRule="auto"/>
        <w:jc w:val="both"/>
        <w:rPr>
          <w:rFonts w:hint="eastAsia" w:ascii="仿宋" w:hAnsi="仿宋" w:eastAsia="仿宋" w:cs="仿宋"/>
          <w:color w:val="000000"/>
          <w:sz w:val="24"/>
          <w:highlight w:val="none"/>
        </w:rPr>
      </w:pPr>
    </w:p>
    <w:p w14:paraId="1414C708">
      <w:pPr>
        <w:pageBreakBefore w:val="0"/>
        <w:kinsoku/>
        <w:wordWrap w:val="0"/>
        <w:overflowPunct w:val="0"/>
        <w:topLinePunct/>
        <w:bidi w:val="0"/>
        <w:spacing w:line="360" w:lineRule="auto"/>
        <w:rPr>
          <w:rFonts w:hint="eastAsia" w:ascii="仿宋" w:hAnsi="仿宋" w:eastAsia="仿宋" w:cs="仿宋"/>
          <w:color w:val="000000"/>
          <w:sz w:val="24"/>
          <w:highlight w:val="none"/>
        </w:rPr>
      </w:pPr>
    </w:p>
    <w:p w14:paraId="00C12FD7">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2C4046A9">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D4CC077">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44F165">
      <w:pPr>
        <w:keepNext w:val="0"/>
        <w:keepLines w:val="0"/>
        <w:pageBreakBefore w:val="0"/>
        <w:widowControl w:val="0"/>
        <w:kinsoku/>
        <w:overflowPunct/>
        <w:topLinePunct w:val="0"/>
        <w:autoSpaceDE/>
        <w:autoSpaceDN/>
        <w:bidi w:val="0"/>
        <w:adjustRightInd/>
        <w:snapToGrid/>
        <w:ind w:firstLine="480" w:firstLineChars="200"/>
        <w:textAlignment w:val="auto"/>
        <w:rPr>
          <w:rFonts w:hint="eastAsia" w:ascii="仿宋" w:hAnsi="仿宋" w:eastAsia="仿宋" w:cs="仿宋"/>
          <w:color w:val="000000"/>
          <w:sz w:val="24"/>
          <w:highlight w:val="none"/>
          <w:u w:val="none"/>
          <w:lang w:val="en-US" w:eastAsia="zh-CN"/>
        </w:rPr>
      </w:pPr>
      <w:r>
        <w:rPr>
          <w:rFonts w:hint="eastAsia" w:ascii="仿宋" w:hAnsi="仿宋" w:eastAsia="仿宋" w:cs="仿宋"/>
          <w:color w:val="000000"/>
          <w:sz w:val="24"/>
          <w:highlight w:val="none"/>
          <w:u w:val="none"/>
          <w:lang w:val="en-US" w:eastAsia="zh-CN"/>
        </w:rPr>
        <w:br w:type="page"/>
      </w:r>
    </w:p>
    <w:p w14:paraId="50888F3E">
      <w:pPr>
        <w:pageBreakBefore w:val="0"/>
        <w:kinsoku/>
        <w:wordWrap w:val="0"/>
        <w:bidi w:val="0"/>
        <w:spacing w:line="360" w:lineRule="auto"/>
        <w:jc w:val="center"/>
        <w:rPr>
          <w:rFonts w:hint="eastAsia" w:ascii="仿宋" w:hAnsi="仿宋" w:eastAsia="仿宋" w:cs="仿宋"/>
          <w:b/>
          <w:bCs/>
          <w:sz w:val="32"/>
          <w:szCs w:val="28"/>
          <w:highlight w:val="none"/>
          <w:lang w:eastAsia="zh-CN"/>
        </w:rPr>
      </w:pPr>
    </w:p>
    <w:p w14:paraId="748CDA25">
      <w:pPr>
        <w:pageBreakBefore w:val="0"/>
        <w:kinsoku/>
        <w:wordWrap w:val="0"/>
        <w:bidi w:val="0"/>
        <w:spacing w:line="360" w:lineRule="auto"/>
        <w:jc w:val="center"/>
        <w:rPr>
          <w:rFonts w:hint="eastAsia" w:ascii="仿宋" w:hAnsi="仿宋" w:eastAsia="仿宋" w:cs="仿宋"/>
          <w:b/>
          <w:bCs/>
          <w:sz w:val="32"/>
          <w:szCs w:val="28"/>
          <w:highlight w:val="none"/>
          <w:lang w:eastAsia="zh-CN"/>
        </w:rPr>
      </w:pPr>
      <w:r>
        <w:rPr>
          <w:rFonts w:hint="eastAsia" w:ascii="仿宋" w:hAnsi="仿宋" w:eastAsia="仿宋" w:cs="仿宋"/>
          <w:b/>
          <w:bCs/>
          <w:sz w:val="32"/>
          <w:szCs w:val="28"/>
          <w:highlight w:val="none"/>
          <w:lang w:eastAsia="zh-CN"/>
        </w:rPr>
        <w:t>（</w:t>
      </w:r>
      <w:r>
        <w:rPr>
          <w:rFonts w:hint="eastAsia" w:ascii="仿宋" w:hAnsi="仿宋" w:eastAsia="仿宋" w:cs="仿宋"/>
          <w:b/>
          <w:bCs/>
          <w:sz w:val="32"/>
          <w:szCs w:val="28"/>
          <w:highlight w:val="none"/>
          <w:lang w:val="en-US" w:eastAsia="zh-CN"/>
        </w:rPr>
        <w:t>2</w:t>
      </w:r>
      <w:r>
        <w:rPr>
          <w:rFonts w:hint="eastAsia" w:ascii="仿宋" w:hAnsi="仿宋" w:eastAsia="仿宋" w:cs="仿宋"/>
          <w:b/>
          <w:bCs/>
          <w:sz w:val="32"/>
          <w:szCs w:val="28"/>
          <w:highlight w:val="none"/>
          <w:lang w:eastAsia="zh-CN"/>
        </w:rPr>
        <w:t>）具有健全的财务会计制度的承诺函</w:t>
      </w:r>
    </w:p>
    <w:p w14:paraId="35A1A053">
      <w:pPr>
        <w:pageBreakBefore w:val="0"/>
        <w:kinsoku/>
        <w:wordWrap w:val="0"/>
        <w:bidi w:val="0"/>
        <w:spacing w:line="360" w:lineRule="auto"/>
        <w:jc w:val="left"/>
        <w:rPr>
          <w:rFonts w:hint="eastAsia" w:ascii="仿宋" w:hAnsi="仿宋" w:eastAsia="仿宋" w:cs="仿宋"/>
          <w:color w:val="000000"/>
          <w:sz w:val="24"/>
          <w:highlight w:val="none"/>
        </w:rPr>
      </w:pPr>
    </w:p>
    <w:p w14:paraId="11B6B760">
      <w:pPr>
        <w:pageBreakBefore w:val="0"/>
        <w:kinsoku/>
        <w:wordWrap w:val="0"/>
        <w:bidi w:val="0"/>
        <w:spacing w:line="360" w:lineRule="auto"/>
        <w:jc w:val="left"/>
        <w:rPr>
          <w:rFonts w:hint="eastAsia" w:ascii="仿宋" w:hAnsi="仿宋" w:eastAsia="仿宋" w:cs="仿宋"/>
          <w:color w:val="000000"/>
          <w:kern w:val="0"/>
          <w:sz w:val="24"/>
          <w:highlight w:val="none"/>
          <w:lang w:eastAsia="zh-CN" w:bidi="ar"/>
        </w:rPr>
      </w:pPr>
      <w:r>
        <w:rPr>
          <w:rFonts w:hint="eastAsia" w:ascii="仿宋" w:hAnsi="仿宋" w:eastAsia="仿宋" w:cs="仿宋"/>
          <w:color w:val="000000"/>
          <w:sz w:val="24"/>
          <w:highlight w:val="none"/>
        </w:rPr>
        <w:t>致：</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（采购人名称）</w:t>
      </w:r>
    </w:p>
    <w:p w14:paraId="48F90500">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1、我公司认真贯彻执行国家有关财务管理的</w:t>
      </w:r>
      <w:r>
        <w:rPr>
          <w:rFonts w:hint="eastAsia" w:ascii="仿宋" w:hAnsi="仿宋" w:eastAsia="仿宋" w:cs="仿宋"/>
          <w:sz w:val="24"/>
          <w:highlight w:val="none"/>
          <w:lang w:eastAsia="zh-CN"/>
        </w:rPr>
        <w:t>法律法规</w:t>
      </w:r>
      <w:r>
        <w:rPr>
          <w:rFonts w:hint="eastAsia" w:ascii="仿宋" w:hAnsi="仿宋" w:eastAsia="仿宋" w:cs="仿宋"/>
          <w:sz w:val="24"/>
          <w:highlight w:val="none"/>
        </w:rPr>
        <w:t xml:space="preserve">，确保财务工作的合法性。 </w:t>
      </w:r>
    </w:p>
    <w:p w14:paraId="728F1825">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2、遵照《会计法》《企业会计准则》和国家相关法规要求，建立账册、财务制度。</w:t>
      </w:r>
    </w:p>
    <w:p w14:paraId="47ACE729">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3、及时进行账务处理和财务报表出具，分析财务预算、计划的执行情况，检查监督财务纪律的执行情况。</w:t>
      </w:r>
    </w:p>
    <w:p w14:paraId="042C144E">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4、积极为经营管理服务，通过财务监督发现问题，提出改进意见，促进公司取得较好的经济效益。</w:t>
      </w:r>
    </w:p>
    <w:p w14:paraId="677A6E15">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5、积极主动与有关机构及财政、税务、银行部门沟通，及时掌握相关法律法规的变化，有效规范财务工作，及时提供财务报表和有关资料。</w:t>
      </w:r>
    </w:p>
    <w:p w14:paraId="594D7698">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6、及时依法上缴各项税收，在合规合法条件下做好纳税筹划等。</w:t>
      </w:r>
    </w:p>
    <w:p w14:paraId="46E0D880">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7、自觉接受财政、税务、审计等部门的监督，如实提供会计凭证、会计账簿、会计报表和其他会计资料以及有关情况，不拒绝、隐匿、谎报。</w:t>
      </w:r>
    </w:p>
    <w:p w14:paraId="00C41D31">
      <w:pPr>
        <w:pageBreakBefore w:val="0"/>
        <w:kinsoku/>
        <w:wordWrap w:val="0"/>
        <w:bidi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我公司承诺严格执行国家统一的会计</w:t>
      </w:r>
      <w:r>
        <w:rPr>
          <w:rFonts w:hint="eastAsia" w:ascii="仿宋" w:hAnsi="仿宋" w:eastAsia="仿宋" w:cs="仿宋"/>
          <w:sz w:val="24"/>
          <w:highlight w:val="none"/>
          <w:lang w:eastAsia="zh-CN"/>
        </w:rPr>
        <w:t>法律法规</w:t>
      </w:r>
      <w:r>
        <w:rPr>
          <w:rFonts w:hint="eastAsia" w:ascii="仿宋" w:hAnsi="仿宋" w:eastAsia="仿宋" w:cs="仿宋"/>
          <w:sz w:val="24"/>
          <w:highlight w:val="none"/>
        </w:rPr>
        <w:t>，具有健全的财务会计制度</w:t>
      </w:r>
      <w:r>
        <w:rPr>
          <w:rFonts w:hint="eastAsia" w:ascii="仿宋" w:hAnsi="仿宋" w:eastAsia="仿宋" w:cs="仿宋"/>
          <w:strike w:val="0"/>
          <w:sz w:val="24"/>
          <w:highlight w:val="none"/>
          <w:lang w:eastAsia="zh-CN"/>
        </w:rPr>
        <w:t>。</w:t>
      </w:r>
      <w:r>
        <w:rPr>
          <w:rFonts w:hint="eastAsia" w:ascii="仿宋" w:hAnsi="仿宋" w:eastAsia="仿宋" w:cs="仿宋"/>
          <w:sz w:val="24"/>
          <w:highlight w:val="none"/>
        </w:rPr>
        <w:t>如查询我公司有违反国家法律法规</w:t>
      </w:r>
      <w:r>
        <w:rPr>
          <w:rFonts w:hint="eastAsia" w:ascii="仿宋" w:hAnsi="仿宋" w:eastAsia="仿宋" w:cs="仿宋"/>
          <w:strike w:val="0"/>
          <w:dstrike w:val="0"/>
          <w:color w:val="auto"/>
          <w:sz w:val="24"/>
          <w:highlight w:val="none"/>
          <w:lang w:eastAsia="zh-CN"/>
        </w:rPr>
        <w:t>的情况</w:t>
      </w:r>
      <w:r>
        <w:rPr>
          <w:rFonts w:hint="eastAsia" w:ascii="仿宋" w:hAnsi="仿宋" w:eastAsia="仿宋" w:cs="仿宋"/>
          <w:sz w:val="24"/>
          <w:highlight w:val="none"/>
        </w:rPr>
        <w:t xml:space="preserve">，我公司将自愿接受处罚。 </w:t>
      </w:r>
    </w:p>
    <w:p w14:paraId="0ED03395">
      <w:pPr>
        <w:pageBreakBefore w:val="0"/>
        <w:kinsoku/>
        <w:wordWrap w:val="0"/>
        <w:bidi w:val="0"/>
        <w:spacing w:line="360" w:lineRule="auto"/>
        <w:ind w:firstLine="480" w:firstLineChars="200"/>
        <w:jc w:val="left"/>
        <w:rPr>
          <w:rFonts w:hint="eastAsia" w:ascii="仿宋" w:hAnsi="仿宋" w:eastAsia="仿宋" w:cs="仿宋"/>
          <w:bCs/>
          <w:sz w:val="28"/>
          <w:szCs w:val="28"/>
          <w:highlight w:val="none"/>
        </w:rPr>
      </w:pPr>
      <w:r>
        <w:rPr>
          <w:rFonts w:hint="eastAsia" w:ascii="仿宋" w:hAnsi="仿宋" w:eastAsia="仿宋" w:cs="仿宋"/>
          <w:sz w:val="24"/>
          <w:highlight w:val="none"/>
        </w:rPr>
        <w:t>特此承诺</w:t>
      </w:r>
      <w:r>
        <w:rPr>
          <w:rFonts w:hint="eastAsia" w:ascii="仿宋" w:hAnsi="仿宋" w:eastAsia="仿宋" w:cs="仿宋"/>
          <w:sz w:val="24"/>
          <w:highlight w:val="none"/>
          <w:lang w:eastAsia="zh-CN"/>
        </w:rPr>
        <w:t>！</w:t>
      </w:r>
    </w:p>
    <w:p w14:paraId="2E34F8BF">
      <w:pPr>
        <w:pageBreakBefore w:val="0"/>
        <w:kinsoku/>
        <w:wordWrap w:val="0"/>
        <w:overflowPunct w:val="0"/>
        <w:topLinePunct/>
        <w:bidi w:val="0"/>
        <w:spacing w:line="360" w:lineRule="auto"/>
        <w:jc w:val="center"/>
        <w:rPr>
          <w:rFonts w:hint="eastAsia" w:ascii="仿宋" w:hAnsi="仿宋" w:eastAsia="仿宋" w:cs="仿宋"/>
          <w:color w:val="000000"/>
          <w:sz w:val="24"/>
          <w:highlight w:val="none"/>
        </w:rPr>
      </w:pPr>
    </w:p>
    <w:p w14:paraId="563B15B9">
      <w:pPr>
        <w:pageBreakBefore w:val="0"/>
        <w:kinsoku/>
        <w:wordWrap w:val="0"/>
        <w:overflowPunct w:val="0"/>
        <w:topLinePunct/>
        <w:bidi w:val="0"/>
        <w:spacing w:line="360" w:lineRule="auto"/>
        <w:jc w:val="both"/>
        <w:rPr>
          <w:rFonts w:hint="eastAsia" w:ascii="仿宋" w:hAnsi="仿宋" w:eastAsia="仿宋" w:cs="仿宋"/>
          <w:color w:val="000000"/>
          <w:sz w:val="24"/>
          <w:highlight w:val="none"/>
        </w:rPr>
      </w:pPr>
    </w:p>
    <w:p w14:paraId="541C54A0">
      <w:pPr>
        <w:pageBreakBefore w:val="0"/>
        <w:kinsoku/>
        <w:wordWrap w:val="0"/>
        <w:overflowPunct w:val="0"/>
        <w:topLinePunct/>
        <w:bidi w:val="0"/>
        <w:spacing w:line="360" w:lineRule="auto"/>
        <w:jc w:val="center"/>
        <w:rPr>
          <w:rFonts w:hint="eastAsia" w:ascii="仿宋" w:hAnsi="仿宋" w:eastAsia="仿宋" w:cs="仿宋"/>
          <w:color w:val="000000"/>
          <w:sz w:val="24"/>
          <w:highlight w:val="none"/>
        </w:rPr>
      </w:pPr>
    </w:p>
    <w:p w14:paraId="348ACD99">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72436BC4">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4D908D1F">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2FC46F4">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AD8B7DF">
      <w:pPr>
        <w:pStyle w:val="2"/>
        <w:rPr>
          <w:rFonts w:hint="eastAsia" w:ascii="仿宋" w:hAnsi="仿宋" w:eastAsia="仿宋" w:cs="仿宋"/>
          <w:highlight w:val="none"/>
        </w:rPr>
      </w:pPr>
    </w:p>
    <w:bookmarkEnd w:id="171"/>
    <w:bookmarkEnd w:id="172"/>
    <w:bookmarkEnd w:id="173"/>
    <w:p w14:paraId="5D79AC43">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174" w:name="_Toc5110"/>
      <w:r>
        <w:rPr>
          <w:rFonts w:hint="eastAsia" w:ascii="仿宋" w:hAnsi="仿宋" w:eastAsia="仿宋" w:cs="仿宋"/>
          <w:b/>
          <w:bCs/>
          <w:color w:val="000000"/>
          <w:kern w:val="0"/>
          <w:sz w:val="28"/>
          <w:szCs w:val="28"/>
          <w:highlight w:val="none"/>
          <w:lang w:val="en-US" w:eastAsia="zh-CN" w:bidi="ar-SA"/>
        </w:rPr>
        <w:t>（三）具有履行合同所必需的设备和专业技术能力</w:t>
      </w:r>
      <w:bookmarkEnd w:id="174"/>
    </w:p>
    <w:p w14:paraId="7A1D7D6A">
      <w:pPr>
        <w:pageBreakBefore w:val="0"/>
        <w:kinsoku/>
        <w:wordWrap w:val="0"/>
        <w:overflowPunct/>
        <w:bidi w:val="0"/>
        <w:spacing w:line="360"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承诺书</w:t>
      </w:r>
    </w:p>
    <w:p w14:paraId="41CC52E8">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kern w:val="0"/>
          <w:sz w:val="24"/>
          <w:highlight w:val="none"/>
          <w:lang w:bidi="ar"/>
        </w:rPr>
        <w:t>本承诺书声明：本公司参与贵方组织</w:t>
      </w:r>
      <w:r>
        <w:rPr>
          <w:rFonts w:hint="eastAsia" w:ascii="仿宋" w:hAnsi="仿宋" w:eastAsia="仿宋" w:cs="仿宋"/>
          <w:strike w:val="0"/>
          <w:color w:val="auto"/>
          <w:kern w:val="0"/>
          <w:sz w:val="24"/>
          <w:highlight w:val="none"/>
          <w:lang w:eastAsia="zh-CN" w:bidi="ar"/>
        </w:rPr>
        <w:t>的</w:t>
      </w:r>
      <w:r>
        <w:rPr>
          <w:rFonts w:hint="eastAsia" w:ascii="仿宋" w:hAnsi="仿宋" w:eastAsia="仿宋" w:cs="仿宋"/>
          <w:color w:val="000000"/>
          <w:sz w:val="24"/>
          <w:highlight w:val="none"/>
        </w:rPr>
        <w:t>（项目名称：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zh-CN"/>
        </w:rPr>
        <w:t>项目编号</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）采购活动</w:t>
      </w:r>
      <w:r>
        <w:rPr>
          <w:rFonts w:hint="eastAsia" w:ascii="仿宋" w:hAnsi="仿宋" w:eastAsia="仿宋" w:cs="仿宋"/>
          <w:strike w:val="0"/>
          <w:color w:val="auto"/>
          <w:sz w:val="24"/>
          <w:highlight w:val="none"/>
          <w:lang w:eastAsia="zh-CN"/>
        </w:rPr>
        <w:t>，</w:t>
      </w:r>
      <w:r>
        <w:rPr>
          <w:rFonts w:hint="eastAsia" w:ascii="仿宋" w:hAnsi="仿宋" w:eastAsia="仿宋" w:cs="仿宋"/>
          <w:color w:val="000000"/>
          <w:kern w:val="0"/>
          <w:sz w:val="24"/>
          <w:highlight w:val="none"/>
          <w:lang w:bidi="ar"/>
        </w:rPr>
        <w:t xml:space="preserve">做出如下承诺： </w:t>
      </w:r>
    </w:p>
    <w:p w14:paraId="25D40843">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kern w:val="0"/>
          <w:sz w:val="24"/>
          <w:highlight w:val="none"/>
          <w:lang w:bidi="ar"/>
        </w:rPr>
        <w:t>本公司完全具备履行本项目合同所必需的</w:t>
      </w:r>
      <w:r>
        <w:rPr>
          <w:rFonts w:hint="eastAsia" w:ascii="仿宋" w:hAnsi="仿宋" w:eastAsia="仿宋" w:cs="仿宋"/>
          <w:color w:val="000000"/>
          <w:kern w:val="0"/>
          <w:sz w:val="24"/>
          <w:highlight w:val="none"/>
          <w:lang w:val="en-US" w:eastAsia="zh-CN" w:bidi="ar"/>
        </w:rPr>
        <w:t>设备</w:t>
      </w:r>
      <w:r>
        <w:rPr>
          <w:rFonts w:hint="eastAsia" w:ascii="仿宋" w:hAnsi="仿宋" w:eastAsia="仿宋" w:cs="仿宋"/>
          <w:color w:val="000000"/>
          <w:kern w:val="0"/>
          <w:sz w:val="24"/>
          <w:highlight w:val="none"/>
          <w:lang w:bidi="ar"/>
        </w:rPr>
        <w:t>、安装、专业售后团队、培训相关人员</w:t>
      </w:r>
      <w:r>
        <w:rPr>
          <w:rFonts w:hint="eastAsia" w:ascii="仿宋" w:hAnsi="仿宋" w:eastAsia="仿宋" w:cs="仿宋"/>
          <w:strike w:val="0"/>
          <w:color w:val="auto"/>
          <w:kern w:val="0"/>
          <w:sz w:val="24"/>
          <w:highlight w:val="none"/>
          <w:lang w:eastAsia="zh-CN" w:bidi="ar"/>
        </w:rPr>
        <w:t>的</w:t>
      </w:r>
      <w:r>
        <w:rPr>
          <w:rFonts w:hint="eastAsia" w:ascii="仿宋" w:hAnsi="仿宋" w:eastAsia="仿宋" w:cs="仿宋"/>
          <w:color w:val="000000"/>
          <w:kern w:val="0"/>
          <w:sz w:val="24"/>
          <w:highlight w:val="none"/>
          <w:lang w:bidi="ar"/>
        </w:rPr>
        <w:t>能力，随时接受</w:t>
      </w:r>
      <w:r>
        <w:rPr>
          <w:rFonts w:hint="eastAsia" w:ascii="仿宋" w:hAnsi="仿宋" w:eastAsia="仿宋" w:cs="仿宋"/>
          <w:color w:val="000000"/>
          <w:kern w:val="0"/>
          <w:sz w:val="24"/>
          <w:highlight w:val="none"/>
          <w:lang w:eastAsia="zh-CN" w:bidi="ar"/>
        </w:rPr>
        <w:t>采购人</w:t>
      </w:r>
      <w:r>
        <w:rPr>
          <w:rFonts w:hint="eastAsia" w:ascii="仿宋" w:hAnsi="仿宋" w:eastAsia="仿宋" w:cs="仿宋"/>
          <w:color w:val="000000"/>
          <w:kern w:val="0"/>
          <w:sz w:val="24"/>
          <w:highlight w:val="none"/>
          <w:lang w:bidi="ar"/>
        </w:rPr>
        <w:t xml:space="preserve">的检查验证。如违反上述承诺，本公司将按照政府采购法有关规定接受处罚，并通过相关政府采购媒体予以公布。 </w:t>
      </w:r>
    </w:p>
    <w:p w14:paraId="4FDB5987">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kern w:val="0"/>
          <w:sz w:val="24"/>
          <w:highlight w:val="none"/>
          <w:lang w:bidi="ar"/>
        </w:rPr>
        <w:t>其他需要说明的事项（如无可不填报）：</w:t>
      </w:r>
      <w:r>
        <w:rPr>
          <w:rFonts w:hint="eastAsia" w:ascii="仿宋" w:hAnsi="仿宋" w:eastAsia="仿宋" w:cs="仿宋"/>
          <w:color w:val="000000"/>
          <w:kern w:val="0"/>
          <w:sz w:val="24"/>
          <w:highlight w:val="none"/>
          <w:u w:val="single"/>
          <w:lang w:bidi="ar"/>
        </w:rPr>
        <w:t xml:space="preserve">            </w:t>
      </w:r>
      <w:r>
        <w:rPr>
          <w:rFonts w:hint="eastAsia" w:ascii="仿宋" w:hAnsi="仿宋" w:eastAsia="仿宋" w:cs="仿宋"/>
          <w:color w:val="000000"/>
          <w:kern w:val="0"/>
          <w:sz w:val="24"/>
          <w:highlight w:val="none"/>
          <w:lang w:bidi="ar"/>
        </w:rPr>
        <w:t xml:space="preserve">。 </w:t>
      </w:r>
    </w:p>
    <w:p w14:paraId="0803E143">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highlight w:val="none"/>
        </w:rPr>
      </w:pPr>
      <w:r>
        <w:rPr>
          <w:rFonts w:hint="eastAsia" w:ascii="仿宋" w:hAnsi="仿宋" w:eastAsia="仿宋" w:cs="仿宋"/>
          <w:color w:val="000000"/>
          <w:kern w:val="0"/>
          <w:sz w:val="24"/>
          <w:highlight w:val="none"/>
          <w:lang w:bidi="ar"/>
        </w:rPr>
        <w:t>特此承诺。</w:t>
      </w:r>
    </w:p>
    <w:p w14:paraId="6F3DBD4D">
      <w:pPr>
        <w:pStyle w:val="13"/>
        <w:pageBreakBefore w:val="0"/>
        <w:kinsoku/>
        <w:wordWrap w:val="0"/>
        <w:overflowPunct/>
        <w:bidi w:val="0"/>
        <w:rPr>
          <w:rFonts w:hint="eastAsia" w:ascii="仿宋" w:hAnsi="仿宋" w:eastAsia="仿宋" w:cs="仿宋"/>
          <w:color w:val="auto"/>
          <w:sz w:val="24"/>
          <w:highlight w:val="none"/>
        </w:rPr>
      </w:pPr>
    </w:p>
    <w:p w14:paraId="70E522C1">
      <w:pPr>
        <w:pageBreakBefore w:val="0"/>
        <w:kinsoku/>
        <w:wordWrap w:val="0"/>
        <w:overflowPunct/>
        <w:bidi w:val="0"/>
        <w:rPr>
          <w:rFonts w:hint="eastAsia" w:ascii="仿宋" w:hAnsi="仿宋" w:eastAsia="仿宋" w:cs="仿宋"/>
          <w:color w:val="auto"/>
          <w:sz w:val="24"/>
          <w:szCs w:val="24"/>
          <w:highlight w:val="none"/>
        </w:rPr>
      </w:pPr>
      <w:bookmarkStart w:id="175" w:name="_Toc3969344"/>
      <w:bookmarkStart w:id="176" w:name="_Toc34"/>
      <w:bookmarkStart w:id="177" w:name="_Toc10741"/>
    </w:p>
    <w:p w14:paraId="3AC04A5B">
      <w:pPr>
        <w:pageBreakBefore w:val="0"/>
        <w:kinsoku/>
        <w:wordWrap w:val="0"/>
        <w:overflowPunct/>
        <w:bidi w:val="0"/>
        <w:rPr>
          <w:rFonts w:hint="eastAsia" w:ascii="仿宋" w:hAnsi="仿宋" w:eastAsia="仿宋" w:cs="仿宋"/>
          <w:color w:val="auto"/>
          <w:sz w:val="24"/>
          <w:szCs w:val="24"/>
          <w:highlight w:val="none"/>
        </w:rPr>
      </w:pPr>
    </w:p>
    <w:p w14:paraId="4673BF2D">
      <w:pPr>
        <w:pageBreakBefore w:val="0"/>
        <w:kinsoku/>
        <w:wordWrap w:val="0"/>
        <w:overflowPunct/>
        <w:bidi w:val="0"/>
        <w:rPr>
          <w:rFonts w:hint="eastAsia" w:ascii="仿宋" w:hAnsi="仿宋" w:eastAsia="仿宋" w:cs="仿宋"/>
          <w:color w:val="auto"/>
          <w:sz w:val="24"/>
          <w:szCs w:val="24"/>
          <w:highlight w:val="none"/>
        </w:rPr>
      </w:pPr>
    </w:p>
    <w:p w14:paraId="506D8476">
      <w:pPr>
        <w:pageBreakBefore w:val="0"/>
        <w:kinsoku/>
        <w:wordWrap w:val="0"/>
        <w:overflowPunct/>
        <w:bidi w:val="0"/>
        <w:rPr>
          <w:rFonts w:hint="eastAsia" w:ascii="仿宋" w:hAnsi="仿宋" w:eastAsia="仿宋" w:cs="仿宋"/>
          <w:color w:val="auto"/>
          <w:sz w:val="24"/>
          <w:szCs w:val="24"/>
          <w:highlight w:val="none"/>
        </w:rPr>
      </w:pPr>
    </w:p>
    <w:p w14:paraId="4D10B446">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18EB5858">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05EC193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B5E948A">
      <w:pPr>
        <w:pageBreakBefore w:val="0"/>
        <w:kinsoku/>
        <w:wordWrap w:val="0"/>
        <w:overflowPunct/>
        <w:bidi w:val="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175"/>
    <w:bookmarkEnd w:id="176"/>
    <w:bookmarkEnd w:id="177"/>
    <w:p w14:paraId="46F5D06B">
      <w:pPr>
        <w:pStyle w:val="2"/>
        <w:rPr>
          <w:rFonts w:hint="eastAsia" w:ascii="仿宋" w:hAnsi="仿宋" w:eastAsia="仿宋" w:cs="仿宋"/>
          <w:highlight w:val="none"/>
        </w:rPr>
      </w:pPr>
      <w:bookmarkStart w:id="178" w:name="_Toc7531"/>
    </w:p>
    <w:p w14:paraId="3E56B795">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（四）有依法缴纳税收和社会保障资金的良好记录</w:t>
      </w:r>
      <w:bookmarkEnd w:id="178"/>
    </w:p>
    <w:p w14:paraId="32AC42FD">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提供2024年10月至今任意3个月缴纳社会保障资金（养老保险或医疗保险）的证明材料；提供2024年10月至今任意3个月的“税务局税收通用缴款书或银行电子缴税（费）凭证或税务机关出具</w:t>
      </w:r>
      <w:r>
        <w:rPr>
          <w:rFonts w:hint="eastAsia" w:ascii="仿宋" w:hAnsi="仿宋" w:eastAsia="仿宋" w:cs="仿宋"/>
          <w:strike w:val="0"/>
          <w:color w:val="auto"/>
          <w:sz w:val="24"/>
          <w:szCs w:val="24"/>
          <w:highlight w:val="none"/>
          <w:lang w:val="en-US" w:eastAsia="zh-CN"/>
        </w:rPr>
        <w:t>的</w:t>
      </w:r>
      <w:r>
        <w:rPr>
          <w:rFonts w:hint="eastAsia" w:ascii="仿宋" w:hAnsi="仿宋" w:eastAsia="仿宋" w:cs="仿宋"/>
          <w:color w:val="auto"/>
          <w:sz w:val="24"/>
          <w:szCs w:val="24"/>
          <w:highlight w:val="none"/>
          <w:lang w:val="en-US" w:eastAsia="zh-CN"/>
        </w:rPr>
        <w:t>纳税情况证明”。依法免税或不需要缴纳税收、不需要缴纳社会保障资金的投标人，应提供相应证明材料或承诺书。</w:t>
      </w:r>
    </w:p>
    <w:p w14:paraId="41C7CEE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p>
    <w:p w14:paraId="7160DBA8">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lang w:val="en-US" w:eastAsia="zh-CN"/>
        </w:rPr>
      </w:pPr>
    </w:p>
    <w:p w14:paraId="08064C68">
      <w:pPr>
        <w:pageBreakBefore w:val="0"/>
        <w:kinsoku/>
        <w:wordWrap w:val="0"/>
        <w:overflowPunct/>
        <w:bidi w:val="0"/>
        <w:spacing w:line="360" w:lineRule="auto"/>
        <w:ind w:firstLine="723" w:firstLineChars="200"/>
        <w:jc w:val="center"/>
        <w:rPr>
          <w:rFonts w:hint="eastAsia" w:ascii="仿宋" w:hAnsi="仿宋" w:eastAsia="仿宋" w:cs="仿宋"/>
          <w:b/>
          <w:bCs/>
          <w:color w:val="auto"/>
          <w:sz w:val="36"/>
          <w:szCs w:val="36"/>
          <w:highlight w:val="none"/>
          <w:lang w:val="en-US" w:eastAsia="zh-CN"/>
        </w:rPr>
      </w:pPr>
      <w:bookmarkStart w:id="179" w:name="_Toc12606"/>
      <w:bookmarkStart w:id="180" w:name="_Toc17362"/>
      <w:bookmarkStart w:id="181" w:name="_Toc5310"/>
      <w:bookmarkStart w:id="182" w:name="_Toc23912"/>
      <w:bookmarkStart w:id="183" w:name="_Toc31953"/>
      <w:bookmarkStart w:id="184" w:name="_Toc12241"/>
      <w:r>
        <w:rPr>
          <w:rFonts w:hint="eastAsia" w:ascii="仿宋" w:hAnsi="仿宋" w:eastAsia="仿宋" w:cs="仿宋"/>
          <w:b/>
          <w:bCs/>
          <w:color w:val="auto"/>
          <w:sz w:val="36"/>
          <w:szCs w:val="36"/>
          <w:highlight w:val="none"/>
          <w:lang w:val="en-US" w:eastAsia="zh-CN"/>
        </w:rPr>
        <w:t>承诺书</w:t>
      </w:r>
      <w:bookmarkEnd w:id="179"/>
      <w:bookmarkEnd w:id="180"/>
      <w:bookmarkEnd w:id="181"/>
      <w:bookmarkEnd w:id="182"/>
      <w:bookmarkEnd w:id="183"/>
      <w:bookmarkEnd w:id="184"/>
    </w:p>
    <w:p w14:paraId="728CC702">
      <w:pPr>
        <w:pageBreakBefore w:val="0"/>
        <w:kinsoku/>
        <w:wordWrap w:val="0"/>
        <w:topLinePunct/>
        <w:bidi w:val="0"/>
        <w:spacing w:line="360" w:lineRule="auto"/>
        <w:ind w:firstLine="480" w:firstLineChars="200"/>
        <w:jc w:val="left"/>
        <w:rPr>
          <w:rFonts w:hint="eastAsia" w:ascii="仿宋" w:hAnsi="仿宋" w:eastAsia="仿宋" w:cs="仿宋"/>
          <w:color w:val="000000"/>
          <w:kern w:val="0"/>
          <w:sz w:val="24"/>
          <w:highlight w:val="none"/>
          <w:lang w:bidi="ar"/>
        </w:rPr>
      </w:pPr>
    </w:p>
    <w:p w14:paraId="6B06F298">
      <w:pPr>
        <w:pageBreakBefore w:val="0"/>
        <w:kinsoku/>
        <w:wordWrap w:val="0"/>
        <w:topLinePunct/>
        <w:bidi w:val="0"/>
        <w:spacing w:line="360" w:lineRule="auto"/>
        <w:jc w:val="left"/>
        <w:rPr>
          <w:rFonts w:hint="eastAsia" w:ascii="仿宋" w:hAnsi="仿宋" w:eastAsia="仿宋" w:cs="仿宋"/>
          <w:color w:val="000000"/>
          <w:kern w:val="0"/>
          <w:sz w:val="24"/>
          <w:highlight w:val="none"/>
          <w:lang w:eastAsia="zh-CN" w:bidi="ar"/>
        </w:rPr>
      </w:pPr>
      <w:r>
        <w:rPr>
          <w:rFonts w:hint="eastAsia" w:ascii="仿宋" w:hAnsi="仿宋" w:eastAsia="仿宋" w:cs="仿宋"/>
          <w:color w:val="000000"/>
          <w:sz w:val="24"/>
          <w:highlight w:val="none"/>
        </w:rPr>
        <w:t>致：</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（采购人名称）</w:t>
      </w:r>
    </w:p>
    <w:p w14:paraId="6C60A0E5">
      <w:pPr>
        <w:pageBreakBefore w:val="0"/>
        <w:kinsoku/>
        <w:wordWrap w:val="0"/>
        <w:topLinePunct/>
        <w:bidi w:val="0"/>
        <w:spacing w:line="360" w:lineRule="auto"/>
        <w:ind w:firstLine="480" w:firstLineChars="200"/>
        <w:jc w:val="left"/>
        <w:rPr>
          <w:rFonts w:hint="eastAsia" w:ascii="仿宋" w:hAnsi="仿宋" w:eastAsia="仿宋" w:cs="仿宋"/>
          <w:b w:val="0"/>
          <w:bCs w:val="0"/>
          <w:color w:val="000000"/>
          <w:kern w:val="0"/>
          <w:sz w:val="24"/>
          <w:highlight w:val="none"/>
          <w:lang w:bidi="ar"/>
        </w:rPr>
      </w:pPr>
      <w:r>
        <w:rPr>
          <w:rFonts w:hint="eastAsia" w:ascii="仿宋" w:hAnsi="仿宋" w:eastAsia="仿宋" w:cs="仿宋"/>
          <w:color w:val="000000"/>
          <w:kern w:val="0"/>
          <w:sz w:val="24"/>
          <w:highlight w:val="none"/>
          <w:lang w:bidi="ar"/>
        </w:rPr>
        <w:t>本承诺书声明：本公司参与贵方组织的</w:t>
      </w:r>
      <w:r>
        <w:rPr>
          <w:rFonts w:hint="eastAsia" w:ascii="仿宋" w:hAnsi="仿宋" w:eastAsia="仿宋" w:cs="仿宋"/>
          <w:color w:val="000000"/>
          <w:sz w:val="24"/>
          <w:highlight w:val="none"/>
        </w:rPr>
        <w:t>（项目名称：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zh-CN"/>
        </w:rPr>
        <w:t>项目编号</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）采购活动</w:t>
      </w:r>
      <w:r>
        <w:rPr>
          <w:rFonts w:hint="eastAsia" w:ascii="仿宋" w:hAnsi="仿宋" w:eastAsia="仿宋" w:cs="仿宋"/>
          <w:strike w:val="0"/>
          <w:color w:val="auto"/>
          <w:sz w:val="24"/>
          <w:highlight w:val="none"/>
          <w:lang w:eastAsia="zh-CN"/>
        </w:rPr>
        <w:t>，</w:t>
      </w:r>
      <w:r>
        <w:rPr>
          <w:rFonts w:hint="eastAsia" w:ascii="仿宋" w:hAnsi="仿宋" w:eastAsia="仿宋" w:cs="仿宋"/>
          <w:color w:val="000000"/>
          <w:kern w:val="0"/>
          <w:sz w:val="24"/>
          <w:highlight w:val="none"/>
          <w:lang w:bidi="ar"/>
        </w:rPr>
        <w:t>作出如下承诺：</w:t>
      </w:r>
    </w:p>
    <w:p w14:paraId="7B8D464F">
      <w:pPr>
        <w:pageBreakBefore w:val="0"/>
        <w:kinsoku/>
        <w:wordWrap w:val="0"/>
        <w:topLinePunct/>
        <w:bidi w:val="0"/>
        <w:spacing w:line="360" w:lineRule="auto"/>
        <w:ind w:firstLine="480" w:firstLineChars="200"/>
        <w:jc w:val="left"/>
        <w:rPr>
          <w:rFonts w:hint="eastAsia" w:ascii="仿宋" w:hAnsi="仿宋" w:eastAsia="仿宋" w:cs="仿宋"/>
          <w:b w:val="0"/>
          <w:bCs w:val="0"/>
          <w:color w:val="000000"/>
          <w:kern w:val="0"/>
          <w:sz w:val="24"/>
          <w:highlight w:val="none"/>
          <w:lang w:bidi="ar"/>
        </w:rPr>
      </w:pPr>
      <w:r>
        <w:rPr>
          <w:rFonts w:hint="eastAsia" w:ascii="仿宋" w:hAnsi="仿宋" w:eastAsia="仿宋" w:cs="仿宋"/>
          <w:b w:val="0"/>
          <w:bCs w:val="0"/>
          <w:color w:val="000000"/>
          <w:kern w:val="0"/>
          <w:sz w:val="24"/>
          <w:highlight w:val="none"/>
          <w:lang w:bidi="ar"/>
        </w:rPr>
        <w:t>我方在参加本次采购活动前</w:t>
      </w:r>
      <w:r>
        <w:rPr>
          <w:rFonts w:hint="eastAsia" w:ascii="仿宋" w:hAnsi="仿宋" w:eastAsia="仿宋" w:cs="仿宋"/>
          <w:b w:val="0"/>
          <w:bCs w:val="0"/>
          <w:strike w:val="0"/>
          <w:dstrike w:val="0"/>
          <w:color w:val="auto"/>
          <w:kern w:val="0"/>
          <w:sz w:val="24"/>
          <w:highlight w:val="none"/>
          <w:lang w:eastAsia="zh-CN" w:bidi="ar"/>
        </w:rPr>
        <w:t>，</w:t>
      </w:r>
      <w:r>
        <w:rPr>
          <w:rFonts w:hint="eastAsia" w:ascii="仿宋" w:hAnsi="仿宋" w:eastAsia="仿宋" w:cs="仿宋"/>
          <w:b w:val="0"/>
          <w:bCs w:val="0"/>
          <w:color w:val="000000"/>
          <w:kern w:val="0"/>
          <w:sz w:val="24"/>
          <w:highlight w:val="none"/>
          <w:lang w:bidi="ar"/>
        </w:rPr>
        <w:t>严格依法缴纳税收</w:t>
      </w:r>
      <w:r>
        <w:rPr>
          <w:rFonts w:hint="eastAsia" w:ascii="仿宋" w:hAnsi="仿宋" w:eastAsia="仿宋" w:cs="仿宋"/>
          <w:b w:val="0"/>
          <w:bCs w:val="0"/>
          <w:strike w:val="0"/>
          <w:dstrike w:val="0"/>
          <w:color w:val="auto"/>
          <w:kern w:val="0"/>
          <w:sz w:val="24"/>
          <w:highlight w:val="none"/>
          <w:lang w:val="en-US" w:eastAsia="zh-CN" w:bidi="ar"/>
        </w:rPr>
        <w:t>（</w:t>
      </w:r>
      <w:r>
        <w:rPr>
          <w:rFonts w:hint="eastAsia" w:ascii="仿宋" w:hAnsi="仿宋" w:eastAsia="仿宋" w:cs="仿宋"/>
          <w:b w:val="0"/>
          <w:bCs w:val="0"/>
          <w:color w:val="000000"/>
          <w:kern w:val="0"/>
          <w:sz w:val="24"/>
          <w:highlight w:val="none"/>
          <w:lang w:bidi="ar"/>
        </w:rPr>
        <w:t>依法享受国家免税优惠政策</w:t>
      </w:r>
      <w:r>
        <w:rPr>
          <w:rFonts w:hint="eastAsia" w:ascii="仿宋" w:hAnsi="仿宋" w:eastAsia="仿宋" w:cs="仿宋"/>
          <w:b w:val="0"/>
          <w:bCs w:val="0"/>
          <w:strike w:val="0"/>
          <w:dstrike w:val="0"/>
          <w:color w:val="auto"/>
          <w:kern w:val="0"/>
          <w:sz w:val="24"/>
          <w:highlight w:val="none"/>
          <w:lang w:eastAsia="zh-CN" w:bidi="ar"/>
        </w:rPr>
        <w:t>，</w:t>
      </w:r>
      <w:r>
        <w:rPr>
          <w:rFonts w:hint="eastAsia" w:ascii="仿宋" w:hAnsi="仿宋" w:eastAsia="仿宋" w:cs="仿宋"/>
          <w:b w:val="0"/>
          <w:bCs w:val="0"/>
          <w:color w:val="000000"/>
          <w:kern w:val="0"/>
          <w:sz w:val="24"/>
          <w:highlight w:val="none"/>
          <w:lang w:val="en-US" w:eastAsia="zh-CN" w:bidi="ar"/>
        </w:rPr>
        <w:t>投标人根据自身情况选择）</w:t>
      </w:r>
      <w:r>
        <w:rPr>
          <w:rFonts w:hint="eastAsia" w:ascii="仿宋" w:hAnsi="仿宋" w:eastAsia="仿宋" w:cs="仿宋"/>
          <w:b w:val="0"/>
          <w:bCs w:val="0"/>
          <w:color w:val="000000"/>
          <w:kern w:val="0"/>
          <w:sz w:val="24"/>
          <w:highlight w:val="none"/>
          <w:lang w:bidi="ar"/>
        </w:rPr>
        <w:t>，依法给单位职工缴纳社会保障金</w:t>
      </w:r>
      <w:r>
        <w:rPr>
          <w:rFonts w:hint="eastAsia" w:ascii="仿宋" w:hAnsi="仿宋" w:eastAsia="仿宋" w:cs="仿宋"/>
          <w:b w:val="0"/>
          <w:bCs w:val="0"/>
          <w:strike w:val="0"/>
          <w:dstrike w:val="0"/>
          <w:color w:val="auto"/>
          <w:kern w:val="0"/>
          <w:sz w:val="24"/>
          <w:highlight w:val="none"/>
          <w:lang w:val="en-US" w:eastAsia="zh-CN" w:bidi="ar"/>
        </w:rPr>
        <w:t>（</w:t>
      </w:r>
      <w:r>
        <w:rPr>
          <w:rFonts w:hint="eastAsia" w:ascii="仿宋" w:hAnsi="仿宋" w:eastAsia="仿宋" w:cs="仿宋"/>
          <w:b w:val="0"/>
          <w:bCs w:val="0"/>
          <w:color w:val="000000"/>
          <w:kern w:val="0"/>
          <w:sz w:val="24"/>
          <w:highlight w:val="none"/>
          <w:lang w:bidi="ar"/>
        </w:rPr>
        <w:t>依法不需要缴纳社会保障金</w:t>
      </w:r>
      <w:r>
        <w:rPr>
          <w:rFonts w:hint="eastAsia" w:ascii="仿宋" w:hAnsi="仿宋" w:eastAsia="仿宋" w:cs="仿宋"/>
          <w:b w:val="0"/>
          <w:bCs w:val="0"/>
          <w:strike w:val="0"/>
          <w:dstrike w:val="0"/>
          <w:color w:val="auto"/>
          <w:kern w:val="0"/>
          <w:sz w:val="24"/>
          <w:highlight w:val="none"/>
          <w:lang w:eastAsia="zh-CN" w:bidi="ar"/>
        </w:rPr>
        <w:t>，</w:t>
      </w:r>
      <w:r>
        <w:rPr>
          <w:rFonts w:hint="eastAsia" w:ascii="仿宋" w:hAnsi="仿宋" w:eastAsia="仿宋" w:cs="仿宋"/>
          <w:b w:val="0"/>
          <w:bCs w:val="0"/>
          <w:color w:val="000000"/>
          <w:kern w:val="0"/>
          <w:sz w:val="24"/>
          <w:highlight w:val="none"/>
          <w:lang w:val="en-US" w:eastAsia="zh-CN" w:bidi="ar"/>
        </w:rPr>
        <w:t>投标人根据自身情况选择）</w:t>
      </w:r>
      <w:r>
        <w:rPr>
          <w:rFonts w:hint="eastAsia" w:ascii="仿宋" w:hAnsi="仿宋" w:eastAsia="仿宋" w:cs="仿宋"/>
          <w:b w:val="0"/>
          <w:bCs w:val="0"/>
          <w:color w:val="000000"/>
          <w:kern w:val="0"/>
          <w:sz w:val="24"/>
          <w:highlight w:val="none"/>
          <w:lang w:eastAsia="zh-CN" w:bidi="ar"/>
        </w:rPr>
        <w:t>，</w:t>
      </w:r>
      <w:r>
        <w:rPr>
          <w:rFonts w:hint="eastAsia" w:ascii="仿宋" w:hAnsi="仿宋" w:eastAsia="仿宋" w:cs="仿宋"/>
          <w:b w:val="0"/>
          <w:bCs w:val="0"/>
          <w:color w:val="000000"/>
          <w:kern w:val="0"/>
          <w:sz w:val="24"/>
          <w:highlight w:val="none"/>
          <w:lang w:val="en-US" w:eastAsia="zh-CN" w:bidi="ar"/>
        </w:rPr>
        <w:t>后附</w:t>
      </w:r>
      <w:r>
        <w:rPr>
          <w:rFonts w:hint="eastAsia" w:ascii="仿宋" w:hAnsi="仿宋" w:eastAsia="仿宋" w:cs="仿宋"/>
          <w:b w:val="0"/>
          <w:bCs w:val="0"/>
          <w:color w:val="000000"/>
          <w:kern w:val="0"/>
          <w:sz w:val="24"/>
          <w:highlight w:val="none"/>
          <w:lang w:bidi="ar"/>
        </w:rPr>
        <w:t>证明文件。</w:t>
      </w:r>
    </w:p>
    <w:p w14:paraId="4212DDEF">
      <w:pPr>
        <w:pageBreakBefore w:val="0"/>
        <w:kinsoku/>
        <w:wordWrap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kern w:val="0"/>
          <w:sz w:val="24"/>
          <w:highlight w:val="none"/>
          <w:lang w:bidi="ar"/>
        </w:rPr>
        <w:t>以上承诺信息如有虚假或隐瞒，我方愿意承担一切后果，并不再寻求任何旨在减轻或免除法律责任的辩解。</w:t>
      </w:r>
    </w:p>
    <w:p w14:paraId="29285065">
      <w:pPr>
        <w:pageBreakBefore w:val="0"/>
        <w:kinsoku/>
        <w:wordWrap w:val="0"/>
        <w:overflowPunct w:val="0"/>
        <w:topLinePunct/>
        <w:bidi w:val="0"/>
        <w:spacing w:line="360" w:lineRule="auto"/>
        <w:ind w:firstLine="540" w:firstLineChars="225"/>
        <w:rPr>
          <w:rFonts w:hint="eastAsia" w:ascii="仿宋" w:hAnsi="仿宋" w:eastAsia="仿宋" w:cs="仿宋"/>
          <w:color w:val="000000"/>
          <w:highlight w:val="none"/>
        </w:rPr>
      </w:pPr>
      <w:r>
        <w:rPr>
          <w:rFonts w:hint="eastAsia" w:ascii="仿宋" w:hAnsi="仿宋" w:eastAsia="仿宋" w:cs="仿宋"/>
          <w:color w:val="000000"/>
          <w:kern w:val="0"/>
          <w:sz w:val="24"/>
          <w:highlight w:val="none"/>
          <w:lang w:bidi="ar"/>
        </w:rPr>
        <w:t>特此承诺</w:t>
      </w:r>
      <w:r>
        <w:rPr>
          <w:rFonts w:hint="eastAsia" w:ascii="仿宋" w:hAnsi="仿宋" w:eastAsia="仿宋" w:cs="仿宋"/>
          <w:color w:val="000000"/>
          <w:sz w:val="24"/>
          <w:highlight w:val="none"/>
        </w:rPr>
        <w:t>。</w:t>
      </w:r>
    </w:p>
    <w:p w14:paraId="7ED7025B">
      <w:pPr>
        <w:pStyle w:val="13"/>
        <w:pageBreakBefore w:val="0"/>
        <w:kinsoku/>
        <w:wordWrap w:val="0"/>
        <w:overflowPunct/>
        <w:bidi w:val="0"/>
        <w:rPr>
          <w:rFonts w:hint="eastAsia" w:ascii="仿宋" w:hAnsi="仿宋" w:eastAsia="仿宋" w:cs="仿宋"/>
          <w:color w:val="auto"/>
          <w:sz w:val="24"/>
          <w:szCs w:val="24"/>
          <w:highlight w:val="none"/>
        </w:rPr>
      </w:pPr>
    </w:p>
    <w:p w14:paraId="6675F21E">
      <w:pPr>
        <w:pageBreakBefore w:val="0"/>
        <w:kinsoku/>
        <w:wordWrap w:val="0"/>
        <w:overflowPunct/>
        <w:bidi w:val="0"/>
        <w:rPr>
          <w:rFonts w:hint="eastAsia" w:ascii="仿宋" w:hAnsi="仿宋" w:eastAsia="仿宋" w:cs="仿宋"/>
          <w:color w:val="auto"/>
          <w:highlight w:val="none"/>
        </w:rPr>
      </w:pPr>
    </w:p>
    <w:p w14:paraId="1C8B19BA">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6F1FB2D8">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02EDBD90">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1A2E561">
      <w:pPr>
        <w:rPr>
          <w:rFonts w:hint="eastAsia" w:ascii="仿宋" w:hAnsi="仿宋" w:eastAsia="仿宋" w:cs="仿宋"/>
          <w:highlight w:val="none"/>
        </w:rPr>
      </w:pPr>
      <w:r>
        <w:rPr>
          <w:rFonts w:hint="eastAsia" w:ascii="仿宋" w:hAnsi="仿宋" w:eastAsia="仿宋" w:cs="仿宋"/>
          <w:highlight w:val="none"/>
        </w:rPr>
        <w:br w:type="page"/>
      </w:r>
    </w:p>
    <w:p w14:paraId="0CA5BD68">
      <w:pPr>
        <w:pStyle w:val="2"/>
        <w:rPr>
          <w:rFonts w:hint="eastAsia" w:ascii="仿宋" w:hAnsi="仿宋" w:eastAsia="仿宋" w:cs="仿宋"/>
          <w:highlight w:val="none"/>
        </w:rPr>
      </w:pPr>
    </w:p>
    <w:p w14:paraId="516C2AEA">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185" w:name="_Toc3516"/>
      <w:r>
        <w:rPr>
          <w:rFonts w:hint="eastAsia" w:ascii="仿宋" w:hAnsi="仿宋" w:eastAsia="仿宋" w:cs="仿宋"/>
          <w:b/>
          <w:bCs/>
          <w:color w:val="000000"/>
          <w:kern w:val="0"/>
          <w:sz w:val="28"/>
          <w:szCs w:val="28"/>
          <w:highlight w:val="none"/>
          <w:lang w:val="en-US" w:eastAsia="zh-CN" w:bidi="ar-SA"/>
        </w:rPr>
        <w:t>（五）参加采购活动前三年内在经营活动中没有重大违法记录</w:t>
      </w:r>
      <w:bookmarkEnd w:id="185"/>
    </w:p>
    <w:p w14:paraId="6407554F">
      <w:pPr>
        <w:pStyle w:val="21"/>
        <w:pageBreakBefore w:val="0"/>
        <w:kinsoku/>
        <w:wordWrap w:val="0"/>
        <w:overflowPunct/>
        <w:bidi w:val="0"/>
        <w:ind w:left="0" w:leftChars="0" w:firstLine="0" w:firstLineChars="0"/>
        <w:rPr>
          <w:rFonts w:hint="eastAsia" w:ascii="仿宋" w:hAnsi="仿宋" w:eastAsia="仿宋" w:cs="仿宋"/>
          <w:color w:val="auto"/>
          <w:highlight w:val="none"/>
        </w:rPr>
      </w:pPr>
    </w:p>
    <w:p w14:paraId="1604608F">
      <w:pPr>
        <w:pageBreakBefore w:val="0"/>
        <w:kinsoku/>
        <w:wordWrap w:val="0"/>
        <w:overflowPunct/>
        <w:bidi w:val="0"/>
        <w:jc w:val="center"/>
        <w:rPr>
          <w:rFonts w:hint="eastAsia" w:ascii="仿宋" w:hAnsi="仿宋" w:eastAsia="仿宋" w:cs="仿宋"/>
          <w:color w:val="auto"/>
          <w:kern w:val="1"/>
          <w:sz w:val="20"/>
          <w:szCs w:val="18"/>
          <w:highlight w:val="none"/>
        </w:rPr>
      </w:pPr>
      <w:r>
        <w:rPr>
          <w:rFonts w:hint="eastAsia" w:ascii="仿宋" w:hAnsi="仿宋" w:eastAsia="仿宋" w:cs="仿宋"/>
          <w:b/>
          <w:bCs/>
          <w:color w:val="auto"/>
          <w:kern w:val="1"/>
          <w:sz w:val="28"/>
          <w:szCs w:val="28"/>
          <w:highlight w:val="none"/>
        </w:rPr>
        <w:t>参加本次政府采购活动前三年内，在经营活动中没有重大违法记录的声明</w:t>
      </w:r>
    </w:p>
    <w:p w14:paraId="5F6DF504">
      <w:pPr>
        <w:pageBreakBefore w:val="0"/>
        <w:kinsoku/>
        <w:wordWrap w:val="0"/>
        <w:overflowPunct/>
        <w:bidi w:val="0"/>
        <w:ind w:firstLine="422"/>
        <w:rPr>
          <w:rFonts w:hint="eastAsia" w:ascii="仿宋" w:hAnsi="仿宋" w:eastAsia="仿宋" w:cs="仿宋"/>
          <w:b/>
          <w:color w:val="auto"/>
          <w:kern w:val="1"/>
          <w:highlight w:val="none"/>
        </w:rPr>
      </w:pPr>
    </w:p>
    <w:p w14:paraId="36A758C2">
      <w:pPr>
        <w:pageBreakBefore w:val="0"/>
        <w:kinsoku/>
        <w:wordWrap w:val="0"/>
        <w:overflowPunct w:val="0"/>
        <w:topLinePunct/>
        <w:bidi w:val="0"/>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themeColor="text1"/>
          <w:sz w:val="24"/>
          <w:highlight w:val="none"/>
          <w:u w:val="none"/>
          <w:lang w:val="en-US" w:eastAsia="zh-CN"/>
          <w14:textFill>
            <w14:solidFill>
              <w14:schemeClr w14:val="tx1"/>
            </w14:solidFill>
          </w14:textFill>
        </w:rPr>
        <w:t>致：</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（采购人名称）</w:t>
      </w:r>
    </w:p>
    <w:p w14:paraId="1C9B11DE">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我方在此声明，我方在参加本次政府采购活动前三年内，在经营活动中没有以下重大违法记录：</w:t>
      </w:r>
    </w:p>
    <w:p w14:paraId="0DC913D6">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1.我方因违法经营被追究过刑事责任；</w:t>
      </w:r>
    </w:p>
    <w:p w14:paraId="58812F47">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2.我方因违法经营被责令停产停业、吊销许可证或者执照；</w:t>
      </w:r>
    </w:p>
    <w:p w14:paraId="41A2792F">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3.我方因违法经营被处以较大数额罚款等行政处罚。</w:t>
      </w:r>
    </w:p>
    <w:p w14:paraId="0357447E">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4.我方在近三年承接的项目中，无违法、违规的不良记录，未因违规或违约介入诉讼或仲裁，不存在拖欠工资情况及重大质量问题、重大安全事故，未因违规或违约解除合同。我方在</w:t>
      </w:r>
      <w:r>
        <w:rPr>
          <w:rFonts w:hint="eastAsia" w:ascii="仿宋" w:hAnsi="仿宋" w:eastAsia="仿宋" w:cs="仿宋"/>
          <w:color w:val="000000"/>
          <w:sz w:val="24"/>
          <w:highlight w:val="none"/>
          <w:lang w:val="en-US" w:eastAsia="zh-CN"/>
        </w:rPr>
        <w:t>招投标</w:t>
      </w:r>
      <w:r>
        <w:rPr>
          <w:rFonts w:hint="eastAsia" w:ascii="仿宋" w:hAnsi="仿宋" w:eastAsia="仿宋" w:cs="仿宋"/>
          <w:color w:val="000000"/>
          <w:sz w:val="24"/>
          <w:highlight w:val="none"/>
        </w:rPr>
        <w:t>期间没有处于被责令停业或财产被接管或冻结或被暂停参加</w:t>
      </w:r>
      <w:r>
        <w:rPr>
          <w:rFonts w:hint="eastAsia" w:ascii="仿宋" w:hAnsi="仿宋" w:eastAsia="仿宋" w:cs="仿宋"/>
          <w:color w:val="000000"/>
          <w:sz w:val="24"/>
          <w:highlight w:val="none"/>
          <w:lang w:val="en-US" w:eastAsia="zh-CN"/>
        </w:rPr>
        <w:t>投标</w:t>
      </w:r>
      <w:r>
        <w:rPr>
          <w:rFonts w:hint="eastAsia" w:ascii="仿宋" w:hAnsi="仿宋" w:eastAsia="仿宋" w:cs="仿宋"/>
          <w:color w:val="000000"/>
          <w:sz w:val="24"/>
          <w:highlight w:val="none"/>
        </w:rPr>
        <w:t>活动的处罚阶段。</w:t>
      </w:r>
    </w:p>
    <w:p w14:paraId="5144A90D">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000000"/>
          <w:sz w:val="24"/>
          <w:highlight w:val="none"/>
          <w:lang w:eastAsia="zh-CN"/>
        </w:rPr>
        <w:t>招标</w:t>
      </w:r>
      <w:r>
        <w:rPr>
          <w:rFonts w:hint="eastAsia" w:ascii="仿宋" w:hAnsi="仿宋" w:eastAsia="仿宋" w:cs="仿宋"/>
          <w:color w:val="000000"/>
          <w:sz w:val="24"/>
          <w:highlight w:val="none"/>
        </w:rPr>
        <w:t>文件的要求，则</w:t>
      </w:r>
      <w:r>
        <w:rPr>
          <w:rFonts w:hint="eastAsia" w:ascii="仿宋" w:hAnsi="仿宋" w:eastAsia="仿宋" w:cs="仿宋"/>
          <w:color w:val="000000"/>
          <w:sz w:val="24"/>
          <w:highlight w:val="none"/>
          <w:lang w:eastAsia="zh-CN"/>
        </w:rPr>
        <w:t>采购人</w:t>
      </w:r>
      <w:r>
        <w:rPr>
          <w:rFonts w:hint="eastAsia" w:ascii="仿宋" w:hAnsi="仿宋" w:eastAsia="仿宋" w:cs="仿宋"/>
          <w:color w:val="000000"/>
          <w:sz w:val="24"/>
          <w:highlight w:val="none"/>
        </w:rPr>
        <w:t>有权取消我方的</w:t>
      </w:r>
      <w:r>
        <w:rPr>
          <w:rFonts w:hint="eastAsia" w:ascii="仿宋" w:hAnsi="仿宋" w:eastAsia="仿宋" w:cs="仿宋"/>
          <w:color w:val="000000"/>
          <w:sz w:val="24"/>
          <w:highlight w:val="none"/>
          <w:lang w:val="en-US" w:eastAsia="zh-CN"/>
        </w:rPr>
        <w:t>投标</w:t>
      </w:r>
      <w:r>
        <w:rPr>
          <w:rFonts w:hint="eastAsia" w:ascii="仿宋" w:hAnsi="仿宋" w:eastAsia="仿宋" w:cs="仿宋"/>
          <w:color w:val="000000"/>
          <w:sz w:val="24"/>
          <w:highlight w:val="none"/>
        </w:rPr>
        <w:t>及</w:t>
      </w:r>
      <w:r>
        <w:rPr>
          <w:rFonts w:hint="eastAsia" w:ascii="仿宋" w:hAnsi="仿宋" w:eastAsia="仿宋" w:cs="仿宋"/>
          <w:color w:val="000000"/>
          <w:sz w:val="24"/>
          <w:highlight w:val="none"/>
          <w:lang w:eastAsia="zh-CN"/>
        </w:rPr>
        <w:t>成交</w:t>
      </w:r>
      <w:r>
        <w:rPr>
          <w:rFonts w:hint="eastAsia" w:ascii="仿宋" w:hAnsi="仿宋" w:eastAsia="仿宋" w:cs="仿宋"/>
          <w:color w:val="000000"/>
          <w:sz w:val="24"/>
          <w:highlight w:val="none"/>
        </w:rPr>
        <w:t>资格，且我方将无条件并愿意承担我方因提供虚假材料谋骗取</w:t>
      </w:r>
      <w:r>
        <w:rPr>
          <w:rFonts w:hint="eastAsia" w:ascii="仿宋" w:hAnsi="仿宋" w:eastAsia="仿宋" w:cs="仿宋"/>
          <w:color w:val="000000"/>
          <w:sz w:val="24"/>
          <w:highlight w:val="none"/>
          <w:lang w:eastAsia="zh-CN"/>
        </w:rPr>
        <w:t>成交</w:t>
      </w:r>
      <w:r>
        <w:rPr>
          <w:rFonts w:hint="eastAsia" w:ascii="仿宋" w:hAnsi="仿宋" w:eastAsia="仿宋" w:cs="仿宋"/>
          <w:color w:val="000000"/>
          <w:sz w:val="24"/>
          <w:highlight w:val="none"/>
        </w:rPr>
        <w:t>、成交所引起的一切法律后果（包括经济损失）。</w:t>
      </w:r>
    </w:p>
    <w:p w14:paraId="256FB67B">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特此声明！</w:t>
      </w:r>
    </w:p>
    <w:p w14:paraId="2F6731DA">
      <w:pPr>
        <w:pageBreakBefore w:val="0"/>
        <w:kinsoku/>
        <w:wordWrap w:val="0"/>
        <w:overflowPunct/>
        <w:bidi w:val="0"/>
        <w:jc w:val="center"/>
        <w:rPr>
          <w:rFonts w:hint="eastAsia" w:ascii="仿宋" w:hAnsi="仿宋" w:eastAsia="仿宋" w:cs="仿宋"/>
          <w:b w:val="0"/>
          <w:bCs/>
          <w:color w:val="auto"/>
          <w:kern w:val="1"/>
          <w:sz w:val="24"/>
          <w:szCs w:val="24"/>
          <w:highlight w:val="none"/>
          <w:lang w:val="en-US" w:eastAsia="zh-CN" w:bidi="ar-SA"/>
        </w:rPr>
      </w:pPr>
    </w:p>
    <w:p w14:paraId="65E62F4C">
      <w:pPr>
        <w:pageBreakBefore w:val="0"/>
        <w:kinsoku/>
        <w:wordWrap w:val="0"/>
        <w:overflowPunct/>
        <w:bidi w:val="0"/>
        <w:ind w:firstLine="560"/>
        <w:rPr>
          <w:rFonts w:hint="eastAsia" w:ascii="仿宋" w:hAnsi="仿宋" w:eastAsia="仿宋" w:cs="仿宋"/>
          <w:bCs/>
          <w:color w:val="auto"/>
          <w:kern w:val="1"/>
          <w:sz w:val="24"/>
          <w:szCs w:val="24"/>
          <w:highlight w:val="none"/>
        </w:rPr>
      </w:pPr>
    </w:p>
    <w:p w14:paraId="38407E2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1A17C78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8688A7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D1E3B80">
      <w:pPr>
        <w:pageBreakBefore w:val="0"/>
        <w:kinsoku/>
        <w:wordWrap w:val="0"/>
        <w:overflowPunct/>
        <w:bidi w:val="0"/>
        <w:rPr>
          <w:rFonts w:hint="eastAsia" w:ascii="仿宋" w:hAnsi="仿宋" w:eastAsia="仿宋" w:cs="仿宋"/>
          <w:color w:val="auto"/>
          <w:sz w:val="24"/>
          <w:szCs w:val="24"/>
          <w:highlight w:val="none"/>
        </w:rPr>
      </w:pPr>
    </w:p>
    <w:p w14:paraId="44DF360B">
      <w:pPr>
        <w:pStyle w:val="21"/>
        <w:keepNext w:val="0"/>
        <w:keepLines w:val="0"/>
        <w:pageBreakBefore w:val="0"/>
        <w:widowControl w:val="0"/>
        <w:kinsoku/>
        <w:wordWrap w:val="0"/>
        <w:overflowPunct/>
        <w:topLinePunct w:val="0"/>
        <w:autoSpaceDE/>
        <w:autoSpaceDN/>
        <w:bidi w:val="0"/>
        <w:adjustRightInd/>
        <w:snapToGrid/>
        <w:spacing w:line="0" w:lineRule="atLeast"/>
        <w:textAlignment w:val="auto"/>
        <w:rPr>
          <w:rFonts w:hint="eastAsia" w:ascii="仿宋" w:hAnsi="仿宋" w:eastAsia="仿宋" w:cs="仿宋"/>
          <w:color w:val="auto"/>
          <w:sz w:val="24"/>
          <w:szCs w:val="24"/>
          <w:highlight w:val="none"/>
        </w:rPr>
      </w:pPr>
      <w:r>
        <w:rPr>
          <w:rFonts w:hint="eastAsia" w:ascii="仿宋" w:hAnsi="仿宋" w:eastAsia="仿宋" w:cs="仿宋"/>
          <w:b/>
          <w:bCs/>
          <w:color w:val="000000"/>
          <w:sz w:val="21"/>
          <w:szCs w:val="21"/>
          <w:highlight w:val="none"/>
        </w:rPr>
        <w:t>解释：参加采购活动前</w:t>
      </w:r>
      <w:r>
        <w:rPr>
          <w:rFonts w:hint="eastAsia" w:ascii="仿宋" w:hAnsi="仿宋" w:eastAsia="仿宋" w:cs="仿宋"/>
          <w:b/>
          <w:bCs/>
          <w:color w:val="000000"/>
          <w:sz w:val="21"/>
          <w:szCs w:val="21"/>
          <w:highlight w:val="none"/>
          <w:lang w:val="en-US" w:eastAsia="zh-CN"/>
        </w:rPr>
        <w:t>3</w:t>
      </w:r>
      <w:r>
        <w:rPr>
          <w:rFonts w:hint="eastAsia" w:ascii="仿宋" w:hAnsi="仿宋" w:eastAsia="仿宋" w:cs="仿宋"/>
          <w:b/>
          <w:bCs/>
          <w:color w:val="000000"/>
          <w:sz w:val="21"/>
          <w:szCs w:val="21"/>
          <w:highlight w:val="none"/>
        </w:rPr>
        <w:t>年内，在经营活动中没有重大违法记录：参照</w:t>
      </w:r>
      <w:r>
        <w:rPr>
          <w:rFonts w:hint="eastAsia" w:ascii="仿宋" w:hAnsi="仿宋" w:eastAsia="仿宋" w:cs="仿宋"/>
          <w:b/>
          <w:bCs/>
          <w:color w:val="000000"/>
          <w:sz w:val="21"/>
          <w:szCs w:val="21"/>
          <w:highlight w:val="none"/>
          <w:lang w:eastAsia="zh-CN"/>
        </w:rPr>
        <w:t>投标</w:t>
      </w:r>
      <w:r>
        <w:rPr>
          <w:rFonts w:hint="eastAsia" w:ascii="仿宋" w:hAnsi="仿宋" w:eastAsia="仿宋" w:cs="仿宋"/>
          <w:b/>
          <w:bCs/>
          <w:color w:val="000000"/>
          <w:sz w:val="21"/>
          <w:szCs w:val="21"/>
          <w:highlight w:val="none"/>
        </w:rPr>
        <w:t>函相关承诺格式内容。重大违法记录，是指</w:t>
      </w:r>
      <w:r>
        <w:rPr>
          <w:rFonts w:hint="eastAsia" w:ascii="仿宋" w:hAnsi="仿宋" w:eastAsia="仿宋" w:cs="仿宋"/>
          <w:b/>
          <w:bCs/>
          <w:color w:val="000000"/>
          <w:sz w:val="21"/>
          <w:szCs w:val="21"/>
          <w:highlight w:val="none"/>
          <w:lang w:eastAsia="zh-CN"/>
        </w:rPr>
        <w:t>投标人</w:t>
      </w:r>
      <w:r>
        <w:rPr>
          <w:rFonts w:hint="eastAsia" w:ascii="仿宋" w:hAnsi="仿宋" w:eastAsia="仿宋" w:cs="仿宋"/>
          <w:b/>
          <w:bCs/>
          <w:color w:val="000000"/>
          <w:sz w:val="21"/>
          <w:szCs w:val="21"/>
          <w:highlight w:val="none"/>
        </w:rPr>
        <w:t>因违法经营受到刑事处罚或者责令停产停业、吊销许可证或者执照、较大数额罚款（“较大数额罚款”以财库〔2022〕3号 文规定为准）等行政处罚。</w:t>
      </w:r>
      <w:r>
        <w:rPr>
          <w:rFonts w:hint="eastAsia" w:ascii="仿宋" w:hAnsi="仿宋" w:eastAsia="仿宋" w:cs="仿宋"/>
          <w:b/>
          <w:bCs/>
          <w:color w:val="000000"/>
          <w:sz w:val="21"/>
          <w:szCs w:val="21"/>
          <w:highlight w:val="none"/>
          <w:lang w:eastAsia="zh-CN"/>
        </w:rPr>
        <w:t>投标人</w:t>
      </w:r>
      <w:r>
        <w:rPr>
          <w:rFonts w:hint="eastAsia" w:ascii="仿宋" w:hAnsi="仿宋" w:eastAsia="仿宋" w:cs="仿宋"/>
          <w:b/>
          <w:bCs/>
          <w:color w:val="000000"/>
          <w:sz w:val="21"/>
          <w:szCs w:val="21"/>
          <w:highlight w:val="none"/>
        </w:rPr>
        <w:t>在参加政府采购活动前</w:t>
      </w:r>
      <w:r>
        <w:rPr>
          <w:rFonts w:hint="eastAsia" w:ascii="仿宋" w:hAnsi="仿宋" w:eastAsia="仿宋" w:cs="仿宋"/>
          <w:b/>
          <w:bCs/>
          <w:color w:val="000000"/>
          <w:sz w:val="21"/>
          <w:szCs w:val="21"/>
          <w:highlight w:val="none"/>
          <w:lang w:val="en-US" w:eastAsia="zh-CN"/>
        </w:rPr>
        <w:t>3</w:t>
      </w:r>
      <w:r>
        <w:rPr>
          <w:rFonts w:hint="eastAsia" w:ascii="仿宋" w:hAnsi="仿宋" w:eastAsia="仿宋" w:cs="仿宋"/>
          <w:b/>
          <w:bCs/>
          <w:color w:val="000000"/>
          <w:sz w:val="21"/>
          <w:szCs w:val="21"/>
          <w:highlight w:val="none"/>
        </w:rPr>
        <w:t>年内因违法经营被禁止在一定期限内参加政府采购活动，期限届满的，可以参加政府采购活动。</w:t>
      </w:r>
      <w:r>
        <w:rPr>
          <w:rFonts w:hint="eastAsia" w:ascii="仿宋" w:hAnsi="仿宋" w:eastAsia="仿宋" w:cs="仿宋"/>
          <w:color w:val="auto"/>
          <w:sz w:val="24"/>
          <w:szCs w:val="24"/>
          <w:highlight w:val="none"/>
        </w:rPr>
        <w:br w:type="page"/>
      </w:r>
    </w:p>
    <w:p w14:paraId="4394AE9C">
      <w:pPr>
        <w:pageBreakBefore w:val="0"/>
        <w:kinsoku/>
        <w:wordWrap w:val="0"/>
        <w:overflowPunct/>
        <w:bidi w:val="0"/>
        <w:rPr>
          <w:rFonts w:hint="eastAsia" w:ascii="仿宋" w:hAnsi="仿宋" w:eastAsia="仿宋" w:cs="仿宋"/>
          <w:color w:val="auto"/>
          <w:highlight w:val="none"/>
        </w:rPr>
      </w:pPr>
    </w:p>
    <w:p w14:paraId="35FF8C9B">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186" w:name="_Toc12422"/>
      <w:bookmarkStart w:id="187" w:name="_Toc12891"/>
      <w:bookmarkStart w:id="188" w:name="_Toc17646"/>
      <w:r>
        <w:rPr>
          <w:rFonts w:hint="eastAsia" w:ascii="仿宋" w:hAnsi="仿宋" w:eastAsia="仿宋" w:cs="仿宋"/>
          <w:b/>
          <w:bCs/>
          <w:color w:val="000000"/>
          <w:kern w:val="0"/>
          <w:sz w:val="28"/>
          <w:szCs w:val="28"/>
          <w:highlight w:val="none"/>
          <w:lang w:val="en-US" w:eastAsia="zh-CN" w:bidi="ar-SA"/>
        </w:rPr>
        <w:t>（六）法律、行政法规规定的其他条件</w:t>
      </w:r>
      <w:bookmarkEnd w:id="186"/>
    </w:p>
    <w:p w14:paraId="756D9B40">
      <w:pPr>
        <w:jc w:val="center"/>
        <w:rPr>
          <w:rFonts w:hint="eastAsia" w:ascii="仿宋" w:hAnsi="仿宋" w:eastAsia="仿宋" w:cs="仿宋"/>
          <w:b/>
          <w:bCs/>
          <w:sz w:val="24"/>
          <w:szCs w:val="24"/>
          <w:highlight w:val="none"/>
        </w:rPr>
      </w:pPr>
      <w:r>
        <w:rPr>
          <w:rFonts w:hint="eastAsia" w:ascii="仿宋" w:hAnsi="仿宋" w:eastAsia="仿宋" w:cs="仿宋"/>
          <w:b/>
          <w:bCs/>
          <w:color w:val="000000"/>
          <w:sz w:val="32"/>
          <w:szCs w:val="32"/>
          <w:highlight w:val="none"/>
          <w:lang w:val="en-US" w:eastAsia="zh-CN"/>
        </w:rPr>
        <w:t>（1</w:t>
      </w:r>
      <w:r>
        <w:rPr>
          <w:rFonts w:hint="eastAsia" w:ascii="仿宋" w:hAnsi="仿宋" w:eastAsia="仿宋" w:cs="仿宋"/>
          <w:b/>
          <w:bCs/>
          <w:color w:val="000000"/>
          <w:kern w:val="2"/>
          <w:sz w:val="32"/>
          <w:szCs w:val="32"/>
          <w:highlight w:val="none"/>
          <w:lang w:val="en-US" w:eastAsia="zh-CN" w:bidi="ar-SA"/>
        </w:rPr>
        <w:t>）满足法律、行政法规规定的其他条件声明书</w:t>
      </w:r>
    </w:p>
    <w:p w14:paraId="40BB2F14">
      <w:pPr>
        <w:rPr>
          <w:rFonts w:hint="eastAsia" w:ascii="仿宋" w:hAnsi="仿宋" w:eastAsia="仿宋" w:cs="仿宋"/>
          <w:highlight w:val="none"/>
        </w:rPr>
      </w:pPr>
    </w:p>
    <w:p w14:paraId="26C5057F">
      <w:pPr>
        <w:spacing w:line="360" w:lineRule="auto"/>
        <w:rPr>
          <w:rFonts w:hint="eastAsia" w:ascii="仿宋" w:hAnsi="仿宋" w:eastAsia="仿宋" w:cs="仿宋"/>
          <w:b/>
          <w:sz w:val="24"/>
          <w:szCs w:val="24"/>
          <w:highlight w:val="none"/>
        </w:rPr>
      </w:pPr>
    </w:p>
    <w:p w14:paraId="06B146B4">
      <w:pPr>
        <w:spacing w:line="360" w:lineRule="auto"/>
        <w:rPr>
          <w:rFonts w:hint="eastAsia" w:ascii="仿宋" w:hAnsi="仿宋" w:eastAsia="仿宋" w:cs="仿宋"/>
          <w:b w:val="0"/>
          <w:bCs/>
          <w:sz w:val="24"/>
          <w:szCs w:val="24"/>
          <w:highlight w:val="none"/>
          <w:u w:val="single"/>
          <w:lang w:eastAsia="zh-CN"/>
        </w:rPr>
      </w:pPr>
      <w:r>
        <w:rPr>
          <w:rFonts w:hint="eastAsia" w:ascii="仿宋" w:hAnsi="仿宋" w:eastAsia="仿宋" w:cs="仿宋"/>
          <w:b w:val="0"/>
          <w:bCs/>
          <w:sz w:val="24"/>
          <w:szCs w:val="24"/>
          <w:highlight w:val="none"/>
        </w:rPr>
        <w:t>致：</w:t>
      </w:r>
      <w:r>
        <w:rPr>
          <w:rFonts w:hint="eastAsia" w:ascii="仿宋" w:hAnsi="仿宋" w:eastAsia="仿宋" w:cs="仿宋"/>
          <w:b w:val="0"/>
          <w:bCs/>
          <w:sz w:val="24"/>
          <w:szCs w:val="24"/>
          <w:highlight w:val="none"/>
          <w:u w:val="single"/>
        </w:rPr>
        <w:t xml:space="preserve">  </w:t>
      </w:r>
      <w:r>
        <w:rPr>
          <w:rFonts w:hint="eastAsia" w:ascii="仿宋" w:hAnsi="仿宋" w:eastAsia="仿宋" w:cs="仿宋"/>
          <w:b w:val="0"/>
          <w:bCs/>
          <w:sz w:val="24"/>
          <w:szCs w:val="24"/>
          <w:highlight w:val="none"/>
          <w:u w:val="single"/>
          <w:lang w:val="en-US" w:eastAsia="zh-CN"/>
        </w:rPr>
        <w:t xml:space="preserve">    （采购人名称）  </w:t>
      </w:r>
      <w:r>
        <w:rPr>
          <w:rFonts w:hint="eastAsia" w:ascii="仿宋" w:hAnsi="仿宋" w:eastAsia="仿宋" w:cs="仿宋"/>
          <w:b w:val="0"/>
          <w:bCs/>
          <w:sz w:val="24"/>
          <w:szCs w:val="24"/>
          <w:highlight w:val="none"/>
          <w:u w:val="single"/>
        </w:rPr>
        <w:t xml:space="preserve">  </w:t>
      </w:r>
    </w:p>
    <w:p w14:paraId="50123A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rPr>
      </w:pPr>
    </w:p>
    <w:p w14:paraId="4BA345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b/>
          <w:bCs w:val="0"/>
          <w:sz w:val="24"/>
          <w:highlight w:val="none"/>
        </w:rPr>
      </w:pPr>
      <w:r>
        <w:rPr>
          <w:rFonts w:hint="eastAsia" w:ascii="仿宋" w:hAnsi="仿宋" w:eastAsia="仿宋" w:cs="仿宋"/>
          <w:sz w:val="24"/>
          <w:highlight w:val="none"/>
        </w:rPr>
        <w:t>在参与本次项目</w:t>
      </w:r>
      <w:r>
        <w:rPr>
          <w:rFonts w:hint="eastAsia" w:ascii="仿宋" w:hAnsi="仿宋" w:eastAsia="仿宋" w:cs="仿宋"/>
          <w:sz w:val="24"/>
          <w:highlight w:val="none"/>
          <w:lang w:val="en-US" w:eastAsia="zh-CN"/>
        </w:rPr>
        <w:t>竞争</w:t>
      </w:r>
      <w:r>
        <w:rPr>
          <w:rFonts w:hint="eastAsia" w:ascii="仿宋" w:hAnsi="仿宋" w:eastAsia="仿宋" w:cs="仿宋"/>
          <w:sz w:val="24"/>
          <w:highlight w:val="none"/>
        </w:rPr>
        <w:t>中，</w:t>
      </w:r>
      <w:r>
        <w:rPr>
          <w:rFonts w:hint="eastAsia" w:ascii="仿宋" w:hAnsi="仿宋" w:eastAsia="仿宋" w:cs="仿宋"/>
          <w:strike w:val="0"/>
          <w:sz w:val="24"/>
          <w:highlight w:val="none"/>
          <w:lang w:eastAsia="zh-CN"/>
        </w:rPr>
        <w:t>我方</w:t>
      </w:r>
      <w:r>
        <w:rPr>
          <w:rFonts w:hint="eastAsia" w:ascii="仿宋" w:hAnsi="仿宋" w:eastAsia="仿宋" w:cs="仿宋"/>
          <w:sz w:val="24"/>
          <w:highlight w:val="none"/>
        </w:rPr>
        <w:t>郑重声明：</w:t>
      </w:r>
      <w:r>
        <w:rPr>
          <w:rFonts w:hint="eastAsia" w:ascii="仿宋" w:hAnsi="仿宋" w:eastAsia="仿宋" w:cs="仿宋"/>
          <w:b/>
          <w:bCs w:val="0"/>
          <w:sz w:val="24"/>
          <w:szCs w:val="24"/>
          <w:highlight w:val="none"/>
          <w:u w:val="single"/>
          <w:lang w:val="en-US" w:eastAsia="zh-CN"/>
        </w:rPr>
        <w:t xml:space="preserve">  我方满足法律、行政法规规定的其他条件  </w:t>
      </w:r>
      <w:r>
        <w:rPr>
          <w:rFonts w:hint="eastAsia" w:ascii="仿宋" w:hAnsi="仿宋" w:eastAsia="仿宋" w:cs="仿宋"/>
          <w:b/>
          <w:bCs w:val="0"/>
          <w:sz w:val="24"/>
          <w:highlight w:val="none"/>
        </w:rPr>
        <w:t>。</w:t>
      </w:r>
    </w:p>
    <w:p w14:paraId="13797F8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szCs w:val="24"/>
          <w:highlight w:val="none"/>
          <w:lang w:val="en-US" w:eastAsia="zh-CN"/>
        </w:rPr>
        <w:t>我方</w:t>
      </w:r>
      <w:r>
        <w:rPr>
          <w:rFonts w:hint="eastAsia" w:ascii="仿宋" w:hAnsi="仿宋" w:eastAsia="仿宋" w:cs="仿宋"/>
          <w:sz w:val="24"/>
          <w:highlight w:val="none"/>
        </w:rPr>
        <w:t>对上述声明的内容事项真实性负责。如经查实上述声明的内容事项存在虚假，</w:t>
      </w:r>
      <w:r>
        <w:rPr>
          <w:rFonts w:hint="eastAsia" w:ascii="仿宋" w:hAnsi="仿宋" w:eastAsia="仿宋" w:cs="仿宋"/>
          <w:sz w:val="24"/>
          <w:szCs w:val="24"/>
          <w:highlight w:val="none"/>
          <w:lang w:val="en-US" w:eastAsia="zh-CN"/>
        </w:rPr>
        <w:t>我方</w:t>
      </w:r>
      <w:r>
        <w:rPr>
          <w:rFonts w:hint="eastAsia" w:ascii="仿宋" w:hAnsi="仿宋" w:eastAsia="仿宋" w:cs="仿宋"/>
          <w:sz w:val="24"/>
          <w:highlight w:val="none"/>
        </w:rPr>
        <w:t>愿意接受以提供虚假材料谋取</w:t>
      </w:r>
      <w:r>
        <w:rPr>
          <w:rFonts w:hint="eastAsia" w:ascii="仿宋" w:hAnsi="仿宋" w:eastAsia="仿宋" w:cs="仿宋"/>
          <w:sz w:val="24"/>
          <w:highlight w:val="none"/>
          <w:lang w:eastAsia="zh-CN"/>
        </w:rPr>
        <w:t>成交</w:t>
      </w:r>
      <w:r>
        <w:rPr>
          <w:rFonts w:hint="eastAsia" w:ascii="仿宋" w:hAnsi="仿宋" w:eastAsia="仿宋" w:cs="仿宋"/>
          <w:sz w:val="24"/>
          <w:highlight w:val="none"/>
        </w:rPr>
        <w:t>追究法律责任。</w:t>
      </w:r>
    </w:p>
    <w:p w14:paraId="5562D6B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仿宋" w:hAnsi="仿宋" w:eastAsia="仿宋" w:cs="仿宋"/>
          <w:sz w:val="24"/>
          <w:highlight w:val="none"/>
        </w:rPr>
      </w:pPr>
      <w:r>
        <w:rPr>
          <w:rFonts w:hint="eastAsia" w:ascii="仿宋" w:hAnsi="仿宋" w:eastAsia="仿宋" w:cs="仿宋"/>
          <w:sz w:val="24"/>
          <w:highlight w:val="none"/>
        </w:rPr>
        <w:t>特此声明。</w:t>
      </w:r>
    </w:p>
    <w:p w14:paraId="316FB8AA">
      <w:pPr>
        <w:pStyle w:val="2"/>
        <w:rPr>
          <w:rFonts w:hint="eastAsia" w:ascii="仿宋" w:hAnsi="仿宋" w:eastAsia="仿宋" w:cs="仿宋"/>
          <w:sz w:val="24"/>
          <w:highlight w:val="none"/>
        </w:rPr>
      </w:pPr>
    </w:p>
    <w:p w14:paraId="7FC899D2">
      <w:pPr>
        <w:pStyle w:val="2"/>
        <w:rPr>
          <w:rFonts w:hint="eastAsia" w:ascii="仿宋" w:hAnsi="仿宋" w:eastAsia="仿宋" w:cs="仿宋"/>
          <w:sz w:val="24"/>
          <w:highlight w:val="none"/>
        </w:rPr>
      </w:pPr>
    </w:p>
    <w:p w14:paraId="0133624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31BAD2E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1DD5E6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64001B4">
      <w:pPr>
        <w:pStyle w:val="2"/>
        <w:rPr>
          <w:rFonts w:hint="eastAsia" w:ascii="仿宋" w:hAnsi="仿宋" w:eastAsia="仿宋" w:cs="仿宋"/>
          <w:sz w:val="24"/>
          <w:highlight w:val="none"/>
        </w:rPr>
      </w:pPr>
    </w:p>
    <w:p w14:paraId="24D19B8E">
      <w:pPr>
        <w:keepNext w:val="0"/>
        <w:keepLines w:val="0"/>
        <w:pageBreakBefore w:val="0"/>
        <w:widowControl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kern w:val="2"/>
          <w:sz w:val="24"/>
          <w:szCs w:val="24"/>
          <w:highlight w:val="none"/>
        </w:rPr>
      </w:pPr>
    </w:p>
    <w:p w14:paraId="141B6FF3">
      <w:pPr>
        <w:pageBreakBefore w:val="0"/>
        <w:kinsoku/>
        <w:wordWrap w:val="0"/>
        <w:overflowPunct/>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08FEC17">
      <w:pPr>
        <w:pStyle w:val="13"/>
        <w:pageBreakBefore w:val="0"/>
        <w:kinsoku/>
        <w:wordWrap w:val="0"/>
        <w:overflowPunct/>
        <w:bidi w:val="0"/>
        <w:rPr>
          <w:rFonts w:hint="eastAsia" w:ascii="仿宋" w:hAnsi="仿宋" w:eastAsia="仿宋" w:cs="仿宋"/>
          <w:color w:val="auto"/>
          <w:highlight w:val="none"/>
        </w:rPr>
      </w:pPr>
    </w:p>
    <w:bookmarkEnd w:id="187"/>
    <w:bookmarkEnd w:id="188"/>
    <w:p w14:paraId="6936F2D0">
      <w:pPr>
        <w:pageBreakBefore w:val="0"/>
        <w:kinsoku/>
        <w:wordWrap w:val="0"/>
        <w:bidi w:val="0"/>
        <w:jc w:val="center"/>
        <w:rPr>
          <w:rFonts w:hint="eastAsia" w:ascii="仿宋" w:hAnsi="仿宋" w:eastAsia="仿宋" w:cs="仿宋"/>
          <w:color w:val="000000"/>
          <w:szCs w:val="24"/>
          <w:highlight w:val="none"/>
        </w:rPr>
      </w:pPr>
      <w:r>
        <w:rPr>
          <w:rFonts w:hint="eastAsia" w:ascii="仿宋" w:hAnsi="仿宋" w:eastAsia="仿宋" w:cs="仿宋"/>
          <w:b/>
          <w:bCs/>
          <w:color w:val="000000"/>
          <w:sz w:val="32"/>
          <w:szCs w:val="32"/>
          <w:highlight w:val="none"/>
          <w:lang w:eastAsia="zh-CN"/>
        </w:rPr>
        <w:t>（</w:t>
      </w:r>
      <w:r>
        <w:rPr>
          <w:rFonts w:hint="eastAsia" w:ascii="仿宋" w:hAnsi="仿宋" w:eastAsia="仿宋" w:cs="仿宋"/>
          <w:b/>
          <w:bCs/>
          <w:color w:val="000000"/>
          <w:sz w:val="32"/>
          <w:szCs w:val="32"/>
          <w:highlight w:val="none"/>
          <w:lang w:val="en-US" w:eastAsia="zh-CN"/>
        </w:rPr>
        <w:t>2</w:t>
      </w:r>
      <w:r>
        <w:rPr>
          <w:rFonts w:hint="eastAsia" w:ascii="仿宋" w:hAnsi="仿宋" w:eastAsia="仿宋" w:cs="仿宋"/>
          <w:b/>
          <w:bCs/>
          <w:color w:val="000000"/>
          <w:sz w:val="32"/>
          <w:szCs w:val="32"/>
          <w:highlight w:val="none"/>
          <w:lang w:eastAsia="zh-CN"/>
        </w:rPr>
        <w:t>）</w:t>
      </w:r>
      <w:r>
        <w:rPr>
          <w:rFonts w:hint="eastAsia" w:ascii="仿宋" w:hAnsi="仿宋" w:eastAsia="仿宋" w:cs="仿宋"/>
          <w:b/>
          <w:bCs/>
          <w:color w:val="000000"/>
          <w:sz w:val="32"/>
          <w:szCs w:val="32"/>
          <w:highlight w:val="none"/>
          <w:lang w:eastAsia="zh-CN"/>
        </w:rPr>
        <w:tab/>
      </w:r>
      <w:r>
        <w:rPr>
          <w:rFonts w:hint="eastAsia" w:ascii="仿宋" w:hAnsi="仿宋" w:eastAsia="仿宋" w:cs="仿宋"/>
          <w:b/>
          <w:bCs/>
          <w:color w:val="000000"/>
          <w:sz w:val="32"/>
          <w:szCs w:val="32"/>
          <w:highlight w:val="none"/>
        </w:rPr>
        <w:t>资格声明函</w:t>
      </w:r>
    </w:p>
    <w:p w14:paraId="0C3CB53E">
      <w:pPr>
        <w:pageBreakBefore w:val="0"/>
        <w:kinsoku/>
        <w:wordWrap w:val="0"/>
        <w:bidi w:val="0"/>
        <w:spacing w:line="360" w:lineRule="auto"/>
        <w:jc w:val="left"/>
        <w:rPr>
          <w:rFonts w:hint="eastAsia" w:ascii="仿宋" w:hAnsi="仿宋" w:eastAsia="仿宋" w:cs="仿宋"/>
          <w:color w:val="000000"/>
          <w:sz w:val="24"/>
          <w:highlight w:val="none"/>
          <w:u w:val="single"/>
          <w:lang w:eastAsia="zh-CN"/>
        </w:rPr>
      </w:pPr>
      <w:r>
        <w:rPr>
          <w:rFonts w:hint="eastAsia" w:ascii="仿宋" w:hAnsi="仿宋" w:eastAsia="仿宋" w:cs="仿宋"/>
          <w:color w:val="000000"/>
          <w:sz w:val="24"/>
          <w:highlight w:val="none"/>
        </w:rPr>
        <w:t>致</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（采购人名称）</w:t>
      </w:r>
      <w:r>
        <w:rPr>
          <w:rFonts w:hint="eastAsia" w:ascii="仿宋" w:hAnsi="仿宋" w:eastAsia="仿宋" w:cs="仿宋"/>
          <w:color w:val="000000" w:themeColor="text1"/>
          <w:sz w:val="24"/>
          <w:highlight w:val="none"/>
          <w:u w:val="none"/>
          <w:lang w:eastAsia="zh-CN"/>
          <w14:textFill>
            <w14:solidFill>
              <w14:schemeClr w14:val="tx1"/>
            </w14:solidFill>
          </w14:textFill>
        </w:rPr>
        <w:t>：</w:t>
      </w:r>
    </w:p>
    <w:p w14:paraId="6546299D">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在参与本次项目竞争中，我方承诺：</w:t>
      </w:r>
    </w:p>
    <w:p w14:paraId="6F4C594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（一）具有独立承担民事责任的能力；</w:t>
      </w:r>
    </w:p>
    <w:p w14:paraId="5ABDA42C">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（二）具有良好的商业信誉和健全的财务会计制度；</w:t>
      </w:r>
    </w:p>
    <w:p w14:paraId="75B16933">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（三）具有履行合同所必需的设备和专业技术能力；</w:t>
      </w:r>
    </w:p>
    <w:p w14:paraId="1AD5E50C">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（四）有依法缴纳税收和社会保障资金的良好记录；</w:t>
      </w:r>
    </w:p>
    <w:p w14:paraId="400FC197">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五）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2C008A3">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（六）我方不属于政府采购法律、行政法规规定的公益一类事业单位、或使用事业编制且由财政拨款保障的群团组织（仅适用于政府购买服务项目）；</w:t>
      </w:r>
    </w:p>
    <w:p w14:paraId="30B889B6">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（七）我方不存在为采购项目提供整体设计、规范编制或者项目管理、监理、检测等服务后，再参加该采购项目的其他采购活动的情形（单一来源采购项目除外）；</w:t>
      </w:r>
    </w:p>
    <w:p w14:paraId="6DE4DCCC">
      <w:pPr>
        <w:pStyle w:val="9"/>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（八）与我方存在“单位负责人为同一人或者存在直接控股、管理关系”的其他法人单位信息如下（如有，不论其是否参加同一合同项下的政府采购活动均须填写）：</w:t>
      </w:r>
    </w:p>
    <w:tbl>
      <w:tblPr>
        <w:tblStyle w:val="23"/>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5608"/>
        <w:gridCol w:w="3288"/>
      </w:tblGrid>
      <w:tr w14:paraId="760F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14:paraId="1DC0DE5A">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序号</w:t>
            </w:r>
          </w:p>
        </w:tc>
        <w:tc>
          <w:tcPr>
            <w:tcW w:w="5420" w:type="dxa"/>
            <w:vAlign w:val="center"/>
          </w:tcPr>
          <w:p w14:paraId="415356BC">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单位名称</w:t>
            </w:r>
          </w:p>
        </w:tc>
        <w:tc>
          <w:tcPr>
            <w:tcW w:w="3178" w:type="dxa"/>
            <w:vAlign w:val="center"/>
          </w:tcPr>
          <w:p w14:paraId="0356A80E">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相互关系</w:t>
            </w:r>
          </w:p>
        </w:tc>
      </w:tr>
      <w:tr w14:paraId="0C189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14:paraId="142EDC96">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1</w:t>
            </w:r>
          </w:p>
        </w:tc>
        <w:tc>
          <w:tcPr>
            <w:tcW w:w="5420" w:type="dxa"/>
            <w:vAlign w:val="center"/>
          </w:tcPr>
          <w:p w14:paraId="7FDB972D">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p>
        </w:tc>
        <w:tc>
          <w:tcPr>
            <w:tcW w:w="3178" w:type="dxa"/>
            <w:vAlign w:val="center"/>
          </w:tcPr>
          <w:p w14:paraId="400511F0">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p>
        </w:tc>
      </w:tr>
      <w:tr w14:paraId="7F83E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14:paraId="3933F90D">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2</w:t>
            </w:r>
          </w:p>
        </w:tc>
        <w:tc>
          <w:tcPr>
            <w:tcW w:w="5420" w:type="dxa"/>
            <w:vAlign w:val="center"/>
          </w:tcPr>
          <w:p w14:paraId="7E0AE87B">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p>
        </w:tc>
        <w:tc>
          <w:tcPr>
            <w:tcW w:w="3178" w:type="dxa"/>
            <w:vAlign w:val="center"/>
          </w:tcPr>
          <w:p w14:paraId="5348BA44">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p>
        </w:tc>
      </w:tr>
      <w:tr w14:paraId="5C4E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 w:type="dxa"/>
            <w:vAlign w:val="center"/>
          </w:tcPr>
          <w:p w14:paraId="2262C244">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w:t>
            </w:r>
          </w:p>
        </w:tc>
        <w:tc>
          <w:tcPr>
            <w:tcW w:w="5420" w:type="dxa"/>
            <w:vAlign w:val="center"/>
          </w:tcPr>
          <w:p w14:paraId="38D902CD">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w:t>
            </w:r>
          </w:p>
        </w:tc>
        <w:tc>
          <w:tcPr>
            <w:tcW w:w="3178" w:type="dxa"/>
            <w:vAlign w:val="center"/>
          </w:tcPr>
          <w:p w14:paraId="3B14A68B">
            <w:pPr>
              <w:pStyle w:val="9"/>
              <w:keepNext w:val="0"/>
              <w:keepLines w:val="0"/>
              <w:pageBreakBefore w:val="0"/>
              <w:widowControl w:val="0"/>
              <w:kinsoku/>
              <w:wordWrap/>
              <w:overflowPunct/>
              <w:topLinePunct w:val="0"/>
              <w:autoSpaceDE/>
              <w:autoSpaceDN/>
              <w:bidi w:val="0"/>
              <w:adjustRightInd/>
              <w:snapToGrid/>
              <w:spacing w:line="440" w:lineRule="exact"/>
              <w:ind w:right="0"/>
              <w:jc w:val="center"/>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t>……</w:t>
            </w:r>
          </w:p>
        </w:tc>
      </w:tr>
    </w:tbl>
    <w:p w14:paraId="35B96C59">
      <w:pPr>
        <w:pStyle w:val="9"/>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singl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上述声明真实有效，否则我方负全部责任。</w:t>
      </w:r>
    </w:p>
    <w:p w14:paraId="5722EC20">
      <w:pPr>
        <w:pStyle w:val="9"/>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注：承诺不实的，依据《政府采购法》第七十七条</w:t>
      </w:r>
      <w:r>
        <w:rPr>
          <w:rFonts w:hint="eastAsia" w:ascii="仿宋" w:hAnsi="仿宋" w:eastAsia="仿宋" w:cs="仿宋"/>
          <w:bCs w:val="0"/>
          <w:iCs w:val="0"/>
          <w:strike w:val="0"/>
          <w:dstrike w:val="0"/>
          <w:color w:val="auto"/>
          <w:kern w:val="2"/>
          <w:sz w:val="24"/>
          <w:szCs w:val="24"/>
          <w:highlight w:val="none"/>
          <w:u w:val="none"/>
          <w:lang w:val="en-US" w:eastAsia="zh-CN" w:bidi="ar-SA"/>
        </w:rPr>
        <w:t>“</w:t>
      </w: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提供虚假材料谋取中标、成交的</w:t>
      </w:r>
      <w:r>
        <w:rPr>
          <w:rFonts w:hint="eastAsia" w:ascii="仿宋" w:hAnsi="仿宋" w:eastAsia="仿宋" w:cs="仿宋"/>
          <w:bCs w:val="0"/>
          <w:iCs w:val="0"/>
          <w:strike w:val="0"/>
          <w:color w:val="auto"/>
          <w:kern w:val="2"/>
          <w:sz w:val="24"/>
          <w:szCs w:val="24"/>
          <w:highlight w:val="none"/>
          <w:u w:val="none"/>
          <w:lang w:val="en-US" w:eastAsia="zh-CN" w:bidi="ar-SA"/>
        </w:rPr>
        <w:t>”</w:t>
      </w: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有关规定予以处理。</w:t>
      </w:r>
    </w:p>
    <w:p w14:paraId="33B6A085">
      <w:pPr>
        <w:pStyle w:val="7"/>
        <w:pageBreakBefore w:val="0"/>
        <w:kinsoku/>
        <w:wordWrap w:val="0"/>
        <w:overflowPunct/>
        <w:bidi w:val="0"/>
        <w:spacing w:line="360" w:lineRule="auto"/>
        <w:ind w:firstLine="0"/>
        <w:rPr>
          <w:rFonts w:hint="eastAsia" w:ascii="仿宋" w:hAnsi="仿宋" w:eastAsia="仿宋" w:cs="仿宋"/>
          <w:color w:val="auto"/>
          <w:highlight w:val="none"/>
        </w:rPr>
      </w:pPr>
    </w:p>
    <w:p w14:paraId="669CFEB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71BF1EF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1487E1A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5091F2E">
      <w:pPr>
        <w:pStyle w:val="7"/>
        <w:pageBreakBefore w:val="0"/>
        <w:kinsoku/>
        <w:wordWrap w:val="0"/>
        <w:overflowPunct/>
        <w:bidi w:val="0"/>
        <w:spacing w:line="360" w:lineRule="auto"/>
        <w:ind w:firstLine="0"/>
        <w:rPr>
          <w:rFonts w:hint="eastAsia" w:ascii="仿宋" w:hAnsi="仿宋" w:eastAsia="仿宋" w:cs="仿宋"/>
          <w:color w:val="auto"/>
          <w:highlight w:val="none"/>
        </w:rPr>
      </w:pPr>
    </w:p>
    <w:p w14:paraId="118C658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877244D">
      <w:pPr>
        <w:pStyle w:val="2"/>
        <w:rPr>
          <w:rFonts w:hint="eastAsia" w:ascii="仿宋" w:hAnsi="仿宋" w:eastAsia="仿宋" w:cs="仿宋"/>
          <w:highlight w:val="none"/>
        </w:rPr>
      </w:pPr>
      <w:bookmarkStart w:id="189" w:name="_Toc11906"/>
    </w:p>
    <w:p w14:paraId="3A8CDFF9">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（七）落实政府采购政策</w:t>
      </w:r>
      <w:bookmarkEnd w:id="189"/>
    </w:p>
    <w:p w14:paraId="37479486">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rPr>
      </w:pPr>
    </w:p>
    <w:p w14:paraId="08689685">
      <w:pPr>
        <w:pageBreakBefore w:val="0"/>
        <w:kinsoku/>
        <w:wordWrap w:val="0"/>
        <w:overflowPunct w:val="0"/>
        <w:topLinePunct/>
        <w:bidi w:val="0"/>
        <w:spacing w:line="360" w:lineRule="auto"/>
        <w:ind w:firstLine="480" w:firstLineChars="200"/>
        <w:jc w:val="lef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（注：小型、微型企业、残疾人福利性单位、监狱企业声明函可根据投标人自身情况</w:t>
      </w:r>
      <w:r>
        <w:rPr>
          <w:rFonts w:hint="eastAsia" w:ascii="仿宋" w:hAnsi="仿宋" w:eastAsia="仿宋" w:cs="仿宋"/>
          <w:color w:val="000000"/>
          <w:sz w:val="24"/>
          <w:highlight w:val="none"/>
          <w:lang w:val="en-US" w:eastAsia="zh-CN"/>
        </w:rPr>
        <w:t>选择</w:t>
      </w:r>
      <w:r>
        <w:rPr>
          <w:rFonts w:hint="eastAsia" w:ascii="仿宋" w:hAnsi="仿宋" w:eastAsia="仿宋" w:cs="仿宋"/>
          <w:color w:val="000000"/>
          <w:sz w:val="24"/>
          <w:highlight w:val="none"/>
        </w:rPr>
        <w:t>1项</w:t>
      </w:r>
      <w:r>
        <w:rPr>
          <w:rFonts w:hint="eastAsia" w:ascii="仿宋" w:hAnsi="仿宋" w:eastAsia="仿宋" w:cs="仿宋"/>
          <w:color w:val="000000"/>
          <w:sz w:val="24"/>
          <w:highlight w:val="none"/>
          <w:lang w:val="zh-CN"/>
        </w:rPr>
        <w:t>填写</w:t>
      </w:r>
      <w:r>
        <w:rPr>
          <w:rFonts w:hint="eastAsia" w:ascii="仿宋" w:hAnsi="仿宋" w:eastAsia="仿宋" w:cs="仿宋"/>
          <w:color w:val="000000"/>
          <w:sz w:val="24"/>
          <w:highlight w:val="none"/>
          <w:lang w:val="en-US" w:eastAsia="zh-CN"/>
        </w:rPr>
        <w:t>或不填写</w:t>
      </w:r>
      <w:r>
        <w:rPr>
          <w:rFonts w:hint="eastAsia" w:ascii="仿宋" w:hAnsi="仿宋" w:eastAsia="仿宋" w:cs="仿宋"/>
          <w:color w:val="000000"/>
          <w:sz w:val="24"/>
          <w:highlight w:val="none"/>
          <w:lang w:val="zh-CN"/>
        </w:rPr>
        <w:t>）</w:t>
      </w:r>
    </w:p>
    <w:p w14:paraId="395A8469">
      <w:pPr>
        <w:pStyle w:val="2"/>
        <w:rPr>
          <w:rFonts w:hint="eastAsia" w:ascii="仿宋" w:hAnsi="仿宋" w:eastAsia="仿宋" w:cs="仿宋"/>
          <w:highlight w:val="none"/>
        </w:rPr>
      </w:pPr>
    </w:p>
    <w:p w14:paraId="1FFA6AF8">
      <w:pPr>
        <w:pageBreakBefore w:val="0"/>
        <w:kinsoku/>
        <w:wordWrap w:val="0"/>
        <w:overflowPunct/>
        <w:bidi w:val="0"/>
        <w:spacing w:line="360" w:lineRule="auto"/>
        <w:ind w:firstLine="723" w:firstLineChars="200"/>
        <w:jc w:val="center"/>
        <w:rPr>
          <w:rFonts w:hint="eastAsia" w:ascii="仿宋" w:hAnsi="仿宋" w:eastAsia="仿宋" w:cs="仿宋"/>
          <w:b/>
          <w:bCs/>
          <w:color w:val="auto"/>
          <w:sz w:val="36"/>
          <w:szCs w:val="36"/>
          <w:highlight w:val="none"/>
          <w:lang w:val="en-US" w:eastAsia="zh-CN"/>
        </w:rPr>
      </w:pPr>
      <w:bookmarkStart w:id="190" w:name="_Toc16667"/>
      <w:bookmarkStart w:id="191" w:name="_Toc32564"/>
      <w:bookmarkStart w:id="192" w:name="_Toc15831"/>
      <w:bookmarkStart w:id="193" w:name="_Toc11649"/>
      <w:bookmarkStart w:id="194" w:name="_Toc31351"/>
      <w:bookmarkStart w:id="195" w:name="_Toc29070"/>
      <w:bookmarkStart w:id="196" w:name="_Toc6532"/>
      <w:bookmarkStart w:id="197" w:name="_Toc29802"/>
      <w:bookmarkStart w:id="198" w:name="_Toc13683"/>
      <w:bookmarkStart w:id="199" w:name="_Toc5567"/>
      <w:bookmarkStart w:id="200" w:name="_Toc18460"/>
      <w:bookmarkStart w:id="201" w:name="_Toc3101"/>
      <w:bookmarkStart w:id="202" w:name="_Toc31097"/>
      <w:bookmarkStart w:id="203" w:name="_Toc9989"/>
      <w:bookmarkStart w:id="204" w:name="_Toc4785"/>
      <w:bookmarkStart w:id="205" w:name="_Toc6169"/>
      <w:bookmarkStart w:id="206" w:name="_Toc3382"/>
      <w:bookmarkStart w:id="207" w:name="_Toc29581"/>
      <w:bookmarkStart w:id="208" w:name="_Toc25444"/>
      <w:bookmarkStart w:id="209" w:name="_Toc9189"/>
      <w:bookmarkStart w:id="210" w:name="_Toc10388"/>
      <w:bookmarkStart w:id="211" w:name="_Toc16149"/>
      <w:bookmarkStart w:id="212" w:name="_Toc4362"/>
      <w:bookmarkStart w:id="213" w:name="_Toc7953"/>
      <w:bookmarkStart w:id="214" w:name="_Toc30990"/>
      <w:r>
        <w:rPr>
          <w:rFonts w:hint="eastAsia" w:ascii="仿宋" w:hAnsi="仿宋" w:eastAsia="仿宋" w:cs="仿宋"/>
          <w:b/>
          <w:bCs/>
          <w:color w:val="auto"/>
          <w:sz w:val="36"/>
          <w:szCs w:val="36"/>
          <w:highlight w:val="none"/>
          <w:lang w:val="en-US" w:eastAsia="zh-CN"/>
        </w:rPr>
        <w:t>中小企业声明函（货物）</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Pr>
          <w:rFonts w:hint="eastAsia" w:ascii="仿宋" w:hAnsi="仿宋" w:eastAsia="仿宋" w:cs="仿宋"/>
          <w:b/>
          <w:bCs/>
          <w:color w:val="auto"/>
          <w:sz w:val="36"/>
          <w:szCs w:val="36"/>
          <w:highlight w:val="none"/>
          <w:lang w:val="en-US" w:eastAsia="zh-CN"/>
        </w:rPr>
        <w:t>（按需提供）</w:t>
      </w:r>
    </w:p>
    <w:p w14:paraId="69E87D65">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000000"/>
          <w:sz w:val="24"/>
          <w:szCs w:val="24"/>
          <w:highlight w:val="none"/>
          <w:lang w:val="en-US" w:eastAsia="zh-CN"/>
        </w:rPr>
      </w:pPr>
      <w:r>
        <w:rPr>
          <w:rFonts w:hint="eastAsia" w:ascii="仿宋" w:hAnsi="仿宋" w:eastAsia="仿宋" w:cs="仿宋"/>
          <w:i w:val="0"/>
          <w:iCs w:val="0"/>
          <w:color w:val="000000"/>
          <w:sz w:val="24"/>
          <w:szCs w:val="24"/>
          <w:highlight w:val="none"/>
          <w:lang w:val="en-US" w:eastAsia="zh-CN"/>
        </w:rPr>
        <w:t>本公司（联合体）郑重声明，根据《政府采购促进中小企业发展管理办法》（财库</w:t>
      </w:r>
      <w:r>
        <w:rPr>
          <w:rFonts w:hint="eastAsia" w:ascii="仿宋" w:hAnsi="仿宋" w:eastAsia="仿宋" w:cs="仿宋"/>
          <w:i w:val="0"/>
          <w:iCs w:val="0"/>
          <w:strike w:val="0"/>
          <w:dstrike w:val="0"/>
          <w:color w:val="auto"/>
          <w:sz w:val="24"/>
          <w:szCs w:val="24"/>
          <w:highlight w:val="none"/>
          <w:lang w:val="en-US" w:eastAsia="zh-CN"/>
        </w:rPr>
        <w:t>〔</w:t>
      </w:r>
      <w:r>
        <w:rPr>
          <w:rFonts w:hint="eastAsia" w:ascii="仿宋" w:hAnsi="仿宋" w:eastAsia="仿宋" w:cs="仿宋"/>
          <w:i w:val="0"/>
          <w:iCs w:val="0"/>
          <w:color w:val="000000"/>
          <w:sz w:val="24"/>
          <w:szCs w:val="24"/>
          <w:highlight w:val="none"/>
          <w:lang w:val="en-US" w:eastAsia="zh-CN"/>
        </w:rPr>
        <w:t>2020</w:t>
      </w:r>
      <w:r>
        <w:rPr>
          <w:rFonts w:hint="eastAsia" w:ascii="仿宋" w:hAnsi="仿宋" w:eastAsia="仿宋" w:cs="仿宋"/>
          <w:i w:val="0"/>
          <w:iCs w:val="0"/>
          <w:strike w:val="0"/>
          <w:dstrike w:val="0"/>
          <w:color w:val="auto"/>
          <w:sz w:val="24"/>
          <w:szCs w:val="24"/>
          <w:highlight w:val="none"/>
          <w:lang w:val="en-US" w:eastAsia="zh-CN"/>
        </w:rPr>
        <w:t>〕</w:t>
      </w:r>
      <w:r>
        <w:rPr>
          <w:rFonts w:hint="eastAsia" w:ascii="仿宋" w:hAnsi="仿宋" w:eastAsia="仿宋" w:cs="仿宋"/>
          <w:i w:val="0"/>
          <w:iCs w:val="0"/>
          <w:color w:val="000000"/>
          <w:sz w:val="24"/>
          <w:szCs w:val="24"/>
          <w:highlight w:val="none"/>
          <w:lang w:val="en-US" w:eastAsia="zh-CN"/>
        </w:rPr>
        <w:t>46号）的规定，本公司（联合体）参加</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u w:val="none"/>
          <w:lang w:val="en-US" w:eastAsia="zh-CN"/>
        </w:rPr>
        <w:t>（单位名称）的</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u w:val="none"/>
          <w:lang w:val="en-US" w:eastAsia="zh-CN"/>
        </w:rPr>
        <w:t>（项目名称）</w:t>
      </w:r>
      <w:r>
        <w:rPr>
          <w:rFonts w:hint="eastAsia" w:ascii="仿宋" w:hAnsi="仿宋" w:eastAsia="仿宋" w:cs="仿宋"/>
          <w:i w:val="0"/>
          <w:iCs w:val="0"/>
          <w:color w:val="000000"/>
          <w:sz w:val="24"/>
          <w:szCs w:val="24"/>
          <w:highlight w:val="none"/>
          <w:lang w:val="en-US" w:eastAsia="zh-CN"/>
        </w:rPr>
        <w:t>采购活动，货物全部由符合政策要求的中小企业承接。相关企业（含联合体中的中小企业、签订分包意向协议的中小企业）的具体情况如下：</w:t>
      </w:r>
    </w:p>
    <w:p w14:paraId="08419807">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000000"/>
          <w:sz w:val="24"/>
          <w:szCs w:val="24"/>
          <w:highlight w:val="none"/>
          <w:lang w:val="en-US" w:eastAsia="zh-CN"/>
        </w:rPr>
      </w:pPr>
      <w:r>
        <w:rPr>
          <w:rFonts w:hint="eastAsia" w:ascii="仿宋" w:hAnsi="仿宋" w:eastAsia="仿宋" w:cs="仿宋"/>
          <w:i w:val="0"/>
          <w:iCs w:val="0"/>
          <w:color w:val="000000"/>
          <w:sz w:val="24"/>
          <w:szCs w:val="24"/>
          <w:highlight w:val="none"/>
          <w:lang w:val="en-US" w:eastAsia="zh-CN"/>
        </w:rPr>
        <w:t>1.（</w:t>
      </w:r>
      <w:r>
        <w:rPr>
          <w:rFonts w:hint="eastAsia" w:ascii="仿宋" w:hAnsi="仿宋" w:eastAsia="仿宋" w:cs="仿宋"/>
          <w:i w:val="0"/>
          <w:iCs w:val="0"/>
          <w:color w:val="000000"/>
          <w:sz w:val="24"/>
          <w:szCs w:val="24"/>
          <w:highlight w:val="none"/>
          <w:u w:val="single"/>
          <w:lang w:val="en-US" w:eastAsia="zh-CN"/>
        </w:rPr>
        <w:t>标的名称</w:t>
      </w:r>
      <w:r>
        <w:rPr>
          <w:rFonts w:hint="eastAsia" w:ascii="仿宋" w:hAnsi="仿宋" w:eastAsia="仿宋" w:cs="仿宋"/>
          <w:i w:val="0"/>
          <w:iCs w:val="0"/>
          <w:color w:val="000000"/>
          <w:sz w:val="24"/>
          <w:szCs w:val="24"/>
          <w:highlight w:val="none"/>
          <w:lang w:val="en-US" w:eastAsia="zh-CN"/>
        </w:rPr>
        <w:t>），属于（</w:t>
      </w:r>
      <w:r>
        <w:rPr>
          <w:rFonts w:hint="eastAsia" w:ascii="仿宋" w:hAnsi="仿宋" w:eastAsia="仿宋" w:cs="仿宋"/>
          <w:i w:val="0"/>
          <w:iCs w:val="0"/>
          <w:color w:val="000000"/>
          <w:sz w:val="24"/>
          <w:szCs w:val="24"/>
          <w:highlight w:val="none"/>
          <w:u w:val="single"/>
          <w:lang w:val="en-US" w:eastAsia="zh-CN"/>
        </w:rPr>
        <w:t>采购文件中明确的所属行业</w:t>
      </w:r>
      <w:r>
        <w:rPr>
          <w:rFonts w:hint="eastAsia" w:ascii="仿宋" w:hAnsi="仿宋" w:eastAsia="仿宋" w:cs="仿宋"/>
          <w:i w:val="0"/>
          <w:iCs w:val="0"/>
          <w:color w:val="000000"/>
          <w:sz w:val="24"/>
          <w:szCs w:val="24"/>
          <w:highlight w:val="none"/>
          <w:lang w:val="en-US" w:eastAsia="zh-CN"/>
        </w:rPr>
        <w:t>）；制造商为（</w:t>
      </w:r>
      <w:r>
        <w:rPr>
          <w:rFonts w:hint="eastAsia" w:ascii="仿宋" w:hAnsi="仿宋" w:eastAsia="仿宋" w:cs="仿宋"/>
          <w:i w:val="0"/>
          <w:iCs w:val="0"/>
          <w:color w:val="000000"/>
          <w:sz w:val="24"/>
          <w:szCs w:val="24"/>
          <w:highlight w:val="none"/>
          <w:u w:val="single"/>
          <w:lang w:val="en-US" w:eastAsia="zh-CN"/>
        </w:rPr>
        <w:t>企业名称</w:t>
      </w:r>
      <w:r>
        <w:rPr>
          <w:rFonts w:hint="eastAsia" w:ascii="仿宋" w:hAnsi="仿宋" w:eastAsia="仿宋" w:cs="仿宋"/>
          <w:i w:val="0"/>
          <w:iCs w:val="0"/>
          <w:color w:val="000000"/>
          <w:sz w:val="24"/>
          <w:szCs w:val="24"/>
          <w:highlight w:val="none"/>
          <w:lang w:val="en-US" w:eastAsia="zh-CN"/>
        </w:rPr>
        <w:t>），从业人员</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人，营业收入为</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万元，资产总额为</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万元，属于</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（中型企业、小型企业、微型企业）；</w:t>
      </w:r>
    </w:p>
    <w:p w14:paraId="17CBE9D8">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000000"/>
          <w:sz w:val="24"/>
          <w:szCs w:val="24"/>
          <w:highlight w:val="none"/>
          <w:lang w:val="en-US" w:eastAsia="zh-CN"/>
        </w:rPr>
      </w:pPr>
      <w:r>
        <w:rPr>
          <w:rFonts w:hint="eastAsia" w:ascii="仿宋" w:hAnsi="仿宋" w:eastAsia="仿宋" w:cs="仿宋"/>
          <w:i w:val="0"/>
          <w:iCs w:val="0"/>
          <w:color w:val="000000"/>
          <w:sz w:val="24"/>
          <w:szCs w:val="24"/>
          <w:highlight w:val="none"/>
          <w:lang w:val="en-US" w:eastAsia="zh-CN"/>
        </w:rPr>
        <w:t>2.（</w:t>
      </w:r>
      <w:r>
        <w:rPr>
          <w:rFonts w:hint="eastAsia" w:ascii="仿宋" w:hAnsi="仿宋" w:eastAsia="仿宋" w:cs="仿宋"/>
          <w:i w:val="0"/>
          <w:iCs w:val="0"/>
          <w:color w:val="000000"/>
          <w:sz w:val="24"/>
          <w:szCs w:val="24"/>
          <w:highlight w:val="none"/>
          <w:u w:val="single"/>
          <w:lang w:val="en-US" w:eastAsia="zh-CN"/>
        </w:rPr>
        <w:t>标的名称</w:t>
      </w:r>
      <w:r>
        <w:rPr>
          <w:rFonts w:hint="eastAsia" w:ascii="仿宋" w:hAnsi="仿宋" w:eastAsia="仿宋" w:cs="仿宋"/>
          <w:i w:val="0"/>
          <w:iCs w:val="0"/>
          <w:color w:val="000000"/>
          <w:sz w:val="24"/>
          <w:szCs w:val="24"/>
          <w:highlight w:val="none"/>
          <w:lang w:val="en-US" w:eastAsia="zh-CN"/>
        </w:rPr>
        <w:t>），属于（</w:t>
      </w:r>
      <w:r>
        <w:rPr>
          <w:rFonts w:hint="eastAsia" w:ascii="仿宋" w:hAnsi="仿宋" w:eastAsia="仿宋" w:cs="仿宋"/>
          <w:i w:val="0"/>
          <w:iCs w:val="0"/>
          <w:color w:val="000000"/>
          <w:sz w:val="24"/>
          <w:szCs w:val="24"/>
          <w:highlight w:val="none"/>
          <w:u w:val="single"/>
          <w:lang w:val="en-US" w:eastAsia="zh-CN"/>
        </w:rPr>
        <w:t>采购文件中明确的所属行业</w:t>
      </w:r>
      <w:r>
        <w:rPr>
          <w:rFonts w:hint="eastAsia" w:ascii="仿宋" w:hAnsi="仿宋" w:eastAsia="仿宋" w:cs="仿宋"/>
          <w:i w:val="0"/>
          <w:iCs w:val="0"/>
          <w:color w:val="000000"/>
          <w:sz w:val="24"/>
          <w:szCs w:val="24"/>
          <w:highlight w:val="none"/>
          <w:lang w:val="en-US" w:eastAsia="zh-CN"/>
        </w:rPr>
        <w:t>）；制造商为（</w:t>
      </w:r>
      <w:r>
        <w:rPr>
          <w:rFonts w:hint="eastAsia" w:ascii="仿宋" w:hAnsi="仿宋" w:eastAsia="仿宋" w:cs="仿宋"/>
          <w:i w:val="0"/>
          <w:iCs w:val="0"/>
          <w:color w:val="000000"/>
          <w:sz w:val="24"/>
          <w:szCs w:val="24"/>
          <w:highlight w:val="none"/>
          <w:u w:val="single"/>
          <w:lang w:val="en-US" w:eastAsia="zh-CN"/>
        </w:rPr>
        <w:t>企业名称</w:t>
      </w:r>
      <w:r>
        <w:rPr>
          <w:rFonts w:hint="eastAsia" w:ascii="仿宋" w:hAnsi="仿宋" w:eastAsia="仿宋" w:cs="仿宋"/>
          <w:i w:val="0"/>
          <w:iCs w:val="0"/>
          <w:color w:val="000000"/>
          <w:sz w:val="24"/>
          <w:szCs w:val="24"/>
          <w:highlight w:val="none"/>
          <w:lang w:val="en-US" w:eastAsia="zh-CN"/>
        </w:rPr>
        <w:t>），从业人员</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人，营业收入为</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万元，资产总额为</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万元，属于</w:t>
      </w:r>
      <w:r>
        <w:rPr>
          <w:rFonts w:hint="eastAsia" w:ascii="仿宋" w:hAnsi="仿宋" w:eastAsia="仿宋" w:cs="仿宋"/>
          <w:i w:val="0"/>
          <w:iCs w:val="0"/>
          <w:color w:val="000000"/>
          <w:sz w:val="24"/>
          <w:szCs w:val="24"/>
          <w:highlight w:val="none"/>
          <w:u w:val="single"/>
          <w:lang w:val="en-US" w:eastAsia="zh-CN"/>
        </w:rPr>
        <w:t xml:space="preserve">         </w:t>
      </w:r>
      <w:r>
        <w:rPr>
          <w:rFonts w:hint="eastAsia" w:ascii="仿宋" w:hAnsi="仿宋" w:eastAsia="仿宋" w:cs="仿宋"/>
          <w:i w:val="0"/>
          <w:iCs w:val="0"/>
          <w:color w:val="000000"/>
          <w:sz w:val="24"/>
          <w:szCs w:val="24"/>
          <w:highlight w:val="none"/>
          <w:lang w:val="en-US" w:eastAsia="zh-CN"/>
        </w:rPr>
        <w:t>（中型企业、小型企业、微型企业）；</w:t>
      </w:r>
    </w:p>
    <w:p w14:paraId="1B986364">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w:t>
      </w:r>
    </w:p>
    <w:p w14:paraId="3F0C17DD">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以上企业，不属于大企业的分支机构，不存在控股股东为大企业的情形，也不存在与大企业的负责人为同一人的情形。</w:t>
      </w:r>
    </w:p>
    <w:p w14:paraId="1EE57C88">
      <w:pPr>
        <w:keepNext w:val="0"/>
        <w:keepLines w:val="0"/>
        <w:pageBreakBefore w:val="0"/>
        <w:widowControl w:val="0"/>
        <w:kinsoku/>
        <w:wordWrap w:val="0"/>
        <w:overflowPunct w:val="0"/>
        <w:topLinePunct/>
        <w:autoSpaceDE/>
        <w:autoSpaceDN/>
        <w:bidi w:val="0"/>
        <w:adjustRightInd/>
        <w:snapToGrid/>
        <w:spacing w:line="360" w:lineRule="auto"/>
        <w:ind w:firstLine="480" w:firstLineChars="20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本企业对上述声明内容的真实性负责。如有虚假，将依法承担相应责任。</w:t>
      </w:r>
    </w:p>
    <w:p w14:paraId="7051A6BD">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000000"/>
          <w:sz w:val="24"/>
          <w:szCs w:val="24"/>
          <w:highlight w:val="none"/>
          <w:lang w:val="en-US" w:eastAsia="zh-CN"/>
        </w:rPr>
      </w:pPr>
    </w:p>
    <w:p w14:paraId="512BED2A">
      <w:pPr>
        <w:pStyle w:val="9"/>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000000"/>
          <w:highlight w:val="none"/>
          <w:lang w:val="en-US" w:eastAsia="zh-CN"/>
        </w:rPr>
      </w:pPr>
    </w:p>
    <w:p w14:paraId="1D4C046C">
      <w:pPr>
        <w:keepNext w:val="0"/>
        <w:keepLines w:val="0"/>
        <w:pageBreakBefore w:val="0"/>
        <w:widowControl w:val="0"/>
        <w:kinsoku/>
        <w:wordWrap w:val="0"/>
        <w:overflowPunct w:val="0"/>
        <w:topLinePunct/>
        <w:autoSpaceDE/>
        <w:autoSpaceDN/>
        <w:bidi w:val="0"/>
        <w:adjustRightInd/>
        <w:snapToGrid/>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企业名称：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（盖章）</w:t>
      </w:r>
    </w:p>
    <w:p w14:paraId="6DD078E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日期：   年   月   日</w:t>
      </w:r>
    </w:p>
    <w:p w14:paraId="4F20B2E2">
      <w:pPr>
        <w:pStyle w:val="9"/>
        <w:keepNext w:val="0"/>
        <w:keepLines w:val="0"/>
        <w:pageBreakBefore w:val="0"/>
        <w:widowControl w:val="0"/>
        <w:kinsoku/>
        <w:wordWrap w:val="0"/>
        <w:overflowPunct w:val="0"/>
        <w:topLinePunct/>
        <w:autoSpaceDE/>
        <w:autoSpaceDN/>
        <w:bidi w:val="0"/>
        <w:adjustRightInd/>
        <w:snapToGrid/>
        <w:ind w:firstLine="480" w:firstLineChars="200"/>
        <w:rPr>
          <w:rFonts w:hint="eastAsia" w:ascii="仿宋" w:hAnsi="仿宋" w:eastAsia="仿宋" w:cs="仿宋"/>
          <w:color w:val="000000"/>
          <w:sz w:val="24"/>
          <w:szCs w:val="24"/>
          <w:highlight w:val="none"/>
          <w:lang w:val="en-US" w:eastAsia="zh-CN"/>
        </w:rPr>
      </w:pPr>
    </w:p>
    <w:p w14:paraId="2AE4516C">
      <w:pPr>
        <w:pStyle w:val="9"/>
        <w:keepNext w:val="0"/>
        <w:keepLines w:val="0"/>
        <w:pageBreakBefore w:val="0"/>
        <w:widowControl w:val="0"/>
        <w:kinsoku/>
        <w:wordWrap w:val="0"/>
        <w:overflowPunct w:val="0"/>
        <w:topLinePunct/>
        <w:autoSpaceDE/>
        <w:autoSpaceDN/>
        <w:bidi w:val="0"/>
        <w:adjustRightInd/>
        <w:snapToGrid/>
        <w:spacing w:line="0" w:lineRule="atLeast"/>
        <w:ind w:firstLine="420" w:firstLineChars="200"/>
        <w:jc w:val="left"/>
        <w:textAlignment w:val="auto"/>
        <w:rPr>
          <w:rFonts w:hint="eastAsia" w:ascii="仿宋" w:hAnsi="仿宋" w:eastAsia="仿宋" w:cs="仿宋"/>
          <w:color w:val="000000"/>
          <w:sz w:val="21"/>
          <w:szCs w:val="21"/>
          <w:highlight w:val="none"/>
          <w:lang w:val="en-US" w:eastAsia="zh-CN"/>
        </w:rPr>
      </w:pPr>
    </w:p>
    <w:p w14:paraId="2368A742">
      <w:pPr>
        <w:pStyle w:val="9"/>
        <w:keepNext w:val="0"/>
        <w:keepLines w:val="0"/>
        <w:pageBreakBefore w:val="0"/>
        <w:widowControl w:val="0"/>
        <w:kinsoku/>
        <w:wordWrap w:val="0"/>
        <w:overflowPunct w:val="0"/>
        <w:topLinePunct/>
        <w:autoSpaceDE/>
        <w:autoSpaceDN/>
        <w:bidi w:val="0"/>
        <w:adjustRightInd/>
        <w:snapToGrid/>
        <w:spacing w:line="0" w:lineRule="atLeast"/>
        <w:ind w:firstLine="420" w:firstLineChars="200"/>
        <w:jc w:val="left"/>
        <w:textAlignment w:val="auto"/>
        <w:rPr>
          <w:rFonts w:hint="eastAsia" w:ascii="仿宋" w:hAnsi="仿宋" w:eastAsia="仿宋" w:cs="仿宋"/>
          <w:color w:val="000000"/>
          <w:sz w:val="21"/>
          <w:szCs w:val="21"/>
          <w:highlight w:val="none"/>
          <w:lang w:val="en-US" w:eastAsia="zh-CN"/>
        </w:rPr>
      </w:pPr>
    </w:p>
    <w:p w14:paraId="2DDD93F5">
      <w:pPr>
        <w:pageBreakBefore w:val="0"/>
        <w:widowControl/>
        <w:kinsoku/>
        <w:wordWrap w:val="0"/>
        <w:bidi w:val="0"/>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注：从业人员、营业收入、资产总额填报上一年度数据，无上一年度数据的新成立企业可不填报。</w:t>
      </w:r>
    </w:p>
    <w:p w14:paraId="48457075">
      <w:pPr>
        <w:rPr>
          <w:rFonts w:hint="eastAsia" w:ascii="仿宋" w:hAnsi="仿宋" w:eastAsia="仿宋" w:cs="仿宋"/>
          <w:bCs w:val="0"/>
          <w:color w:val="000000"/>
          <w:sz w:val="30"/>
          <w:szCs w:val="30"/>
          <w:highlight w:val="none"/>
          <w:lang w:val="zh-CN"/>
        </w:rPr>
      </w:pPr>
      <w:bookmarkStart w:id="215" w:name="_Toc4469"/>
      <w:bookmarkStart w:id="216" w:name="_Toc20199"/>
      <w:bookmarkStart w:id="217" w:name="_Toc1592"/>
      <w:bookmarkStart w:id="218" w:name="_Toc24333"/>
      <w:bookmarkStart w:id="219" w:name="_Toc11469"/>
      <w:bookmarkStart w:id="220" w:name="_Toc6911"/>
      <w:bookmarkStart w:id="221" w:name="_Toc12300"/>
      <w:bookmarkStart w:id="222" w:name="_Toc17065"/>
      <w:bookmarkStart w:id="223" w:name="_Toc198"/>
      <w:r>
        <w:rPr>
          <w:rFonts w:hint="eastAsia" w:ascii="仿宋" w:hAnsi="仿宋" w:eastAsia="仿宋" w:cs="仿宋"/>
          <w:bCs w:val="0"/>
          <w:color w:val="000000"/>
          <w:sz w:val="30"/>
          <w:szCs w:val="30"/>
          <w:highlight w:val="none"/>
          <w:lang w:val="zh-CN"/>
        </w:rPr>
        <w:br w:type="page"/>
      </w:r>
    </w:p>
    <w:p w14:paraId="5BB07116">
      <w:pPr>
        <w:pageBreakBefore w:val="0"/>
        <w:kinsoku/>
        <w:wordWrap w:val="0"/>
        <w:overflowPunct/>
        <w:bidi w:val="0"/>
        <w:spacing w:line="360" w:lineRule="auto"/>
        <w:ind w:firstLine="723" w:firstLineChars="200"/>
        <w:jc w:val="center"/>
        <w:rPr>
          <w:rFonts w:hint="eastAsia" w:ascii="仿宋" w:hAnsi="仿宋" w:eastAsia="仿宋" w:cs="仿宋"/>
          <w:b/>
          <w:bCs/>
          <w:color w:val="auto"/>
          <w:sz w:val="36"/>
          <w:szCs w:val="36"/>
          <w:highlight w:val="none"/>
          <w:lang w:val="zh-CN" w:eastAsia="zh-CN"/>
        </w:rPr>
      </w:pPr>
    </w:p>
    <w:p w14:paraId="0D037BF2">
      <w:pPr>
        <w:pageBreakBefore w:val="0"/>
        <w:kinsoku/>
        <w:wordWrap w:val="0"/>
        <w:overflowPunct/>
        <w:bidi w:val="0"/>
        <w:spacing w:line="360" w:lineRule="auto"/>
        <w:ind w:firstLine="723" w:firstLineChars="200"/>
        <w:jc w:val="center"/>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zh-CN" w:eastAsia="zh-CN"/>
        </w:rPr>
        <w:t>残疾人</w:t>
      </w:r>
      <w:r>
        <w:rPr>
          <w:rFonts w:hint="eastAsia" w:ascii="仿宋" w:hAnsi="仿宋" w:eastAsia="仿宋" w:cs="仿宋"/>
          <w:b/>
          <w:bCs/>
          <w:color w:val="auto"/>
          <w:sz w:val="36"/>
          <w:szCs w:val="36"/>
          <w:highlight w:val="none"/>
          <w:lang w:val="en-US" w:eastAsia="zh-CN"/>
        </w:rPr>
        <w:t>福利性单位声明函</w:t>
      </w:r>
      <w:bookmarkEnd w:id="215"/>
      <w:bookmarkEnd w:id="216"/>
      <w:bookmarkEnd w:id="217"/>
      <w:bookmarkEnd w:id="218"/>
      <w:bookmarkEnd w:id="219"/>
      <w:bookmarkEnd w:id="220"/>
      <w:bookmarkEnd w:id="221"/>
      <w:bookmarkEnd w:id="222"/>
      <w:bookmarkEnd w:id="223"/>
      <w:r>
        <w:rPr>
          <w:rFonts w:hint="eastAsia" w:ascii="仿宋" w:hAnsi="仿宋" w:eastAsia="仿宋" w:cs="仿宋"/>
          <w:b/>
          <w:bCs/>
          <w:color w:val="auto"/>
          <w:sz w:val="36"/>
          <w:szCs w:val="36"/>
          <w:highlight w:val="none"/>
          <w:lang w:val="en-US" w:eastAsia="zh-CN"/>
        </w:rPr>
        <w:t>（按需提供）</w:t>
      </w:r>
    </w:p>
    <w:p w14:paraId="0F76FC32">
      <w:pPr>
        <w:pageBreakBefore w:val="0"/>
        <w:kinsoku/>
        <w:wordWrap w:val="0"/>
        <w:overflowPunct w:val="0"/>
        <w:topLinePunct/>
        <w:bidi w:val="0"/>
        <w:spacing w:line="360" w:lineRule="auto"/>
        <w:rPr>
          <w:rFonts w:hint="eastAsia" w:ascii="仿宋" w:hAnsi="仿宋" w:eastAsia="仿宋" w:cs="仿宋"/>
          <w:color w:val="000000"/>
          <w:sz w:val="24"/>
          <w:highlight w:val="none"/>
        </w:rPr>
      </w:pPr>
    </w:p>
    <w:p w14:paraId="4105FA5D">
      <w:pPr>
        <w:pageBreakBefore w:val="0"/>
        <w:kinsoku/>
        <w:wordWrap w:val="0"/>
        <w:overflowPunct w:val="0"/>
        <w:topLinePunct/>
        <w:bidi w:val="0"/>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p>
    <w:p w14:paraId="2154B2FB">
      <w:pPr>
        <w:pageBreakBefore w:val="0"/>
        <w:kinsoku/>
        <w:wordWrap w:val="0"/>
        <w:overflowPunct w:val="0"/>
        <w:topLinePunct/>
        <w:bidi w:val="0"/>
        <w:spacing w:line="360" w:lineRule="auto"/>
        <w:ind w:firstLine="480"/>
        <w:rPr>
          <w:rFonts w:hint="eastAsia" w:ascii="仿宋" w:hAnsi="仿宋" w:eastAsia="仿宋" w:cs="仿宋"/>
          <w:color w:val="000000"/>
          <w:sz w:val="24"/>
          <w:highlight w:val="none"/>
        </w:rPr>
      </w:pPr>
    </w:p>
    <w:p w14:paraId="4FCC9F3C">
      <w:pPr>
        <w:pageBreakBefore w:val="0"/>
        <w:kinsoku/>
        <w:wordWrap w:val="0"/>
        <w:overflowPunct w:val="0"/>
        <w:topLinePunct/>
        <w:bidi w:val="0"/>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注：若无此项内容，可不填写此函。</w:t>
      </w:r>
    </w:p>
    <w:p w14:paraId="5F4510D5">
      <w:pPr>
        <w:pageBreakBefore w:val="0"/>
        <w:kinsoku/>
        <w:wordWrap w:val="0"/>
        <w:overflowPunct w:val="0"/>
        <w:topLinePunct/>
        <w:bidi w:val="0"/>
        <w:spacing w:line="400" w:lineRule="exact"/>
        <w:rPr>
          <w:rFonts w:hint="eastAsia" w:ascii="仿宋" w:hAnsi="仿宋" w:eastAsia="仿宋" w:cs="仿宋"/>
          <w:color w:val="000000"/>
          <w:kern w:val="0"/>
          <w:sz w:val="24"/>
          <w:highlight w:val="none"/>
          <w:lang w:val="zh-CN"/>
        </w:rPr>
      </w:pPr>
    </w:p>
    <w:p w14:paraId="01235CC6">
      <w:pPr>
        <w:pageBreakBefore w:val="0"/>
        <w:kinsoku/>
        <w:wordWrap w:val="0"/>
        <w:overflowPunct w:val="0"/>
        <w:topLinePunct/>
        <w:bidi w:val="0"/>
        <w:spacing w:line="400" w:lineRule="exact"/>
        <w:rPr>
          <w:rFonts w:hint="eastAsia" w:ascii="仿宋" w:hAnsi="仿宋" w:eastAsia="仿宋" w:cs="仿宋"/>
          <w:color w:val="000000"/>
          <w:kern w:val="0"/>
          <w:sz w:val="24"/>
          <w:highlight w:val="none"/>
          <w:lang w:val="zh-CN"/>
        </w:rPr>
      </w:pPr>
    </w:p>
    <w:p w14:paraId="03A078A9">
      <w:pPr>
        <w:pageBreakBefore w:val="0"/>
        <w:kinsoku/>
        <w:wordWrap w:val="0"/>
        <w:overflowPunct w:val="0"/>
        <w:topLinePunct/>
        <w:bidi w:val="0"/>
        <w:spacing w:line="400" w:lineRule="exact"/>
        <w:rPr>
          <w:rFonts w:hint="eastAsia" w:ascii="仿宋" w:hAnsi="仿宋" w:eastAsia="仿宋" w:cs="仿宋"/>
          <w:color w:val="000000"/>
          <w:kern w:val="0"/>
          <w:sz w:val="24"/>
          <w:highlight w:val="none"/>
          <w:lang w:val="zh-CN"/>
        </w:rPr>
      </w:pPr>
    </w:p>
    <w:p w14:paraId="24747898">
      <w:pPr>
        <w:pageBreakBefore w:val="0"/>
        <w:kinsoku/>
        <w:wordWrap w:val="0"/>
        <w:overflowPunct w:val="0"/>
        <w:topLinePunct/>
        <w:bidi w:val="0"/>
        <w:spacing w:line="400" w:lineRule="exact"/>
        <w:rPr>
          <w:rFonts w:hint="eastAsia" w:ascii="仿宋" w:hAnsi="仿宋" w:eastAsia="仿宋" w:cs="仿宋"/>
          <w:color w:val="000000"/>
          <w:kern w:val="0"/>
          <w:sz w:val="24"/>
          <w:highlight w:val="none"/>
          <w:lang w:val="zh-CN"/>
        </w:rPr>
      </w:pPr>
    </w:p>
    <w:p w14:paraId="31BA3241">
      <w:pPr>
        <w:pStyle w:val="9"/>
        <w:pageBreakBefore w:val="0"/>
        <w:kinsoku/>
        <w:wordWrap w:val="0"/>
        <w:bidi w:val="0"/>
        <w:rPr>
          <w:rFonts w:hint="eastAsia" w:ascii="仿宋" w:hAnsi="仿宋" w:eastAsia="仿宋" w:cs="仿宋"/>
          <w:color w:val="000000"/>
          <w:kern w:val="0"/>
          <w:sz w:val="24"/>
          <w:highlight w:val="none"/>
          <w:lang w:val="zh-CN"/>
        </w:rPr>
      </w:pPr>
    </w:p>
    <w:p w14:paraId="66272C36">
      <w:pPr>
        <w:pageBreakBefore w:val="0"/>
        <w:kinsoku/>
        <w:wordWrap w:val="0"/>
        <w:bidi w:val="0"/>
        <w:rPr>
          <w:rFonts w:hint="eastAsia" w:ascii="仿宋" w:hAnsi="仿宋" w:eastAsia="仿宋" w:cs="仿宋"/>
          <w:color w:val="000000"/>
          <w:kern w:val="0"/>
          <w:sz w:val="24"/>
          <w:highlight w:val="none"/>
          <w:lang w:val="zh-CN"/>
        </w:rPr>
      </w:pPr>
    </w:p>
    <w:p w14:paraId="00F11F9C">
      <w:pPr>
        <w:pStyle w:val="9"/>
        <w:pageBreakBefore w:val="0"/>
        <w:kinsoku/>
        <w:wordWrap w:val="0"/>
        <w:bidi w:val="0"/>
        <w:rPr>
          <w:rFonts w:hint="eastAsia" w:ascii="仿宋" w:hAnsi="仿宋" w:eastAsia="仿宋" w:cs="仿宋"/>
          <w:color w:val="000000"/>
          <w:kern w:val="0"/>
          <w:sz w:val="24"/>
          <w:highlight w:val="none"/>
          <w:lang w:val="zh-CN"/>
        </w:rPr>
      </w:pPr>
    </w:p>
    <w:p w14:paraId="7AF376B7">
      <w:pPr>
        <w:pageBreakBefore w:val="0"/>
        <w:kinsoku/>
        <w:wordWrap w:val="0"/>
        <w:bidi w:val="0"/>
        <w:rPr>
          <w:rFonts w:hint="eastAsia" w:ascii="仿宋" w:hAnsi="仿宋" w:eastAsia="仿宋" w:cs="仿宋"/>
          <w:highlight w:val="none"/>
          <w:lang w:val="zh-CN"/>
        </w:rPr>
      </w:pPr>
    </w:p>
    <w:p w14:paraId="7610EFA3">
      <w:pPr>
        <w:pageBreakBefore w:val="0"/>
        <w:kinsoku/>
        <w:wordWrap w:val="0"/>
        <w:overflowPunct w:val="0"/>
        <w:topLinePunct/>
        <w:bidi w:val="0"/>
        <w:spacing w:line="400" w:lineRule="exact"/>
        <w:rPr>
          <w:rFonts w:hint="eastAsia" w:ascii="仿宋" w:hAnsi="仿宋" w:eastAsia="仿宋" w:cs="仿宋"/>
          <w:color w:val="000000"/>
          <w:kern w:val="0"/>
          <w:sz w:val="24"/>
          <w:highlight w:val="none"/>
          <w:lang w:val="zh-CN"/>
        </w:rPr>
      </w:pPr>
    </w:p>
    <w:p w14:paraId="7455F13B">
      <w:pPr>
        <w:pageBreakBefore w:val="0"/>
        <w:kinsoku/>
        <w:wordWrap w:val="0"/>
        <w:overflowPunct w:val="0"/>
        <w:topLinePunct/>
        <w:bidi w:val="0"/>
        <w:spacing w:line="400" w:lineRule="exact"/>
        <w:jc w:val="center"/>
        <w:rPr>
          <w:rFonts w:hint="eastAsia" w:ascii="仿宋" w:hAnsi="仿宋" w:eastAsia="仿宋" w:cs="仿宋"/>
          <w:color w:val="000000"/>
          <w:kern w:val="0"/>
          <w:sz w:val="24"/>
          <w:highlight w:val="none"/>
          <w:lang w:val="zh-CN"/>
        </w:rPr>
      </w:pPr>
      <w:r>
        <w:rPr>
          <w:rFonts w:hint="eastAsia" w:ascii="仿宋" w:hAnsi="仿宋" w:eastAsia="仿宋" w:cs="仿宋"/>
          <w:color w:val="000000"/>
          <w:kern w:val="0"/>
          <w:sz w:val="24"/>
          <w:highlight w:val="none"/>
          <w:lang w:val="zh-CN"/>
        </w:rPr>
        <w:t>投标人：</w:t>
      </w:r>
      <w:r>
        <w:rPr>
          <w:rFonts w:hint="eastAsia" w:ascii="仿宋" w:hAnsi="仿宋" w:eastAsia="仿宋" w:cs="仿宋"/>
          <w:color w:val="000000"/>
          <w:kern w:val="0"/>
          <w:sz w:val="24"/>
          <w:highlight w:val="none"/>
          <w:u w:val="single"/>
          <w:lang w:val="zh-CN"/>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lang w:val="zh-CN"/>
        </w:rPr>
        <w:t>（</w:t>
      </w:r>
      <w:r>
        <w:rPr>
          <w:rFonts w:hint="eastAsia" w:ascii="仿宋" w:hAnsi="仿宋" w:eastAsia="仿宋" w:cs="仿宋"/>
          <w:color w:val="000000"/>
          <w:sz w:val="24"/>
          <w:highlight w:val="none"/>
        </w:rPr>
        <w:t>盖章</w:t>
      </w:r>
      <w:r>
        <w:rPr>
          <w:rFonts w:hint="eastAsia" w:ascii="仿宋" w:hAnsi="仿宋" w:eastAsia="仿宋" w:cs="仿宋"/>
          <w:color w:val="000000"/>
          <w:kern w:val="0"/>
          <w:sz w:val="24"/>
          <w:highlight w:val="none"/>
          <w:lang w:val="zh-CN"/>
        </w:rPr>
        <w:t>）</w:t>
      </w:r>
    </w:p>
    <w:p w14:paraId="01E1F0BD">
      <w:pPr>
        <w:pageBreakBefore w:val="0"/>
        <w:kinsoku/>
        <w:wordWrap w:val="0"/>
        <w:overflowPunct w:val="0"/>
        <w:topLinePunct/>
        <w:bidi w:val="0"/>
        <w:spacing w:line="360" w:lineRule="auto"/>
        <w:jc w:val="center"/>
        <w:rPr>
          <w:rFonts w:hint="eastAsia" w:ascii="仿宋" w:hAnsi="仿宋" w:eastAsia="仿宋" w:cs="仿宋"/>
          <w:color w:val="000000"/>
          <w:kern w:val="0"/>
          <w:sz w:val="24"/>
          <w:highlight w:val="none"/>
          <w:lang w:val="zh-CN"/>
        </w:rPr>
      </w:pPr>
    </w:p>
    <w:p w14:paraId="05EAB2AF">
      <w:pPr>
        <w:pageBreakBefore w:val="0"/>
        <w:kinsoku/>
        <w:wordWrap w:val="0"/>
        <w:overflowPunct w:val="0"/>
        <w:topLinePunct/>
        <w:bidi w:val="0"/>
        <w:spacing w:line="360" w:lineRule="auto"/>
        <w:jc w:val="center"/>
        <w:rPr>
          <w:rFonts w:hint="eastAsia" w:ascii="仿宋" w:hAnsi="仿宋" w:eastAsia="仿宋" w:cs="仿宋"/>
          <w:color w:val="000000"/>
          <w:kern w:val="0"/>
          <w:sz w:val="24"/>
          <w:highlight w:val="none"/>
          <w:lang w:val="zh-CN"/>
        </w:rPr>
      </w:pPr>
      <w:r>
        <w:rPr>
          <w:rFonts w:hint="eastAsia" w:ascii="仿宋" w:hAnsi="仿宋" w:eastAsia="仿宋" w:cs="仿宋"/>
          <w:color w:val="000000"/>
          <w:kern w:val="0"/>
          <w:sz w:val="24"/>
          <w:highlight w:val="none"/>
          <w:lang w:val="zh-CN"/>
        </w:rPr>
        <w:t>日期：</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lang w:val="zh-CN"/>
        </w:rPr>
        <w:t>年</w:t>
      </w:r>
      <w:r>
        <w:rPr>
          <w:rFonts w:hint="eastAsia" w:ascii="仿宋" w:hAnsi="仿宋" w:eastAsia="仿宋" w:cs="仿宋"/>
          <w:color w:val="000000"/>
          <w:kern w:val="0"/>
          <w:sz w:val="24"/>
          <w:highlight w:val="none"/>
          <w:u w:val="single"/>
          <w:lang w:val="zh-CN"/>
        </w:rPr>
        <w:t xml:space="preserve">   </w:t>
      </w:r>
      <w:r>
        <w:rPr>
          <w:rFonts w:hint="eastAsia" w:ascii="仿宋" w:hAnsi="仿宋" w:eastAsia="仿宋" w:cs="仿宋"/>
          <w:color w:val="000000"/>
          <w:kern w:val="0"/>
          <w:sz w:val="24"/>
          <w:highlight w:val="none"/>
          <w:lang w:val="zh-CN"/>
        </w:rPr>
        <w:t>月</w:t>
      </w:r>
      <w:r>
        <w:rPr>
          <w:rFonts w:hint="eastAsia" w:ascii="仿宋" w:hAnsi="仿宋" w:eastAsia="仿宋" w:cs="仿宋"/>
          <w:color w:val="000000"/>
          <w:kern w:val="0"/>
          <w:sz w:val="24"/>
          <w:highlight w:val="none"/>
          <w:u w:val="single"/>
          <w:lang w:val="zh-CN"/>
        </w:rPr>
        <w:t xml:space="preserve">   </w:t>
      </w:r>
      <w:r>
        <w:rPr>
          <w:rFonts w:hint="eastAsia" w:ascii="仿宋" w:hAnsi="仿宋" w:eastAsia="仿宋" w:cs="仿宋"/>
          <w:color w:val="000000"/>
          <w:kern w:val="0"/>
          <w:sz w:val="24"/>
          <w:highlight w:val="none"/>
          <w:lang w:val="zh-CN"/>
        </w:rPr>
        <w:t>日</w:t>
      </w:r>
    </w:p>
    <w:p w14:paraId="6B17B7C7">
      <w:pPr>
        <w:rPr>
          <w:rFonts w:hint="eastAsia" w:ascii="仿宋" w:hAnsi="仿宋" w:eastAsia="仿宋" w:cs="仿宋"/>
          <w:color w:val="000000"/>
          <w:kern w:val="0"/>
          <w:sz w:val="24"/>
          <w:highlight w:val="none"/>
          <w:lang w:val="zh-CN"/>
        </w:rPr>
      </w:pPr>
      <w:r>
        <w:rPr>
          <w:rFonts w:hint="eastAsia" w:ascii="仿宋" w:hAnsi="仿宋" w:eastAsia="仿宋" w:cs="仿宋"/>
          <w:color w:val="000000"/>
          <w:kern w:val="0"/>
          <w:sz w:val="24"/>
          <w:highlight w:val="none"/>
          <w:lang w:val="zh-CN"/>
        </w:rPr>
        <w:br w:type="page"/>
      </w:r>
    </w:p>
    <w:p w14:paraId="69072B8B">
      <w:pPr>
        <w:pStyle w:val="2"/>
        <w:rPr>
          <w:rFonts w:hint="eastAsia" w:ascii="仿宋" w:hAnsi="仿宋" w:eastAsia="仿宋" w:cs="仿宋"/>
          <w:highlight w:val="none"/>
        </w:rPr>
      </w:pPr>
    </w:p>
    <w:p w14:paraId="307FCCDF">
      <w:pPr>
        <w:pageBreakBefore w:val="0"/>
        <w:kinsoku/>
        <w:wordWrap w:val="0"/>
        <w:overflowPunct/>
        <w:bidi w:val="0"/>
        <w:spacing w:line="360" w:lineRule="auto"/>
        <w:ind w:firstLine="723" w:firstLineChars="200"/>
        <w:jc w:val="center"/>
        <w:rPr>
          <w:rFonts w:hint="eastAsia" w:ascii="仿宋" w:hAnsi="仿宋" w:eastAsia="仿宋" w:cs="仿宋"/>
          <w:b/>
          <w:bCs/>
          <w:color w:val="auto"/>
          <w:sz w:val="36"/>
          <w:szCs w:val="36"/>
          <w:highlight w:val="none"/>
          <w:lang w:val="zh-CN" w:eastAsia="zh-CN"/>
        </w:rPr>
      </w:pPr>
      <w:bookmarkStart w:id="224" w:name="_Toc29902"/>
      <w:bookmarkStart w:id="225" w:name="_Toc24152"/>
      <w:r>
        <w:rPr>
          <w:rFonts w:hint="eastAsia" w:ascii="仿宋" w:hAnsi="仿宋" w:eastAsia="仿宋" w:cs="仿宋"/>
          <w:b/>
          <w:bCs/>
          <w:color w:val="auto"/>
          <w:sz w:val="36"/>
          <w:szCs w:val="36"/>
          <w:highlight w:val="none"/>
          <w:lang w:val="zh-CN" w:eastAsia="zh-CN"/>
        </w:rPr>
        <w:t>监狱企业证明文件（按需提供）</w:t>
      </w:r>
      <w:bookmarkEnd w:id="224"/>
      <w:bookmarkEnd w:id="225"/>
    </w:p>
    <w:p w14:paraId="6F19AED4">
      <w:pPr>
        <w:pStyle w:val="18"/>
        <w:widowControl w:val="0"/>
        <w:spacing w:before="3" w:beforeAutospacing="0" w:after="0" w:afterAutospacing="0"/>
        <w:jc w:val="center"/>
        <w:rPr>
          <w:rFonts w:hint="eastAsia" w:ascii="仿宋" w:hAnsi="仿宋" w:eastAsia="仿宋" w:cs="仿宋"/>
          <w:b/>
          <w:color w:val="auto"/>
          <w:kern w:val="2"/>
          <w:sz w:val="33"/>
          <w:szCs w:val="33"/>
          <w:highlight w:val="none"/>
        </w:rPr>
      </w:pPr>
      <w:r>
        <w:rPr>
          <w:rFonts w:hint="eastAsia" w:ascii="仿宋" w:hAnsi="仿宋" w:eastAsia="仿宋" w:cs="仿宋"/>
          <w:b/>
          <w:color w:val="auto"/>
          <w:kern w:val="2"/>
          <w:sz w:val="33"/>
          <w:szCs w:val="33"/>
          <w:highlight w:val="none"/>
          <w:lang w:bidi="ar"/>
        </w:rPr>
        <w:t xml:space="preserve"> </w:t>
      </w:r>
    </w:p>
    <w:p w14:paraId="1AC431F2">
      <w:pPr>
        <w:keepNext w:val="0"/>
        <w:keepLines w:val="0"/>
        <w:pageBreakBefore w:val="0"/>
        <w:kinsoku/>
        <w:wordWrap w:val="0"/>
        <w:overflowPunct/>
        <w:topLinePunct w:val="0"/>
        <w:autoSpaceDE/>
        <w:autoSpaceDN/>
        <w:bidi w:val="0"/>
        <w:adjustRightInd/>
        <w:snapToGrid/>
        <w:spacing w:line="480" w:lineRule="exact"/>
        <w:ind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lang w:bidi="ar"/>
        </w:rPr>
        <w:t>根据《财政部、司法部关于政府采购支持监狱企业发展有关问题的通知》</w:t>
      </w:r>
      <w:r>
        <w:rPr>
          <w:rFonts w:hint="eastAsia" w:ascii="仿宋" w:hAnsi="仿宋" w:eastAsia="仿宋" w:cs="仿宋"/>
          <w:color w:val="auto"/>
          <w:sz w:val="24"/>
          <w:szCs w:val="24"/>
          <w:highlight w:val="none"/>
          <w:lang w:bidi="ar"/>
        </w:rPr>
        <w:t>（</w:t>
      </w:r>
      <w:r>
        <w:rPr>
          <w:rFonts w:hint="eastAsia" w:ascii="仿宋" w:hAnsi="仿宋" w:eastAsia="仿宋" w:cs="仿宋"/>
          <w:color w:val="auto"/>
          <w:spacing w:val="-3"/>
          <w:sz w:val="24"/>
          <w:szCs w:val="24"/>
          <w:highlight w:val="none"/>
          <w:lang w:bidi="ar"/>
        </w:rPr>
        <w:t>财库〔</w:t>
      </w:r>
      <w:r>
        <w:rPr>
          <w:rFonts w:hint="eastAsia" w:ascii="仿宋" w:hAnsi="仿宋" w:eastAsia="仿宋" w:cs="仿宋"/>
          <w:color w:val="auto"/>
          <w:sz w:val="24"/>
          <w:szCs w:val="24"/>
          <w:highlight w:val="none"/>
          <w:lang w:bidi="ar"/>
        </w:rPr>
        <w:t>2014</w:t>
      </w:r>
      <w:r>
        <w:rPr>
          <w:rFonts w:hint="eastAsia" w:ascii="仿宋" w:hAnsi="仿宋" w:eastAsia="仿宋" w:cs="仿宋"/>
          <w:color w:val="auto"/>
          <w:spacing w:val="-6"/>
          <w:sz w:val="24"/>
          <w:szCs w:val="24"/>
          <w:highlight w:val="none"/>
          <w:lang w:bidi="ar"/>
        </w:rPr>
        <w:t>〕</w:t>
      </w:r>
      <w:r>
        <w:rPr>
          <w:rFonts w:hint="eastAsia" w:ascii="仿宋" w:hAnsi="仿宋" w:eastAsia="仿宋" w:cs="仿宋"/>
          <w:color w:val="auto"/>
          <w:sz w:val="24"/>
          <w:szCs w:val="24"/>
          <w:highlight w:val="none"/>
          <w:lang w:bidi="ar"/>
        </w:rPr>
        <w:t>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53EA3E">
      <w:pPr>
        <w:pStyle w:val="5"/>
        <w:keepNext w:val="0"/>
        <w:keepLines w:val="0"/>
        <w:pageBreakBefore w:val="0"/>
        <w:widowControl/>
        <w:kinsoku/>
        <w:wordWrap w:val="0"/>
        <w:overflowPunct/>
        <w:topLinePunct w:val="0"/>
        <w:autoSpaceDE/>
        <w:autoSpaceDN/>
        <w:bidi w:val="0"/>
        <w:adjustRightInd/>
        <w:snapToGrid/>
        <w:spacing w:before="0" w:after="0" w:line="480" w:lineRule="exact"/>
        <w:ind w:left="0" w:leftChars="0" w:firstLine="0" w:firstLineChars="0"/>
        <w:jc w:val="left"/>
        <w:textAlignment w:val="auto"/>
        <w:outlineLvl w:val="9"/>
        <w:rPr>
          <w:rFonts w:hint="eastAsia" w:ascii="仿宋" w:hAnsi="仿宋" w:eastAsia="仿宋" w:cs="仿宋"/>
          <w:bCs w:val="0"/>
          <w:color w:val="auto"/>
          <w:sz w:val="24"/>
          <w:szCs w:val="24"/>
          <w:highlight w:val="none"/>
        </w:rPr>
      </w:pPr>
    </w:p>
    <w:p w14:paraId="2D59FC82">
      <w:pPr>
        <w:keepNext w:val="0"/>
        <w:keepLines w:val="0"/>
        <w:pageBreakBefore w:val="0"/>
        <w:kinsoku/>
        <w:overflowPunct/>
        <w:topLinePunct w:val="0"/>
        <w:autoSpaceDE/>
        <w:autoSpaceDN/>
        <w:bidi w:val="0"/>
        <w:adjustRightInd/>
        <w:snapToGrid/>
        <w:spacing w:line="48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注：</w:t>
      </w:r>
      <w:r>
        <w:rPr>
          <w:rFonts w:hint="eastAsia" w:ascii="仿宋" w:hAnsi="仿宋" w:eastAsia="仿宋" w:cs="仿宋"/>
          <w:color w:val="auto"/>
          <w:sz w:val="24"/>
          <w:szCs w:val="24"/>
          <w:highlight w:val="none"/>
          <w:lang w:bidi="ar"/>
        </w:rPr>
        <w:t>监狱企业须</w:t>
      </w:r>
      <w:r>
        <w:rPr>
          <w:rFonts w:hint="eastAsia" w:ascii="仿宋" w:hAnsi="仿宋" w:eastAsia="仿宋" w:cs="仿宋"/>
          <w:color w:val="auto"/>
          <w:sz w:val="24"/>
          <w:szCs w:val="24"/>
          <w:highlight w:val="none"/>
          <w:lang w:eastAsia="zh-CN" w:bidi="ar"/>
        </w:rPr>
        <w:t>投标人</w:t>
      </w:r>
      <w:r>
        <w:rPr>
          <w:rFonts w:hint="eastAsia" w:ascii="仿宋" w:hAnsi="仿宋" w:eastAsia="仿宋" w:cs="仿宋"/>
          <w:color w:val="auto"/>
          <w:sz w:val="24"/>
          <w:szCs w:val="24"/>
          <w:highlight w:val="none"/>
          <w:lang w:bidi="ar"/>
        </w:rPr>
        <w:t>提供由省级以上监狱管理局、戒毒管理局（含新疆生产建设兵团）出具的属于监狱企业的证明文件</w:t>
      </w:r>
      <w:r>
        <w:rPr>
          <w:rFonts w:hint="eastAsia" w:ascii="仿宋" w:hAnsi="仿宋" w:eastAsia="仿宋" w:cs="仿宋"/>
          <w:b/>
          <w:color w:val="auto"/>
          <w:sz w:val="24"/>
          <w:szCs w:val="24"/>
          <w:highlight w:val="none"/>
          <w:lang w:bidi="ar"/>
        </w:rPr>
        <w:t>。</w:t>
      </w:r>
    </w:p>
    <w:p w14:paraId="631E35E2">
      <w:pPr>
        <w:pageBreakBefore w:val="0"/>
        <w:kinsoku/>
        <w:wordWrap w:val="0"/>
        <w:overflowPunct w:val="0"/>
        <w:topLinePunct/>
        <w:bidi w:val="0"/>
        <w:rPr>
          <w:rFonts w:hint="eastAsia" w:ascii="仿宋" w:hAnsi="仿宋" w:eastAsia="仿宋" w:cs="仿宋"/>
          <w:color w:val="000000"/>
          <w:sz w:val="24"/>
          <w:highlight w:val="none"/>
        </w:rPr>
      </w:pPr>
    </w:p>
    <w:p w14:paraId="427443E7">
      <w:pPr>
        <w:pStyle w:val="9"/>
        <w:pageBreakBefore w:val="0"/>
        <w:kinsoku/>
        <w:wordWrap w:val="0"/>
        <w:overflowPunct w:val="0"/>
        <w:topLinePunct/>
        <w:bidi w:val="0"/>
        <w:rPr>
          <w:rFonts w:hint="eastAsia" w:ascii="仿宋" w:hAnsi="仿宋" w:eastAsia="仿宋" w:cs="仿宋"/>
          <w:color w:val="000000"/>
          <w:highlight w:val="none"/>
        </w:rPr>
      </w:pPr>
    </w:p>
    <w:p w14:paraId="779E2260">
      <w:pPr>
        <w:pageBreakBefore w:val="0"/>
        <w:kinsoku/>
        <w:wordWrap w:val="0"/>
        <w:overflowPunct w:val="0"/>
        <w:topLinePunct/>
        <w:bidi w:val="0"/>
        <w:rPr>
          <w:rFonts w:hint="eastAsia" w:ascii="仿宋" w:hAnsi="仿宋" w:eastAsia="仿宋" w:cs="仿宋"/>
          <w:color w:val="000000"/>
          <w:sz w:val="24"/>
          <w:highlight w:val="none"/>
        </w:rPr>
      </w:pPr>
    </w:p>
    <w:p w14:paraId="247C3190">
      <w:pPr>
        <w:pStyle w:val="9"/>
        <w:pageBreakBefore w:val="0"/>
        <w:kinsoku/>
        <w:wordWrap w:val="0"/>
        <w:overflowPunct w:val="0"/>
        <w:topLinePunct/>
        <w:bidi w:val="0"/>
        <w:rPr>
          <w:rFonts w:hint="eastAsia" w:ascii="仿宋" w:hAnsi="仿宋" w:eastAsia="仿宋" w:cs="仿宋"/>
          <w:color w:val="000000"/>
          <w:sz w:val="24"/>
          <w:highlight w:val="none"/>
        </w:rPr>
      </w:pPr>
    </w:p>
    <w:p w14:paraId="0F441962">
      <w:pPr>
        <w:keepNext w:val="0"/>
        <w:keepLines w:val="0"/>
        <w:pageBreakBefore w:val="0"/>
        <w:kinsoku/>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bidi="ar"/>
        </w:rPr>
      </w:pPr>
    </w:p>
    <w:p w14:paraId="6A85ADF8">
      <w:pPr>
        <w:keepNext w:val="0"/>
        <w:keepLines w:val="0"/>
        <w:pageBreakBefore w:val="0"/>
        <w:kinsoku/>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bidi="ar"/>
        </w:rPr>
      </w:pPr>
    </w:p>
    <w:p w14:paraId="39D344A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eastAsia="zh-CN" w:bidi="ar"/>
        </w:rPr>
      </w:pPr>
      <w:bookmarkStart w:id="226" w:name="_Toc21760"/>
      <w:bookmarkStart w:id="227" w:name="_Toc17374"/>
      <w:bookmarkStart w:id="228" w:name="_Toc9294"/>
      <w:bookmarkStart w:id="229" w:name="_Toc15689"/>
      <w:bookmarkStart w:id="230" w:name="_Toc4737"/>
      <w:r>
        <w:rPr>
          <w:rFonts w:hint="eastAsia" w:ascii="仿宋" w:hAnsi="仿宋" w:eastAsia="仿宋" w:cs="仿宋"/>
          <w:color w:val="auto"/>
          <w:sz w:val="24"/>
          <w:szCs w:val="24"/>
          <w:highlight w:val="none"/>
          <w:lang w:eastAsia="zh-CN" w:bidi="ar"/>
        </w:rPr>
        <w:t>投标人</w:t>
      </w:r>
      <w:r>
        <w:rPr>
          <w:rFonts w:hint="eastAsia" w:ascii="仿宋" w:hAnsi="仿宋" w:eastAsia="仿宋" w:cs="仿宋"/>
          <w:color w:val="auto"/>
          <w:sz w:val="24"/>
          <w:szCs w:val="24"/>
          <w:highlight w:val="none"/>
          <w:lang w:bidi="ar"/>
        </w:rPr>
        <w:t xml:space="preserve">：                                     </w:t>
      </w:r>
      <w:bookmarkEnd w:id="226"/>
      <w:bookmarkEnd w:id="227"/>
      <w:bookmarkEnd w:id="228"/>
      <w:bookmarkEnd w:id="229"/>
      <w:bookmarkEnd w:id="230"/>
      <w:r>
        <w:rPr>
          <w:rFonts w:hint="eastAsia" w:ascii="仿宋" w:hAnsi="仿宋" w:eastAsia="仿宋" w:cs="仿宋"/>
          <w:color w:val="auto"/>
          <w:sz w:val="24"/>
          <w:szCs w:val="24"/>
          <w:highlight w:val="none"/>
          <w:lang w:eastAsia="zh-CN" w:bidi="ar"/>
        </w:rPr>
        <w:t>（公章）</w:t>
      </w:r>
    </w:p>
    <w:p w14:paraId="29D9C8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日期：  </w:t>
      </w: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仿宋"/>
          <w:color w:val="auto"/>
          <w:sz w:val="24"/>
          <w:szCs w:val="24"/>
          <w:highlight w:val="none"/>
          <w:lang w:bidi="ar"/>
        </w:rPr>
        <w:t xml:space="preserve"> 年   月   日</w:t>
      </w:r>
    </w:p>
    <w:p w14:paraId="60C86205">
      <w:pPr>
        <w:keepNext w:val="0"/>
        <w:keepLines w:val="0"/>
        <w:pageBreakBefore w:val="0"/>
        <w:kinsoku/>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bidi="ar"/>
        </w:rPr>
      </w:pPr>
    </w:p>
    <w:p w14:paraId="3AE61EAE">
      <w:pPr>
        <w:keepNext w:val="0"/>
        <w:keepLines w:val="0"/>
        <w:pageBreakBefore w:val="0"/>
        <w:kinsoku/>
        <w:overflowPunct/>
        <w:topLinePunct w:val="0"/>
        <w:autoSpaceDE/>
        <w:autoSpaceDN/>
        <w:bidi w:val="0"/>
        <w:adjustRightInd/>
        <w:snapToGrid/>
        <w:spacing w:line="480" w:lineRule="exact"/>
        <w:textAlignment w:val="auto"/>
        <w:rPr>
          <w:rFonts w:hint="eastAsia" w:ascii="仿宋" w:hAnsi="仿宋" w:eastAsia="仿宋" w:cs="仿宋"/>
          <w:color w:val="auto"/>
          <w:sz w:val="24"/>
          <w:szCs w:val="24"/>
          <w:highlight w:val="none"/>
          <w:lang w:bidi="ar"/>
        </w:rPr>
      </w:pPr>
    </w:p>
    <w:p w14:paraId="29C0473B">
      <w:pP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br w:type="page"/>
      </w:r>
    </w:p>
    <w:p w14:paraId="5BF90ECD">
      <w:pPr>
        <w:pageBreakBefore w:val="0"/>
        <w:kinsoku/>
        <w:wordWrap w:val="0"/>
        <w:overflowPunct/>
        <w:bidi w:val="0"/>
        <w:spacing w:line="360" w:lineRule="auto"/>
        <w:ind w:firstLine="643" w:firstLineChars="200"/>
        <w:jc w:val="center"/>
        <w:rPr>
          <w:rFonts w:hint="eastAsia" w:ascii="仿宋" w:hAnsi="仿宋" w:eastAsia="仿宋" w:cs="仿宋"/>
          <w:b/>
          <w:bCs/>
          <w:color w:val="auto"/>
          <w:sz w:val="32"/>
          <w:szCs w:val="32"/>
          <w:highlight w:val="none"/>
          <w:lang w:val="en-US" w:eastAsia="zh-CN"/>
        </w:rPr>
      </w:pPr>
      <w:bookmarkStart w:id="231" w:name="_Toc9364"/>
    </w:p>
    <w:p w14:paraId="44D71AA4">
      <w:pPr>
        <w:pageBreakBefore w:val="0"/>
        <w:kinsoku/>
        <w:wordWrap w:val="0"/>
        <w:overflowPunct/>
        <w:bidi w:val="0"/>
        <w:spacing w:line="360" w:lineRule="auto"/>
        <w:ind w:firstLine="643" w:firstLineChars="20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中小企业证明文件</w:t>
      </w:r>
      <w:bookmarkEnd w:id="231"/>
    </w:p>
    <w:p w14:paraId="009D92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p w14:paraId="674469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中小企业参加政府采购活动，应当出具《中小企业声明函》或《残疾人福利性单位 声明函》或由省级以上监狱管理局、戒毒管理局（含新疆生产建设兵团）出具的属于监狱企业的证明文件，以证明中小企业身份。《中小企业声明函》由参加政府采购活动的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出具。联合体</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的，《中小企业声明函》可由牵头人出具。</w:t>
      </w:r>
    </w:p>
    <w:p w14:paraId="5671C1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对于联合体中由中小企业承担的部分，或者分包给中小企业的部分，必须全部由中小企业制造、承建或者承接。</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应当在声明函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项目名称”</w:t>
      </w:r>
      <w:r>
        <w:rPr>
          <w:rFonts w:hint="eastAsia" w:ascii="仿宋" w:hAnsi="仿宋" w:eastAsia="仿宋" w:cs="仿宋"/>
          <w:sz w:val="24"/>
          <w:szCs w:val="24"/>
          <w:highlight w:val="none"/>
        </w:rPr>
        <w:t>部分标明联合体中中小企业承担的具体内容或者中小企业的具体分包内容。</w:t>
      </w:r>
    </w:p>
    <w:p w14:paraId="686951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trike w:val="0"/>
          <w:dstrike w:val="0"/>
          <w:color w:val="auto"/>
          <w:sz w:val="24"/>
          <w:szCs w:val="24"/>
          <w:highlight w:val="none"/>
          <w:lang w:val="en-US" w:eastAsia="zh-CN"/>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对于多标的采购项目，</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应充分、准确地了解所</w:t>
      </w:r>
      <w:r>
        <w:rPr>
          <w:rFonts w:hint="eastAsia" w:ascii="仿宋" w:hAnsi="仿宋" w:eastAsia="仿宋" w:cs="仿宋"/>
          <w:sz w:val="24"/>
          <w:szCs w:val="24"/>
          <w:highlight w:val="none"/>
          <w:lang w:val="en-US" w:eastAsia="zh-CN"/>
        </w:rPr>
        <w:t>提</w:t>
      </w:r>
      <w:r>
        <w:rPr>
          <w:rFonts w:hint="eastAsia" w:ascii="仿宋" w:hAnsi="仿宋" w:eastAsia="仿宋" w:cs="仿宋"/>
          <w:sz w:val="24"/>
          <w:szCs w:val="24"/>
          <w:highlight w:val="none"/>
        </w:rPr>
        <w:t>供货物的制造企业、</w:t>
      </w:r>
      <w:r>
        <w:rPr>
          <w:rFonts w:hint="eastAsia" w:ascii="仿宋" w:hAnsi="仿宋" w:eastAsia="仿宋" w:cs="仿宋"/>
          <w:sz w:val="24"/>
          <w:szCs w:val="24"/>
          <w:highlight w:val="none"/>
          <w:lang w:val="en-US" w:eastAsia="zh-CN"/>
        </w:rPr>
        <w:t>提</w:t>
      </w:r>
      <w:r>
        <w:rPr>
          <w:rFonts w:hint="eastAsia" w:ascii="仿宋" w:hAnsi="仿宋" w:eastAsia="仿宋" w:cs="仿宋"/>
          <w:sz w:val="24"/>
          <w:szCs w:val="24"/>
          <w:highlight w:val="none"/>
        </w:rPr>
        <w:t>供服务的承接企业信息。对相关情况了解不清楚的，不建议填报本声明函。</w:t>
      </w:r>
    </w:p>
    <w:p w14:paraId="1C2528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trike w:val="0"/>
          <w:dstrike w:val="0"/>
          <w:color w:val="auto"/>
          <w:sz w:val="24"/>
          <w:szCs w:val="24"/>
          <w:highlight w:val="none"/>
          <w:lang w:val="en-US" w:eastAsia="zh-CN"/>
        </w:rPr>
        <w:t>4</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温馨</w:t>
      </w:r>
      <w:r>
        <w:rPr>
          <w:rFonts w:hint="eastAsia" w:ascii="仿宋" w:hAnsi="仿宋" w:eastAsia="仿宋" w:cs="仿宋"/>
          <w:sz w:val="24"/>
          <w:szCs w:val="24"/>
          <w:highlight w:val="none"/>
          <w:lang w:val="en-US" w:eastAsia="zh-CN"/>
        </w:rPr>
        <w:t>提</w:t>
      </w:r>
      <w:r>
        <w:rPr>
          <w:rFonts w:hint="eastAsia" w:ascii="仿宋" w:hAnsi="仿宋" w:eastAsia="仿宋" w:cs="仿宋"/>
          <w:sz w:val="24"/>
          <w:szCs w:val="24"/>
          <w:highlight w:val="none"/>
        </w:rPr>
        <w:t>示：为方便广大中小企业识别企业规模类型，</w:t>
      </w:r>
      <w:r>
        <w:rPr>
          <w:rFonts w:hint="eastAsia" w:ascii="仿宋" w:hAnsi="仿宋" w:eastAsia="仿宋" w:cs="仿宋"/>
          <w:strike w:val="0"/>
          <w:dstrike w:val="0"/>
          <w:color w:val="auto"/>
          <w:sz w:val="24"/>
          <w:szCs w:val="24"/>
          <w:highlight w:val="none"/>
          <w:lang w:eastAsia="zh-CN"/>
        </w:rPr>
        <w:t>工</w:t>
      </w:r>
      <w:r>
        <w:rPr>
          <w:rFonts w:hint="eastAsia" w:ascii="仿宋" w:hAnsi="仿宋" w:eastAsia="仿宋" w:cs="仿宋"/>
          <w:sz w:val="24"/>
          <w:szCs w:val="24"/>
          <w:highlight w:val="none"/>
          <w:lang w:eastAsia="zh-CN"/>
        </w:rPr>
        <w:t>业</w:t>
      </w:r>
      <w:r>
        <w:rPr>
          <w:rFonts w:hint="eastAsia" w:ascii="仿宋" w:hAnsi="仿宋" w:eastAsia="仿宋" w:cs="仿宋"/>
          <w:sz w:val="24"/>
          <w:szCs w:val="24"/>
          <w:highlight w:val="none"/>
        </w:rPr>
        <w:t>和信息化部组织开发了中小企业规模类型自测小程序，在国务院客户端和</w:t>
      </w:r>
      <w:r>
        <w:rPr>
          <w:rFonts w:hint="eastAsia" w:ascii="仿宋" w:hAnsi="仿宋" w:eastAsia="仿宋" w:cs="仿宋"/>
          <w:strike w:val="0"/>
          <w:dstrike w:val="0"/>
          <w:color w:val="auto"/>
          <w:sz w:val="24"/>
          <w:szCs w:val="24"/>
          <w:highlight w:val="none"/>
          <w:lang w:eastAsia="zh-CN"/>
        </w:rPr>
        <w:t>工</w:t>
      </w:r>
      <w:r>
        <w:rPr>
          <w:rFonts w:hint="eastAsia" w:ascii="仿宋" w:hAnsi="仿宋" w:eastAsia="仿宋" w:cs="仿宋"/>
          <w:sz w:val="24"/>
          <w:szCs w:val="24"/>
          <w:highlight w:val="none"/>
          <w:lang w:eastAsia="zh-CN"/>
        </w:rPr>
        <w:t>业</w:t>
      </w:r>
      <w:r>
        <w:rPr>
          <w:rFonts w:hint="eastAsia" w:ascii="仿宋" w:hAnsi="仿宋" w:eastAsia="仿宋" w:cs="仿宋"/>
          <w:sz w:val="24"/>
          <w:szCs w:val="24"/>
          <w:highlight w:val="none"/>
        </w:rPr>
        <w:t>和信息化部网站上均有链接，</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填写所属的行业和指标数据可自动生成企业规模类型测试结果。</w:t>
      </w:r>
    </w:p>
    <w:p w14:paraId="34D778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本项目中小企业划分标准所属行业详见第</w:t>
      </w:r>
      <w:r>
        <w:rPr>
          <w:rFonts w:hint="eastAsia" w:ascii="仿宋" w:hAnsi="仿宋" w:eastAsia="仿宋" w:cs="仿宋"/>
          <w:sz w:val="24"/>
          <w:szCs w:val="24"/>
          <w:highlight w:val="none"/>
          <w:lang w:val="en-US" w:eastAsia="zh-CN"/>
        </w:rPr>
        <w:t>六</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采购需求及要求</w:t>
      </w:r>
      <w:r>
        <w:rPr>
          <w:rFonts w:hint="eastAsia" w:ascii="仿宋" w:hAnsi="仿宋" w:eastAsia="仿宋" w:cs="仿宋"/>
          <w:sz w:val="24"/>
          <w:szCs w:val="24"/>
          <w:highlight w:val="none"/>
        </w:rPr>
        <w:t>》，如在该程序中未找到本项目文件规定的中小企业划分标准所属行业，则按照《关于印发中小企业划型标准规定的通知</w:t>
      </w:r>
      <w:r>
        <w:rPr>
          <w:rFonts w:hint="eastAsia" w:ascii="仿宋" w:hAnsi="仿宋" w:eastAsia="仿宋" w:cs="仿宋"/>
          <w:strike w:val="0"/>
          <w:sz w:val="24"/>
          <w:szCs w:val="24"/>
          <w:highlight w:val="none"/>
          <w:lang w:eastAsia="zh-CN"/>
        </w:rPr>
        <w:t>》</w:t>
      </w:r>
      <w:r>
        <w:rPr>
          <w:rFonts w:hint="eastAsia" w:ascii="仿宋" w:hAnsi="仿宋" w:eastAsia="仿宋" w:cs="仿宋"/>
          <w:sz w:val="24"/>
          <w:szCs w:val="24"/>
          <w:highlight w:val="none"/>
        </w:rPr>
        <w:t>（工信部联企业</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sz w:val="24"/>
          <w:szCs w:val="24"/>
          <w:highlight w:val="none"/>
        </w:rPr>
        <w:t>2011</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sz w:val="24"/>
          <w:szCs w:val="24"/>
          <w:highlight w:val="none"/>
        </w:rPr>
        <w:t>300 号）及本项目文件规定的中小企业划分标准所属行业执行。</w:t>
      </w:r>
    </w:p>
    <w:p w14:paraId="579FC2B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strike w:val="0"/>
          <w:dstrike w:val="0"/>
          <w:color w:val="auto"/>
          <w:sz w:val="24"/>
          <w:szCs w:val="24"/>
          <w:highlight w:val="none"/>
          <w:lang w:val="en-US" w:eastAsia="zh-CN"/>
        </w:rPr>
        <w:t>5</w:t>
      </w:r>
      <w:r>
        <w:rPr>
          <w:rFonts w:hint="eastAsia" w:ascii="仿宋" w:hAnsi="仿宋" w:eastAsia="仿宋" w:cs="仿宋"/>
          <w:b w:val="0"/>
          <w:bCs w:val="0"/>
          <w:color w:val="000000"/>
          <w:sz w:val="24"/>
          <w:szCs w:val="24"/>
          <w:highlight w:val="none"/>
          <w:lang w:val="en-US" w:eastAsia="zh-CN"/>
        </w:rPr>
        <w:t>、投标人提供的货物、工程或者服务符合下列情形的，享受中小企业扶持政策：</w:t>
      </w:r>
    </w:p>
    <w:p w14:paraId="33988D2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（1）在货物采购项目中，货物由中小企业制造，即货物由中小企业生产且使用该中小企业商号或者注册商标；</w:t>
      </w:r>
    </w:p>
    <w:p w14:paraId="4E2EF4A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（2）在工程采购项目中，工程由中小企业承建，即工程施工单位为中小企业；</w:t>
      </w:r>
    </w:p>
    <w:p w14:paraId="1809E54A">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（3）在服务采购项目中，服务由中小企业承接，即</w:t>
      </w:r>
      <w:r>
        <w:rPr>
          <w:rFonts w:hint="eastAsia" w:ascii="仿宋" w:hAnsi="仿宋" w:eastAsia="仿宋" w:cs="仿宋"/>
          <w:b w:val="0"/>
          <w:bCs w:val="0"/>
          <w:color w:val="000000"/>
          <w:sz w:val="24"/>
          <w:szCs w:val="24"/>
          <w:highlight w:val="none"/>
          <w:lang w:val="en-US" w:eastAsia="zh-CN"/>
        </w:rPr>
        <w:t>提</w:t>
      </w:r>
      <w:r>
        <w:rPr>
          <w:rFonts w:hint="eastAsia" w:ascii="仿宋" w:hAnsi="仿宋" w:eastAsia="仿宋" w:cs="仿宋"/>
          <w:b w:val="0"/>
          <w:bCs w:val="0"/>
          <w:color w:val="000000"/>
          <w:sz w:val="24"/>
          <w:szCs w:val="24"/>
          <w:highlight w:val="none"/>
        </w:rPr>
        <w:t>供服务的人员为中小企业依照《中华人民共和国劳动合同法》订立劳动合同的从业人员。</w:t>
      </w:r>
    </w:p>
    <w:p w14:paraId="3304B6BB">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strike w:val="0"/>
          <w:dstrike w:val="0"/>
          <w:color w:val="auto"/>
          <w:sz w:val="24"/>
          <w:szCs w:val="24"/>
          <w:highlight w:val="none"/>
          <w:lang w:val="en-US" w:eastAsia="zh-CN"/>
        </w:rPr>
        <w:t>6</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在货物采购项目中，</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lang w:val="en-US" w:eastAsia="zh-CN"/>
        </w:rPr>
        <w:t>提</w:t>
      </w:r>
      <w:r>
        <w:rPr>
          <w:rFonts w:hint="eastAsia" w:ascii="仿宋" w:hAnsi="仿宋" w:eastAsia="仿宋" w:cs="仿宋"/>
          <w:b w:val="0"/>
          <w:bCs w:val="0"/>
          <w:color w:val="auto"/>
          <w:sz w:val="24"/>
          <w:szCs w:val="24"/>
          <w:highlight w:val="none"/>
        </w:rPr>
        <w:t>供的货物既有中小企业制造货物，也有大型企业制造货物的，不享受中小企业扶持政策。</w:t>
      </w:r>
    </w:p>
    <w:p w14:paraId="2C5EC9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7</w:t>
      </w:r>
      <w:r>
        <w:rPr>
          <w:rFonts w:hint="eastAsia" w:ascii="仿宋" w:hAnsi="仿宋" w:eastAsia="仿宋" w:cs="仿宋"/>
          <w:sz w:val="24"/>
          <w:szCs w:val="24"/>
          <w:highlight w:val="none"/>
          <w:lang w:val="en-US" w:eastAsia="zh-CN"/>
        </w:rPr>
        <w:t>、根据</w:t>
      </w:r>
      <w:r>
        <w:rPr>
          <w:rFonts w:hint="eastAsia" w:ascii="仿宋" w:hAnsi="仿宋" w:eastAsia="仿宋" w:cs="仿宋"/>
          <w:sz w:val="24"/>
          <w:szCs w:val="24"/>
          <w:highlight w:val="none"/>
        </w:rPr>
        <w:t>《关于印发中小企业划型标准规定的通知（工信部联企业﹝2011﹞300号）》</w:t>
      </w:r>
      <w:r>
        <w:rPr>
          <w:rFonts w:hint="eastAsia" w:ascii="仿宋" w:hAnsi="仿宋" w:eastAsia="仿宋" w:cs="仿宋"/>
          <w:sz w:val="24"/>
          <w:szCs w:val="24"/>
          <w:highlight w:val="none"/>
          <w:lang w:val="en-US" w:eastAsia="zh-CN"/>
        </w:rPr>
        <w:t>的规定，各行业划型标准如下：</w:t>
      </w:r>
    </w:p>
    <w:p w14:paraId="7D105C62">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213B437D">
      <w:pPr>
        <w:pStyle w:val="2"/>
        <w:rPr>
          <w:rFonts w:hint="eastAsia" w:ascii="仿宋" w:hAnsi="仿宋" w:eastAsia="仿宋" w:cs="仿宋"/>
          <w:sz w:val="24"/>
          <w:szCs w:val="24"/>
          <w:highlight w:val="none"/>
          <w:lang w:val="en-US" w:eastAsia="zh-CN"/>
        </w:rPr>
      </w:pPr>
    </w:p>
    <w:tbl>
      <w:tblPr>
        <w:tblStyle w:val="23"/>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1131"/>
        <w:gridCol w:w="7924"/>
      </w:tblGrid>
      <w:tr w14:paraId="0471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5" w:hRule="atLeast"/>
          <w:tblHeader/>
          <w:jc w:val="center"/>
        </w:trPr>
        <w:tc>
          <w:tcPr>
            <w:tcW w:w="690" w:type="dxa"/>
            <w:noWrap w:val="0"/>
            <w:vAlign w:val="center"/>
          </w:tcPr>
          <w:p w14:paraId="1A24B94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968" w:type="dxa"/>
            <w:noWrap w:val="0"/>
            <w:vAlign w:val="center"/>
          </w:tcPr>
          <w:p w14:paraId="1AAC685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行业</w:t>
            </w:r>
          </w:p>
        </w:tc>
        <w:tc>
          <w:tcPr>
            <w:tcW w:w="6779" w:type="dxa"/>
            <w:noWrap w:val="0"/>
            <w:vAlign w:val="center"/>
          </w:tcPr>
          <w:p w14:paraId="2D1E529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划型标准</w:t>
            </w:r>
          </w:p>
        </w:tc>
      </w:tr>
      <w:tr w14:paraId="65BE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690" w:type="dxa"/>
            <w:noWrap w:val="0"/>
            <w:vAlign w:val="center"/>
          </w:tcPr>
          <w:p w14:paraId="1A842B5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968" w:type="dxa"/>
            <w:noWrap w:val="0"/>
            <w:vAlign w:val="center"/>
          </w:tcPr>
          <w:p w14:paraId="71521F6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农、林、牧、渔业</w:t>
            </w:r>
          </w:p>
        </w:tc>
        <w:tc>
          <w:tcPr>
            <w:tcW w:w="6779" w:type="dxa"/>
            <w:noWrap w:val="0"/>
            <w:vAlign w:val="center"/>
          </w:tcPr>
          <w:p w14:paraId="54D3003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营业收入20000万元以下的为中小微型企业。其中，营业收入500万元及以上的为中型企业，营业收入50万元及以上的为小型企业，营业收入50万元以下的为微型企业。</w:t>
            </w:r>
          </w:p>
        </w:tc>
      </w:tr>
      <w:tr w14:paraId="1920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0" w:type="dxa"/>
            <w:noWrap w:val="0"/>
            <w:vAlign w:val="center"/>
          </w:tcPr>
          <w:p w14:paraId="3B16614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w:t>
            </w:r>
          </w:p>
        </w:tc>
        <w:tc>
          <w:tcPr>
            <w:tcW w:w="968" w:type="dxa"/>
            <w:noWrap w:val="0"/>
            <w:vAlign w:val="center"/>
          </w:tcPr>
          <w:p w14:paraId="3538D01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工业</w:t>
            </w:r>
          </w:p>
        </w:tc>
        <w:tc>
          <w:tcPr>
            <w:tcW w:w="6779" w:type="dxa"/>
            <w:noWrap w:val="0"/>
            <w:vAlign w:val="center"/>
          </w:tcPr>
          <w:p w14:paraId="015F08A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b w:val="0"/>
                <w:bCs w:val="0"/>
                <w:strike w:val="0"/>
                <w:dstrike w:val="0"/>
                <w:color w:val="auto"/>
                <w:sz w:val="24"/>
                <w:szCs w:val="24"/>
                <w:highlight w:val="none"/>
                <w:u w:val="none"/>
                <w:vertAlign w:val="baseline"/>
                <w:lang w:val="en-US" w:eastAsia="zh-CN"/>
              </w:rPr>
            </w:pPr>
            <w:r>
              <w:rPr>
                <w:rFonts w:hint="eastAsia" w:ascii="仿宋" w:hAnsi="仿宋" w:eastAsia="仿宋" w:cs="仿宋"/>
                <w:b w:val="0"/>
                <w:bCs w:val="0"/>
                <w:strike w:val="0"/>
                <w:dstrike w:val="0"/>
                <w:color w:val="auto"/>
                <w:sz w:val="24"/>
                <w:szCs w:val="24"/>
                <w:highlight w:val="none"/>
                <w:u w:val="none"/>
                <w:vertAlign w:val="baseli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0A8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90" w:type="dxa"/>
            <w:noWrap w:val="0"/>
            <w:vAlign w:val="center"/>
          </w:tcPr>
          <w:p w14:paraId="7FEDF4F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w:t>
            </w:r>
          </w:p>
        </w:tc>
        <w:tc>
          <w:tcPr>
            <w:tcW w:w="968" w:type="dxa"/>
            <w:noWrap w:val="0"/>
            <w:vAlign w:val="center"/>
          </w:tcPr>
          <w:p w14:paraId="5BAB81F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建筑业</w:t>
            </w:r>
          </w:p>
        </w:tc>
        <w:tc>
          <w:tcPr>
            <w:tcW w:w="6779" w:type="dxa"/>
            <w:noWrap w:val="0"/>
            <w:vAlign w:val="center"/>
          </w:tcPr>
          <w:p w14:paraId="33E418F5">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b w:val="0"/>
                <w:bCs w:val="0"/>
                <w:strike w:val="0"/>
                <w:dstrike w:val="0"/>
                <w:color w:val="auto"/>
                <w:sz w:val="24"/>
                <w:szCs w:val="24"/>
                <w:highlight w:val="none"/>
                <w:u w:val="none"/>
                <w:vertAlign w:val="baseline"/>
                <w:lang w:val="en-US" w:eastAsia="zh-CN"/>
              </w:rPr>
            </w:pPr>
            <w:r>
              <w:rPr>
                <w:rFonts w:hint="eastAsia" w:ascii="仿宋" w:hAnsi="仿宋" w:eastAsia="仿宋" w:cs="仿宋"/>
                <w:b w:val="0"/>
                <w:bCs w:val="0"/>
                <w:strike w:val="0"/>
                <w:dstrike w:val="0"/>
                <w:color w:val="auto"/>
                <w:sz w:val="24"/>
                <w:szCs w:val="24"/>
                <w:highlight w:val="none"/>
                <w:u w:val="none"/>
                <w:vertAlign w:val="baseli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6702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90" w:type="dxa"/>
            <w:noWrap w:val="0"/>
            <w:vAlign w:val="center"/>
          </w:tcPr>
          <w:p w14:paraId="64895F1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4</w:t>
            </w:r>
          </w:p>
        </w:tc>
        <w:tc>
          <w:tcPr>
            <w:tcW w:w="968" w:type="dxa"/>
            <w:noWrap w:val="0"/>
            <w:vAlign w:val="center"/>
          </w:tcPr>
          <w:p w14:paraId="57609B5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批发业</w:t>
            </w:r>
          </w:p>
        </w:tc>
        <w:tc>
          <w:tcPr>
            <w:tcW w:w="6779" w:type="dxa"/>
            <w:noWrap w:val="0"/>
            <w:vAlign w:val="center"/>
          </w:tcPr>
          <w:p w14:paraId="790A51DD">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b w:val="0"/>
                <w:bCs w:val="0"/>
                <w:strike w:val="0"/>
                <w:dstrike w:val="0"/>
                <w:color w:val="auto"/>
                <w:sz w:val="24"/>
                <w:szCs w:val="24"/>
                <w:highlight w:val="none"/>
                <w:u w:val="none"/>
                <w:vertAlign w:val="baseline"/>
                <w:lang w:val="en-US" w:eastAsia="zh-CN"/>
              </w:rPr>
            </w:pPr>
            <w:r>
              <w:rPr>
                <w:rFonts w:hint="eastAsia" w:ascii="仿宋" w:hAnsi="仿宋" w:eastAsia="仿宋" w:cs="仿宋"/>
                <w:b w:val="0"/>
                <w:bCs w:val="0"/>
                <w:strike w:val="0"/>
                <w:dstrike w:val="0"/>
                <w:color w:val="auto"/>
                <w:sz w:val="24"/>
                <w:szCs w:val="24"/>
                <w:highlight w:val="none"/>
                <w:u w:val="none"/>
                <w:vertAlign w:val="baseli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4D4C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690" w:type="dxa"/>
            <w:noWrap w:val="0"/>
            <w:vAlign w:val="center"/>
          </w:tcPr>
          <w:p w14:paraId="3B2E425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968" w:type="dxa"/>
            <w:noWrap w:val="0"/>
            <w:vAlign w:val="center"/>
          </w:tcPr>
          <w:p w14:paraId="6755D55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零售业</w:t>
            </w:r>
          </w:p>
        </w:tc>
        <w:tc>
          <w:tcPr>
            <w:tcW w:w="6779" w:type="dxa"/>
            <w:noWrap w:val="0"/>
            <w:vAlign w:val="center"/>
          </w:tcPr>
          <w:p w14:paraId="0771CCF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tc>
      </w:tr>
      <w:tr w14:paraId="7963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0" w:type="dxa"/>
            <w:noWrap w:val="0"/>
            <w:vAlign w:val="center"/>
          </w:tcPr>
          <w:p w14:paraId="1E7E82C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968" w:type="dxa"/>
            <w:noWrap w:val="0"/>
            <w:vAlign w:val="center"/>
          </w:tcPr>
          <w:p w14:paraId="118BA2C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交通运输业</w:t>
            </w:r>
          </w:p>
        </w:tc>
        <w:tc>
          <w:tcPr>
            <w:tcW w:w="6779" w:type="dxa"/>
            <w:noWrap w:val="0"/>
            <w:vAlign w:val="center"/>
          </w:tcPr>
          <w:p w14:paraId="63F0622B">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tc>
      </w:tr>
      <w:tr w14:paraId="1F01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0" w:type="dxa"/>
            <w:noWrap w:val="0"/>
            <w:vAlign w:val="center"/>
          </w:tcPr>
          <w:p w14:paraId="6AC45E2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968" w:type="dxa"/>
            <w:noWrap w:val="0"/>
            <w:vAlign w:val="center"/>
          </w:tcPr>
          <w:p w14:paraId="6F70055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仓储业</w:t>
            </w:r>
          </w:p>
        </w:tc>
        <w:tc>
          <w:tcPr>
            <w:tcW w:w="6779" w:type="dxa"/>
            <w:noWrap w:val="0"/>
            <w:vAlign w:val="center"/>
          </w:tcPr>
          <w:p w14:paraId="1724319C">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tc>
      </w:tr>
      <w:tr w14:paraId="0BCA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0" w:type="dxa"/>
            <w:noWrap w:val="0"/>
            <w:vAlign w:val="center"/>
          </w:tcPr>
          <w:p w14:paraId="2B1C610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w:t>
            </w:r>
          </w:p>
        </w:tc>
        <w:tc>
          <w:tcPr>
            <w:tcW w:w="968" w:type="dxa"/>
            <w:noWrap w:val="0"/>
            <w:vAlign w:val="center"/>
          </w:tcPr>
          <w:p w14:paraId="4F1341B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邮政业</w:t>
            </w:r>
          </w:p>
        </w:tc>
        <w:tc>
          <w:tcPr>
            <w:tcW w:w="6779" w:type="dxa"/>
            <w:noWrap w:val="0"/>
            <w:vAlign w:val="center"/>
          </w:tcPr>
          <w:p w14:paraId="79A27C8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tc>
      </w:tr>
      <w:tr w14:paraId="187A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690" w:type="dxa"/>
            <w:noWrap w:val="0"/>
            <w:vAlign w:val="center"/>
          </w:tcPr>
          <w:p w14:paraId="472CA45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9</w:t>
            </w:r>
          </w:p>
        </w:tc>
        <w:tc>
          <w:tcPr>
            <w:tcW w:w="968" w:type="dxa"/>
            <w:noWrap w:val="0"/>
            <w:vAlign w:val="center"/>
          </w:tcPr>
          <w:p w14:paraId="6ACBC6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住宿业</w:t>
            </w:r>
          </w:p>
        </w:tc>
        <w:tc>
          <w:tcPr>
            <w:tcW w:w="6779" w:type="dxa"/>
            <w:noWrap w:val="0"/>
            <w:vAlign w:val="center"/>
          </w:tcPr>
          <w:p w14:paraId="7F2664B5">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4C864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690" w:type="dxa"/>
            <w:noWrap w:val="0"/>
            <w:vAlign w:val="center"/>
          </w:tcPr>
          <w:p w14:paraId="5044B52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10</w:t>
            </w:r>
          </w:p>
        </w:tc>
        <w:tc>
          <w:tcPr>
            <w:tcW w:w="968" w:type="dxa"/>
            <w:noWrap w:val="0"/>
            <w:vAlign w:val="center"/>
          </w:tcPr>
          <w:p w14:paraId="5E0D49E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餐饮业</w:t>
            </w:r>
          </w:p>
        </w:tc>
        <w:tc>
          <w:tcPr>
            <w:tcW w:w="6779" w:type="dxa"/>
            <w:noWrap w:val="0"/>
            <w:vAlign w:val="center"/>
          </w:tcPr>
          <w:p w14:paraId="67C5E4B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7F5B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0" w:type="dxa"/>
            <w:noWrap w:val="0"/>
            <w:vAlign w:val="center"/>
          </w:tcPr>
          <w:p w14:paraId="14E708B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11</w:t>
            </w:r>
          </w:p>
        </w:tc>
        <w:tc>
          <w:tcPr>
            <w:tcW w:w="968" w:type="dxa"/>
            <w:noWrap w:val="0"/>
            <w:vAlign w:val="center"/>
          </w:tcPr>
          <w:p w14:paraId="0B4E97E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信息传输业</w:t>
            </w:r>
          </w:p>
        </w:tc>
        <w:tc>
          <w:tcPr>
            <w:tcW w:w="6779" w:type="dxa"/>
            <w:noWrap w:val="0"/>
            <w:vAlign w:val="center"/>
          </w:tcPr>
          <w:p w14:paraId="64DEB8D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tc>
      </w:tr>
      <w:tr w14:paraId="190E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690" w:type="dxa"/>
            <w:noWrap w:val="0"/>
            <w:vAlign w:val="center"/>
          </w:tcPr>
          <w:p w14:paraId="3D6FA00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12</w:t>
            </w:r>
          </w:p>
        </w:tc>
        <w:tc>
          <w:tcPr>
            <w:tcW w:w="968" w:type="dxa"/>
            <w:noWrap w:val="0"/>
            <w:vAlign w:val="center"/>
          </w:tcPr>
          <w:p w14:paraId="4135B49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软件和信息技术服务业</w:t>
            </w:r>
          </w:p>
        </w:tc>
        <w:tc>
          <w:tcPr>
            <w:tcW w:w="6779" w:type="dxa"/>
            <w:noWrap w:val="0"/>
            <w:vAlign w:val="center"/>
          </w:tcPr>
          <w:p w14:paraId="436E3F3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159C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690" w:type="dxa"/>
            <w:noWrap w:val="0"/>
            <w:vAlign w:val="center"/>
          </w:tcPr>
          <w:p w14:paraId="300EC1D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w:t>
            </w:r>
          </w:p>
        </w:tc>
        <w:tc>
          <w:tcPr>
            <w:tcW w:w="968" w:type="dxa"/>
            <w:noWrap w:val="0"/>
            <w:vAlign w:val="center"/>
          </w:tcPr>
          <w:p w14:paraId="473A7AE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房地产开发经营</w:t>
            </w:r>
          </w:p>
        </w:tc>
        <w:tc>
          <w:tcPr>
            <w:tcW w:w="6779" w:type="dxa"/>
            <w:noWrap w:val="0"/>
            <w:vAlign w:val="center"/>
          </w:tcPr>
          <w:p w14:paraId="699E7DB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tc>
      </w:tr>
      <w:tr w14:paraId="71E2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690" w:type="dxa"/>
            <w:noWrap w:val="0"/>
            <w:vAlign w:val="center"/>
          </w:tcPr>
          <w:p w14:paraId="565815D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w:t>
            </w:r>
          </w:p>
        </w:tc>
        <w:tc>
          <w:tcPr>
            <w:tcW w:w="968" w:type="dxa"/>
            <w:noWrap w:val="0"/>
            <w:vAlign w:val="center"/>
          </w:tcPr>
          <w:p w14:paraId="67F5DFB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物业管理</w:t>
            </w:r>
          </w:p>
        </w:tc>
        <w:tc>
          <w:tcPr>
            <w:tcW w:w="6779" w:type="dxa"/>
            <w:noWrap w:val="0"/>
            <w:vAlign w:val="center"/>
          </w:tcPr>
          <w:p w14:paraId="57F1111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r w14:paraId="0A279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690" w:type="dxa"/>
            <w:noWrap w:val="0"/>
            <w:vAlign w:val="center"/>
          </w:tcPr>
          <w:p w14:paraId="0DD62C6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w:t>
            </w:r>
          </w:p>
        </w:tc>
        <w:tc>
          <w:tcPr>
            <w:tcW w:w="968" w:type="dxa"/>
            <w:noWrap w:val="0"/>
            <w:vAlign w:val="center"/>
          </w:tcPr>
          <w:p w14:paraId="1BB8BDA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租赁和商务服务业</w:t>
            </w:r>
          </w:p>
        </w:tc>
        <w:tc>
          <w:tcPr>
            <w:tcW w:w="6779" w:type="dxa"/>
            <w:noWrap w:val="0"/>
            <w:vAlign w:val="center"/>
          </w:tcPr>
          <w:p w14:paraId="235ECA2A">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strike w:val="0"/>
                <w:dstrike w:val="0"/>
                <w:color w:val="auto"/>
                <w:sz w:val="24"/>
                <w:szCs w:val="24"/>
                <w:highlight w:val="none"/>
                <w:u w:val="none"/>
                <w:vertAlign w:val="baseline"/>
                <w:lang w:val="en-US" w:eastAsia="zh-CN"/>
              </w:rPr>
            </w:pPr>
            <w:r>
              <w:rPr>
                <w:rFonts w:hint="eastAsia" w:ascii="仿宋" w:hAnsi="仿宋" w:eastAsia="仿宋" w:cs="仿宋"/>
                <w:strike w:val="0"/>
                <w:dstrike w:val="0"/>
                <w:color w:val="auto"/>
                <w:sz w:val="24"/>
                <w:szCs w:val="24"/>
                <w:highlight w:val="none"/>
                <w:u w:val="none"/>
                <w:vertAlign w:val="baseline"/>
                <w:lang w:val="en-US" w:eastAsia="zh-CN"/>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1F19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690" w:type="dxa"/>
            <w:noWrap w:val="0"/>
            <w:vAlign w:val="center"/>
          </w:tcPr>
          <w:p w14:paraId="6CA736E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16</w:t>
            </w:r>
          </w:p>
        </w:tc>
        <w:tc>
          <w:tcPr>
            <w:tcW w:w="968" w:type="dxa"/>
            <w:noWrap w:val="0"/>
            <w:vAlign w:val="center"/>
          </w:tcPr>
          <w:p w14:paraId="5C63455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其他未列明行业</w:t>
            </w:r>
          </w:p>
        </w:tc>
        <w:tc>
          <w:tcPr>
            <w:tcW w:w="6779" w:type="dxa"/>
            <w:noWrap w:val="0"/>
            <w:vAlign w:val="center"/>
          </w:tcPr>
          <w:p w14:paraId="576E40A2">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从业人员300人以下的为中小微型企业。其中，从业人员100人及以上的为中型企业；从业人员10人及以上的为小型企业；从业人员10人以下的为微型企业。</w:t>
            </w:r>
          </w:p>
        </w:tc>
      </w:tr>
    </w:tbl>
    <w:p w14:paraId="7A1522D3">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说明：</w:t>
      </w:r>
    </w:p>
    <w:p w14:paraId="5080414E">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 大型、中型和小型企业须同时满足所列指标的下限，否则下划一档；微型企业只需满足所列指标中的一项即可。</w:t>
      </w:r>
    </w:p>
    <w:p w14:paraId="3CBFEEBB">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 附表中各行业的范围以《国民经济行业分类》（GB/T 4754 - 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7CB0397">
      <w:pPr>
        <w:rPr>
          <w:rFonts w:hint="eastAsia" w:ascii="仿宋" w:hAnsi="仿宋" w:eastAsia="仿宋" w:cs="仿宋"/>
          <w:color w:val="000000" w:themeColor="text1"/>
          <w:sz w:val="44"/>
          <w:szCs w:val="4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32E007E1">
      <w:pPr>
        <w:rPr>
          <w:rFonts w:hint="eastAsia" w:ascii="仿宋" w:hAnsi="仿宋" w:eastAsia="仿宋" w:cs="仿宋"/>
          <w:color w:val="000000" w:themeColor="text1"/>
          <w:sz w:val="44"/>
          <w:szCs w:val="44"/>
          <w:highlight w:val="none"/>
          <w:lang w:eastAsia="zh-CN"/>
          <w14:textFill>
            <w14:solidFill>
              <w14:schemeClr w14:val="tx1"/>
            </w14:solidFill>
          </w14:textFill>
        </w:rPr>
      </w:pPr>
      <w:r>
        <w:rPr>
          <w:rFonts w:hint="eastAsia" w:ascii="仿宋" w:hAnsi="仿宋" w:eastAsia="仿宋" w:cs="仿宋"/>
          <w:color w:val="000000" w:themeColor="text1"/>
          <w:sz w:val="44"/>
          <w:szCs w:val="44"/>
          <w:highlight w:val="none"/>
          <w:lang w:eastAsia="zh-CN"/>
          <w14:textFill>
            <w14:solidFill>
              <w14:schemeClr w14:val="tx1"/>
            </w14:solidFill>
          </w14:textFill>
        </w:rPr>
        <w:br w:type="page"/>
      </w:r>
    </w:p>
    <w:p w14:paraId="2F6DAC16">
      <w:pPr>
        <w:pStyle w:val="2"/>
        <w:rPr>
          <w:rFonts w:hint="eastAsia" w:ascii="仿宋" w:hAnsi="仿宋" w:eastAsia="仿宋" w:cs="仿宋"/>
          <w:highlight w:val="none"/>
        </w:rPr>
      </w:pPr>
    </w:p>
    <w:p w14:paraId="66CFC719">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（八）本项目的特定资格要求</w:t>
      </w:r>
    </w:p>
    <w:p w14:paraId="18213F6B">
      <w:pPr>
        <w:pStyle w:val="2"/>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自拟格式提供书面声明。</w:t>
      </w:r>
    </w:p>
    <w:p w14:paraId="683CD85B">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0804BB9">
      <w:pPr>
        <w:pStyle w:val="4"/>
        <w:pageBreakBefore w:val="0"/>
        <w:kinsoku/>
        <w:wordWrap w:val="0"/>
        <w:overflowPunct/>
        <w:bidi w:val="0"/>
        <w:spacing w:after="0" w:line="360" w:lineRule="auto"/>
        <w:jc w:val="center"/>
        <w:rPr>
          <w:rFonts w:hint="eastAsia" w:ascii="仿宋" w:hAnsi="仿宋" w:eastAsia="仿宋" w:cs="仿宋"/>
          <w:color w:val="auto"/>
          <w:sz w:val="28"/>
          <w:szCs w:val="28"/>
          <w:highlight w:val="none"/>
        </w:rPr>
      </w:pPr>
      <w:bookmarkStart w:id="232" w:name="_Toc17213"/>
      <w:bookmarkStart w:id="233" w:name="_Toc16604"/>
      <w:r>
        <w:rPr>
          <w:rFonts w:hint="eastAsia" w:ascii="仿宋" w:hAnsi="仿宋" w:eastAsia="仿宋" w:cs="仿宋"/>
          <w:color w:val="auto"/>
          <w:sz w:val="28"/>
          <w:szCs w:val="28"/>
          <w:highlight w:val="none"/>
        </w:rPr>
        <w:t>二、技术部分</w:t>
      </w:r>
      <w:bookmarkEnd w:id="232"/>
      <w:bookmarkEnd w:id="233"/>
    </w:p>
    <w:p w14:paraId="59C7706A">
      <w:pPr>
        <w:pStyle w:val="2"/>
        <w:rPr>
          <w:rFonts w:hint="eastAsia" w:ascii="仿宋" w:hAnsi="仿宋" w:eastAsia="仿宋" w:cs="仿宋"/>
          <w:color w:val="auto"/>
          <w:sz w:val="24"/>
          <w:szCs w:val="24"/>
          <w:highlight w:val="none"/>
        </w:rPr>
      </w:pPr>
      <w:bookmarkStart w:id="234" w:name="_Toc25522"/>
    </w:p>
    <w:p w14:paraId="60A87575">
      <w:pPr>
        <w:pStyle w:val="2"/>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szCs w:val="24"/>
          <w:highlight w:val="none"/>
        </w:rPr>
        <w:t>技术参数响应</w:t>
      </w:r>
    </w:p>
    <w:p w14:paraId="73095528">
      <w:pPr>
        <w:pStyle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p w14:paraId="0825FAB7">
      <w:pPr>
        <w:pStyle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质量保证措施及承诺</w:t>
      </w:r>
    </w:p>
    <w:p w14:paraId="20FC2993">
      <w:pPr>
        <w:pStyle w:val="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售后服务保证措施及承诺</w:t>
      </w:r>
    </w:p>
    <w:p w14:paraId="77C4F65D">
      <w:pPr>
        <w:pStyle w:val="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14:paraId="72E588CF">
      <w:pPr>
        <w:pStyle w:val="9"/>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bCs w:val="0"/>
          <w:iCs w:val="0"/>
          <w:color w:val="000000" w:themeColor="text1"/>
          <w:kern w:val="2"/>
          <w:sz w:val="24"/>
          <w:szCs w:val="24"/>
          <w:highlight w:val="none"/>
          <w:u w:val="none"/>
          <w:lang w:val="en-US" w:eastAsia="zh-CN" w:bidi="ar-SA"/>
          <w14:textFill>
            <w14:solidFill>
              <w14:schemeClr w14:val="tx1"/>
            </w14:solidFill>
          </w14:textFill>
        </w:rPr>
        <w:t>（投标人根据评分办法中技术部分评分顺序进行排版，投标人可自行添加所需表格或图案，不可添加与本项目无关内容）</w:t>
      </w:r>
    </w:p>
    <w:p w14:paraId="78303022">
      <w:pPr>
        <w:pStyle w:val="2"/>
        <w:rPr>
          <w:rFonts w:hint="eastAsia" w:ascii="仿宋" w:hAnsi="仿宋" w:eastAsia="仿宋" w:cs="仿宋"/>
          <w:color w:val="auto"/>
          <w:sz w:val="24"/>
          <w:szCs w:val="24"/>
          <w:highlight w:val="none"/>
          <w:lang w:val="en-US" w:eastAsia="zh-CN"/>
        </w:rPr>
      </w:pPr>
    </w:p>
    <w:p w14:paraId="23B214BC">
      <w:pPr>
        <w:pStyle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附：</w:t>
      </w:r>
    </w:p>
    <w:p w14:paraId="37F21065">
      <w:pPr>
        <w:pStyle w:val="2"/>
        <w:ind w:left="0" w:leftChars="0" w:firstLine="0" w:firstLineChars="0"/>
        <w:jc w:val="center"/>
        <w:rPr>
          <w:rFonts w:hint="eastAsia" w:ascii="仿宋" w:hAnsi="仿宋" w:eastAsia="仿宋" w:cs="仿宋"/>
          <w:b/>
          <w:bCs/>
          <w:color w:val="auto"/>
          <w:sz w:val="32"/>
          <w:szCs w:val="32"/>
          <w:highlight w:val="none"/>
          <w:lang w:val="en-US" w:eastAsia="zh-CN"/>
        </w:rPr>
      </w:pPr>
      <w:bookmarkStart w:id="235" w:name="_Toc24848"/>
      <w:bookmarkStart w:id="236" w:name="_Toc21642"/>
      <w:bookmarkStart w:id="237" w:name="_Toc374"/>
      <w:bookmarkStart w:id="238" w:name="_Toc15572"/>
      <w:bookmarkStart w:id="239" w:name="_Toc27402"/>
      <w:bookmarkStart w:id="240" w:name="_Toc15218"/>
      <w:bookmarkStart w:id="241" w:name="_Toc30787"/>
      <w:bookmarkStart w:id="242" w:name="_Toc57"/>
      <w:bookmarkStart w:id="243" w:name="_Toc173"/>
      <w:r>
        <w:rPr>
          <w:rFonts w:hint="eastAsia" w:ascii="仿宋" w:hAnsi="仿宋" w:eastAsia="仿宋" w:cs="仿宋"/>
          <w:b/>
          <w:bCs/>
          <w:color w:val="auto"/>
          <w:sz w:val="32"/>
          <w:szCs w:val="32"/>
          <w:highlight w:val="none"/>
          <w:lang w:val="en-US" w:eastAsia="zh-CN"/>
        </w:rPr>
        <w:t>技术参数偏离表</w:t>
      </w:r>
      <w:bookmarkEnd w:id="235"/>
      <w:bookmarkEnd w:id="236"/>
      <w:bookmarkEnd w:id="237"/>
      <w:bookmarkEnd w:id="238"/>
      <w:bookmarkEnd w:id="239"/>
      <w:bookmarkEnd w:id="240"/>
      <w:bookmarkEnd w:id="241"/>
      <w:bookmarkEnd w:id="242"/>
      <w:bookmarkEnd w:id="243"/>
    </w:p>
    <w:p w14:paraId="09664EF4">
      <w:pPr>
        <w:pStyle w:val="2"/>
        <w:ind w:left="0" w:leftChars="0" w:firstLine="0" w:firstLineChars="0"/>
        <w:jc w:val="center"/>
        <w:rPr>
          <w:rFonts w:hint="eastAsia" w:ascii="仿宋" w:hAnsi="仿宋" w:eastAsia="仿宋" w:cs="仿宋"/>
          <w:b/>
          <w:bCs/>
          <w:color w:val="auto"/>
          <w:sz w:val="32"/>
          <w:szCs w:val="32"/>
          <w:highlight w:val="none"/>
          <w:lang w:val="en-US" w:eastAsia="zh-CN"/>
        </w:rPr>
      </w:pPr>
    </w:p>
    <w:tbl>
      <w:tblPr>
        <w:tblStyle w:val="22"/>
        <w:tblW w:w="107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467"/>
        <w:gridCol w:w="780"/>
        <w:gridCol w:w="1790"/>
        <w:gridCol w:w="1900"/>
        <w:gridCol w:w="1610"/>
        <w:gridCol w:w="921"/>
        <w:gridCol w:w="1583"/>
      </w:tblGrid>
      <w:tr w14:paraId="3A313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jc w:val="center"/>
        </w:trPr>
        <w:tc>
          <w:tcPr>
            <w:tcW w:w="748" w:type="dxa"/>
            <w:noWrap w:val="0"/>
            <w:vAlign w:val="center"/>
          </w:tcPr>
          <w:p w14:paraId="20E3AD0D">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序号</w:t>
            </w:r>
          </w:p>
        </w:tc>
        <w:tc>
          <w:tcPr>
            <w:tcW w:w="1467" w:type="dxa"/>
            <w:noWrap w:val="0"/>
            <w:vAlign w:val="center"/>
          </w:tcPr>
          <w:p w14:paraId="717160D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设备</w:t>
            </w:r>
            <w:r>
              <w:rPr>
                <w:rFonts w:hint="eastAsia" w:ascii="仿宋" w:hAnsi="仿宋" w:eastAsia="仿宋" w:cs="仿宋"/>
                <w:color w:val="000000" w:themeColor="text1"/>
                <w:szCs w:val="21"/>
                <w:highlight w:val="none"/>
                <w14:textFill>
                  <w14:solidFill>
                    <w14:schemeClr w14:val="tx1"/>
                  </w14:solidFill>
                </w14:textFill>
              </w:rPr>
              <w:t>名称</w:t>
            </w:r>
          </w:p>
        </w:tc>
        <w:tc>
          <w:tcPr>
            <w:tcW w:w="780" w:type="dxa"/>
            <w:noWrap w:val="0"/>
            <w:vAlign w:val="center"/>
          </w:tcPr>
          <w:p w14:paraId="2045B24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数量</w:t>
            </w:r>
          </w:p>
        </w:tc>
        <w:tc>
          <w:tcPr>
            <w:tcW w:w="1790" w:type="dxa"/>
            <w:noWrap w:val="0"/>
            <w:vAlign w:val="center"/>
          </w:tcPr>
          <w:p w14:paraId="642ED71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采购</w:t>
            </w:r>
            <w:r>
              <w:rPr>
                <w:rFonts w:hint="eastAsia" w:ascii="仿宋" w:hAnsi="仿宋" w:eastAsia="仿宋" w:cs="仿宋"/>
                <w:color w:val="000000" w:themeColor="text1"/>
                <w:szCs w:val="21"/>
                <w:highlight w:val="none"/>
                <w:lang w:eastAsia="zh-CN"/>
                <w14:textFill>
                  <w14:solidFill>
                    <w14:schemeClr w14:val="tx1"/>
                  </w14:solidFill>
                </w14:textFill>
              </w:rPr>
              <w:t>文件技术规范、要求</w:t>
            </w:r>
          </w:p>
        </w:tc>
        <w:tc>
          <w:tcPr>
            <w:tcW w:w="1900" w:type="dxa"/>
            <w:noWrap w:val="0"/>
            <w:vAlign w:val="center"/>
          </w:tcPr>
          <w:p w14:paraId="071F493B">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响应文件</w:t>
            </w:r>
            <w:r>
              <w:rPr>
                <w:rFonts w:hint="eastAsia" w:ascii="仿宋" w:hAnsi="仿宋" w:eastAsia="仿宋" w:cs="仿宋"/>
                <w:color w:val="000000" w:themeColor="text1"/>
                <w:szCs w:val="21"/>
                <w:highlight w:val="none"/>
                <w14:textFill>
                  <w14:solidFill>
                    <w14:schemeClr w14:val="tx1"/>
                  </w14:solidFill>
                </w14:textFill>
              </w:rPr>
              <w:t>对应规范</w:t>
            </w:r>
          </w:p>
        </w:tc>
        <w:tc>
          <w:tcPr>
            <w:tcW w:w="1610" w:type="dxa"/>
            <w:noWrap w:val="0"/>
            <w:vAlign w:val="center"/>
          </w:tcPr>
          <w:p w14:paraId="7EACB19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正偏离/</w:t>
            </w:r>
            <w:r>
              <w:rPr>
                <w:rFonts w:hint="eastAsia" w:ascii="仿宋" w:hAnsi="仿宋" w:eastAsia="仿宋" w:cs="仿宋"/>
                <w:color w:val="000000" w:themeColor="text1"/>
                <w:highlight w:val="none"/>
                <w:lang w:val="en-US" w:eastAsia="zh-CN"/>
                <w14:textFill>
                  <w14:solidFill>
                    <w14:schemeClr w14:val="tx1"/>
                  </w14:solidFill>
                </w14:textFill>
              </w:rPr>
              <w:t>无偏离</w:t>
            </w:r>
            <w:r>
              <w:rPr>
                <w:rFonts w:hint="eastAsia" w:ascii="仿宋" w:hAnsi="仿宋" w:eastAsia="仿宋" w:cs="仿宋"/>
                <w:color w:val="000000" w:themeColor="text1"/>
                <w:szCs w:val="21"/>
                <w:highlight w:val="none"/>
                <w14:textFill>
                  <w14:solidFill>
                    <w14:schemeClr w14:val="tx1"/>
                  </w14:solidFill>
                </w14:textFill>
              </w:rPr>
              <w:t>/负偏离</w:t>
            </w:r>
          </w:p>
        </w:tc>
        <w:tc>
          <w:tcPr>
            <w:tcW w:w="921" w:type="dxa"/>
            <w:noWrap w:val="0"/>
            <w:vAlign w:val="center"/>
          </w:tcPr>
          <w:p w14:paraId="07B4200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备注</w:t>
            </w:r>
          </w:p>
        </w:tc>
        <w:tc>
          <w:tcPr>
            <w:tcW w:w="1583" w:type="dxa"/>
            <w:noWrap w:val="0"/>
            <w:vAlign w:val="top"/>
          </w:tcPr>
          <w:p w14:paraId="534D9E8D">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证明材料响应文件所在位置</w:t>
            </w:r>
          </w:p>
        </w:tc>
      </w:tr>
      <w:tr w14:paraId="0229F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4303644A">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467" w:type="dxa"/>
            <w:noWrap w:val="0"/>
            <w:vAlign w:val="top"/>
          </w:tcPr>
          <w:p w14:paraId="792AD35A">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780" w:type="dxa"/>
            <w:noWrap w:val="0"/>
            <w:vAlign w:val="top"/>
          </w:tcPr>
          <w:p w14:paraId="19E61DFE">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790" w:type="dxa"/>
            <w:noWrap w:val="0"/>
            <w:vAlign w:val="top"/>
          </w:tcPr>
          <w:p w14:paraId="19C3E320">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900" w:type="dxa"/>
            <w:noWrap w:val="0"/>
            <w:vAlign w:val="top"/>
          </w:tcPr>
          <w:p w14:paraId="1E7E985C">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610" w:type="dxa"/>
            <w:noWrap w:val="0"/>
            <w:vAlign w:val="top"/>
          </w:tcPr>
          <w:p w14:paraId="4EA287FC">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921" w:type="dxa"/>
            <w:noWrap w:val="0"/>
            <w:vAlign w:val="top"/>
          </w:tcPr>
          <w:p w14:paraId="451ABCE1">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583" w:type="dxa"/>
            <w:noWrap w:val="0"/>
            <w:vAlign w:val="top"/>
          </w:tcPr>
          <w:p w14:paraId="19922BDA">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r>
      <w:tr w14:paraId="6FB2E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318FAAB3">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467" w:type="dxa"/>
            <w:noWrap w:val="0"/>
            <w:vAlign w:val="top"/>
          </w:tcPr>
          <w:p w14:paraId="671940D1">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780" w:type="dxa"/>
            <w:noWrap w:val="0"/>
            <w:vAlign w:val="top"/>
          </w:tcPr>
          <w:p w14:paraId="456676E8">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790" w:type="dxa"/>
            <w:noWrap w:val="0"/>
            <w:vAlign w:val="top"/>
          </w:tcPr>
          <w:p w14:paraId="32A7122B">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900" w:type="dxa"/>
            <w:noWrap w:val="0"/>
            <w:vAlign w:val="top"/>
          </w:tcPr>
          <w:p w14:paraId="5ECFB160">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610" w:type="dxa"/>
            <w:noWrap w:val="0"/>
            <w:vAlign w:val="top"/>
          </w:tcPr>
          <w:p w14:paraId="41301838">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921" w:type="dxa"/>
            <w:noWrap w:val="0"/>
            <w:vAlign w:val="top"/>
          </w:tcPr>
          <w:p w14:paraId="0231F635">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583" w:type="dxa"/>
            <w:noWrap w:val="0"/>
            <w:vAlign w:val="top"/>
          </w:tcPr>
          <w:p w14:paraId="7F5A1403">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r>
      <w:tr w14:paraId="4731A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2835641C">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467" w:type="dxa"/>
            <w:noWrap w:val="0"/>
            <w:vAlign w:val="top"/>
          </w:tcPr>
          <w:p w14:paraId="3F4FF155">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780" w:type="dxa"/>
            <w:noWrap w:val="0"/>
            <w:vAlign w:val="top"/>
          </w:tcPr>
          <w:p w14:paraId="2F5D06C5">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790" w:type="dxa"/>
            <w:noWrap w:val="0"/>
            <w:vAlign w:val="top"/>
          </w:tcPr>
          <w:p w14:paraId="77306E94">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900" w:type="dxa"/>
            <w:noWrap w:val="0"/>
            <w:vAlign w:val="top"/>
          </w:tcPr>
          <w:p w14:paraId="4C38F5F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610" w:type="dxa"/>
            <w:noWrap w:val="0"/>
            <w:vAlign w:val="top"/>
          </w:tcPr>
          <w:p w14:paraId="57532110">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921" w:type="dxa"/>
            <w:noWrap w:val="0"/>
            <w:vAlign w:val="top"/>
          </w:tcPr>
          <w:p w14:paraId="4C273EB2">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583" w:type="dxa"/>
            <w:noWrap w:val="0"/>
            <w:vAlign w:val="top"/>
          </w:tcPr>
          <w:p w14:paraId="20C608B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r>
      <w:tr w14:paraId="79325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4F60E093">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467" w:type="dxa"/>
            <w:noWrap w:val="0"/>
            <w:vAlign w:val="top"/>
          </w:tcPr>
          <w:p w14:paraId="603087B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780" w:type="dxa"/>
            <w:noWrap w:val="0"/>
            <w:vAlign w:val="top"/>
          </w:tcPr>
          <w:p w14:paraId="7BD07502">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790" w:type="dxa"/>
            <w:noWrap w:val="0"/>
            <w:vAlign w:val="top"/>
          </w:tcPr>
          <w:p w14:paraId="449D1F1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900" w:type="dxa"/>
            <w:noWrap w:val="0"/>
            <w:vAlign w:val="top"/>
          </w:tcPr>
          <w:p w14:paraId="6AA2F574">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610" w:type="dxa"/>
            <w:noWrap w:val="0"/>
            <w:vAlign w:val="top"/>
          </w:tcPr>
          <w:p w14:paraId="511EF7D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921" w:type="dxa"/>
            <w:noWrap w:val="0"/>
            <w:vAlign w:val="top"/>
          </w:tcPr>
          <w:p w14:paraId="05471F5E">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583" w:type="dxa"/>
            <w:noWrap w:val="0"/>
            <w:vAlign w:val="top"/>
          </w:tcPr>
          <w:p w14:paraId="60A37232">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r>
      <w:tr w14:paraId="5A67A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0A6BC4C4">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467" w:type="dxa"/>
            <w:noWrap w:val="0"/>
            <w:vAlign w:val="top"/>
          </w:tcPr>
          <w:p w14:paraId="3D95801E">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780" w:type="dxa"/>
            <w:noWrap w:val="0"/>
            <w:vAlign w:val="top"/>
          </w:tcPr>
          <w:p w14:paraId="4507AFFA">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790" w:type="dxa"/>
            <w:noWrap w:val="0"/>
            <w:vAlign w:val="top"/>
          </w:tcPr>
          <w:p w14:paraId="273DCFE7">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900" w:type="dxa"/>
            <w:noWrap w:val="0"/>
            <w:vAlign w:val="top"/>
          </w:tcPr>
          <w:p w14:paraId="0379D6FB">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610" w:type="dxa"/>
            <w:noWrap w:val="0"/>
            <w:vAlign w:val="top"/>
          </w:tcPr>
          <w:p w14:paraId="0E0D9816">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921" w:type="dxa"/>
            <w:noWrap w:val="0"/>
            <w:vAlign w:val="top"/>
          </w:tcPr>
          <w:p w14:paraId="5F9C5F0A">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583" w:type="dxa"/>
            <w:noWrap w:val="0"/>
            <w:vAlign w:val="top"/>
          </w:tcPr>
          <w:p w14:paraId="16F2B64F">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r>
      <w:tr w14:paraId="2C2D4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040EA8A1">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467" w:type="dxa"/>
            <w:noWrap w:val="0"/>
            <w:vAlign w:val="top"/>
          </w:tcPr>
          <w:p w14:paraId="3C1B17BA">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780" w:type="dxa"/>
            <w:noWrap w:val="0"/>
            <w:vAlign w:val="top"/>
          </w:tcPr>
          <w:p w14:paraId="79CA2B13">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790" w:type="dxa"/>
            <w:noWrap w:val="0"/>
            <w:vAlign w:val="top"/>
          </w:tcPr>
          <w:p w14:paraId="3A795847">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900" w:type="dxa"/>
            <w:noWrap w:val="0"/>
            <w:vAlign w:val="top"/>
          </w:tcPr>
          <w:p w14:paraId="79FBABA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610" w:type="dxa"/>
            <w:noWrap w:val="0"/>
            <w:vAlign w:val="top"/>
          </w:tcPr>
          <w:p w14:paraId="1CA21637">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921" w:type="dxa"/>
            <w:noWrap w:val="0"/>
            <w:vAlign w:val="top"/>
          </w:tcPr>
          <w:p w14:paraId="707384E6">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c>
          <w:tcPr>
            <w:tcW w:w="1583" w:type="dxa"/>
            <w:noWrap w:val="0"/>
            <w:vAlign w:val="top"/>
          </w:tcPr>
          <w:p w14:paraId="6EFE55DC">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szCs w:val="21"/>
                <w:highlight w:val="none"/>
                <w:lang w:eastAsia="zh-CN"/>
                <w14:textFill>
                  <w14:solidFill>
                    <w14:schemeClr w14:val="tx1"/>
                  </w14:solidFill>
                </w14:textFill>
              </w:rPr>
            </w:pPr>
          </w:p>
        </w:tc>
      </w:tr>
    </w:tbl>
    <w:p w14:paraId="05B33AA1">
      <w:pPr>
        <w:keepNext w:val="0"/>
        <w:keepLines w:val="0"/>
        <w:pageBreakBefore w:val="0"/>
        <w:widowControl w:val="0"/>
        <w:kinsoku/>
        <w:wordWrap w:val="0"/>
        <w:overflowPunct/>
        <w:topLinePunct/>
        <w:autoSpaceDE/>
        <w:autoSpaceDN/>
        <w:bidi w:val="0"/>
        <w:adjustRightInd/>
        <w:snapToGrid/>
        <w:spacing w:line="0" w:lineRule="atLeast"/>
        <w:ind w:left="0" w:leftChars="0"/>
        <w:jc w:val="left"/>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填表说明：</w:t>
      </w:r>
      <w:r>
        <w:rPr>
          <w:rFonts w:hint="eastAsia" w:ascii="仿宋" w:hAnsi="仿宋" w:eastAsia="仿宋" w:cs="仿宋"/>
          <w:color w:val="000000" w:themeColor="text1"/>
          <w:highlight w:val="none"/>
          <w:lang w:val="en-US" w:eastAsia="zh-CN"/>
          <w14:textFill>
            <w14:solidFill>
              <w14:schemeClr w14:val="tx1"/>
            </w14:solidFill>
          </w14:textFill>
        </w:rPr>
        <w:t>投标人应根据报价设备的性能</w:t>
      </w:r>
      <w:r>
        <w:rPr>
          <w:rFonts w:hint="eastAsia" w:ascii="仿宋" w:hAnsi="仿宋" w:eastAsia="仿宋" w:cs="仿宋"/>
          <w:color w:val="auto"/>
          <w:highlight w:val="none"/>
          <w:lang w:val="en-US" w:eastAsia="zh-CN"/>
        </w:rPr>
        <w:t>指标</w:t>
      </w:r>
      <w:r>
        <w:rPr>
          <w:rFonts w:hint="eastAsia" w:ascii="仿宋" w:hAnsi="仿宋" w:eastAsia="仿宋" w:cs="仿宋"/>
          <w:strike w:val="0"/>
          <w:dstrike w:val="0"/>
          <w:color w:val="auto"/>
          <w:highlight w:val="none"/>
          <w:lang w:val="en-US" w:eastAsia="zh-CN"/>
        </w:rPr>
        <w:t>，</w:t>
      </w:r>
      <w:r>
        <w:rPr>
          <w:rFonts w:hint="eastAsia" w:ascii="仿宋" w:hAnsi="仿宋" w:eastAsia="仿宋" w:cs="仿宋"/>
          <w:color w:val="auto"/>
          <w:highlight w:val="none"/>
          <w:lang w:val="en-US" w:eastAsia="zh-CN"/>
        </w:rPr>
        <w:t>对照采</w:t>
      </w:r>
      <w:r>
        <w:rPr>
          <w:rFonts w:hint="eastAsia" w:ascii="仿宋" w:hAnsi="仿宋" w:eastAsia="仿宋" w:cs="仿宋"/>
          <w:color w:val="000000" w:themeColor="text1"/>
          <w:highlight w:val="none"/>
          <w:lang w:val="en-US" w:eastAsia="zh-CN"/>
          <w14:textFill>
            <w14:solidFill>
              <w14:schemeClr w14:val="tx1"/>
            </w14:solidFill>
          </w14:textFill>
        </w:rPr>
        <w:t>购文件要求如实填写。</w:t>
      </w:r>
    </w:p>
    <w:p w14:paraId="77209CD6">
      <w:pPr>
        <w:pStyle w:val="2"/>
        <w:rPr>
          <w:rFonts w:hint="eastAsia" w:ascii="仿宋" w:hAnsi="仿宋" w:eastAsia="仿宋" w:cs="仿宋"/>
          <w:highlight w:val="none"/>
        </w:rPr>
      </w:pPr>
    </w:p>
    <w:p w14:paraId="1A087F85">
      <w:pPr>
        <w:pStyle w:val="2"/>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244" w:name="_Toc24641"/>
    </w:p>
    <w:p w14:paraId="36352BB9">
      <w:pPr>
        <w:pStyle w:val="2"/>
        <w:ind w:left="0" w:leftChars="0" w:firstLine="0" w:firstLineChars="0"/>
        <w:jc w:val="center"/>
        <w:rPr>
          <w:rFonts w:hint="eastAsia" w:ascii="仿宋" w:hAnsi="仿宋" w:eastAsia="仿宋" w:cs="仿宋"/>
          <w:color w:val="auto"/>
          <w:sz w:val="24"/>
          <w:szCs w:val="24"/>
          <w:highlight w:val="none"/>
        </w:rPr>
      </w:pPr>
    </w:p>
    <w:p w14:paraId="2C37EC13">
      <w:pPr>
        <w:pStyle w:val="2"/>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auto"/>
          <w:sz w:val="32"/>
          <w:szCs w:val="32"/>
          <w:highlight w:val="none"/>
          <w:lang w:val="en-US" w:eastAsia="zh-CN"/>
        </w:rPr>
        <w:t>知识产权声明函</w:t>
      </w:r>
      <w:bookmarkEnd w:id="244"/>
    </w:p>
    <w:p w14:paraId="0D6411B8">
      <w:pPr>
        <w:keepNext w:val="0"/>
        <w:keepLines w:val="0"/>
        <w:pageBreakBefore w:val="0"/>
        <w:widowControl w:val="0"/>
        <w:kinsoku/>
        <w:wordWrap w:val="0"/>
        <w:overflowPunct/>
        <w:topLinePunct/>
        <w:autoSpaceDE/>
        <w:autoSpaceDN/>
        <w:bidi w:val="0"/>
        <w:adjustRightInd/>
        <w:snapToGrid/>
        <w:spacing w:line="360" w:lineRule="auto"/>
        <w:ind w:left="0" w:leftChars="0"/>
        <w:jc w:val="left"/>
        <w:rPr>
          <w:rFonts w:hint="eastAsia" w:ascii="仿宋" w:hAnsi="仿宋" w:eastAsia="仿宋" w:cs="仿宋"/>
          <w:color w:val="000000" w:themeColor="text1"/>
          <w:sz w:val="24"/>
          <w:szCs w:val="24"/>
          <w:highlight w:val="none"/>
          <w:u w:val="single"/>
          <w:lang w:eastAsia="zh-CN"/>
          <w14:textFill>
            <w14:solidFill>
              <w14:schemeClr w14:val="tx1"/>
            </w14:solidFill>
          </w14:textFill>
        </w:rPr>
      </w:pPr>
    </w:p>
    <w:p w14:paraId="1102498B">
      <w:pPr>
        <w:keepNext w:val="0"/>
        <w:keepLines w:val="0"/>
        <w:pageBreakBefore w:val="0"/>
        <w:widowControl w:val="0"/>
        <w:kinsoku/>
        <w:wordWrap w:val="0"/>
        <w:overflowPunct/>
        <w:topLinePunct/>
        <w:autoSpaceDE/>
        <w:autoSpaceDN/>
        <w:bidi w:val="0"/>
        <w:adjustRightInd/>
        <w:snapToGrid/>
        <w:spacing w:line="360" w:lineRule="auto"/>
        <w:ind w:left="0" w:leftChars="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u w:val="singl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采购</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名称</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17F89D44">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我公司</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（投标人名称）</w:t>
      </w:r>
      <w:r>
        <w:rPr>
          <w:rFonts w:hint="eastAsia" w:ascii="仿宋" w:hAnsi="仿宋" w:eastAsia="仿宋" w:cs="仿宋"/>
          <w:color w:val="000000" w:themeColor="text1"/>
          <w:sz w:val="24"/>
          <w:szCs w:val="24"/>
          <w:highlight w:val="none"/>
          <w:lang w:eastAsia="zh-CN"/>
          <w14:textFill>
            <w14:solidFill>
              <w14:schemeClr w14:val="tx1"/>
            </w14:solidFill>
          </w14:textFill>
        </w:rPr>
        <w:t>已详细阅读了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名称：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项目编号</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采购活动</w:t>
      </w:r>
      <w:r>
        <w:rPr>
          <w:rFonts w:hint="eastAsia" w:ascii="仿宋" w:hAnsi="仿宋" w:eastAsia="仿宋" w:cs="仿宋"/>
          <w:strike w:val="0"/>
          <w:color w:val="auto"/>
          <w:sz w:val="24"/>
          <w:highlight w:val="none"/>
          <w:lang w:val="en-US" w:eastAsia="zh-CN"/>
        </w:rPr>
        <w:t>相关文件</w:t>
      </w:r>
      <w:r>
        <w:rPr>
          <w:rFonts w:hint="eastAsia" w:ascii="仿宋" w:hAnsi="仿宋" w:eastAsia="仿宋" w:cs="仿宋"/>
          <w:color w:val="000000" w:themeColor="text1"/>
          <w:sz w:val="24"/>
          <w:szCs w:val="24"/>
          <w:highlight w:val="none"/>
          <w:lang w:eastAsia="zh-CN"/>
          <w14:textFill>
            <w14:solidFill>
              <w14:schemeClr w14:val="tx1"/>
            </w14:solidFill>
          </w14:textFill>
        </w:rPr>
        <w:t>，现承诺声明：</w:t>
      </w:r>
    </w:p>
    <w:p w14:paraId="3A3C368A">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000000" w:themeColor="text1"/>
          <w:sz w:val="24"/>
          <w:szCs w:val="24"/>
          <w:highlight w:val="none"/>
          <w:lang w:eastAsia="zh-CN"/>
          <w14:textFill>
            <w14:solidFill>
              <w14:schemeClr w14:val="tx1"/>
            </w14:solidFill>
          </w14:textFill>
        </w:rPr>
        <w:t>（一）本单位保证在本项目使用的</w:t>
      </w:r>
      <w:r>
        <w:rPr>
          <w:rFonts w:hint="eastAsia" w:ascii="仿宋" w:hAnsi="仿宋" w:eastAsia="仿宋" w:cs="仿宋"/>
          <w:color w:val="auto"/>
          <w:sz w:val="24"/>
          <w:szCs w:val="24"/>
          <w:highlight w:val="none"/>
          <w:lang w:eastAsia="zh-CN"/>
        </w:rPr>
        <w:t>任何产品和服务（包括部分使用）时，不会产生因第三方提出侵犯其专利权、商标权或其他知识产权而引起的法律和经济纠纷</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color w:val="auto"/>
          <w:sz w:val="24"/>
          <w:szCs w:val="24"/>
          <w:highlight w:val="none"/>
          <w:lang w:eastAsia="zh-CN"/>
        </w:rPr>
        <w:t>如因专利权、商标权或其他知识产权而引起法律和经济纠纷，由本单位承担所有相关责任。</w:t>
      </w:r>
    </w:p>
    <w:p w14:paraId="426F286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（二）采购人享有本项目实施过程中产生的知识成果及知识产权。</w:t>
      </w:r>
    </w:p>
    <w:p w14:paraId="5EED87DD">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eastAsia="zh-CN"/>
        </w:rPr>
        <w:t>（三）本单位声明如果在项目实施过程中涉及采用自有知识成果，本单位</w:t>
      </w:r>
      <w:r>
        <w:rPr>
          <w:rFonts w:hint="eastAsia" w:ascii="仿宋" w:hAnsi="仿宋" w:eastAsia="仿宋" w:cs="仿宋"/>
          <w:strike w:val="0"/>
          <w:color w:val="auto"/>
          <w:sz w:val="24"/>
          <w:szCs w:val="24"/>
          <w:highlight w:val="none"/>
          <w:lang w:eastAsia="zh-CN"/>
        </w:rPr>
        <w:t>将</w:t>
      </w:r>
      <w:r>
        <w:rPr>
          <w:rFonts w:hint="eastAsia" w:ascii="仿宋" w:hAnsi="仿宋" w:eastAsia="仿宋" w:cs="仿宋"/>
          <w:color w:val="auto"/>
          <w:sz w:val="24"/>
          <w:szCs w:val="24"/>
          <w:highlight w:val="none"/>
          <w:lang w:eastAsia="zh-CN"/>
        </w:rPr>
        <w:t>提供使用自有知识成果的相关资料并为其真实性单独负责</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color w:val="auto"/>
          <w:sz w:val="24"/>
          <w:szCs w:val="24"/>
          <w:highlight w:val="none"/>
          <w:lang w:eastAsia="zh-CN"/>
        </w:rPr>
        <w:t>在使用该知识成果后，本单位</w:t>
      </w:r>
      <w:r>
        <w:rPr>
          <w:rFonts w:hint="eastAsia" w:ascii="仿宋" w:hAnsi="仿宋" w:eastAsia="仿宋" w:cs="仿宋"/>
          <w:strike w:val="0"/>
          <w:color w:val="auto"/>
          <w:sz w:val="24"/>
          <w:szCs w:val="24"/>
          <w:highlight w:val="none"/>
          <w:lang w:eastAsia="zh-CN"/>
        </w:rPr>
        <w:t>将</w:t>
      </w:r>
      <w:r>
        <w:rPr>
          <w:rFonts w:hint="eastAsia" w:ascii="仿宋" w:hAnsi="仿宋" w:eastAsia="仿宋" w:cs="仿宋"/>
          <w:color w:val="auto"/>
          <w:sz w:val="24"/>
          <w:szCs w:val="24"/>
          <w:highlight w:val="none"/>
          <w:lang w:eastAsia="zh-CN"/>
        </w:rPr>
        <w:t>提供开发接口和开发手册等技术文档给采购人，并承诺提供无限期技术支持，采购人享有永久使用</w:t>
      </w:r>
      <w:r>
        <w:rPr>
          <w:rFonts w:hint="eastAsia" w:ascii="仿宋" w:hAnsi="仿宋" w:eastAsia="仿宋" w:cs="仿宋"/>
          <w:color w:val="000000" w:themeColor="text1"/>
          <w:sz w:val="24"/>
          <w:szCs w:val="24"/>
          <w:highlight w:val="none"/>
          <w:lang w:eastAsia="zh-CN"/>
          <w14:textFill>
            <w14:solidFill>
              <w14:schemeClr w14:val="tx1"/>
            </w14:solidFill>
          </w14:textFill>
        </w:rPr>
        <w:t>权（含采购人委托第三方在该项目后续开发的使用权）。</w:t>
      </w:r>
    </w:p>
    <w:p w14:paraId="12F5D7C6">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rPr>
          <w:rFonts w:hint="eastAsia" w:ascii="仿宋" w:hAnsi="仿宋" w:eastAsia="仿宋" w:cs="仿宋"/>
          <w:color w:val="000000" w:themeColor="text1"/>
          <w:sz w:val="24"/>
          <w:szCs w:val="24"/>
          <w:highlight w:val="none"/>
          <w:lang w:eastAsia="zh-CN"/>
          <w14:textFill>
            <w14:solidFill>
              <w14:schemeClr w14:val="tx1"/>
            </w14:solidFill>
          </w14:textFill>
        </w:rPr>
      </w:pPr>
    </w:p>
    <w:p w14:paraId="5087FDFF">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本公司对上述承诺声明内容和事项真实性负责。如经查实上述承诺声明的内容事项存在虚假或未履行，本单位愿意接受以提供虚假材料谋取成交追究法律责任。</w:t>
      </w:r>
    </w:p>
    <w:p w14:paraId="0DA8FBBB">
      <w:pPr>
        <w:pStyle w:val="32"/>
        <w:keepNext w:val="0"/>
        <w:keepLines w:val="0"/>
        <w:pageBreakBefore w:val="0"/>
        <w:widowControl w:val="0"/>
        <w:kinsoku/>
        <w:wordWrap w:val="0"/>
        <w:overflowPunct/>
        <w:topLinePunct/>
        <w:autoSpaceDE/>
        <w:autoSpaceDN/>
        <w:bidi w:val="0"/>
        <w:adjustRightInd/>
        <w:snapToGrid/>
        <w:spacing w:before="0" w:beforeLines="0" w:line="360" w:lineRule="auto"/>
        <w:ind w:left="0" w:leftChars="0" w:firstLine="0" w:firstLineChars="0"/>
        <w:rPr>
          <w:rFonts w:hint="eastAsia" w:ascii="仿宋" w:hAnsi="仿宋" w:eastAsia="仿宋" w:cs="仿宋"/>
          <w:color w:val="000000" w:themeColor="text1"/>
          <w:sz w:val="24"/>
          <w:szCs w:val="24"/>
          <w:highlight w:val="none"/>
          <w:lang w:eastAsia="zh-CN"/>
          <w14:textFill>
            <w14:solidFill>
              <w14:schemeClr w14:val="tx1"/>
            </w14:solidFill>
          </w14:textFill>
        </w:rPr>
      </w:pPr>
    </w:p>
    <w:p w14:paraId="1775F23C">
      <w:pPr>
        <w:pStyle w:val="32"/>
        <w:keepNext w:val="0"/>
        <w:keepLines w:val="0"/>
        <w:pageBreakBefore w:val="0"/>
        <w:widowControl w:val="0"/>
        <w:kinsoku/>
        <w:wordWrap w:val="0"/>
        <w:overflowPunct/>
        <w:topLinePunct/>
        <w:autoSpaceDE/>
        <w:autoSpaceDN/>
        <w:bidi w:val="0"/>
        <w:adjustRightInd/>
        <w:snapToGrid/>
        <w:spacing w:before="0" w:beforeLines="0" w:line="360" w:lineRule="auto"/>
        <w:ind w:left="0" w:leftChars="0" w:firstLine="0" w:firstLineChars="0"/>
        <w:rPr>
          <w:rFonts w:hint="eastAsia" w:ascii="仿宋" w:hAnsi="仿宋" w:eastAsia="仿宋" w:cs="仿宋"/>
          <w:color w:val="000000" w:themeColor="text1"/>
          <w:sz w:val="24"/>
          <w:szCs w:val="24"/>
          <w:highlight w:val="none"/>
          <w:lang w:eastAsia="zh-CN"/>
          <w14:textFill>
            <w14:solidFill>
              <w14:schemeClr w14:val="tx1"/>
            </w14:solidFill>
          </w14:textFill>
        </w:rPr>
      </w:pPr>
    </w:p>
    <w:p w14:paraId="1770E3C8">
      <w:pPr>
        <w:pStyle w:val="32"/>
        <w:keepNext w:val="0"/>
        <w:keepLines w:val="0"/>
        <w:pageBreakBefore w:val="0"/>
        <w:widowControl w:val="0"/>
        <w:kinsoku/>
        <w:wordWrap w:val="0"/>
        <w:overflowPunct/>
        <w:topLinePunct/>
        <w:autoSpaceDE/>
        <w:autoSpaceDN/>
        <w:bidi w:val="0"/>
        <w:adjustRightInd/>
        <w:snapToGrid/>
        <w:spacing w:before="0" w:beforeLines="0" w:line="360" w:lineRule="auto"/>
        <w:ind w:left="0" w:leftChars="0" w:firstLine="0" w:firstLineChars="0"/>
        <w:rPr>
          <w:rFonts w:hint="eastAsia" w:ascii="仿宋" w:hAnsi="仿宋" w:eastAsia="仿宋" w:cs="仿宋"/>
          <w:color w:val="000000" w:themeColor="text1"/>
          <w:sz w:val="24"/>
          <w:szCs w:val="24"/>
          <w:highlight w:val="none"/>
          <w:lang w:eastAsia="zh-CN"/>
          <w14:textFill>
            <w14:solidFill>
              <w14:schemeClr w14:val="tx1"/>
            </w14:solidFill>
          </w14:textFill>
        </w:rPr>
      </w:pPr>
    </w:p>
    <w:p w14:paraId="4C2C2234">
      <w:pPr>
        <w:pStyle w:val="32"/>
        <w:keepNext w:val="0"/>
        <w:keepLines w:val="0"/>
        <w:pageBreakBefore w:val="0"/>
        <w:widowControl w:val="0"/>
        <w:kinsoku/>
        <w:wordWrap w:val="0"/>
        <w:overflowPunct/>
        <w:topLinePunct/>
        <w:autoSpaceDE/>
        <w:autoSpaceDN/>
        <w:bidi w:val="0"/>
        <w:adjustRightInd/>
        <w:snapToGrid/>
        <w:spacing w:before="0" w:beforeLines="0" w:line="360" w:lineRule="auto"/>
        <w:ind w:left="0" w:leftChars="0"/>
        <w:rPr>
          <w:rFonts w:hint="eastAsia" w:ascii="仿宋" w:hAnsi="仿宋" w:eastAsia="仿宋" w:cs="仿宋"/>
          <w:color w:val="000000" w:themeColor="text1"/>
          <w:sz w:val="24"/>
          <w:szCs w:val="24"/>
          <w:highlight w:val="none"/>
          <w:lang w:eastAsia="zh-CN"/>
          <w14:textFill>
            <w14:solidFill>
              <w14:schemeClr w14:val="tx1"/>
            </w14:solidFill>
          </w14:textFill>
        </w:rPr>
      </w:pPr>
    </w:p>
    <w:p w14:paraId="677CB569">
      <w:pPr>
        <w:pageBreakBefore w:val="0"/>
        <w:shd w:val="clear"/>
        <w:kinsoku/>
        <w:wordWrap w:val="0"/>
        <w:bidi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1A6D7B21">
      <w:pPr>
        <w:pageBreakBefore w:val="0"/>
        <w:shd w:val="clear"/>
        <w:kinsoku/>
        <w:wordWrap w:val="0"/>
        <w:bidi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31433A8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bookmarkStart w:id="245" w:name="_Toc145164081"/>
      <w:bookmarkStart w:id="246" w:name="_Toc5520"/>
      <w:bookmarkStart w:id="247" w:name="_Toc26258"/>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6174E6E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78A7DC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A8CB4FC">
      <w:pPr>
        <w:rPr>
          <w:rFonts w:hint="eastAsia" w:ascii="仿宋" w:hAnsi="仿宋" w:eastAsia="仿宋" w:cs="仿宋"/>
          <w:highlight w:val="none"/>
        </w:rPr>
      </w:pPr>
      <w:r>
        <w:rPr>
          <w:rFonts w:hint="eastAsia" w:ascii="仿宋" w:hAnsi="仿宋" w:eastAsia="仿宋" w:cs="仿宋"/>
          <w:highlight w:val="none"/>
        </w:rPr>
        <w:br w:type="page"/>
      </w:r>
    </w:p>
    <w:p w14:paraId="75773893">
      <w:pPr>
        <w:pStyle w:val="2"/>
        <w:rPr>
          <w:rFonts w:hint="eastAsia" w:ascii="仿宋" w:hAnsi="仿宋" w:eastAsia="仿宋" w:cs="仿宋"/>
          <w:highlight w:val="none"/>
        </w:rPr>
      </w:pPr>
    </w:p>
    <w:bookmarkEnd w:id="245"/>
    <w:p w14:paraId="0D81C86D">
      <w:pPr>
        <w:pStyle w:val="2"/>
        <w:ind w:left="0" w:leftChars="0" w:firstLine="0" w:firstLineChars="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质量保证书</w:t>
      </w:r>
      <w:bookmarkEnd w:id="246"/>
      <w:bookmarkEnd w:id="247"/>
    </w:p>
    <w:p w14:paraId="01A37BD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p>
    <w:p w14:paraId="4425449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采购</w:t>
      </w:r>
      <w:r>
        <w:rPr>
          <w:rFonts w:hint="eastAsia" w:ascii="仿宋" w:hAnsi="仿宋" w:eastAsia="仿宋" w:cs="仿宋"/>
          <w:b/>
          <w:sz w:val="24"/>
          <w:szCs w:val="24"/>
          <w:highlight w:val="none"/>
          <w:lang w:eastAsia="zh-CN"/>
        </w:rPr>
        <w:t>人</w:t>
      </w:r>
      <w:r>
        <w:rPr>
          <w:rFonts w:hint="eastAsia" w:ascii="仿宋" w:hAnsi="仿宋" w:eastAsia="仿宋" w:cs="仿宋"/>
          <w:b/>
          <w:sz w:val="24"/>
          <w:szCs w:val="24"/>
          <w:highlight w:val="none"/>
          <w:lang w:val="en-US" w:eastAsia="zh-CN"/>
        </w:rPr>
        <w:t>名称</w:t>
      </w:r>
      <w:r>
        <w:rPr>
          <w:rFonts w:hint="eastAsia" w:ascii="仿宋" w:hAnsi="仿宋" w:eastAsia="仿宋" w:cs="仿宋"/>
          <w:b/>
          <w:sz w:val="24"/>
          <w:szCs w:val="24"/>
          <w:highlight w:val="none"/>
          <w:lang w:eastAsia="zh-CN"/>
        </w:rPr>
        <w:t>）</w:t>
      </w:r>
    </w:p>
    <w:p w14:paraId="2601BD98">
      <w:pPr>
        <w:keepNext w:val="0"/>
        <w:keepLines w:val="0"/>
        <w:pageBreakBefore w:val="0"/>
        <w:widowControl w:val="0"/>
        <w:kinsoku/>
        <w:wordWrap w:val="0"/>
        <w:overflowPunct/>
        <w:topLinePunct w:val="0"/>
        <w:autoSpaceDE/>
        <w:autoSpaceDN/>
        <w:bidi w:val="0"/>
        <w:adjustRightInd/>
        <w:snapToGrid/>
        <w:spacing w:line="360" w:lineRule="auto"/>
        <w:ind w:firstLine="510"/>
        <w:textAlignment w:val="auto"/>
        <w:rPr>
          <w:rFonts w:hint="eastAsia" w:ascii="仿宋" w:hAnsi="仿宋" w:eastAsia="仿宋" w:cs="仿宋"/>
          <w:sz w:val="24"/>
          <w:szCs w:val="24"/>
          <w:highlight w:val="none"/>
          <w:lang w:eastAsia="zh-CN"/>
        </w:rPr>
      </w:pPr>
    </w:p>
    <w:p w14:paraId="10FCC2D5">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本投标书作为</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val="en-US" w:eastAsia="zh-CN"/>
        </w:rPr>
        <w:t>投标人全称</w:t>
      </w:r>
      <w:r>
        <w:rPr>
          <w:rFonts w:hint="eastAsia" w:ascii="仿宋" w:hAnsi="仿宋" w:eastAsia="仿宋" w:cs="仿宋"/>
          <w:color w:val="000000"/>
          <w:sz w:val="24"/>
          <w:szCs w:val="24"/>
          <w:highlight w:val="none"/>
          <w:lang w:eastAsia="zh-CN"/>
        </w:rPr>
        <w:t>）对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（采购人全称）</w:t>
      </w:r>
      <w:r>
        <w:rPr>
          <w:rFonts w:hint="eastAsia" w:ascii="仿宋" w:hAnsi="仿宋" w:eastAsia="仿宋" w:cs="仿宋"/>
          <w:color w:val="000000"/>
          <w:sz w:val="24"/>
          <w:szCs w:val="24"/>
          <w:highlight w:val="none"/>
          <w:lang w:eastAsia="zh-CN"/>
        </w:rPr>
        <w:t>委托云南天越招标咨询有限公司组织的</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项目</w:t>
      </w:r>
      <w:r>
        <w:rPr>
          <w:rFonts w:hint="eastAsia" w:ascii="仿宋" w:hAnsi="仿宋" w:eastAsia="仿宋" w:cs="仿宋"/>
          <w:color w:val="000000"/>
          <w:sz w:val="24"/>
          <w:szCs w:val="24"/>
          <w:highlight w:val="non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zh-CN"/>
        </w:rPr>
        <w:t>项目编号</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highlight w:val="none"/>
          <w:lang w:val="en-US" w:eastAsia="zh-CN"/>
        </w:rPr>
        <w:t>采购活动</w:t>
      </w:r>
      <w:r>
        <w:rPr>
          <w:rFonts w:hint="eastAsia" w:ascii="仿宋" w:hAnsi="仿宋" w:eastAsia="仿宋" w:cs="仿宋"/>
          <w:color w:val="000000"/>
          <w:sz w:val="24"/>
          <w:szCs w:val="24"/>
          <w:highlight w:val="none"/>
          <w:lang w:eastAsia="zh-CN"/>
        </w:rPr>
        <w:t>提供质量保证的证明。</w:t>
      </w:r>
    </w:p>
    <w:p w14:paraId="16B59D0B">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我方承诺提供以下质量保证并承担相应的法律责任：</w:t>
      </w:r>
    </w:p>
    <w:p w14:paraId="084DCAD2">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1、提供的货物是全新的、符合国家质量标准、中国有关部门手续完备、具有生产企业质量保证书（或合格证明）的货物；</w:t>
      </w:r>
      <w:r>
        <w:rPr>
          <w:rFonts w:hint="eastAsia" w:ascii="仿宋" w:hAnsi="仿宋" w:eastAsia="仿宋" w:cs="仿宋"/>
          <w:b/>
          <w:bCs/>
          <w:color w:val="000000"/>
          <w:sz w:val="24"/>
          <w:szCs w:val="24"/>
          <w:highlight w:val="none"/>
          <w:lang w:val="en-US" w:eastAsia="zh-CN"/>
        </w:rPr>
        <w:t>保证产品为有效期内的合格产品。</w:t>
      </w:r>
    </w:p>
    <w:p w14:paraId="22148948">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2、保证甲方在合同产品使用期间不受第三方提出侵犯其专利权、商标</w:t>
      </w:r>
      <w:r>
        <w:rPr>
          <w:rFonts w:hint="eastAsia" w:ascii="仿宋" w:hAnsi="仿宋" w:eastAsia="仿宋" w:cs="仿宋"/>
          <w:strike w:val="0"/>
          <w:color w:val="auto"/>
          <w:sz w:val="24"/>
          <w:szCs w:val="24"/>
          <w:highlight w:val="none"/>
          <w:lang w:eastAsia="zh-CN"/>
        </w:rPr>
        <w:t>权的纠纷</w:t>
      </w:r>
      <w:r>
        <w:rPr>
          <w:rFonts w:hint="eastAsia" w:ascii="仿宋" w:hAnsi="仿宋" w:eastAsia="仿宋" w:cs="仿宋"/>
          <w:color w:val="000000"/>
          <w:sz w:val="24"/>
          <w:szCs w:val="24"/>
          <w:highlight w:val="none"/>
          <w:lang w:eastAsia="zh-CN"/>
        </w:rPr>
        <w:t>，提供的货物符合相应文件承诺和所签合同规定的技术要求；</w:t>
      </w:r>
    </w:p>
    <w:p w14:paraId="099AACA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3、保证“响应文件售后服务承诺”全部内容</w:t>
      </w:r>
      <w:r>
        <w:rPr>
          <w:rFonts w:hint="eastAsia" w:ascii="仿宋" w:hAnsi="仿宋" w:eastAsia="仿宋" w:cs="仿宋"/>
          <w:strike w:val="0"/>
          <w:dstrike w:val="0"/>
          <w:color w:val="auto"/>
          <w:sz w:val="24"/>
          <w:szCs w:val="24"/>
          <w:highlight w:val="none"/>
          <w:lang w:eastAsia="zh-CN"/>
        </w:rPr>
        <w:t>得以</w:t>
      </w:r>
      <w:r>
        <w:rPr>
          <w:rFonts w:hint="eastAsia" w:ascii="仿宋" w:hAnsi="仿宋" w:eastAsia="仿宋" w:cs="仿宋"/>
          <w:color w:val="000000"/>
          <w:sz w:val="24"/>
          <w:szCs w:val="24"/>
          <w:highlight w:val="none"/>
          <w:lang w:eastAsia="zh-CN"/>
        </w:rPr>
        <w:t>满足</w:t>
      </w:r>
      <w:r>
        <w:rPr>
          <w:rFonts w:hint="eastAsia" w:ascii="仿宋" w:hAnsi="仿宋" w:eastAsia="仿宋" w:cs="仿宋"/>
          <w:sz w:val="24"/>
          <w:szCs w:val="24"/>
          <w:highlight w:val="none"/>
          <w:lang w:eastAsia="zh-CN"/>
        </w:rPr>
        <w:t>。</w:t>
      </w:r>
    </w:p>
    <w:p w14:paraId="1DC84810">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sz w:val="24"/>
          <w:szCs w:val="24"/>
          <w:highlight w:val="none"/>
          <w:lang w:eastAsia="zh-CN"/>
        </w:rPr>
        <w:t>本保证书自开启响应文件日起90日内有效，如我方最终成交则至货物保质期满为止有效</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405D388">
      <w:pPr>
        <w:keepNext w:val="0"/>
        <w:keepLines w:val="0"/>
        <w:pageBreakBefore w:val="0"/>
        <w:widowControl w:val="0"/>
        <w:kinsoku/>
        <w:wordWrap w:val="0"/>
        <w:overflowPunct/>
        <w:topLinePunct/>
        <w:autoSpaceDE/>
        <w:autoSpaceDN/>
        <w:bidi w:val="0"/>
        <w:adjustRightInd/>
        <w:snapToGrid/>
        <w:spacing w:line="360" w:lineRule="auto"/>
        <w:ind w:left="0" w:leftChars="0" w:firstLine="51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3AC4687E">
      <w:pPr>
        <w:keepNext w:val="0"/>
        <w:keepLines w:val="0"/>
        <w:pageBreakBefore w:val="0"/>
        <w:widowControl w:val="0"/>
        <w:kinsoku/>
        <w:wordWrap w:val="0"/>
        <w:overflowPunct/>
        <w:topLinePunct/>
        <w:autoSpaceDE/>
        <w:autoSpaceDN/>
        <w:bidi w:val="0"/>
        <w:adjustRightInd/>
        <w:snapToGrid/>
        <w:spacing w:line="360" w:lineRule="auto"/>
        <w:ind w:left="0" w:leftChars="0" w:firstLine="51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624040C5">
      <w:pPr>
        <w:keepNext w:val="0"/>
        <w:keepLines w:val="0"/>
        <w:pageBreakBefore w:val="0"/>
        <w:widowControl w:val="0"/>
        <w:kinsoku/>
        <w:wordWrap w:val="0"/>
        <w:overflowPunct/>
        <w:topLinePunct/>
        <w:autoSpaceDE/>
        <w:autoSpaceDN/>
        <w:bidi w:val="0"/>
        <w:adjustRightInd/>
        <w:snapToGrid/>
        <w:spacing w:line="360" w:lineRule="auto"/>
        <w:ind w:left="0" w:leftChars="0" w:firstLine="51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66260B1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522EF3A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3BB2496C">
      <w:pPr>
        <w:keepNext w:val="0"/>
        <w:keepLines w:val="0"/>
        <w:pageBreakBefore w:val="0"/>
        <w:widowControl w:val="0"/>
        <w:kinsoku/>
        <w:wordWrap w:val="0"/>
        <w:overflowPunct/>
        <w:topLinePunct/>
        <w:autoSpaceDE/>
        <w:autoSpaceDN/>
        <w:bidi w:val="0"/>
        <w:adjustRightInd/>
        <w:snapToGrid/>
        <w:spacing w:line="360" w:lineRule="auto"/>
        <w:ind w:left="0" w:leftChars="0"/>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548AEA8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2E0BF06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F5481A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4C6342C">
      <w:pPr>
        <w:rPr>
          <w:rFonts w:hint="eastAsia" w:ascii="仿宋" w:hAnsi="仿宋" w:eastAsia="仿宋" w:cs="仿宋"/>
          <w:highlight w:val="none"/>
          <w:lang w:eastAsia="zh-CN"/>
        </w:rPr>
      </w:pPr>
      <w:r>
        <w:rPr>
          <w:rFonts w:hint="eastAsia" w:ascii="仿宋" w:hAnsi="仿宋" w:eastAsia="仿宋" w:cs="仿宋"/>
          <w:highlight w:val="none"/>
          <w:lang w:eastAsia="zh-CN"/>
        </w:rPr>
        <w:br w:type="page"/>
      </w:r>
    </w:p>
    <w:p w14:paraId="4A4B96D0">
      <w:pPr>
        <w:pStyle w:val="2"/>
        <w:ind w:left="0" w:leftChars="0" w:firstLine="0" w:firstLineChars="0"/>
        <w:jc w:val="center"/>
        <w:rPr>
          <w:rFonts w:hint="eastAsia" w:ascii="仿宋" w:hAnsi="仿宋" w:eastAsia="仿宋" w:cs="仿宋"/>
          <w:b/>
          <w:bCs/>
          <w:color w:val="auto"/>
          <w:sz w:val="32"/>
          <w:szCs w:val="32"/>
          <w:highlight w:val="none"/>
          <w:lang w:val="en-US" w:eastAsia="zh-CN"/>
        </w:rPr>
      </w:pPr>
      <w:bookmarkStart w:id="248" w:name="_Toc19607"/>
      <w:bookmarkStart w:id="249" w:name="_Toc12538"/>
      <w:bookmarkStart w:id="250" w:name="_Toc5221"/>
      <w:bookmarkStart w:id="251" w:name="_Toc31359"/>
      <w:bookmarkStart w:id="252" w:name="_Toc25190"/>
      <w:bookmarkStart w:id="253" w:name="_Toc14173"/>
      <w:bookmarkStart w:id="254" w:name="_Toc17838"/>
      <w:bookmarkStart w:id="255" w:name="_Toc21935"/>
      <w:bookmarkStart w:id="256" w:name="_Toc32034"/>
      <w:bookmarkStart w:id="257" w:name="_Toc13019"/>
      <w:bookmarkStart w:id="258" w:name="_Toc5332"/>
    </w:p>
    <w:p w14:paraId="46C4406B">
      <w:pPr>
        <w:pStyle w:val="2"/>
        <w:ind w:left="0" w:leftChars="0" w:firstLine="0" w:firstLineChars="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环保标志产品、节能产品</w:t>
      </w:r>
      <w:bookmarkEnd w:id="248"/>
      <w:r>
        <w:rPr>
          <w:rFonts w:hint="eastAsia" w:ascii="仿宋" w:hAnsi="仿宋" w:eastAsia="仿宋" w:cs="仿宋"/>
          <w:b/>
          <w:bCs/>
          <w:color w:val="auto"/>
          <w:sz w:val="32"/>
          <w:szCs w:val="32"/>
          <w:highlight w:val="none"/>
          <w:lang w:val="en-US" w:eastAsia="zh-CN"/>
        </w:rPr>
        <w:t>（若有）</w:t>
      </w:r>
      <w:bookmarkEnd w:id="249"/>
      <w:bookmarkEnd w:id="250"/>
      <w:bookmarkEnd w:id="251"/>
      <w:bookmarkEnd w:id="252"/>
      <w:bookmarkEnd w:id="253"/>
      <w:bookmarkEnd w:id="254"/>
      <w:bookmarkEnd w:id="255"/>
      <w:bookmarkEnd w:id="256"/>
      <w:bookmarkEnd w:id="257"/>
      <w:bookmarkEnd w:id="258"/>
    </w:p>
    <w:p w14:paraId="0C6C0AE6">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480" w:firstLineChars="200"/>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按照政府采购有关政策的要求，在本次投标的货物中，采用符合政策的环保标志产品、节能产品介绍说明如下：</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2620"/>
        <w:gridCol w:w="1184"/>
        <w:gridCol w:w="1176"/>
        <w:gridCol w:w="2042"/>
        <w:gridCol w:w="1398"/>
      </w:tblGrid>
      <w:tr w14:paraId="7B15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750" w:type="dxa"/>
            <w:noWrap w:val="0"/>
            <w:vAlign w:val="center"/>
          </w:tcPr>
          <w:p w14:paraId="1A94CAB6">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类别</w:t>
            </w:r>
          </w:p>
        </w:tc>
        <w:tc>
          <w:tcPr>
            <w:tcW w:w="2620" w:type="dxa"/>
            <w:noWrap w:val="0"/>
            <w:vAlign w:val="center"/>
          </w:tcPr>
          <w:p w14:paraId="093DCB8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主要产品/技术名称（规格型号、注册商标）</w:t>
            </w:r>
          </w:p>
        </w:tc>
        <w:tc>
          <w:tcPr>
            <w:tcW w:w="1184" w:type="dxa"/>
            <w:noWrap w:val="0"/>
            <w:vAlign w:val="center"/>
          </w:tcPr>
          <w:p w14:paraId="67AF7684">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制造商/开发商</w:t>
            </w:r>
          </w:p>
        </w:tc>
        <w:tc>
          <w:tcPr>
            <w:tcW w:w="1176" w:type="dxa"/>
            <w:noWrap w:val="0"/>
            <w:vAlign w:val="center"/>
          </w:tcPr>
          <w:p w14:paraId="352B8112">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认证证书编号</w:t>
            </w:r>
          </w:p>
        </w:tc>
        <w:tc>
          <w:tcPr>
            <w:tcW w:w="2042" w:type="dxa"/>
            <w:noWrap w:val="0"/>
            <w:vAlign w:val="center"/>
          </w:tcPr>
          <w:p w14:paraId="45A94E4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环保标志产品、节能</w:t>
            </w: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产品金额小计</w:t>
            </w:r>
          </w:p>
        </w:tc>
        <w:tc>
          <w:tcPr>
            <w:tcW w:w="1398" w:type="dxa"/>
            <w:noWrap w:val="0"/>
            <w:vAlign w:val="center"/>
          </w:tcPr>
          <w:p w14:paraId="6E32F9E9">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备注</w:t>
            </w: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（证书页码）</w:t>
            </w:r>
          </w:p>
        </w:tc>
      </w:tr>
      <w:tr w14:paraId="5921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restart"/>
            <w:noWrap w:val="0"/>
            <w:vAlign w:val="center"/>
          </w:tcPr>
          <w:p w14:paraId="71146426">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环保标志产品</w:t>
            </w:r>
          </w:p>
        </w:tc>
        <w:tc>
          <w:tcPr>
            <w:tcW w:w="2620" w:type="dxa"/>
            <w:noWrap w:val="0"/>
            <w:vAlign w:val="center"/>
          </w:tcPr>
          <w:p w14:paraId="6239A79A">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1</w:t>
            </w:r>
          </w:p>
        </w:tc>
        <w:tc>
          <w:tcPr>
            <w:tcW w:w="1184" w:type="dxa"/>
            <w:noWrap w:val="0"/>
            <w:vAlign w:val="center"/>
          </w:tcPr>
          <w:p w14:paraId="7852BEDA">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676103D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2760E5E5">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7CC9F3DD">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0399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continue"/>
            <w:noWrap w:val="0"/>
            <w:vAlign w:val="center"/>
          </w:tcPr>
          <w:p w14:paraId="0B6D9E5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620" w:type="dxa"/>
            <w:noWrap w:val="0"/>
            <w:vAlign w:val="center"/>
          </w:tcPr>
          <w:p w14:paraId="62CDD83D">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2</w:t>
            </w:r>
          </w:p>
        </w:tc>
        <w:tc>
          <w:tcPr>
            <w:tcW w:w="1184" w:type="dxa"/>
            <w:noWrap w:val="0"/>
            <w:vAlign w:val="center"/>
          </w:tcPr>
          <w:p w14:paraId="5D908E99">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1CAC2FC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732F522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48EDF84E">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52ED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1AF91CC4">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620" w:type="dxa"/>
            <w:noWrap w:val="0"/>
            <w:vAlign w:val="center"/>
          </w:tcPr>
          <w:p w14:paraId="1FE11AB5">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3</w:t>
            </w:r>
          </w:p>
        </w:tc>
        <w:tc>
          <w:tcPr>
            <w:tcW w:w="1184" w:type="dxa"/>
            <w:noWrap w:val="0"/>
            <w:vAlign w:val="center"/>
          </w:tcPr>
          <w:p w14:paraId="2961290C">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0606AFD8">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2071DA4D">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7BF1CD0E">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2DBF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0518206F">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620" w:type="dxa"/>
            <w:noWrap w:val="0"/>
            <w:vAlign w:val="center"/>
          </w:tcPr>
          <w:p w14:paraId="485B66BD">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w:t>
            </w:r>
          </w:p>
        </w:tc>
        <w:tc>
          <w:tcPr>
            <w:tcW w:w="1184" w:type="dxa"/>
            <w:noWrap w:val="0"/>
            <w:vAlign w:val="center"/>
          </w:tcPr>
          <w:p w14:paraId="2CAC9A4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49AC7B2D">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267AC661">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7D4B98A2">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359C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4370" w:type="dxa"/>
            <w:gridSpan w:val="2"/>
            <w:noWrap w:val="0"/>
            <w:vAlign w:val="center"/>
          </w:tcPr>
          <w:p w14:paraId="0446D62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仿宋" w:hAnsi="仿宋" w:eastAsia="仿宋" w:cs="仿宋"/>
                <w:color w:val="000000" w:themeColor="text1"/>
                <w:kern w:val="2"/>
                <w:sz w:val="24"/>
                <w:szCs w:val="24"/>
                <w:highlight w:val="none"/>
                <w:u w:val="single"/>
                <w:vertAlign w:val="baseli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vertAlign w:val="baseline"/>
                <w:lang w:val="en-US" w:eastAsia="zh-CN" w:bidi="ar-SA"/>
                <w14:textFill>
                  <w14:solidFill>
                    <w14:schemeClr w14:val="tx1"/>
                  </w14:solidFill>
                </w14:textFill>
              </w:rPr>
              <w:t>金额：</w:t>
            </w:r>
            <w:r>
              <w:rPr>
                <w:rFonts w:hint="eastAsia" w:ascii="仿宋" w:hAnsi="仿宋" w:eastAsia="仿宋" w:cs="仿宋"/>
                <w:color w:val="000000" w:themeColor="text1"/>
                <w:kern w:val="2"/>
                <w:sz w:val="24"/>
                <w:szCs w:val="24"/>
                <w:highlight w:val="none"/>
                <w:u w:val="single"/>
                <w:vertAlign w:val="baseline"/>
                <w:lang w:val="en-US" w:eastAsia="zh-CN" w:bidi="ar-SA"/>
                <w14:textFill>
                  <w14:solidFill>
                    <w14:schemeClr w14:val="tx1"/>
                  </w14:solidFill>
                </w14:textFill>
              </w:rPr>
              <w:t xml:space="preserve">                </w:t>
            </w:r>
          </w:p>
        </w:tc>
        <w:tc>
          <w:tcPr>
            <w:tcW w:w="5800" w:type="dxa"/>
            <w:gridSpan w:val="4"/>
            <w:noWrap w:val="0"/>
            <w:vAlign w:val="center"/>
          </w:tcPr>
          <w:p w14:paraId="4972403C">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使用价值量占总金额比重（累计</w:t>
            </w:r>
            <w:r>
              <w:rPr>
                <w:rFonts w:hint="eastAsia" w:ascii="仿宋" w:hAnsi="仿宋" w:eastAsia="仿宋" w:cs="仿宋"/>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vertAlign w:val="baseli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w:t>
            </w:r>
          </w:p>
        </w:tc>
      </w:tr>
      <w:tr w14:paraId="0E78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restart"/>
            <w:noWrap w:val="0"/>
            <w:vAlign w:val="center"/>
          </w:tcPr>
          <w:p w14:paraId="3E6B032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节能产品</w:t>
            </w:r>
          </w:p>
        </w:tc>
        <w:tc>
          <w:tcPr>
            <w:tcW w:w="2620" w:type="dxa"/>
            <w:noWrap w:val="0"/>
            <w:vAlign w:val="center"/>
          </w:tcPr>
          <w:p w14:paraId="6CB64D10">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000000" w:themeColor="text1"/>
                <w:sz w:val="24"/>
                <w:szCs w:val="24"/>
                <w:highlight w:val="none"/>
                <w:vertAlign w:val="baseline"/>
                <w:lang w:val="en-US" w:eastAsia="zh-CN" w:bidi="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1</w:t>
            </w:r>
          </w:p>
        </w:tc>
        <w:tc>
          <w:tcPr>
            <w:tcW w:w="1184" w:type="dxa"/>
            <w:noWrap w:val="0"/>
            <w:vAlign w:val="center"/>
          </w:tcPr>
          <w:p w14:paraId="717B83DD">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5DB2C8F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2A628C19">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793C781C">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1514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346320C2">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620" w:type="dxa"/>
            <w:noWrap w:val="0"/>
            <w:vAlign w:val="center"/>
          </w:tcPr>
          <w:p w14:paraId="13672E6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000000" w:themeColor="text1"/>
                <w:sz w:val="24"/>
                <w:szCs w:val="24"/>
                <w:highlight w:val="none"/>
                <w:vertAlign w:val="baseline"/>
                <w:lang w:val="en-US" w:eastAsia="zh-CN" w:bidi="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2</w:t>
            </w:r>
          </w:p>
        </w:tc>
        <w:tc>
          <w:tcPr>
            <w:tcW w:w="1184" w:type="dxa"/>
            <w:noWrap w:val="0"/>
            <w:vAlign w:val="center"/>
          </w:tcPr>
          <w:p w14:paraId="4AE2AEC1">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447D7BF0">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543883F0">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4987E6B1">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43308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53F1F6E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620" w:type="dxa"/>
            <w:noWrap w:val="0"/>
            <w:vAlign w:val="center"/>
          </w:tcPr>
          <w:p w14:paraId="7B468CBF">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000000" w:themeColor="text1"/>
                <w:sz w:val="24"/>
                <w:szCs w:val="24"/>
                <w:highlight w:val="none"/>
                <w:vertAlign w:val="baseline"/>
                <w:lang w:val="en-US" w:eastAsia="zh-CN" w:bidi="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3</w:t>
            </w:r>
          </w:p>
        </w:tc>
        <w:tc>
          <w:tcPr>
            <w:tcW w:w="1184" w:type="dxa"/>
            <w:noWrap w:val="0"/>
            <w:vAlign w:val="center"/>
          </w:tcPr>
          <w:p w14:paraId="2EB0F0F0">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2307874E">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1CE78A6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0132B865">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5CA10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0E40990F">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620" w:type="dxa"/>
            <w:noWrap w:val="0"/>
            <w:vAlign w:val="center"/>
          </w:tcPr>
          <w:p w14:paraId="0F19FA45">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000000" w:themeColor="text1"/>
                <w:sz w:val="24"/>
                <w:szCs w:val="24"/>
                <w:highlight w:val="none"/>
                <w:vertAlign w:val="baseline"/>
                <w:lang w:val="en-US" w:eastAsia="zh-CN" w:bidi="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w:t>
            </w:r>
          </w:p>
        </w:tc>
        <w:tc>
          <w:tcPr>
            <w:tcW w:w="1184" w:type="dxa"/>
            <w:noWrap w:val="0"/>
            <w:vAlign w:val="center"/>
          </w:tcPr>
          <w:p w14:paraId="4A3B928E">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176" w:type="dxa"/>
            <w:noWrap w:val="0"/>
            <w:vAlign w:val="center"/>
          </w:tcPr>
          <w:p w14:paraId="0E658F2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2042" w:type="dxa"/>
            <w:noWrap w:val="0"/>
            <w:vAlign w:val="center"/>
          </w:tcPr>
          <w:p w14:paraId="60349AA7">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c>
          <w:tcPr>
            <w:tcW w:w="1398" w:type="dxa"/>
            <w:noWrap w:val="0"/>
            <w:vAlign w:val="center"/>
          </w:tcPr>
          <w:p w14:paraId="7D3E0A6B">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p>
        </w:tc>
      </w:tr>
      <w:tr w14:paraId="50CF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370" w:type="dxa"/>
            <w:gridSpan w:val="2"/>
            <w:noWrap w:val="0"/>
            <w:vAlign w:val="center"/>
          </w:tcPr>
          <w:p w14:paraId="5D7309B6">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vertAlign w:val="baseline"/>
                <w:lang w:val="en-US" w:eastAsia="zh-CN" w:bidi="ar-SA"/>
                <w14:textFill>
                  <w14:solidFill>
                    <w14:schemeClr w14:val="tx1"/>
                  </w14:solidFill>
                </w14:textFill>
              </w:rPr>
              <w:t>金额：</w:t>
            </w:r>
            <w:r>
              <w:rPr>
                <w:rFonts w:hint="eastAsia" w:ascii="仿宋" w:hAnsi="仿宋" w:eastAsia="仿宋" w:cs="仿宋"/>
                <w:color w:val="000000" w:themeColor="text1"/>
                <w:kern w:val="2"/>
                <w:sz w:val="24"/>
                <w:szCs w:val="24"/>
                <w:highlight w:val="none"/>
                <w:u w:val="single"/>
                <w:vertAlign w:val="baseline"/>
                <w:lang w:val="en-US" w:eastAsia="zh-CN" w:bidi="ar-SA"/>
                <w14:textFill>
                  <w14:solidFill>
                    <w14:schemeClr w14:val="tx1"/>
                  </w14:solidFill>
                </w14:textFill>
              </w:rPr>
              <w:t xml:space="preserve">                </w:t>
            </w:r>
          </w:p>
        </w:tc>
        <w:tc>
          <w:tcPr>
            <w:tcW w:w="5800" w:type="dxa"/>
            <w:gridSpan w:val="4"/>
            <w:noWrap w:val="0"/>
            <w:vAlign w:val="center"/>
          </w:tcPr>
          <w:p w14:paraId="0BFABAB1">
            <w:pPr>
              <w:pStyle w:val="9"/>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使用价值量占总金额比重（累计</w:t>
            </w:r>
            <w:r>
              <w:rPr>
                <w:rFonts w:hint="eastAsia" w:ascii="仿宋" w:hAnsi="仿宋" w:eastAsia="仿宋" w:cs="仿宋"/>
                <w:color w:val="000000" w:themeColor="text1"/>
                <w:sz w:val="24"/>
                <w:szCs w:val="24"/>
                <w:highlight w:val="none"/>
                <w:u w:val="single"/>
                <w:vertAlign w:val="baseli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vertAlign w:val="baseli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vertAlign w:val="baseline"/>
                <w:lang w:val="en-US" w:eastAsia="zh-CN"/>
                <w14:textFill>
                  <w14:solidFill>
                    <w14:schemeClr w14:val="tx1"/>
                  </w14:solidFill>
                </w14:textFill>
              </w:rPr>
              <w:t>）</w:t>
            </w:r>
          </w:p>
        </w:tc>
      </w:tr>
    </w:tbl>
    <w:p w14:paraId="7F36F821">
      <w:pPr>
        <w:pStyle w:val="9"/>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0" w:firstLineChars="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注：1. 节能产品、环境标志产品根据财政部、国家发展改革委最新公布的节能产品政府采购清单确定。  </w:t>
      </w:r>
    </w:p>
    <w:p w14:paraId="0AB98BEA">
      <w:pPr>
        <w:pStyle w:val="9"/>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0" w:firstLineChars="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2. 如所投产品为节能产品、环境标志产品（强制采购产品除外），必须按规定格式逐项填写，否则评审时不予加分。</w:t>
      </w:r>
    </w:p>
    <w:p w14:paraId="01809732">
      <w:pPr>
        <w:pStyle w:val="9"/>
        <w:keepNext w:val="0"/>
        <w:keepLines w:val="0"/>
        <w:pageBreakBefore w:val="0"/>
        <w:widowControl w:val="0"/>
        <w:tabs>
          <w:tab w:val="left" w:pos="2937"/>
        </w:tabs>
        <w:kinsoku/>
        <w:wordWrap w:val="0"/>
        <w:overflowPunct/>
        <w:topLinePunct/>
        <w:autoSpaceDE/>
        <w:autoSpaceDN/>
        <w:bidi w:val="0"/>
        <w:adjustRightInd/>
        <w:snapToGrid/>
        <w:spacing w:line="0" w:lineRule="atLeast"/>
        <w:ind w:left="0" w:leftChars="0" w:right="0" w:firstLine="0" w:firstLineChars="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3. “环</w:t>
      </w:r>
      <w:r>
        <w:rPr>
          <w:rFonts w:hint="eastAsia" w:ascii="仿宋" w:hAnsi="仿宋" w:eastAsia="仿宋" w:cs="仿宋"/>
          <w:strike w:val="0"/>
          <w:dstrike w:val="0"/>
          <w:color w:val="auto"/>
          <w:sz w:val="21"/>
          <w:szCs w:val="21"/>
          <w:highlight w:val="none"/>
          <w:lang w:val="en-US" w:eastAsia="zh-CN"/>
        </w:rPr>
        <w:t>境</w:t>
      </w:r>
      <w:r>
        <w:rPr>
          <w:rFonts w:hint="eastAsia" w:ascii="仿宋" w:hAnsi="仿宋" w:eastAsia="仿宋" w:cs="仿宋"/>
          <w:color w:val="000000" w:themeColor="text1"/>
          <w:sz w:val="21"/>
          <w:szCs w:val="21"/>
          <w:highlight w:val="none"/>
          <w:lang w:val="en-US" w:eastAsia="zh-CN"/>
          <w14:textFill>
            <w14:solidFill>
              <w14:schemeClr w14:val="tx1"/>
            </w14:solidFill>
          </w14:textFill>
        </w:rPr>
        <w:t>标志产品、节能产品”是属于国家行业主管部门颁布的清单目录中的产品，须填写认证证书编号，并同时提供有效期内的证书扫描件或“中国政府采购网”截图附后。</w:t>
      </w:r>
    </w:p>
    <w:p w14:paraId="4C197E8D">
      <w:pPr>
        <w:pStyle w:val="9"/>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5989FE8C">
      <w:pPr>
        <w:pStyle w:val="9"/>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firstLine="0" w:firstLineChars="0"/>
        <w:jc w:val="both"/>
        <w:textAlignment w:val="auto"/>
        <w:rPr>
          <w:rFonts w:hint="eastAsia" w:ascii="仿宋" w:hAnsi="仿宋" w:eastAsia="仿宋" w:cs="仿宋"/>
          <w:color w:val="000000" w:themeColor="text1"/>
          <w:spacing w:val="-1"/>
          <w:sz w:val="24"/>
          <w:szCs w:val="24"/>
          <w:highlight w:val="none"/>
          <w14:textFill>
            <w14:solidFill>
              <w14:schemeClr w14:val="tx1"/>
            </w14:solidFill>
          </w14:textFill>
        </w:rPr>
      </w:pPr>
    </w:p>
    <w:p w14:paraId="2C29C8D0">
      <w:pPr>
        <w:pStyle w:val="9"/>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000000" w:themeColor="text1"/>
          <w:spacing w:val="-1"/>
          <w:sz w:val="24"/>
          <w:szCs w:val="24"/>
          <w:highlight w:val="none"/>
          <w14:textFill>
            <w14:solidFill>
              <w14:schemeClr w14:val="tx1"/>
            </w14:solidFill>
          </w14:textFill>
        </w:rPr>
      </w:pPr>
    </w:p>
    <w:p w14:paraId="2BE41AC5">
      <w:pPr>
        <w:pageBreakBefore w:val="0"/>
        <w:shd w:val="clear"/>
        <w:kinsoku/>
        <w:wordWrap w:val="0"/>
        <w:bidi w:val="0"/>
        <w:spacing w:line="360" w:lineRule="auto"/>
        <w:rPr>
          <w:rFonts w:hint="eastAsia" w:ascii="仿宋" w:hAnsi="仿宋" w:eastAsia="仿宋" w:cs="仿宋"/>
          <w:color w:val="000000" w:themeColor="text1"/>
          <w:sz w:val="24"/>
          <w:highlight w:val="none"/>
          <w14:textFill>
            <w14:solidFill>
              <w14:schemeClr w14:val="tx1"/>
            </w14:solidFill>
          </w14:textFill>
        </w:rPr>
      </w:pPr>
    </w:p>
    <w:p w14:paraId="22649F0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61F46DE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132888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7482F85">
      <w:pPr>
        <w:pStyle w:val="2"/>
        <w:ind w:left="0" w:leftChars="0" w:firstLine="0" w:firstLineChars="0"/>
        <w:rPr>
          <w:rFonts w:hint="eastAsia" w:ascii="仿宋" w:hAnsi="仿宋" w:eastAsia="仿宋" w:cs="仿宋"/>
          <w:sz w:val="24"/>
          <w:szCs w:val="22"/>
          <w:highlight w:val="none"/>
          <w:u w:val="single"/>
          <w:lang w:val="en-US" w:eastAsia="zh-CN"/>
        </w:rPr>
      </w:pPr>
    </w:p>
    <w:p w14:paraId="5CF300C1">
      <w:pPr>
        <w:pageBreakBefore w:val="0"/>
        <w:kinsoku/>
        <w:wordWrap w:val="0"/>
        <w:overflowPunct/>
        <w:bidi w:val="0"/>
        <w:rPr>
          <w:rFonts w:hint="eastAsia" w:ascii="仿宋" w:hAnsi="仿宋" w:eastAsia="仿宋" w:cs="仿宋"/>
          <w:color w:val="auto"/>
          <w:sz w:val="24"/>
          <w:szCs w:val="24"/>
          <w:highlight w:val="none"/>
        </w:rPr>
      </w:pPr>
    </w:p>
    <w:bookmarkEnd w:id="234"/>
    <w:p w14:paraId="52167430">
      <w:pPr>
        <w:pStyle w:val="4"/>
        <w:pageBreakBefore w:val="0"/>
        <w:kinsoku/>
        <w:wordWrap w:val="0"/>
        <w:overflowPunct/>
        <w:bidi w:val="0"/>
        <w:spacing w:after="0" w:line="360" w:lineRule="auto"/>
        <w:jc w:val="center"/>
        <w:rPr>
          <w:rFonts w:hint="eastAsia" w:ascii="仿宋" w:hAnsi="仿宋" w:eastAsia="仿宋" w:cs="仿宋"/>
          <w:color w:val="auto"/>
          <w:sz w:val="28"/>
          <w:szCs w:val="28"/>
          <w:highlight w:val="none"/>
        </w:rPr>
      </w:pPr>
      <w:bookmarkStart w:id="259" w:name="_Toc30743"/>
      <w:bookmarkStart w:id="260" w:name="_Toc22158"/>
      <w:r>
        <w:rPr>
          <w:rFonts w:hint="eastAsia" w:ascii="仿宋" w:hAnsi="仿宋" w:eastAsia="仿宋" w:cs="仿宋"/>
          <w:color w:val="auto"/>
          <w:sz w:val="28"/>
          <w:szCs w:val="28"/>
          <w:highlight w:val="none"/>
        </w:rPr>
        <w:t>三、商务部分</w:t>
      </w:r>
      <w:bookmarkEnd w:id="259"/>
      <w:bookmarkEnd w:id="260"/>
    </w:p>
    <w:p w14:paraId="5F1E5A51">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261" w:name="_Toc26464"/>
      <w:r>
        <w:rPr>
          <w:rFonts w:hint="eastAsia" w:ascii="仿宋" w:hAnsi="仿宋" w:eastAsia="仿宋" w:cs="仿宋"/>
          <w:b/>
          <w:bCs/>
          <w:color w:val="000000"/>
          <w:kern w:val="0"/>
          <w:sz w:val="28"/>
          <w:szCs w:val="28"/>
          <w:highlight w:val="none"/>
          <w:lang w:val="en-US" w:eastAsia="zh-CN" w:bidi="ar-SA"/>
        </w:rPr>
        <w:t>（一）开标一览表</w:t>
      </w:r>
      <w:bookmarkEnd w:id="261"/>
    </w:p>
    <w:p w14:paraId="7553CBAA">
      <w:pPr>
        <w:pageBreakBefore w:val="0"/>
        <w:kinsoku/>
        <w:wordWrap w:val="0"/>
        <w:overflowPunct/>
        <w:bidi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585004F5">
      <w:pPr>
        <w:pageBreakBefore w:val="0"/>
        <w:kinsoku/>
        <w:wordWrap w:val="0"/>
        <w:overflowPunct/>
        <w:bidi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1E62CBB7">
      <w:pPr>
        <w:pageBreakBefore w:val="0"/>
        <w:kinsoku/>
        <w:wordWrap w:val="0"/>
        <w:overflowPunct/>
        <w:bidi w:val="0"/>
        <w:spacing w:line="360" w:lineRule="auto"/>
        <w:jc w:val="left"/>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货币及单位：人民币·元</w:t>
      </w:r>
    </w:p>
    <w:tbl>
      <w:tblPr>
        <w:tblStyle w:val="2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2"/>
        <w:gridCol w:w="7970"/>
      </w:tblGrid>
      <w:tr w14:paraId="48C7D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92" w:type="dxa"/>
            <w:vMerge w:val="restart"/>
            <w:vAlign w:val="center"/>
          </w:tcPr>
          <w:p w14:paraId="19919DF1">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投标报价</w:t>
            </w:r>
          </w:p>
        </w:tc>
        <w:tc>
          <w:tcPr>
            <w:tcW w:w="7970" w:type="dxa"/>
            <w:vAlign w:val="center"/>
          </w:tcPr>
          <w:p w14:paraId="3E5E2E91">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pacing w:val="10"/>
                <w:sz w:val="24"/>
                <w:szCs w:val="24"/>
                <w:highlight w:val="none"/>
                <w:u w:val="single"/>
              </w:rPr>
            </w:pPr>
            <w:r>
              <w:rPr>
                <w:rFonts w:hint="eastAsia" w:ascii="仿宋" w:hAnsi="仿宋" w:eastAsia="仿宋" w:cs="仿宋"/>
                <w:color w:val="auto"/>
                <w:spacing w:val="10"/>
                <w:sz w:val="24"/>
                <w:szCs w:val="24"/>
                <w:highlight w:val="none"/>
              </w:rPr>
              <w:t>大写：</w:t>
            </w:r>
            <w:r>
              <w:rPr>
                <w:rFonts w:hint="eastAsia" w:ascii="仿宋" w:hAnsi="仿宋" w:eastAsia="仿宋" w:cs="仿宋"/>
                <w:color w:val="auto"/>
                <w:spacing w:val="10"/>
                <w:sz w:val="24"/>
                <w:szCs w:val="24"/>
                <w:highlight w:val="none"/>
                <w:u w:val="single"/>
              </w:rPr>
              <w:t xml:space="preserve">                          </w:t>
            </w:r>
          </w:p>
        </w:tc>
      </w:tr>
      <w:tr w14:paraId="3BF9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92" w:type="dxa"/>
            <w:vMerge w:val="continue"/>
            <w:vAlign w:val="center"/>
          </w:tcPr>
          <w:p w14:paraId="172E418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c>
          <w:tcPr>
            <w:tcW w:w="7970" w:type="dxa"/>
            <w:vAlign w:val="center"/>
          </w:tcPr>
          <w:p w14:paraId="1A9D6691">
            <w:pPr>
              <w:keepNext w:val="0"/>
              <w:keepLines w:val="0"/>
              <w:pageBreakBefore w:val="0"/>
              <w:suppressLineNumbers w:val="0"/>
              <w:kinsoku/>
              <w:wordWrap w:val="0"/>
              <w:overflowPunct/>
              <w:bidi w:val="0"/>
              <w:spacing w:before="0" w:beforeAutospacing="0" w:after="0" w:afterAutospacing="0" w:line="360" w:lineRule="auto"/>
              <w:ind w:left="0" w:right="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小写：</w:t>
            </w:r>
            <w:r>
              <w:rPr>
                <w:rFonts w:hint="eastAsia" w:ascii="仿宋" w:hAnsi="仿宋" w:eastAsia="仿宋" w:cs="仿宋"/>
                <w:color w:val="auto"/>
                <w:spacing w:val="10"/>
                <w:sz w:val="24"/>
                <w:szCs w:val="24"/>
                <w:highlight w:val="none"/>
                <w:u w:val="single"/>
              </w:rPr>
              <w:t xml:space="preserve">                          </w:t>
            </w:r>
          </w:p>
        </w:tc>
      </w:tr>
      <w:tr w14:paraId="5F37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992" w:type="dxa"/>
            <w:vAlign w:val="center"/>
          </w:tcPr>
          <w:p w14:paraId="602354B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合同履行期限</w:t>
            </w:r>
          </w:p>
        </w:tc>
        <w:tc>
          <w:tcPr>
            <w:tcW w:w="7970" w:type="dxa"/>
            <w:vAlign w:val="center"/>
          </w:tcPr>
          <w:p w14:paraId="0730C07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r w14:paraId="4C284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92" w:type="dxa"/>
            <w:vAlign w:val="center"/>
          </w:tcPr>
          <w:p w14:paraId="01B86BE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lang w:val="en-US" w:eastAsia="zh-CN"/>
              </w:rPr>
              <w:t>交货</w:t>
            </w:r>
            <w:r>
              <w:rPr>
                <w:rFonts w:hint="eastAsia" w:ascii="仿宋" w:hAnsi="仿宋" w:eastAsia="仿宋" w:cs="仿宋"/>
                <w:color w:val="auto"/>
                <w:spacing w:val="10"/>
                <w:sz w:val="24"/>
                <w:szCs w:val="24"/>
                <w:highlight w:val="none"/>
              </w:rPr>
              <w:t>地点</w:t>
            </w:r>
          </w:p>
        </w:tc>
        <w:tc>
          <w:tcPr>
            <w:tcW w:w="7970" w:type="dxa"/>
            <w:vAlign w:val="center"/>
          </w:tcPr>
          <w:p w14:paraId="493E6EC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r w14:paraId="1FE8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92" w:type="dxa"/>
            <w:vAlign w:val="center"/>
          </w:tcPr>
          <w:p w14:paraId="640682F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质量标准</w:t>
            </w:r>
          </w:p>
        </w:tc>
        <w:tc>
          <w:tcPr>
            <w:tcW w:w="7970" w:type="dxa"/>
            <w:vAlign w:val="center"/>
          </w:tcPr>
          <w:p w14:paraId="33E6B66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r w14:paraId="21ED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92" w:type="dxa"/>
            <w:vAlign w:val="center"/>
          </w:tcPr>
          <w:p w14:paraId="70B69970">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pacing w:val="10"/>
                <w:sz w:val="24"/>
                <w:szCs w:val="24"/>
                <w:highlight w:val="none"/>
                <w:lang w:val="en-US" w:eastAsia="zh-CN"/>
              </w:rPr>
              <w:t>质保期</w:t>
            </w:r>
          </w:p>
        </w:tc>
        <w:tc>
          <w:tcPr>
            <w:tcW w:w="7970" w:type="dxa"/>
            <w:vAlign w:val="center"/>
          </w:tcPr>
          <w:p w14:paraId="1192F94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r w14:paraId="5038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92" w:type="dxa"/>
            <w:vAlign w:val="center"/>
          </w:tcPr>
          <w:p w14:paraId="6C34FA5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其他说明</w:t>
            </w:r>
          </w:p>
        </w:tc>
        <w:tc>
          <w:tcPr>
            <w:tcW w:w="7970" w:type="dxa"/>
            <w:vAlign w:val="center"/>
          </w:tcPr>
          <w:p w14:paraId="6840564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bl>
    <w:p w14:paraId="2353DA9B">
      <w:pPr>
        <w:pageBreakBefore w:val="0"/>
        <w:kinsoku/>
        <w:wordWrap w:val="0"/>
        <w:overflowPunct/>
        <w:bidi w:val="0"/>
        <w:spacing w:line="360" w:lineRule="auto"/>
        <w:rPr>
          <w:rFonts w:hint="eastAsia" w:ascii="仿宋" w:hAnsi="仿宋" w:eastAsia="仿宋" w:cs="仿宋"/>
          <w:b/>
          <w:color w:val="auto"/>
          <w:spacing w:val="10"/>
          <w:sz w:val="24"/>
          <w:szCs w:val="24"/>
          <w:highlight w:val="none"/>
        </w:rPr>
      </w:pPr>
    </w:p>
    <w:p w14:paraId="7BF644FF">
      <w:pPr>
        <w:pageBreakBefore w:val="0"/>
        <w:kinsoku/>
        <w:wordWrap w:val="0"/>
        <w:overflowPunct/>
        <w:bidi w:val="0"/>
        <w:spacing w:line="360" w:lineRule="auto"/>
        <w:rPr>
          <w:rFonts w:hint="eastAsia" w:ascii="仿宋" w:hAnsi="仿宋" w:eastAsia="仿宋" w:cs="仿宋"/>
          <w:b/>
          <w:color w:val="auto"/>
          <w:spacing w:val="10"/>
          <w:sz w:val="24"/>
          <w:szCs w:val="24"/>
          <w:highlight w:val="none"/>
        </w:rPr>
      </w:pPr>
      <w:r>
        <w:rPr>
          <w:rFonts w:hint="eastAsia" w:ascii="仿宋" w:hAnsi="仿宋" w:eastAsia="仿宋" w:cs="仿宋"/>
          <w:b/>
          <w:color w:val="auto"/>
          <w:spacing w:val="10"/>
          <w:sz w:val="24"/>
          <w:szCs w:val="24"/>
          <w:highlight w:val="none"/>
        </w:rPr>
        <w:t>注：（1）此表中的投标报价即为最终报价，不允许另有折扣说明；</w:t>
      </w:r>
    </w:p>
    <w:p w14:paraId="3C8B5CB3">
      <w:pPr>
        <w:pStyle w:val="13"/>
        <w:pageBreakBefore w:val="0"/>
        <w:kinsoku/>
        <w:wordWrap w:val="0"/>
        <w:overflowPunct/>
        <w:bidi w:val="0"/>
        <w:rPr>
          <w:rFonts w:hint="eastAsia" w:ascii="仿宋" w:hAnsi="仿宋" w:eastAsia="仿宋" w:cs="仿宋"/>
          <w:color w:val="auto"/>
          <w:highlight w:val="none"/>
        </w:rPr>
      </w:pPr>
    </w:p>
    <w:p w14:paraId="0ECC57EC">
      <w:pPr>
        <w:pStyle w:val="13"/>
        <w:pageBreakBefore w:val="0"/>
        <w:kinsoku/>
        <w:wordWrap w:val="0"/>
        <w:overflowPunct/>
        <w:bidi w:val="0"/>
        <w:rPr>
          <w:rFonts w:hint="eastAsia" w:ascii="仿宋" w:hAnsi="仿宋" w:eastAsia="仿宋" w:cs="仿宋"/>
          <w:color w:val="auto"/>
          <w:highlight w:val="none"/>
        </w:rPr>
      </w:pPr>
    </w:p>
    <w:p w14:paraId="4AD36CB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4CB18D4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29314C1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1E9D4A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0DA7D97">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（二）分项报价明细表</w:t>
      </w:r>
    </w:p>
    <w:p w14:paraId="283F3F2F">
      <w:pPr>
        <w:keepNext w:val="0"/>
        <w:keepLines w:val="0"/>
        <w:pageBreakBefore w:val="0"/>
        <w:widowControl w:val="0"/>
        <w:kinsoku/>
        <w:wordWrap w:val="0"/>
        <w:overflowPunct/>
        <w:topLinePunct/>
        <w:autoSpaceDE/>
        <w:autoSpaceDN/>
        <w:bidi w:val="0"/>
        <w:adjustRightInd/>
        <w:snapToGrid/>
        <w:spacing w:line="360" w:lineRule="auto"/>
        <w:ind w:left="0" w:leftChars="0"/>
        <w:jc w:val="left"/>
        <w:rPr>
          <w:rFonts w:hint="eastAsia" w:ascii="仿宋" w:hAnsi="仿宋" w:eastAsia="仿宋" w:cs="仿宋"/>
          <w:color w:val="000000" w:themeColor="text1"/>
          <w:sz w:val="24"/>
          <w:szCs w:val="24"/>
          <w:highlight w:val="none"/>
          <w14:textFill>
            <w14:solidFill>
              <w14:schemeClr w14:val="tx1"/>
            </w14:solidFill>
          </w14:textFill>
        </w:rPr>
      </w:pPr>
    </w:p>
    <w:p w14:paraId="64F37E16">
      <w:pPr>
        <w:keepNext w:val="0"/>
        <w:keepLines w:val="0"/>
        <w:pageBreakBefore w:val="0"/>
        <w:widowControl w:val="0"/>
        <w:kinsoku/>
        <w:wordWrap w:val="0"/>
        <w:overflowPunct/>
        <w:topLinePunct/>
        <w:autoSpaceDE/>
        <w:autoSpaceDN/>
        <w:bidi w:val="0"/>
        <w:adjustRightInd/>
        <w:snapToGrid/>
        <w:spacing w:line="360" w:lineRule="auto"/>
        <w:ind w:left="0" w:leftChars="0"/>
        <w:jc w:val="left"/>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w:t>
      </w:r>
    </w:p>
    <w:p w14:paraId="562D7054">
      <w:pPr>
        <w:keepNext w:val="0"/>
        <w:keepLines w:val="0"/>
        <w:pageBreakBefore w:val="0"/>
        <w:widowControl w:val="0"/>
        <w:kinsoku/>
        <w:wordWrap w:val="0"/>
        <w:overflowPunct/>
        <w:topLinePunct/>
        <w:autoSpaceDE/>
        <w:autoSpaceDN/>
        <w:bidi w:val="0"/>
        <w:adjustRightInd/>
        <w:snapToGrid/>
        <w:spacing w:line="360" w:lineRule="auto"/>
        <w:ind w:left="0" w:leftChars="0"/>
        <w:jc w:val="left"/>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eastAsia="zh-CN"/>
          <w14:textFill>
            <w14:solidFill>
              <w14:schemeClr w14:val="tx1"/>
            </w14:solidFill>
          </w14:textFill>
        </w:rPr>
        <w:t>项目编号</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tbl>
      <w:tblPr>
        <w:tblStyle w:val="22"/>
        <w:tblW w:w="56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5"/>
        <w:gridCol w:w="1737"/>
        <w:gridCol w:w="1919"/>
        <w:gridCol w:w="1042"/>
        <w:gridCol w:w="1928"/>
        <w:gridCol w:w="1042"/>
        <w:gridCol w:w="1216"/>
        <w:gridCol w:w="1212"/>
      </w:tblGrid>
      <w:tr w14:paraId="5DB3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407" w:type="pct"/>
            <w:vAlign w:val="center"/>
          </w:tcPr>
          <w:p w14:paraId="69659AEA">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790" w:type="pct"/>
            <w:vAlign w:val="center"/>
          </w:tcPr>
          <w:p w14:paraId="5437907F">
            <w:pPr>
              <w:jc w:val="center"/>
              <w:rPr>
                <w:rFonts w:hint="eastAsia" w:ascii="仿宋" w:hAnsi="仿宋" w:eastAsia="仿宋" w:cs="仿宋"/>
                <w:b/>
                <w:szCs w:val="21"/>
                <w:highlight w:val="none"/>
              </w:rPr>
            </w:pPr>
            <w:r>
              <w:rPr>
                <w:rFonts w:hint="eastAsia" w:ascii="仿宋" w:hAnsi="仿宋" w:eastAsia="仿宋" w:cs="仿宋"/>
                <w:b/>
                <w:szCs w:val="21"/>
                <w:highlight w:val="none"/>
              </w:rPr>
              <w:t>货物名称</w:t>
            </w:r>
          </w:p>
        </w:tc>
        <w:tc>
          <w:tcPr>
            <w:tcW w:w="873" w:type="pct"/>
            <w:vAlign w:val="center"/>
          </w:tcPr>
          <w:p w14:paraId="3676C724">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型号和规格</w:t>
            </w:r>
          </w:p>
        </w:tc>
        <w:tc>
          <w:tcPr>
            <w:tcW w:w="474" w:type="pct"/>
            <w:vAlign w:val="center"/>
          </w:tcPr>
          <w:p w14:paraId="4D4EA19F">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数量</w:t>
            </w:r>
          </w:p>
        </w:tc>
        <w:tc>
          <w:tcPr>
            <w:tcW w:w="877" w:type="pct"/>
            <w:vAlign w:val="center"/>
          </w:tcPr>
          <w:p w14:paraId="3694442E">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制造商/生产厂商名称</w:t>
            </w:r>
          </w:p>
        </w:tc>
        <w:tc>
          <w:tcPr>
            <w:tcW w:w="474" w:type="pct"/>
            <w:vAlign w:val="center"/>
          </w:tcPr>
          <w:p w14:paraId="7A7DE845">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单价</w:t>
            </w:r>
          </w:p>
        </w:tc>
        <w:tc>
          <w:tcPr>
            <w:tcW w:w="551" w:type="pct"/>
            <w:vAlign w:val="center"/>
          </w:tcPr>
          <w:p w14:paraId="2CDF18C7">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t>总价</w:t>
            </w:r>
          </w:p>
        </w:tc>
        <w:tc>
          <w:tcPr>
            <w:tcW w:w="551" w:type="pct"/>
            <w:vAlign w:val="center"/>
          </w:tcPr>
          <w:p w14:paraId="43FD232B">
            <w:pPr>
              <w:jc w:val="center"/>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备注</w:t>
            </w:r>
          </w:p>
        </w:tc>
      </w:tr>
      <w:tr w14:paraId="29F2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407" w:type="pct"/>
            <w:vAlign w:val="center"/>
          </w:tcPr>
          <w:p w14:paraId="7E5D2EAA">
            <w:pPr>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790" w:type="pct"/>
            <w:vAlign w:val="center"/>
          </w:tcPr>
          <w:p w14:paraId="33E5F9C7">
            <w:pPr>
              <w:jc w:val="center"/>
              <w:rPr>
                <w:rFonts w:hint="eastAsia" w:ascii="仿宋" w:hAnsi="仿宋" w:eastAsia="仿宋" w:cs="仿宋"/>
                <w:szCs w:val="21"/>
                <w:highlight w:val="none"/>
              </w:rPr>
            </w:pPr>
          </w:p>
        </w:tc>
        <w:tc>
          <w:tcPr>
            <w:tcW w:w="873" w:type="pct"/>
            <w:vAlign w:val="center"/>
          </w:tcPr>
          <w:p w14:paraId="5E38919B">
            <w:pPr>
              <w:jc w:val="center"/>
              <w:rPr>
                <w:rFonts w:hint="eastAsia" w:ascii="仿宋" w:hAnsi="仿宋" w:eastAsia="仿宋" w:cs="仿宋"/>
                <w:szCs w:val="21"/>
                <w:highlight w:val="none"/>
              </w:rPr>
            </w:pPr>
          </w:p>
        </w:tc>
        <w:tc>
          <w:tcPr>
            <w:tcW w:w="474" w:type="pct"/>
            <w:vAlign w:val="center"/>
          </w:tcPr>
          <w:p w14:paraId="1EF28E56">
            <w:pPr>
              <w:jc w:val="center"/>
              <w:rPr>
                <w:rFonts w:hint="eastAsia" w:ascii="仿宋" w:hAnsi="仿宋" w:eastAsia="仿宋" w:cs="仿宋"/>
                <w:szCs w:val="21"/>
                <w:highlight w:val="none"/>
              </w:rPr>
            </w:pPr>
          </w:p>
        </w:tc>
        <w:tc>
          <w:tcPr>
            <w:tcW w:w="877" w:type="pct"/>
            <w:vAlign w:val="center"/>
          </w:tcPr>
          <w:p w14:paraId="4FE95E8D">
            <w:pPr>
              <w:jc w:val="center"/>
              <w:rPr>
                <w:rFonts w:hint="eastAsia" w:ascii="仿宋" w:hAnsi="仿宋" w:eastAsia="仿宋" w:cs="仿宋"/>
                <w:szCs w:val="21"/>
                <w:highlight w:val="none"/>
              </w:rPr>
            </w:pPr>
          </w:p>
        </w:tc>
        <w:tc>
          <w:tcPr>
            <w:tcW w:w="474" w:type="pct"/>
            <w:vAlign w:val="center"/>
          </w:tcPr>
          <w:p w14:paraId="18B46F8B">
            <w:pPr>
              <w:jc w:val="center"/>
              <w:rPr>
                <w:rFonts w:hint="eastAsia" w:ascii="仿宋" w:hAnsi="仿宋" w:eastAsia="仿宋" w:cs="仿宋"/>
                <w:szCs w:val="21"/>
                <w:highlight w:val="none"/>
              </w:rPr>
            </w:pPr>
          </w:p>
        </w:tc>
        <w:tc>
          <w:tcPr>
            <w:tcW w:w="551" w:type="pct"/>
            <w:vAlign w:val="center"/>
          </w:tcPr>
          <w:p w14:paraId="7E0B54AA">
            <w:pPr>
              <w:jc w:val="center"/>
              <w:rPr>
                <w:rFonts w:hint="eastAsia" w:ascii="仿宋" w:hAnsi="仿宋" w:eastAsia="仿宋" w:cs="仿宋"/>
                <w:szCs w:val="21"/>
                <w:highlight w:val="none"/>
              </w:rPr>
            </w:pPr>
          </w:p>
        </w:tc>
        <w:tc>
          <w:tcPr>
            <w:tcW w:w="551" w:type="pct"/>
            <w:vAlign w:val="center"/>
          </w:tcPr>
          <w:p w14:paraId="7277B937">
            <w:pPr>
              <w:jc w:val="center"/>
              <w:rPr>
                <w:rFonts w:hint="eastAsia" w:ascii="仿宋" w:hAnsi="仿宋" w:eastAsia="仿宋" w:cs="仿宋"/>
                <w:szCs w:val="21"/>
                <w:highlight w:val="none"/>
              </w:rPr>
            </w:pPr>
          </w:p>
        </w:tc>
      </w:tr>
      <w:tr w14:paraId="37598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407" w:type="pct"/>
            <w:vAlign w:val="center"/>
          </w:tcPr>
          <w:p w14:paraId="73A52DEB">
            <w:pPr>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790" w:type="pct"/>
            <w:vAlign w:val="center"/>
          </w:tcPr>
          <w:p w14:paraId="1906DBD1">
            <w:pPr>
              <w:jc w:val="center"/>
              <w:rPr>
                <w:rFonts w:hint="eastAsia" w:ascii="仿宋" w:hAnsi="仿宋" w:eastAsia="仿宋" w:cs="仿宋"/>
                <w:szCs w:val="21"/>
                <w:highlight w:val="none"/>
              </w:rPr>
            </w:pPr>
          </w:p>
        </w:tc>
        <w:tc>
          <w:tcPr>
            <w:tcW w:w="873" w:type="pct"/>
            <w:vAlign w:val="center"/>
          </w:tcPr>
          <w:p w14:paraId="0656E37A">
            <w:pPr>
              <w:jc w:val="center"/>
              <w:rPr>
                <w:rFonts w:hint="eastAsia" w:ascii="仿宋" w:hAnsi="仿宋" w:eastAsia="仿宋" w:cs="仿宋"/>
                <w:szCs w:val="21"/>
                <w:highlight w:val="none"/>
              </w:rPr>
            </w:pPr>
          </w:p>
        </w:tc>
        <w:tc>
          <w:tcPr>
            <w:tcW w:w="474" w:type="pct"/>
            <w:vAlign w:val="center"/>
          </w:tcPr>
          <w:p w14:paraId="3CCD56AB">
            <w:pPr>
              <w:jc w:val="center"/>
              <w:rPr>
                <w:rFonts w:hint="eastAsia" w:ascii="仿宋" w:hAnsi="仿宋" w:eastAsia="仿宋" w:cs="仿宋"/>
                <w:szCs w:val="21"/>
                <w:highlight w:val="none"/>
              </w:rPr>
            </w:pPr>
          </w:p>
        </w:tc>
        <w:tc>
          <w:tcPr>
            <w:tcW w:w="877" w:type="pct"/>
            <w:vAlign w:val="center"/>
          </w:tcPr>
          <w:p w14:paraId="46DFA3BD">
            <w:pPr>
              <w:jc w:val="center"/>
              <w:rPr>
                <w:rFonts w:hint="eastAsia" w:ascii="仿宋" w:hAnsi="仿宋" w:eastAsia="仿宋" w:cs="仿宋"/>
                <w:szCs w:val="21"/>
                <w:highlight w:val="none"/>
              </w:rPr>
            </w:pPr>
          </w:p>
        </w:tc>
        <w:tc>
          <w:tcPr>
            <w:tcW w:w="474" w:type="pct"/>
            <w:vAlign w:val="center"/>
          </w:tcPr>
          <w:p w14:paraId="5EEA76A5">
            <w:pPr>
              <w:jc w:val="center"/>
              <w:rPr>
                <w:rFonts w:hint="eastAsia" w:ascii="仿宋" w:hAnsi="仿宋" w:eastAsia="仿宋" w:cs="仿宋"/>
                <w:szCs w:val="21"/>
                <w:highlight w:val="none"/>
              </w:rPr>
            </w:pPr>
          </w:p>
        </w:tc>
        <w:tc>
          <w:tcPr>
            <w:tcW w:w="551" w:type="pct"/>
            <w:vAlign w:val="center"/>
          </w:tcPr>
          <w:p w14:paraId="4660F536">
            <w:pPr>
              <w:jc w:val="center"/>
              <w:rPr>
                <w:rFonts w:hint="eastAsia" w:ascii="仿宋" w:hAnsi="仿宋" w:eastAsia="仿宋" w:cs="仿宋"/>
                <w:szCs w:val="21"/>
                <w:highlight w:val="none"/>
              </w:rPr>
            </w:pPr>
          </w:p>
        </w:tc>
        <w:tc>
          <w:tcPr>
            <w:tcW w:w="551" w:type="pct"/>
            <w:vAlign w:val="center"/>
          </w:tcPr>
          <w:p w14:paraId="0B4EFDC5">
            <w:pPr>
              <w:jc w:val="center"/>
              <w:rPr>
                <w:rFonts w:hint="eastAsia" w:ascii="仿宋" w:hAnsi="仿宋" w:eastAsia="仿宋" w:cs="仿宋"/>
                <w:szCs w:val="21"/>
                <w:highlight w:val="none"/>
              </w:rPr>
            </w:pPr>
          </w:p>
        </w:tc>
      </w:tr>
      <w:tr w14:paraId="4E7E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407" w:type="pct"/>
            <w:vAlign w:val="center"/>
          </w:tcPr>
          <w:p w14:paraId="337BE33D">
            <w:pPr>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790" w:type="pct"/>
            <w:vAlign w:val="center"/>
          </w:tcPr>
          <w:p w14:paraId="37F0255A">
            <w:pPr>
              <w:jc w:val="center"/>
              <w:rPr>
                <w:rFonts w:hint="eastAsia" w:ascii="仿宋" w:hAnsi="仿宋" w:eastAsia="仿宋" w:cs="仿宋"/>
                <w:szCs w:val="21"/>
                <w:highlight w:val="none"/>
              </w:rPr>
            </w:pPr>
          </w:p>
        </w:tc>
        <w:tc>
          <w:tcPr>
            <w:tcW w:w="873" w:type="pct"/>
            <w:vAlign w:val="center"/>
          </w:tcPr>
          <w:p w14:paraId="368CF5B7">
            <w:pPr>
              <w:jc w:val="center"/>
              <w:rPr>
                <w:rFonts w:hint="eastAsia" w:ascii="仿宋" w:hAnsi="仿宋" w:eastAsia="仿宋" w:cs="仿宋"/>
                <w:szCs w:val="21"/>
                <w:highlight w:val="none"/>
              </w:rPr>
            </w:pPr>
          </w:p>
        </w:tc>
        <w:tc>
          <w:tcPr>
            <w:tcW w:w="474" w:type="pct"/>
            <w:vAlign w:val="center"/>
          </w:tcPr>
          <w:p w14:paraId="23D9E9FF">
            <w:pPr>
              <w:jc w:val="center"/>
              <w:rPr>
                <w:rFonts w:hint="eastAsia" w:ascii="仿宋" w:hAnsi="仿宋" w:eastAsia="仿宋" w:cs="仿宋"/>
                <w:szCs w:val="21"/>
                <w:highlight w:val="none"/>
              </w:rPr>
            </w:pPr>
          </w:p>
        </w:tc>
        <w:tc>
          <w:tcPr>
            <w:tcW w:w="877" w:type="pct"/>
            <w:vAlign w:val="center"/>
          </w:tcPr>
          <w:p w14:paraId="74835C52">
            <w:pPr>
              <w:jc w:val="center"/>
              <w:rPr>
                <w:rFonts w:hint="eastAsia" w:ascii="仿宋" w:hAnsi="仿宋" w:eastAsia="仿宋" w:cs="仿宋"/>
                <w:szCs w:val="21"/>
                <w:highlight w:val="none"/>
              </w:rPr>
            </w:pPr>
          </w:p>
        </w:tc>
        <w:tc>
          <w:tcPr>
            <w:tcW w:w="474" w:type="pct"/>
            <w:vAlign w:val="center"/>
          </w:tcPr>
          <w:p w14:paraId="375E9A28">
            <w:pPr>
              <w:jc w:val="center"/>
              <w:rPr>
                <w:rFonts w:hint="eastAsia" w:ascii="仿宋" w:hAnsi="仿宋" w:eastAsia="仿宋" w:cs="仿宋"/>
                <w:szCs w:val="21"/>
                <w:highlight w:val="none"/>
              </w:rPr>
            </w:pPr>
          </w:p>
        </w:tc>
        <w:tc>
          <w:tcPr>
            <w:tcW w:w="551" w:type="pct"/>
            <w:vAlign w:val="center"/>
          </w:tcPr>
          <w:p w14:paraId="6C18B02A">
            <w:pPr>
              <w:jc w:val="center"/>
              <w:rPr>
                <w:rFonts w:hint="eastAsia" w:ascii="仿宋" w:hAnsi="仿宋" w:eastAsia="仿宋" w:cs="仿宋"/>
                <w:szCs w:val="21"/>
                <w:highlight w:val="none"/>
              </w:rPr>
            </w:pPr>
          </w:p>
        </w:tc>
        <w:tc>
          <w:tcPr>
            <w:tcW w:w="551" w:type="pct"/>
            <w:vAlign w:val="center"/>
          </w:tcPr>
          <w:p w14:paraId="32E785F6">
            <w:pPr>
              <w:jc w:val="center"/>
              <w:rPr>
                <w:rFonts w:hint="eastAsia" w:ascii="仿宋" w:hAnsi="仿宋" w:eastAsia="仿宋" w:cs="仿宋"/>
                <w:szCs w:val="21"/>
                <w:highlight w:val="none"/>
              </w:rPr>
            </w:pPr>
          </w:p>
        </w:tc>
      </w:tr>
      <w:tr w14:paraId="0E07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4448" w:type="pct"/>
            <w:gridSpan w:val="7"/>
            <w:vAlign w:val="center"/>
          </w:tcPr>
          <w:p w14:paraId="1C8CFEC2">
            <w:pPr>
              <w:jc w:val="left"/>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其他说明：</w:t>
            </w:r>
          </w:p>
        </w:tc>
        <w:tc>
          <w:tcPr>
            <w:tcW w:w="551" w:type="pct"/>
            <w:vAlign w:val="center"/>
          </w:tcPr>
          <w:p w14:paraId="67BD8412">
            <w:pPr>
              <w:jc w:val="left"/>
              <w:rPr>
                <w:rFonts w:hint="eastAsia" w:ascii="仿宋" w:hAnsi="仿宋" w:eastAsia="仿宋" w:cs="仿宋"/>
                <w:szCs w:val="21"/>
                <w:highlight w:val="none"/>
                <w:lang w:val="en-US" w:eastAsia="zh-CN"/>
              </w:rPr>
            </w:pPr>
          </w:p>
        </w:tc>
      </w:tr>
    </w:tbl>
    <w:p w14:paraId="0C9656C6">
      <w:pPr>
        <w:pStyle w:val="2"/>
        <w:rPr>
          <w:rFonts w:hint="eastAsia" w:ascii="仿宋" w:hAnsi="仿宋" w:eastAsia="仿宋" w:cs="仿宋"/>
          <w:highlight w:val="none"/>
        </w:rPr>
      </w:pPr>
    </w:p>
    <w:p w14:paraId="1A8CB5D2">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262" w:name="_Toc12103"/>
      <w:r>
        <w:rPr>
          <w:rFonts w:hint="eastAsia" w:ascii="仿宋" w:hAnsi="仿宋" w:eastAsia="仿宋" w:cs="仿宋"/>
          <w:b/>
          <w:bCs/>
          <w:color w:val="000000"/>
          <w:kern w:val="0"/>
          <w:sz w:val="28"/>
          <w:szCs w:val="28"/>
          <w:highlight w:val="none"/>
          <w:lang w:val="en-US" w:eastAsia="zh-CN" w:bidi="ar-SA"/>
        </w:rPr>
        <w:t>（三）投标书</w:t>
      </w:r>
      <w:bookmarkEnd w:id="262"/>
    </w:p>
    <w:p w14:paraId="5BEF2CFC">
      <w:pPr>
        <w:pageBreakBefore w:val="0"/>
        <w:kinsoku/>
        <w:wordWrap w:val="0"/>
        <w:overflowPunct/>
        <w:bidi w:val="0"/>
        <w:spacing w:before="60" w:after="60"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lang w:eastAsia="zh-CN"/>
        </w:rPr>
        <w:t>普洱市融媒体中心</w:t>
      </w:r>
    </w:p>
    <w:p w14:paraId="4CAD1DF5">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根据对贵方代理的</w:t>
      </w:r>
      <w:r>
        <w:rPr>
          <w:rFonts w:hint="eastAsia" w:ascii="仿宋" w:hAnsi="仿宋" w:eastAsia="仿宋" w:cs="仿宋"/>
          <w:b/>
          <w:bCs/>
          <w:color w:val="auto"/>
          <w:sz w:val="24"/>
          <w:highlight w:val="none"/>
          <w:u w:val="single"/>
        </w:rPr>
        <w:t>（项目名称）</w:t>
      </w:r>
      <w:r>
        <w:rPr>
          <w:rFonts w:hint="eastAsia" w:ascii="仿宋" w:hAnsi="仿宋" w:eastAsia="仿宋" w:cs="仿宋"/>
          <w:b/>
          <w:bCs/>
          <w:color w:val="auto"/>
          <w:sz w:val="24"/>
          <w:szCs w:val="36"/>
          <w:highlight w:val="none"/>
        </w:rPr>
        <w:t>（项目编号：</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b/>
          <w:bCs/>
          <w:color w:val="auto"/>
          <w:sz w:val="24"/>
          <w:szCs w:val="36"/>
          <w:highlight w:val="none"/>
        </w:rPr>
        <w:t>）</w:t>
      </w:r>
      <w:r>
        <w:rPr>
          <w:rFonts w:hint="eastAsia" w:ascii="仿宋" w:hAnsi="仿宋" w:eastAsia="仿宋" w:cs="仿宋"/>
          <w:color w:val="auto"/>
          <w:sz w:val="24"/>
          <w:highlight w:val="none"/>
        </w:rPr>
        <w:t>招标文件的研究，我单位（</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公司）决定参加投标，经法定代表人</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color w:val="auto"/>
          <w:sz w:val="24"/>
          <w:highlight w:val="none"/>
        </w:rPr>
        <w:t>（或法定代表人正式授权的委托代理人</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color w:val="auto"/>
          <w:sz w:val="24"/>
          <w:highlight w:val="none"/>
        </w:rPr>
        <w:t>）提交投标文件。</w:t>
      </w:r>
    </w:p>
    <w:p w14:paraId="089B5E44">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公司）同意以下事项：</w:t>
      </w:r>
    </w:p>
    <w:p w14:paraId="6FD47B27">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1、投标总价为（人民币·元）大写：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p w14:paraId="54FCE9F2">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2、遵守招标文件的各项条款及一切有关规定；</w:t>
      </w:r>
    </w:p>
    <w:p w14:paraId="62E89ADC">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3、向贵方提供所有与所投项目有关的真实有效的数据、情况和技术资料；</w:t>
      </w:r>
    </w:p>
    <w:p w14:paraId="23E875AD">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4、如我方投标被接受，我方将按招标文件的规定履行合同责任和义务，保证在合同生效后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日实施完毕；</w:t>
      </w:r>
    </w:p>
    <w:p w14:paraId="4FC2186A">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5、本投标书自贵方收到之日生效，有效期至开标后90日，在此期间本投标书之规定对我方具有约束力；</w:t>
      </w:r>
    </w:p>
    <w:p w14:paraId="033D7964">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6、如果我方投标被接受，则至合同履行完成和质量保证期满为止，本投标书保持有效。</w:t>
      </w:r>
    </w:p>
    <w:p w14:paraId="23D6A697">
      <w:pPr>
        <w:pageBreakBefore w:val="0"/>
        <w:kinsoku/>
        <w:wordWrap w:val="0"/>
        <w:overflowPunct/>
        <w:bidi w:val="0"/>
        <w:spacing w:before="60" w:after="60" w:line="360" w:lineRule="auto"/>
        <w:rPr>
          <w:rFonts w:hint="eastAsia" w:ascii="仿宋" w:hAnsi="仿宋" w:eastAsia="仿宋" w:cs="仿宋"/>
          <w:color w:val="auto"/>
          <w:sz w:val="24"/>
          <w:highlight w:val="none"/>
        </w:rPr>
      </w:pPr>
    </w:p>
    <w:p w14:paraId="1B595794">
      <w:pPr>
        <w:pageBreakBefore w:val="0"/>
        <w:kinsoku/>
        <w:wordWrap w:val="0"/>
        <w:overflowPunct/>
        <w:bidi w:val="0"/>
        <w:spacing w:before="60" w:after="60" w:line="360" w:lineRule="auto"/>
        <w:rPr>
          <w:rFonts w:hint="eastAsia" w:ascii="仿宋" w:hAnsi="仿宋" w:eastAsia="仿宋" w:cs="仿宋"/>
          <w:color w:val="auto"/>
          <w:sz w:val="24"/>
          <w:highlight w:val="none"/>
        </w:rPr>
      </w:pPr>
    </w:p>
    <w:p w14:paraId="319487EA">
      <w:pPr>
        <w:pageBreakBefore w:val="0"/>
        <w:kinsoku/>
        <w:wordWrap w:val="0"/>
        <w:overflowPunct/>
        <w:bidi w:val="0"/>
        <w:spacing w:before="60" w:after="6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lang w:val="en-US" w:eastAsia="zh-CN"/>
        </w:rPr>
        <w:t>名称</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04226BD9">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单位地址：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 </w:t>
      </w:r>
    </w:p>
    <w:p w14:paraId="09BE0540">
      <w:pPr>
        <w:pageBreakBefore w:val="0"/>
        <w:kinsoku/>
        <w:wordWrap w:val="0"/>
        <w:overflowPunct/>
        <w:bidi w:val="0"/>
        <w:spacing w:line="360" w:lineRule="auto"/>
        <w:ind w:firstLine="5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  话：</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1D78001C">
      <w:pPr>
        <w:pageBreakBefore w:val="0"/>
        <w:kinsoku/>
        <w:wordWrap w:val="0"/>
        <w:overflowPunct/>
        <w:bidi w:val="0"/>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  真：</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2CD824E1">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p>
    <w:p w14:paraId="05FD7748">
      <w:pPr>
        <w:pageBreakBefore w:val="0"/>
        <w:kinsoku/>
        <w:wordWrap w:val="0"/>
        <w:overflowPunct/>
        <w:bidi w:val="0"/>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05F5E85">
      <w:pPr>
        <w:pageBreakBefore w:val="0"/>
        <w:kinsoku/>
        <w:wordWrap w:val="0"/>
        <w:overflowPunct/>
        <w:bidi w:val="0"/>
        <w:spacing w:line="360" w:lineRule="auto"/>
        <w:ind w:firstLine="510"/>
        <w:rPr>
          <w:rFonts w:hint="eastAsia" w:ascii="仿宋" w:hAnsi="仿宋" w:eastAsia="仿宋" w:cs="仿宋"/>
          <w:color w:val="auto"/>
          <w:sz w:val="24"/>
          <w:highlight w:val="none"/>
        </w:rPr>
      </w:pPr>
    </w:p>
    <w:p w14:paraId="2241485E">
      <w:pPr>
        <w:pageBreakBefore w:val="0"/>
        <w:kinsoku/>
        <w:wordWrap w:val="0"/>
        <w:overflowPunct/>
        <w:bidi w:val="0"/>
        <w:spacing w:line="360" w:lineRule="auto"/>
        <w:ind w:firstLine="510"/>
        <w:rPr>
          <w:rFonts w:hint="eastAsia" w:ascii="仿宋" w:hAnsi="仿宋" w:eastAsia="仿宋" w:cs="仿宋"/>
          <w:color w:val="auto"/>
          <w:sz w:val="24"/>
          <w:highlight w:val="none"/>
        </w:rPr>
      </w:pPr>
    </w:p>
    <w:p w14:paraId="0E5AB3E6">
      <w:pPr>
        <w:pageBreakBefore w:val="0"/>
        <w:kinsoku/>
        <w:wordWrap w:val="0"/>
        <w:overflowPunct/>
        <w:bidi w:val="0"/>
        <w:rPr>
          <w:rFonts w:hint="eastAsia" w:ascii="仿宋" w:hAnsi="仿宋" w:eastAsia="仿宋" w:cs="仿宋"/>
          <w:color w:val="auto"/>
          <w:sz w:val="24"/>
          <w:szCs w:val="24"/>
          <w:highlight w:val="none"/>
        </w:rPr>
      </w:pPr>
    </w:p>
    <w:p w14:paraId="4D1DAF85">
      <w:pPr>
        <w:pageBreakBefore w:val="0"/>
        <w:kinsoku/>
        <w:wordWrap w:val="0"/>
        <w:overflowPunct/>
        <w:bidi w:val="0"/>
        <w:rPr>
          <w:rFonts w:hint="eastAsia" w:ascii="仿宋" w:hAnsi="仿宋" w:eastAsia="仿宋" w:cs="仿宋"/>
          <w:color w:val="auto"/>
          <w:sz w:val="24"/>
          <w:szCs w:val="24"/>
          <w:highlight w:val="none"/>
        </w:rPr>
      </w:pPr>
    </w:p>
    <w:p w14:paraId="42A37B58">
      <w:pPr>
        <w:pageBreakBefore w:val="0"/>
        <w:kinsoku/>
        <w:wordWrap w:val="0"/>
        <w:overflowPunct/>
        <w:autoSpaceDE/>
        <w:autoSpaceDN/>
        <w:bidi w:val="0"/>
        <w:spacing w:line="240" w:lineRule="atLeast"/>
        <w:ind w:left="1680" w:leftChars="800"/>
        <w:jc w:val="right"/>
        <w:rPr>
          <w:rFonts w:hint="eastAsia" w:ascii="仿宋" w:hAnsi="仿宋" w:eastAsia="仿宋" w:cs="仿宋"/>
          <w:b w:val="0"/>
          <w:bCs w:val="0"/>
          <w:color w:val="auto"/>
          <w:sz w:val="24"/>
          <w:szCs w:val="24"/>
          <w:highlight w:val="none"/>
        </w:rPr>
      </w:pPr>
      <w:bookmarkStart w:id="263" w:name="_Toc16850"/>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p>
    <w:p w14:paraId="65D58603">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（四）法定代表人身份证明书及法定代表人授权委托书</w:t>
      </w:r>
      <w:bookmarkEnd w:id="263"/>
    </w:p>
    <w:p w14:paraId="25FC2E8C">
      <w:pPr>
        <w:pageBreakBefore w:val="0"/>
        <w:kinsoku/>
        <w:wordWrap w:val="0"/>
        <w:bidi w:val="0"/>
        <w:spacing w:line="360" w:lineRule="auto"/>
        <w:jc w:val="center"/>
        <w:rPr>
          <w:rFonts w:hint="eastAsia" w:ascii="仿宋" w:hAnsi="仿宋" w:eastAsia="仿宋" w:cs="仿宋"/>
          <w:b/>
          <w:bCs/>
          <w:sz w:val="32"/>
          <w:szCs w:val="28"/>
          <w:highlight w:val="none"/>
          <w:lang w:eastAsia="zh-CN"/>
        </w:rPr>
      </w:pPr>
      <w:bookmarkStart w:id="264" w:name="_Toc15029"/>
      <w:r>
        <w:rPr>
          <w:rFonts w:hint="eastAsia" w:ascii="仿宋" w:hAnsi="仿宋" w:eastAsia="仿宋" w:cs="仿宋"/>
          <w:b/>
          <w:bCs/>
          <w:sz w:val="32"/>
          <w:szCs w:val="28"/>
          <w:highlight w:val="none"/>
          <w:lang w:val="en-US" w:eastAsia="zh-CN"/>
        </w:rPr>
        <w:t>（1）</w:t>
      </w:r>
      <w:r>
        <w:rPr>
          <w:rFonts w:hint="eastAsia" w:ascii="仿宋" w:hAnsi="仿宋" w:eastAsia="仿宋" w:cs="仿宋"/>
          <w:b/>
          <w:bCs/>
          <w:sz w:val="32"/>
          <w:szCs w:val="28"/>
          <w:highlight w:val="none"/>
          <w:lang w:eastAsia="zh-CN"/>
        </w:rPr>
        <w:t>法定代表人身份证明书</w:t>
      </w:r>
      <w:bookmarkEnd w:id="264"/>
    </w:p>
    <w:p w14:paraId="25231C53">
      <w:pPr>
        <w:pageBreakBefore w:val="0"/>
        <w:kinsoku/>
        <w:wordWrap w:val="0"/>
        <w:overflowPunct/>
        <w:bidi w:val="0"/>
        <w:spacing w:line="360" w:lineRule="auto"/>
        <w:ind w:firstLine="612"/>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4FBBA169">
      <w:pPr>
        <w:pageBreakBefore w:val="0"/>
        <w:kinsoku/>
        <w:wordWrap w:val="0"/>
        <w:overflowPunct/>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3A723A70">
      <w:pPr>
        <w:pageBreakBefore w:val="0"/>
        <w:kinsoku/>
        <w:wordWrap w:val="0"/>
        <w:overflowPunct/>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410250AE">
      <w:pPr>
        <w:pageBreakBefore w:val="0"/>
        <w:kinsoku/>
        <w:wordWrap w:val="0"/>
        <w:overflowPunct/>
        <w:bidi w:val="0"/>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CF90E2D">
      <w:pPr>
        <w:pageBreakBefore w:val="0"/>
        <w:kinsoku/>
        <w:wordWrap w:val="0"/>
        <w:overflowPunct/>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p>
    <w:p w14:paraId="6986569E">
      <w:pPr>
        <w:pageBreakBefore w:val="0"/>
        <w:kinsoku/>
        <w:wordWrap w:val="0"/>
        <w:overflowPunct/>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签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02EC27FE">
      <w:pPr>
        <w:pageBreakBefore w:val="0"/>
        <w:kinsoku/>
        <w:wordWrap w:val="0"/>
        <w:overflowPunct/>
        <w:bidi w:val="0"/>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的法定代表人。</w:t>
      </w:r>
    </w:p>
    <w:p w14:paraId="0F747BA8">
      <w:pPr>
        <w:pageBreakBefore w:val="0"/>
        <w:kinsoku/>
        <w:wordWrap w:val="0"/>
        <w:overflowPunct/>
        <w:bidi w:val="0"/>
        <w:spacing w:line="360" w:lineRule="auto"/>
        <w:ind w:firstLine="610"/>
        <w:rPr>
          <w:rFonts w:hint="eastAsia" w:ascii="仿宋" w:hAnsi="仿宋" w:eastAsia="仿宋" w:cs="仿宋"/>
          <w:color w:val="auto"/>
          <w:sz w:val="24"/>
          <w:highlight w:val="none"/>
        </w:rPr>
      </w:pPr>
    </w:p>
    <w:p w14:paraId="4F23B741">
      <w:pPr>
        <w:pageBreakBefore w:val="0"/>
        <w:kinsoku/>
        <w:wordWrap w:val="0"/>
        <w:overflowPunct/>
        <w:bidi w:val="0"/>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50F301A2">
      <w:pPr>
        <w:pageBreakBefore w:val="0"/>
        <w:tabs>
          <w:tab w:val="left" w:pos="720"/>
          <w:tab w:val="left" w:pos="900"/>
        </w:tabs>
        <w:kinsoku/>
        <w:wordWrap w:val="0"/>
        <w:overflowPunct/>
        <w:bidi w:val="0"/>
        <w:spacing w:line="360" w:lineRule="auto"/>
        <w:rPr>
          <w:rFonts w:hint="eastAsia" w:ascii="仿宋" w:hAnsi="仿宋" w:eastAsia="仿宋" w:cs="仿宋"/>
          <w:color w:val="auto"/>
          <w:sz w:val="24"/>
          <w:highlight w:val="none"/>
        </w:rPr>
      </w:pPr>
    </w:p>
    <w:p w14:paraId="242A84B1">
      <w:pPr>
        <w:pageBreakBefore w:val="0"/>
        <w:tabs>
          <w:tab w:val="left" w:pos="720"/>
          <w:tab w:val="left" w:pos="900"/>
        </w:tabs>
        <w:kinsoku/>
        <w:wordWrap w:val="0"/>
        <w:overflowPunct/>
        <w:bidi w:val="0"/>
        <w:spacing w:line="360" w:lineRule="auto"/>
        <w:ind w:firstLine="4560" w:firstLineChars="1900"/>
        <w:rPr>
          <w:rFonts w:hint="eastAsia"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2966720</wp:posOffset>
                </wp:positionH>
                <wp:positionV relativeFrom="paragraph">
                  <wp:posOffset>192405</wp:posOffset>
                </wp:positionV>
                <wp:extent cx="2832100" cy="1715135"/>
                <wp:effectExtent l="4445" t="4445" r="8255" b="762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832100" cy="1715135"/>
                        </a:xfrm>
                        <a:prstGeom prst="rect">
                          <a:avLst/>
                        </a:prstGeom>
                        <a:solidFill>
                          <a:srgbClr val="FFFFFF"/>
                        </a:solidFill>
                        <a:ln w="9525">
                          <a:solidFill>
                            <a:srgbClr val="000000"/>
                          </a:solidFill>
                          <a:miter lim="800000"/>
                        </a:ln>
                      </wps:spPr>
                      <wps:txbx>
                        <w:txbxContent>
                          <w:p w14:paraId="375276F9">
                            <w:pPr>
                              <w:rPr>
                                <w:rFonts w:ascii="@Yu Mincho Light" w:hAnsi="@Yu Mincho Light"/>
                                <w:sz w:val="24"/>
                              </w:rPr>
                            </w:pPr>
                          </w:p>
                          <w:p w14:paraId="053DB56F">
                            <w:pPr>
                              <w:jc w:val="center"/>
                              <w:rPr>
                                <w:rFonts w:ascii="仿宋" w:hAnsi="仿宋" w:eastAsia="仿宋" w:cs="仿宋"/>
                                <w:sz w:val="24"/>
                              </w:rPr>
                            </w:pPr>
                            <w:r>
                              <w:rPr>
                                <w:rFonts w:hint="eastAsia" w:ascii="仿宋" w:hAnsi="仿宋" w:eastAsia="仿宋" w:cs="仿宋"/>
                                <w:sz w:val="24"/>
                              </w:rPr>
                              <w:t>法定代表人身份证扫描件反面</w:t>
                            </w:r>
                          </w:p>
                        </w:txbxContent>
                      </wps:txbx>
                      <wps:bodyPr rot="0" vert="horz" wrap="square" anchor="t" anchorCtr="0" upright="1"/>
                    </wps:wsp>
                  </a:graphicData>
                </a:graphic>
              </wp:anchor>
            </w:drawing>
          </mc:Choice>
          <mc:Fallback>
            <w:pict>
              <v:shape id="_x0000_s1026" o:spid="_x0000_s1026" o:spt="202" type="#_x0000_t202" style="position:absolute;left:0pt;margin-left:233.6pt;margin-top:15.15pt;height:135.05pt;width:223pt;z-index:251662336;mso-width-relative:page;mso-height-relative:page;" fillcolor="#FFFFFF" filled="t" stroked="t" coordsize="21600,21600" o:gfxdata="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i3XUH9gAAAAK&#10;AQAADwAAAAAAAAABACAAAAAiAAAAZHJzL2Rvd25yZXYueG1sUEsBAhQAFAAAAAgAh07iQAklgcsc&#10;AgAAOgQAAA4AAAAAAAAAAQAgAAAAJwEAAGRycy9lMm9Eb2MueG1sUEsFBgAAAAAGAAYAWQEAALUF&#10;AAAAAA==&#10;">
                <v:fill on="t" focussize="0,0"/>
                <v:stroke color="#000000" miterlimit="8" joinstyle="miter"/>
                <v:imagedata o:title=""/>
                <o:lock v:ext="edit" aspectratio="f"/>
                <v:textbox>
                  <w:txbxContent>
                    <w:p w14:paraId="375276F9">
                      <w:pPr>
                        <w:rPr>
                          <w:rFonts w:ascii="@Yu Mincho Light" w:hAnsi="@Yu Mincho Light"/>
                          <w:sz w:val="24"/>
                        </w:rPr>
                      </w:pPr>
                    </w:p>
                    <w:p w14:paraId="053DB56F">
                      <w:pPr>
                        <w:jc w:val="center"/>
                        <w:rPr>
                          <w:rFonts w:ascii="仿宋" w:hAnsi="仿宋" w:eastAsia="仿宋" w:cs="仿宋"/>
                          <w:sz w:val="24"/>
                        </w:rPr>
                      </w:pPr>
                      <w:r>
                        <w:rPr>
                          <w:rFonts w:hint="eastAsia" w:ascii="仿宋" w:hAnsi="仿宋" w:eastAsia="仿宋" w:cs="仿宋"/>
                          <w:sz w:val="24"/>
                        </w:rPr>
                        <w:t>法定代表人身份证扫描件反面</w:t>
                      </w:r>
                    </w:p>
                  </w:txbxContent>
                </v:textbox>
              </v:shape>
            </w:pict>
          </mc:Fallback>
        </mc:AlternateContent>
      </w:r>
      <w:r>
        <w:rPr>
          <w:rFonts w:hint="eastAsia" w:ascii="仿宋" w:hAnsi="仿宋" w:eastAsia="仿宋" w:cs="仿宋"/>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-17780</wp:posOffset>
                </wp:positionH>
                <wp:positionV relativeFrom="paragraph">
                  <wp:posOffset>192405</wp:posOffset>
                </wp:positionV>
                <wp:extent cx="2832100" cy="1715135"/>
                <wp:effectExtent l="4445" t="4445" r="8255" b="7620"/>
                <wp:wrapNone/>
                <wp:docPr id="3"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832100" cy="1715135"/>
                        </a:xfrm>
                        <a:prstGeom prst="rect">
                          <a:avLst/>
                        </a:prstGeom>
                        <a:solidFill>
                          <a:srgbClr val="FFFFFF"/>
                        </a:solidFill>
                        <a:ln w="9525">
                          <a:solidFill>
                            <a:srgbClr val="000000"/>
                          </a:solidFill>
                          <a:miter lim="800000"/>
                        </a:ln>
                      </wps:spPr>
                      <wps:txbx>
                        <w:txbxContent>
                          <w:p w14:paraId="7F21A120">
                            <w:pPr>
                              <w:rPr>
                                <w:rFonts w:ascii="@Yu Mincho Light" w:hAnsi="@Yu Mincho Light"/>
                                <w:sz w:val="24"/>
                              </w:rPr>
                            </w:pPr>
                          </w:p>
                          <w:p w14:paraId="6E8D5A01">
                            <w:pPr>
                              <w:jc w:val="center"/>
                              <w:rPr>
                                <w:rFonts w:ascii="@Yu Mincho Light" w:hAnsi="@Yu Mincho Light"/>
                                <w:sz w:val="24"/>
                              </w:rPr>
                            </w:pPr>
                            <w:r>
                              <w:rPr>
                                <w:rFonts w:hint="eastAsia" w:ascii="仿宋" w:hAnsi="仿宋" w:eastAsia="仿宋" w:cs="仿宋"/>
                                <w:sz w:val="24"/>
                              </w:rPr>
                              <w:t>法定代表人身份证扫描件正面</w:t>
                            </w:r>
                          </w:p>
                        </w:txbxContent>
                      </wps:txbx>
                      <wps:bodyPr rot="0" vert="horz" wrap="square" anchor="t" anchorCtr="0" upright="1"/>
                    </wps:wsp>
                  </a:graphicData>
                </a:graphic>
              </wp:anchor>
            </w:drawing>
          </mc:Choice>
          <mc:Fallback>
            <w:pict>
              <v:shape id="文本框 4" o:spid="_x0000_s1026" o:spt="202" type="#_x0000_t202" style="position:absolute;left:0pt;margin-left:-1.4pt;margin-top:15.15pt;height:135.05pt;width:223pt;z-index:251661312;mso-width-relative:page;mso-height-relative:page;" fillcolor="#FFFFFF" filled="t" stroked="t" coordsize="21600,21600" o:gfxdata="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m/3Hq2AAAAAkB&#10;AAAPAAAAAAAAAAEAIAAAACIAAABkcnMvZG93bnJldi54bWxQSwECFAAUAAAACACHTuJADqMFPhsC&#10;AAA6BAAADgAAAAAAAAABACAAAAAnAQAAZHJzL2Uyb0RvYy54bWxQSwUGAAAAAAYABgBZAQAAtAUA&#10;AAAA&#10;">
                <v:fill on="t" focussize="0,0"/>
                <v:stroke color="#000000" miterlimit="8" joinstyle="miter"/>
                <v:imagedata o:title=""/>
                <o:lock v:ext="edit" aspectratio="f"/>
                <v:textbox>
                  <w:txbxContent>
                    <w:p w14:paraId="7F21A120">
                      <w:pPr>
                        <w:rPr>
                          <w:rFonts w:ascii="@Yu Mincho Light" w:hAnsi="@Yu Mincho Light"/>
                          <w:sz w:val="24"/>
                        </w:rPr>
                      </w:pPr>
                    </w:p>
                    <w:p w14:paraId="6E8D5A01">
                      <w:pPr>
                        <w:jc w:val="center"/>
                        <w:rPr>
                          <w:rFonts w:ascii="@Yu Mincho Light" w:hAnsi="@Yu Mincho Light"/>
                          <w:sz w:val="24"/>
                        </w:rPr>
                      </w:pPr>
                      <w:r>
                        <w:rPr>
                          <w:rFonts w:hint="eastAsia" w:ascii="仿宋" w:hAnsi="仿宋" w:eastAsia="仿宋" w:cs="仿宋"/>
                          <w:sz w:val="24"/>
                        </w:rPr>
                        <w:t>法定代表人身份证扫描件正面</w:t>
                      </w:r>
                    </w:p>
                  </w:txbxContent>
                </v:textbox>
              </v:shape>
            </w:pict>
          </mc:Fallback>
        </mc:AlternateContent>
      </w:r>
    </w:p>
    <w:p w14:paraId="23467FC3">
      <w:pPr>
        <w:pageBreakBefore w:val="0"/>
        <w:tabs>
          <w:tab w:val="left" w:pos="720"/>
          <w:tab w:val="left" w:pos="900"/>
        </w:tabs>
        <w:kinsoku/>
        <w:wordWrap w:val="0"/>
        <w:overflowPunct/>
        <w:bidi w:val="0"/>
        <w:spacing w:line="360" w:lineRule="auto"/>
        <w:ind w:firstLine="4560" w:firstLineChars="1900"/>
        <w:rPr>
          <w:rFonts w:hint="eastAsia" w:ascii="仿宋" w:hAnsi="仿宋" w:eastAsia="仿宋" w:cs="仿宋"/>
          <w:color w:val="auto"/>
          <w:sz w:val="24"/>
          <w:highlight w:val="none"/>
        </w:rPr>
      </w:pPr>
    </w:p>
    <w:p w14:paraId="5E73B7CF">
      <w:pPr>
        <w:pageBreakBefore w:val="0"/>
        <w:tabs>
          <w:tab w:val="left" w:pos="720"/>
          <w:tab w:val="left" w:pos="900"/>
        </w:tabs>
        <w:kinsoku/>
        <w:wordWrap w:val="0"/>
        <w:overflowPunct/>
        <w:bidi w:val="0"/>
        <w:spacing w:line="360" w:lineRule="auto"/>
        <w:ind w:firstLine="4560" w:firstLineChars="1900"/>
        <w:rPr>
          <w:rFonts w:hint="eastAsia" w:ascii="仿宋" w:hAnsi="仿宋" w:eastAsia="仿宋" w:cs="仿宋"/>
          <w:color w:val="auto"/>
          <w:sz w:val="24"/>
          <w:highlight w:val="none"/>
        </w:rPr>
      </w:pPr>
    </w:p>
    <w:p w14:paraId="568AB9D3">
      <w:pPr>
        <w:pageBreakBefore w:val="0"/>
        <w:tabs>
          <w:tab w:val="left" w:pos="720"/>
          <w:tab w:val="left" w:pos="900"/>
        </w:tabs>
        <w:kinsoku/>
        <w:wordWrap w:val="0"/>
        <w:overflowPunct/>
        <w:bidi w:val="0"/>
        <w:spacing w:line="360" w:lineRule="auto"/>
        <w:ind w:firstLine="4560" w:firstLineChars="1900"/>
        <w:rPr>
          <w:rFonts w:hint="eastAsia" w:ascii="仿宋" w:hAnsi="仿宋" w:eastAsia="仿宋" w:cs="仿宋"/>
          <w:color w:val="auto"/>
          <w:sz w:val="24"/>
          <w:highlight w:val="none"/>
        </w:rPr>
      </w:pPr>
    </w:p>
    <w:p w14:paraId="6EB93FB1">
      <w:pPr>
        <w:pageBreakBefore w:val="0"/>
        <w:tabs>
          <w:tab w:val="left" w:pos="720"/>
          <w:tab w:val="left" w:pos="900"/>
        </w:tabs>
        <w:kinsoku/>
        <w:wordWrap w:val="0"/>
        <w:overflowPunct/>
        <w:bidi w:val="0"/>
        <w:spacing w:line="360" w:lineRule="auto"/>
        <w:ind w:firstLine="4560" w:firstLineChars="1900"/>
        <w:rPr>
          <w:rFonts w:hint="eastAsia" w:ascii="仿宋" w:hAnsi="仿宋" w:eastAsia="仿宋" w:cs="仿宋"/>
          <w:color w:val="auto"/>
          <w:sz w:val="24"/>
          <w:highlight w:val="none"/>
        </w:rPr>
      </w:pPr>
    </w:p>
    <w:p w14:paraId="4456C1F1">
      <w:pPr>
        <w:pageBreakBefore w:val="0"/>
        <w:tabs>
          <w:tab w:val="left" w:pos="720"/>
          <w:tab w:val="left" w:pos="900"/>
        </w:tabs>
        <w:kinsoku/>
        <w:wordWrap w:val="0"/>
        <w:overflowPunct/>
        <w:bidi w:val="0"/>
        <w:spacing w:line="360" w:lineRule="auto"/>
        <w:rPr>
          <w:rFonts w:hint="eastAsia" w:ascii="仿宋" w:hAnsi="仿宋" w:eastAsia="仿宋" w:cs="仿宋"/>
          <w:color w:val="auto"/>
          <w:sz w:val="24"/>
          <w:highlight w:val="none"/>
        </w:rPr>
      </w:pPr>
    </w:p>
    <w:p w14:paraId="1FF7C057">
      <w:pPr>
        <w:pageBreakBefore w:val="0"/>
        <w:tabs>
          <w:tab w:val="left" w:pos="720"/>
          <w:tab w:val="left" w:pos="900"/>
        </w:tabs>
        <w:kinsoku/>
        <w:wordWrap w:val="0"/>
        <w:overflowPunct/>
        <w:bidi w:val="0"/>
        <w:spacing w:line="360" w:lineRule="auto"/>
        <w:ind w:firstLine="4560" w:firstLineChars="1900"/>
        <w:rPr>
          <w:rFonts w:hint="eastAsia" w:ascii="仿宋" w:hAnsi="仿宋" w:eastAsia="仿宋" w:cs="仿宋"/>
          <w:color w:val="auto"/>
          <w:sz w:val="24"/>
          <w:highlight w:val="none"/>
        </w:rPr>
      </w:pPr>
    </w:p>
    <w:p w14:paraId="2D12429E">
      <w:pPr>
        <w:pageBreakBefore w:val="0"/>
        <w:kinsoku/>
        <w:wordWrap w:val="0"/>
        <w:overflowPunct/>
        <w:bidi w:val="0"/>
        <w:spacing w:before="60" w:after="60" w:line="360" w:lineRule="auto"/>
        <w:rPr>
          <w:rFonts w:hint="eastAsia" w:ascii="仿宋" w:hAnsi="仿宋" w:eastAsia="仿宋" w:cs="仿宋"/>
          <w:color w:val="auto"/>
          <w:sz w:val="24"/>
          <w:highlight w:val="none"/>
        </w:rPr>
      </w:pPr>
    </w:p>
    <w:p w14:paraId="2A65DB53">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 xml:space="preserve">名称：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59A3BBF3">
      <w:pPr>
        <w:pageBreakBefore w:val="0"/>
        <w:tabs>
          <w:tab w:val="left" w:pos="720"/>
          <w:tab w:val="left" w:pos="900"/>
        </w:tabs>
        <w:kinsoku/>
        <w:wordWrap w:val="0"/>
        <w:overflowPunct/>
        <w:bidi w:val="0"/>
        <w:spacing w:line="360" w:lineRule="auto"/>
        <w:ind w:right="1124" w:firstLine="4252" w:firstLineChars="1772"/>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3B67BF2A">
      <w:pPr>
        <w:pageBreakBefore w:val="0"/>
        <w:tabs>
          <w:tab w:val="left" w:pos="720"/>
          <w:tab w:val="left" w:pos="900"/>
        </w:tabs>
        <w:kinsoku/>
        <w:wordWrap w:val="0"/>
        <w:overflowPunct/>
        <w:bidi w:val="0"/>
        <w:spacing w:line="360" w:lineRule="auto"/>
        <w:ind w:right="144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C77A529">
      <w:pPr>
        <w:pageBreakBefore w:val="0"/>
        <w:tabs>
          <w:tab w:val="left" w:pos="720"/>
          <w:tab w:val="left" w:pos="900"/>
        </w:tabs>
        <w:kinsoku/>
        <w:wordWrap w:val="0"/>
        <w:overflowPunct/>
        <w:bidi w:val="0"/>
        <w:spacing w:line="360" w:lineRule="auto"/>
        <w:ind w:right="1440" w:firstLine="480" w:firstLineChars="200"/>
        <w:rPr>
          <w:rFonts w:hint="eastAsia" w:ascii="仿宋" w:hAnsi="仿宋" w:eastAsia="仿宋" w:cs="仿宋"/>
          <w:color w:val="auto"/>
          <w:sz w:val="24"/>
          <w:highlight w:val="none"/>
        </w:rPr>
      </w:pPr>
    </w:p>
    <w:p w14:paraId="53D9224C">
      <w:pPr>
        <w:pageBreakBefore w:val="0"/>
        <w:tabs>
          <w:tab w:val="left" w:pos="720"/>
          <w:tab w:val="left" w:pos="900"/>
        </w:tabs>
        <w:kinsoku/>
        <w:wordWrap w:val="0"/>
        <w:overflowPunct/>
        <w:bidi w:val="0"/>
        <w:spacing w:line="360" w:lineRule="auto"/>
        <w:ind w:right="144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F594055">
      <w:pPr>
        <w:pageBreakBefore w:val="0"/>
        <w:kinsoku/>
        <w:wordWrap w:val="0"/>
        <w:bidi w:val="0"/>
        <w:spacing w:line="360" w:lineRule="auto"/>
        <w:jc w:val="center"/>
        <w:rPr>
          <w:rFonts w:hint="eastAsia" w:ascii="仿宋" w:hAnsi="仿宋" w:eastAsia="仿宋" w:cs="仿宋"/>
          <w:b/>
          <w:bCs/>
          <w:sz w:val="32"/>
          <w:szCs w:val="28"/>
          <w:highlight w:val="none"/>
          <w:lang w:val="en-US" w:eastAsia="zh-CN"/>
        </w:rPr>
      </w:pPr>
      <w:bookmarkStart w:id="265" w:name="_Toc14344"/>
      <w:r>
        <w:rPr>
          <w:rFonts w:hint="eastAsia" w:ascii="仿宋" w:hAnsi="仿宋" w:eastAsia="仿宋" w:cs="仿宋"/>
          <w:b/>
          <w:bCs/>
          <w:sz w:val="32"/>
          <w:szCs w:val="28"/>
          <w:highlight w:val="none"/>
          <w:lang w:val="en-US" w:eastAsia="zh-CN"/>
        </w:rPr>
        <w:t>（2）法定代表人授权委托书</w:t>
      </w:r>
      <w:bookmarkEnd w:id="265"/>
    </w:p>
    <w:p w14:paraId="522A038E">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p>
    <w:p w14:paraId="1E949511">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 xml:space="preserve">名称）的法定代表人，现授权委托我单位的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（姓名）为我公司代理人，以公司名义参加</w:t>
      </w:r>
      <w:r>
        <w:rPr>
          <w:rFonts w:hint="eastAsia" w:ascii="仿宋" w:hAnsi="仿宋" w:eastAsia="仿宋" w:cs="仿宋"/>
          <w:color w:val="auto"/>
          <w:sz w:val="24"/>
          <w:highlight w:val="none"/>
          <w:lang w:eastAsia="zh-CN"/>
        </w:rPr>
        <w:t>云南天越招标咨询有限公司</w:t>
      </w:r>
      <w:r>
        <w:rPr>
          <w:rFonts w:hint="eastAsia" w:ascii="仿宋" w:hAnsi="仿宋" w:eastAsia="仿宋" w:cs="仿宋"/>
          <w:color w:val="auto"/>
          <w:sz w:val="24"/>
          <w:highlight w:val="none"/>
        </w:rPr>
        <w:t>代理的</w:t>
      </w:r>
      <w:r>
        <w:rPr>
          <w:rFonts w:hint="eastAsia" w:ascii="仿宋" w:hAnsi="仿宋" w:eastAsia="仿宋" w:cs="仿宋"/>
          <w:b/>
          <w:bCs/>
          <w:color w:val="auto"/>
          <w:sz w:val="24"/>
          <w:highlight w:val="none"/>
          <w:u w:val="single"/>
        </w:rPr>
        <w:t>（项目名称）</w:t>
      </w:r>
      <w:r>
        <w:rPr>
          <w:rFonts w:hint="eastAsia" w:ascii="仿宋" w:hAnsi="仿宋" w:eastAsia="仿宋" w:cs="仿宋"/>
          <w:b/>
          <w:bCs/>
          <w:color w:val="auto"/>
          <w:sz w:val="24"/>
          <w:szCs w:val="36"/>
          <w:highlight w:val="none"/>
        </w:rPr>
        <w:t>（项目编号：</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b/>
          <w:bCs/>
          <w:color w:val="auto"/>
          <w:sz w:val="24"/>
          <w:szCs w:val="36"/>
          <w:highlight w:val="none"/>
        </w:rPr>
        <w:t>）</w:t>
      </w:r>
      <w:r>
        <w:rPr>
          <w:rFonts w:hint="eastAsia" w:ascii="仿宋" w:hAnsi="仿宋" w:eastAsia="仿宋" w:cs="仿宋"/>
          <w:color w:val="auto"/>
          <w:sz w:val="24"/>
          <w:highlight w:val="none"/>
        </w:rPr>
        <w:t>的投标活动。代理人在开标、评标、合同谈判过程中所签署的一切文件和处理与之有关的一切事务，我均予以承认。</w:t>
      </w:r>
    </w:p>
    <w:p w14:paraId="6106A36E">
      <w:pPr>
        <w:pageBreakBefore w:val="0"/>
        <w:kinsoku/>
        <w:wordWrap w:val="0"/>
        <w:overflowPunct/>
        <w:bidi w:val="0"/>
        <w:spacing w:before="156" w:beforeLines="5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代理人签名：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年龄：</w:t>
      </w:r>
      <w:r>
        <w:rPr>
          <w:rFonts w:hint="eastAsia" w:ascii="仿宋" w:hAnsi="仿宋" w:eastAsia="仿宋" w:cs="仿宋"/>
          <w:color w:val="auto"/>
          <w:sz w:val="24"/>
          <w:highlight w:val="none"/>
          <w:u w:val="single"/>
        </w:rPr>
        <w:t xml:space="preserve">     </w:t>
      </w:r>
    </w:p>
    <w:p w14:paraId="3A860AD4">
      <w:pPr>
        <w:pageBreakBefore w:val="0"/>
        <w:kinsoku/>
        <w:wordWrap w:val="0"/>
        <w:overflowPunct/>
        <w:bidi w:val="0"/>
        <w:spacing w:before="156" w:beforeLines="5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部      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 xml:space="preserve">       </w:t>
      </w:r>
    </w:p>
    <w:p w14:paraId="016E3470">
      <w:pPr>
        <w:pageBreakBefore w:val="0"/>
        <w:kinsoku/>
        <w:wordWrap w:val="0"/>
        <w:overflowPunct/>
        <w:bidi w:val="0"/>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代理人无转委权。特此委托。</w:t>
      </w:r>
    </w:p>
    <w:p w14:paraId="7742AAB1">
      <w:pPr>
        <w:pageBreakBefore w:val="0"/>
        <w:kinsoku/>
        <w:wordWrap w:val="0"/>
        <w:overflowPunct/>
        <w:bidi w:val="0"/>
        <w:spacing w:before="156" w:beforeLines="50" w:line="360" w:lineRule="auto"/>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（电子签章）</w:t>
      </w:r>
    </w:p>
    <w:p w14:paraId="77F84418">
      <w:pPr>
        <w:pageBreakBefore w:val="0"/>
        <w:kinsoku/>
        <w:wordWrap w:val="0"/>
        <w:overflowPunct/>
        <w:bidi w:val="0"/>
        <w:spacing w:before="156" w:beforeLines="50" w:line="360" w:lineRule="auto"/>
        <w:jc w:val="center"/>
        <w:rPr>
          <w:rFonts w:hint="eastAsia" w:ascii="仿宋" w:hAnsi="仿宋" w:eastAsia="仿宋" w:cs="仿宋"/>
          <w:color w:val="auto"/>
          <w:szCs w:val="20"/>
          <w:highlight w:val="none"/>
        </w:rPr>
      </w:pPr>
      <w:r>
        <w:rPr>
          <w:rFonts w:hint="eastAsia" w:ascii="仿宋" w:hAnsi="仿宋" w:eastAsia="仿宋" w:cs="仿宋"/>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3444875</wp:posOffset>
                </wp:positionH>
                <wp:positionV relativeFrom="paragraph">
                  <wp:posOffset>230505</wp:posOffset>
                </wp:positionV>
                <wp:extent cx="2832100" cy="1715135"/>
                <wp:effectExtent l="4445" t="4445" r="8255" b="7620"/>
                <wp:wrapNone/>
                <wp:docPr id="2"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832100" cy="1715135"/>
                        </a:xfrm>
                        <a:prstGeom prst="rect">
                          <a:avLst/>
                        </a:prstGeom>
                        <a:solidFill>
                          <a:srgbClr val="FFFFFF"/>
                        </a:solidFill>
                        <a:ln w="9525">
                          <a:solidFill>
                            <a:srgbClr val="000000"/>
                          </a:solidFill>
                          <a:miter lim="800000"/>
                        </a:ln>
                      </wps:spPr>
                      <wps:txbx>
                        <w:txbxContent>
                          <w:p w14:paraId="10C5ABC8">
                            <w:pPr>
                              <w:rPr>
                                <w:rFonts w:ascii="@Yu Mincho Light" w:hAnsi="@Yu Mincho Light"/>
                                <w:sz w:val="24"/>
                              </w:rPr>
                            </w:pPr>
                          </w:p>
                          <w:p w14:paraId="60E6FA5F">
                            <w:pPr>
                              <w:jc w:val="center"/>
                              <w:rPr>
                                <w:rFonts w:ascii="@Yu Mincho Light" w:hAnsi="@Yu Mincho Light"/>
                                <w:sz w:val="24"/>
                              </w:rPr>
                            </w:pPr>
                            <w:r>
                              <w:rPr>
                                <w:rFonts w:hint="eastAsia" w:ascii="仿宋" w:hAnsi="仿宋" w:eastAsia="仿宋" w:cs="仿宋"/>
                                <w:sz w:val="24"/>
                              </w:rPr>
                              <w:t>代理人身份证扫描件反面</w:t>
                            </w:r>
                          </w:p>
                        </w:txbxContent>
                      </wps:txbx>
                      <wps:bodyPr rot="0" vert="horz" wrap="square" anchor="t" anchorCtr="0" upright="1"/>
                    </wps:wsp>
                  </a:graphicData>
                </a:graphic>
              </wp:anchor>
            </w:drawing>
          </mc:Choice>
          <mc:Fallback>
            <w:pict>
              <v:shape id="文本框 4" o:spid="_x0000_s1026" o:spt="202" type="#_x0000_t202" style="position:absolute;left:0pt;margin-left:271.25pt;margin-top:18.15pt;height:135.05pt;width:223pt;z-index:251664384;mso-width-relative:page;mso-height-relative:page;" fillcolor="#FFFFFF" filled="t" stroked="t" coordsize="21600,21600" o:gfxdata="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6pQxY9kAAAAK&#10;AQAADwAAAAAAAAABACAAAAAiAAAAZHJzL2Rvd25yZXYueG1sUEsBAhQAFAAAAAgAh07iQA/5Mhkb&#10;AgAAOgQAAA4AAAAAAAAAAQAgAAAAKAEAAGRycy9lMm9Eb2MueG1sUEsFBgAAAAAGAAYAWQEAALUF&#10;AAAAAA==&#10;">
                <v:fill on="t" focussize="0,0"/>
                <v:stroke color="#000000" miterlimit="8" joinstyle="miter"/>
                <v:imagedata o:title=""/>
                <o:lock v:ext="edit" aspectratio="f"/>
                <v:textbox>
                  <w:txbxContent>
                    <w:p w14:paraId="10C5ABC8">
                      <w:pPr>
                        <w:rPr>
                          <w:rFonts w:ascii="@Yu Mincho Light" w:hAnsi="@Yu Mincho Light"/>
                          <w:sz w:val="24"/>
                        </w:rPr>
                      </w:pPr>
                    </w:p>
                    <w:p w14:paraId="60E6FA5F">
                      <w:pPr>
                        <w:jc w:val="center"/>
                        <w:rPr>
                          <w:rFonts w:ascii="@Yu Mincho Light" w:hAnsi="@Yu Mincho Light"/>
                          <w:sz w:val="24"/>
                        </w:rPr>
                      </w:pPr>
                      <w:r>
                        <w:rPr>
                          <w:rFonts w:hint="eastAsia" w:ascii="仿宋" w:hAnsi="仿宋" w:eastAsia="仿宋" w:cs="仿宋"/>
                          <w:sz w:val="24"/>
                        </w:rPr>
                        <w:t>代理人身份证扫描件反面</w:t>
                      </w:r>
                    </w:p>
                  </w:txbxContent>
                </v:textbox>
              </v:shape>
            </w:pict>
          </mc:Fallback>
        </mc:AlternateContent>
      </w:r>
    </w:p>
    <w:p w14:paraId="43468B0E">
      <w:pPr>
        <w:pageBreakBefore w:val="0"/>
        <w:kinsoku/>
        <w:wordWrap w:val="0"/>
        <w:overflowPunct/>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134620</wp:posOffset>
                </wp:positionH>
                <wp:positionV relativeFrom="paragraph">
                  <wp:posOffset>-165735</wp:posOffset>
                </wp:positionV>
                <wp:extent cx="2832100" cy="1715135"/>
                <wp:effectExtent l="4445" t="4445" r="8255" b="762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832100" cy="1715135"/>
                        </a:xfrm>
                        <a:prstGeom prst="rect">
                          <a:avLst/>
                        </a:prstGeom>
                        <a:solidFill>
                          <a:srgbClr val="FFFFFF"/>
                        </a:solidFill>
                        <a:ln w="9525">
                          <a:solidFill>
                            <a:srgbClr val="000000"/>
                          </a:solidFill>
                          <a:miter lim="800000"/>
                        </a:ln>
                      </wps:spPr>
                      <wps:txbx>
                        <w:txbxContent>
                          <w:p w14:paraId="5200F66A">
                            <w:pPr>
                              <w:rPr>
                                <w:rFonts w:ascii="@Yu Mincho Light" w:hAnsi="@Yu Mincho Light"/>
                                <w:sz w:val="24"/>
                              </w:rPr>
                            </w:pPr>
                          </w:p>
                          <w:p w14:paraId="0D837C43">
                            <w:pPr>
                              <w:jc w:val="center"/>
                              <w:rPr>
                                <w:rFonts w:ascii="仿宋" w:hAnsi="仿宋" w:eastAsia="仿宋" w:cs="仿宋"/>
                                <w:sz w:val="24"/>
                              </w:rPr>
                            </w:pPr>
                            <w:r>
                              <w:rPr>
                                <w:rFonts w:hint="eastAsia" w:ascii="仿宋" w:hAnsi="仿宋" w:eastAsia="仿宋" w:cs="仿宋"/>
                                <w:sz w:val="24"/>
                              </w:rPr>
                              <w:t>代理人身份证扫描件正面</w:t>
                            </w:r>
                          </w:p>
                        </w:txbxContent>
                      </wps:txbx>
                      <wps:bodyPr rot="0" vert="horz" wrap="square" anchor="t" anchorCtr="0" upright="1"/>
                    </wps:wsp>
                  </a:graphicData>
                </a:graphic>
              </wp:anchor>
            </w:drawing>
          </mc:Choice>
          <mc:Fallback>
            <w:pict>
              <v:shape id="文本框 4" o:spid="_x0000_s1026" o:spt="202" type="#_x0000_t202" style="position:absolute;left:0pt;margin-left:10.6pt;margin-top:-13.05pt;height:135.05pt;width:223pt;z-index:251663360;mso-width-relative:page;mso-height-relative:page;" fillcolor="#FFFFFF" filled="t" stroked="t" coordsize="21600,21600" o:gfxdata="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HgVYyLYAAAA&#10;CgEAAA8AAAAAAAAAAQAgAAAAIgAAAGRycy9kb3ducmV2LnhtbFBLAQIUABQAAAAIAIdO4kAMF2tw&#10;HQIAADoEAAAOAAAAAAAAAAEAIAAAACcBAABkcnMvZTJvRG9jLnhtbFBLBQYAAAAABgAGAFkBAAC2&#10;BQAAAAA=&#10;">
                <v:fill on="t" focussize="0,0"/>
                <v:stroke color="#000000" miterlimit="8" joinstyle="miter"/>
                <v:imagedata o:title=""/>
                <o:lock v:ext="edit" aspectratio="f"/>
                <v:textbox>
                  <w:txbxContent>
                    <w:p w14:paraId="5200F66A">
                      <w:pPr>
                        <w:rPr>
                          <w:rFonts w:ascii="@Yu Mincho Light" w:hAnsi="@Yu Mincho Light"/>
                          <w:sz w:val="24"/>
                        </w:rPr>
                      </w:pPr>
                    </w:p>
                    <w:p w14:paraId="0D837C43">
                      <w:pPr>
                        <w:jc w:val="center"/>
                        <w:rPr>
                          <w:rFonts w:ascii="仿宋" w:hAnsi="仿宋" w:eastAsia="仿宋" w:cs="仿宋"/>
                          <w:sz w:val="24"/>
                        </w:rPr>
                      </w:pPr>
                      <w:r>
                        <w:rPr>
                          <w:rFonts w:hint="eastAsia" w:ascii="仿宋" w:hAnsi="仿宋" w:eastAsia="仿宋" w:cs="仿宋"/>
                          <w:sz w:val="24"/>
                        </w:rPr>
                        <w:t>代理人身份证扫描件正面</w:t>
                      </w:r>
                    </w:p>
                  </w:txbxContent>
                </v:textbox>
              </v:shape>
            </w:pict>
          </mc:Fallback>
        </mc:AlternateContent>
      </w:r>
    </w:p>
    <w:p w14:paraId="0CD02462">
      <w:pPr>
        <w:pageBreakBefore w:val="0"/>
        <w:kinsoku/>
        <w:wordWrap w:val="0"/>
        <w:overflowPunct/>
        <w:bidi w:val="0"/>
        <w:spacing w:line="360" w:lineRule="auto"/>
        <w:rPr>
          <w:rFonts w:hint="eastAsia" w:ascii="仿宋" w:hAnsi="仿宋" w:eastAsia="仿宋" w:cs="仿宋"/>
          <w:color w:val="auto"/>
          <w:sz w:val="24"/>
          <w:highlight w:val="none"/>
        </w:rPr>
      </w:pPr>
    </w:p>
    <w:p w14:paraId="7D74989B">
      <w:pPr>
        <w:pageBreakBefore w:val="0"/>
        <w:kinsoku/>
        <w:wordWrap w:val="0"/>
        <w:overflowPunct/>
        <w:bidi w:val="0"/>
        <w:spacing w:line="360" w:lineRule="auto"/>
        <w:rPr>
          <w:rFonts w:hint="eastAsia" w:ascii="仿宋" w:hAnsi="仿宋" w:eastAsia="仿宋" w:cs="仿宋"/>
          <w:color w:val="auto"/>
          <w:sz w:val="24"/>
          <w:highlight w:val="none"/>
        </w:rPr>
      </w:pPr>
    </w:p>
    <w:p w14:paraId="1C5B4712">
      <w:pPr>
        <w:pageBreakBefore w:val="0"/>
        <w:kinsoku/>
        <w:wordWrap w:val="0"/>
        <w:overflowPunct/>
        <w:bidi w:val="0"/>
        <w:spacing w:line="360" w:lineRule="auto"/>
        <w:rPr>
          <w:rFonts w:hint="eastAsia" w:ascii="仿宋" w:hAnsi="仿宋" w:eastAsia="仿宋" w:cs="仿宋"/>
          <w:color w:val="auto"/>
          <w:sz w:val="24"/>
          <w:highlight w:val="none"/>
        </w:rPr>
      </w:pPr>
    </w:p>
    <w:p w14:paraId="4FD112F0">
      <w:pPr>
        <w:pageBreakBefore w:val="0"/>
        <w:kinsoku/>
        <w:wordWrap w:val="0"/>
        <w:overflowPunct/>
        <w:bidi w:val="0"/>
        <w:spacing w:line="360" w:lineRule="auto"/>
        <w:rPr>
          <w:rFonts w:hint="eastAsia" w:ascii="仿宋" w:hAnsi="仿宋" w:eastAsia="仿宋" w:cs="仿宋"/>
          <w:color w:val="auto"/>
          <w:sz w:val="24"/>
          <w:highlight w:val="none"/>
        </w:rPr>
      </w:pPr>
    </w:p>
    <w:p w14:paraId="48BA35D5">
      <w:pPr>
        <w:pageBreakBefore w:val="0"/>
        <w:kinsoku/>
        <w:wordWrap w:val="0"/>
        <w:overflowPunct/>
        <w:bidi w:val="0"/>
        <w:spacing w:line="360" w:lineRule="auto"/>
        <w:rPr>
          <w:rFonts w:hint="eastAsia" w:ascii="仿宋" w:hAnsi="仿宋" w:eastAsia="仿宋" w:cs="仿宋"/>
          <w:color w:val="auto"/>
          <w:sz w:val="24"/>
          <w:highlight w:val="none"/>
        </w:rPr>
      </w:pPr>
    </w:p>
    <w:p w14:paraId="0AEF1070">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bookmarkStart w:id="266" w:name="_Toc3969347"/>
    </w:p>
    <w:p w14:paraId="167EE978">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p>
    <w:p w14:paraId="47FAA419">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 xml:space="preserve">名称：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B9344BD">
      <w:pPr>
        <w:pageBreakBefore w:val="0"/>
        <w:tabs>
          <w:tab w:val="left" w:pos="720"/>
          <w:tab w:val="left" w:pos="900"/>
        </w:tabs>
        <w:kinsoku/>
        <w:wordWrap w:val="0"/>
        <w:overflowPunct/>
        <w:bidi w:val="0"/>
        <w:spacing w:line="360" w:lineRule="auto"/>
        <w:ind w:right="1124" w:firstLine="4252" w:firstLineChars="1772"/>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6D5B280C">
      <w:pPr>
        <w:pageBreakBefore w:val="0"/>
        <w:kinsoku/>
        <w:wordWrap w:val="0"/>
        <w:overflowPunct/>
        <w:bidi w:val="0"/>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4A39244">
      <w:pPr>
        <w:pageBreakBefore w:val="0"/>
        <w:kinsoku/>
        <w:wordWrap w:val="0"/>
        <w:overflowPunct/>
        <w:bidi w:val="0"/>
        <w:ind w:firstLine="480" w:firstLineChars="200"/>
        <w:rPr>
          <w:rFonts w:hint="eastAsia" w:ascii="仿宋" w:hAnsi="仿宋" w:eastAsia="仿宋" w:cs="仿宋"/>
          <w:color w:val="auto"/>
          <w:sz w:val="24"/>
          <w:highlight w:val="none"/>
        </w:rPr>
      </w:pPr>
    </w:p>
    <w:p w14:paraId="5E139B86">
      <w:pPr>
        <w:pageBreakBefore w:val="0"/>
        <w:kinsoku/>
        <w:wordWrap w:val="0"/>
        <w:overflowPunct/>
        <w:bidi w:val="0"/>
        <w:ind w:firstLine="480" w:firstLineChars="200"/>
        <w:rPr>
          <w:rFonts w:hint="eastAsia" w:ascii="仿宋" w:hAnsi="仿宋" w:eastAsia="仿宋" w:cs="仿宋"/>
          <w:color w:val="auto"/>
          <w:sz w:val="24"/>
          <w:highlight w:val="none"/>
        </w:rPr>
      </w:pPr>
    </w:p>
    <w:p w14:paraId="4485119B">
      <w:pPr>
        <w:keepNext w:val="0"/>
        <w:keepLines w:val="0"/>
        <w:pageBreakBefore w:val="0"/>
        <w:widowControl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kern w:val="2"/>
          <w:sz w:val="24"/>
          <w:szCs w:val="24"/>
          <w:highlight w:val="none"/>
        </w:rPr>
      </w:pPr>
    </w:p>
    <w:p w14:paraId="78CD5EBD">
      <w:pPr>
        <w:pageBreakBefore w:val="0"/>
        <w:kinsoku/>
        <w:wordWrap w:val="0"/>
        <w:overflowPunct/>
        <w:bidi w:val="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266"/>
    <w:p w14:paraId="68AE77BD">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267" w:name="_Toc26377"/>
      <w:bookmarkStart w:id="268" w:name="_Toc3969348"/>
      <w:bookmarkStart w:id="269" w:name="_Toc25163"/>
      <w:r>
        <w:rPr>
          <w:rFonts w:hint="eastAsia" w:ascii="仿宋" w:hAnsi="仿宋" w:eastAsia="仿宋" w:cs="仿宋"/>
          <w:b/>
          <w:bCs/>
          <w:color w:val="000000"/>
          <w:kern w:val="0"/>
          <w:sz w:val="28"/>
          <w:szCs w:val="28"/>
          <w:highlight w:val="none"/>
          <w:lang w:val="en-US" w:eastAsia="zh-CN" w:bidi="ar-SA"/>
        </w:rPr>
        <w:t>（五）商务响应偏离表</w:t>
      </w:r>
      <w:bookmarkEnd w:id="267"/>
    </w:p>
    <w:p w14:paraId="22C33CB7">
      <w:pPr>
        <w:pageBreakBefore w:val="0"/>
        <w:kinsoku/>
        <w:wordWrap w:val="0"/>
        <w:overflowPunct/>
        <w:bidi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1843BF4F">
      <w:pPr>
        <w:pageBreakBefore w:val="0"/>
        <w:kinsoku/>
        <w:wordWrap w:val="0"/>
        <w:overflowPunct/>
        <w:bidi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tbl>
      <w:tblPr>
        <w:tblStyle w:val="22"/>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136"/>
        <w:gridCol w:w="2126"/>
        <w:gridCol w:w="2267"/>
        <w:gridCol w:w="1417"/>
        <w:gridCol w:w="2198"/>
      </w:tblGrid>
      <w:tr w14:paraId="308A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18" w:type="dxa"/>
            <w:vAlign w:val="center"/>
          </w:tcPr>
          <w:p w14:paraId="5E391A00">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136" w:type="dxa"/>
            <w:vAlign w:val="center"/>
          </w:tcPr>
          <w:p w14:paraId="684CACF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2126" w:type="dxa"/>
            <w:vAlign w:val="center"/>
          </w:tcPr>
          <w:p w14:paraId="613535C7">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267" w:type="dxa"/>
            <w:vAlign w:val="center"/>
          </w:tcPr>
          <w:p w14:paraId="0F5AAE0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投标文件响应</w:t>
            </w:r>
          </w:p>
        </w:tc>
        <w:tc>
          <w:tcPr>
            <w:tcW w:w="1417" w:type="dxa"/>
            <w:vAlign w:val="center"/>
          </w:tcPr>
          <w:p w14:paraId="1C9C6AA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偏离情况</w:t>
            </w:r>
          </w:p>
        </w:tc>
        <w:tc>
          <w:tcPr>
            <w:tcW w:w="2198" w:type="dxa"/>
            <w:vAlign w:val="center"/>
          </w:tcPr>
          <w:p w14:paraId="7E3D109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tc>
      </w:tr>
      <w:tr w14:paraId="13D4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18" w:type="dxa"/>
            <w:vAlign w:val="center"/>
          </w:tcPr>
          <w:p w14:paraId="29D7293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36" w:type="dxa"/>
            <w:vAlign w:val="center"/>
          </w:tcPr>
          <w:p w14:paraId="77E844A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6" w:type="dxa"/>
            <w:vAlign w:val="center"/>
          </w:tcPr>
          <w:p w14:paraId="7600582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67" w:type="dxa"/>
            <w:vAlign w:val="center"/>
          </w:tcPr>
          <w:p w14:paraId="42865F5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17" w:type="dxa"/>
            <w:vAlign w:val="center"/>
          </w:tcPr>
          <w:p w14:paraId="63F154FF">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8" w:type="dxa"/>
            <w:vAlign w:val="center"/>
          </w:tcPr>
          <w:p w14:paraId="2A940F94">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2B9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18" w:type="dxa"/>
            <w:vAlign w:val="center"/>
          </w:tcPr>
          <w:p w14:paraId="783FECA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36" w:type="dxa"/>
            <w:vAlign w:val="center"/>
          </w:tcPr>
          <w:p w14:paraId="6F9586A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6" w:type="dxa"/>
            <w:vAlign w:val="center"/>
          </w:tcPr>
          <w:p w14:paraId="0CDBC6C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67" w:type="dxa"/>
            <w:vAlign w:val="center"/>
          </w:tcPr>
          <w:p w14:paraId="7D90F01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17" w:type="dxa"/>
            <w:vAlign w:val="center"/>
          </w:tcPr>
          <w:p w14:paraId="53FC5570">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8" w:type="dxa"/>
            <w:vAlign w:val="center"/>
          </w:tcPr>
          <w:p w14:paraId="157BE152">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F9C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18" w:type="dxa"/>
            <w:vAlign w:val="center"/>
          </w:tcPr>
          <w:p w14:paraId="40C097F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36" w:type="dxa"/>
            <w:vAlign w:val="center"/>
          </w:tcPr>
          <w:p w14:paraId="38A9431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6" w:type="dxa"/>
            <w:vAlign w:val="center"/>
          </w:tcPr>
          <w:p w14:paraId="1B261B6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67" w:type="dxa"/>
            <w:vAlign w:val="center"/>
          </w:tcPr>
          <w:p w14:paraId="4787E41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17" w:type="dxa"/>
            <w:vAlign w:val="center"/>
          </w:tcPr>
          <w:p w14:paraId="3F34561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8" w:type="dxa"/>
            <w:vAlign w:val="center"/>
          </w:tcPr>
          <w:p w14:paraId="6AD8FA0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290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18" w:type="dxa"/>
            <w:vAlign w:val="center"/>
          </w:tcPr>
          <w:p w14:paraId="6F9BFAC9">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36" w:type="dxa"/>
            <w:vAlign w:val="center"/>
          </w:tcPr>
          <w:p w14:paraId="01909A93">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6" w:type="dxa"/>
            <w:vAlign w:val="center"/>
          </w:tcPr>
          <w:p w14:paraId="24400E56">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67" w:type="dxa"/>
            <w:vAlign w:val="center"/>
          </w:tcPr>
          <w:p w14:paraId="4119262D">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17" w:type="dxa"/>
            <w:vAlign w:val="center"/>
          </w:tcPr>
          <w:p w14:paraId="2F79D4E2">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8" w:type="dxa"/>
            <w:vAlign w:val="center"/>
          </w:tcPr>
          <w:p w14:paraId="428E30E5">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658E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18" w:type="dxa"/>
            <w:vAlign w:val="center"/>
          </w:tcPr>
          <w:p w14:paraId="3C60DECE">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36" w:type="dxa"/>
            <w:vAlign w:val="center"/>
          </w:tcPr>
          <w:p w14:paraId="7CA2C9D7">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6" w:type="dxa"/>
            <w:vAlign w:val="center"/>
          </w:tcPr>
          <w:p w14:paraId="4108FE38">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267" w:type="dxa"/>
            <w:vAlign w:val="center"/>
          </w:tcPr>
          <w:p w14:paraId="44F01A2B">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17" w:type="dxa"/>
            <w:vAlign w:val="center"/>
          </w:tcPr>
          <w:p w14:paraId="2781982A">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8" w:type="dxa"/>
            <w:vAlign w:val="center"/>
          </w:tcPr>
          <w:p w14:paraId="6D4C28A2">
            <w:pPr>
              <w:keepNext w:val="0"/>
              <w:keepLines w:val="0"/>
              <w:pageBreakBefore w:val="0"/>
              <w:suppressLineNumbers w:val="0"/>
              <w:kinsoku/>
              <w:wordWrap w:val="0"/>
              <w:overflowPunct/>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bl>
    <w:p w14:paraId="5023B7AC">
      <w:pPr>
        <w:pageBreakBefore w:val="0"/>
        <w:kinsoku/>
        <w:wordWrap w:val="0"/>
        <w:overflowPunct/>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5DD6C5FC">
      <w:pPr>
        <w:pageBreakBefore w:val="0"/>
        <w:kinsoku/>
        <w:wordWrap w:val="0"/>
        <w:overflowPunct/>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（1）商务条款指：招标文件中对</w:t>
      </w:r>
      <w:r>
        <w:rPr>
          <w:rFonts w:hint="eastAsia" w:ascii="仿宋" w:hAnsi="仿宋" w:eastAsia="仿宋" w:cs="仿宋"/>
          <w:b/>
          <w:bCs/>
          <w:color w:val="auto"/>
          <w:sz w:val="24"/>
          <w:szCs w:val="24"/>
          <w:highlight w:val="none"/>
          <w:lang w:val="en-US" w:eastAsia="zh-CN"/>
        </w:rPr>
        <w:t>质量要求</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合同履行期限</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交货地点、质保期</w:t>
      </w:r>
      <w:r>
        <w:rPr>
          <w:rFonts w:hint="eastAsia" w:ascii="仿宋" w:hAnsi="仿宋" w:eastAsia="仿宋" w:cs="仿宋"/>
          <w:b/>
          <w:bCs/>
          <w:color w:val="auto"/>
          <w:sz w:val="24"/>
          <w:szCs w:val="24"/>
          <w:highlight w:val="none"/>
        </w:rPr>
        <w:t>、履约保证金、支付方式等内容，</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应仔细阅读招标文件中的各项商务要求，若由于</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的疏忽大意或未能完整、如实填写，视为</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全部满足。</w:t>
      </w:r>
    </w:p>
    <w:p w14:paraId="219E8E07">
      <w:pPr>
        <w:pageBreakBefore w:val="0"/>
        <w:kinsoku/>
        <w:wordWrap w:val="0"/>
        <w:overflowPunct/>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（2）“偏离情况”请如实填写：“有偏离”并填写说明。</w:t>
      </w:r>
    </w:p>
    <w:p w14:paraId="123543F4">
      <w:pPr>
        <w:pageBreakBefore w:val="0"/>
        <w:kinsoku/>
        <w:wordWrap w:val="0"/>
        <w:overflowPunct/>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（3）本表只需填写“有偏离”的情况，如</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能够响应招标文件的全部商务条款，则无需填写本表。</w:t>
      </w:r>
    </w:p>
    <w:p w14:paraId="3B47994F">
      <w:pPr>
        <w:pStyle w:val="2"/>
        <w:rPr>
          <w:rFonts w:hint="eastAsia" w:ascii="仿宋" w:hAnsi="仿宋" w:eastAsia="仿宋" w:cs="仿宋"/>
          <w:color w:val="000000" w:themeColor="text1"/>
          <w:szCs w:val="21"/>
          <w:highlight w:val="none"/>
          <w14:textFill>
            <w14:solidFill>
              <w14:schemeClr w14:val="tx1"/>
            </w14:solidFill>
          </w14:textFill>
        </w:rPr>
      </w:pPr>
    </w:p>
    <w:p w14:paraId="7980B2DC">
      <w:pPr>
        <w:pStyle w:val="2"/>
        <w:rPr>
          <w:rFonts w:hint="eastAsia" w:ascii="仿宋" w:hAnsi="仿宋" w:eastAsia="仿宋" w:cs="仿宋"/>
          <w:color w:val="000000" w:themeColor="text1"/>
          <w:szCs w:val="21"/>
          <w:highlight w:val="none"/>
          <w14:textFill>
            <w14:solidFill>
              <w14:schemeClr w14:val="tx1"/>
            </w14:solidFill>
          </w14:textFill>
        </w:rPr>
      </w:pPr>
    </w:p>
    <w:p w14:paraId="038266E8">
      <w:pPr>
        <w:pStyle w:val="2"/>
        <w:rPr>
          <w:rFonts w:hint="eastAsia" w:ascii="仿宋" w:hAnsi="仿宋" w:eastAsia="仿宋" w:cs="仿宋"/>
          <w:color w:val="000000" w:themeColor="text1"/>
          <w:szCs w:val="21"/>
          <w:highlight w:val="none"/>
          <w14:textFill>
            <w14:solidFill>
              <w14:schemeClr w14:val="tx1"/>
            </w14:solidFill>
          </w14:textFill>
        </w:rPr>
      </w:pPr>
    </w:p>
    <w:p w14:paraId="6A9CD8F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4FFBE71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42713C0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0ADCA69">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p>
    <w:p w14:paraId="28D9FA9A">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r>
        <w:rPr>
          <w:rFonts w:hint="eastAsia" w:ascii="仿宋" w:hAnsi="仿宋" w:eastAsia="仿宋" w:cs="仿宋"/>
          <w:b/>
          <w:bCs/>
          <w:color w:val="000000"/>
          <w:kern w:val="0"/>
          <w:sz w:val="28"/>
          <w:szCs w:val="28"/>
          <w:highlight w:val="none"/>
          <w:lang w:val="en-US" w:eastAsia="zh-CN" w:bidi="ar-SA"/>
        </w:rPr>
        <w:t>（六）投标人廉政承诺</w:t>
      </w:r>
      <w:bookmarkEnd w:id="268"/>
      <w:bookmarkEnd w:id="269"/>
    </w:p>
    <w:p w14:paraId="0DBEEAE4">
      <w:pPr>
        <w:pageBreakBefore w:val="0"/>
        <w:kinsoku/>
        <w:wordWrap w:val="0"/>
        <w:overflowPunct/>
        <w:bidi w:val="0"/>
        <w:spacing w:line="360" w:lineRule="auto"/>
        <w:rPr>
          <w:rFonts w:hint="eastAsia" w:ascii="仿宋" w:hAnsi="仿宋" w:eastAsia="仿宋" w:cs="仿宋"/>
          <w:color w:val="auto"/>
          <w:highlight w:val="none"/>
        </w:rPr>
      </w:pPr>
    </w:p>
    <w:p w14:paraId="2F8E2274">
      <w:pPr>
        <w:pageBreakBefore w:val="0"/>
        <w:kinsoku/>
        <w:wordWrap w:val="0"/>
        <w:overflowPunct/>
        <w:bidi w:val="0"/>
        <w:spacing w:before="60" w:after="6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lang w:eastAsia="zh-CN"/>
        </w:rPr>
        <w:t>普洱市融媒体中心</w:t>
      </w:r>
    </w:p>
    <w:p w14:paraId="199BD6F2">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本单位（或公司）参与 </w:t>
      </w:r>
      <w:r>
        <w:rPr>
          <w:rFonts w:hint="eastAsia" w:ascii="仿宋" w:hAnsi="仿宋" w:eastAsia="仿宋" w:cs="仿宋"/>
          <w:b/>
          <w:bCs/>
          <w:color w:val="auto"/>
          <w:sz w:val="24"/>
          <w:highlight w:val="none"/>
          <w:u w:val="single"/>
        </w:rPr>
        <w:t>（项目名称）</w:t>
      </w:r>
      <w:r>
        <w:rPr>
          <w:rFonts w:hint="eastAsia" w:ascii="仿宋" w:hAnsi="仿宋" w:eastAsia="仿宋" w:cs="仿宋"/>
          <w:b/>
          <w:bCs/>
          <w:color w:val="auto"/>
          <w:sz w:val="24"/>
          <w:szCs w:val="36"/>
          <w:highlight w:val="none"/>
        </w:rPr>
        <w:t>（项目编号：</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b/>
          <w:bCs/>
          <w:color w:val="auto"/>
          <w:sz w:val="24"/>
          <w:szCs w:val="36"/>
          <w:highlight w:val="none"/>
        </w:rPr>
        <w:t>）</w:t>
      </w:r>
      <w:r>
        <w:rPr>
          <w:rFonts w:hint="eastAsia" w:ascii="仿宋" w:hAnsi="仿宋" w:eastAsia="仿宋" w:cs="仿宋"/>
          <w:color w:val="auto"/>
          <w:sz w:val="24"/>
          <w:highlight w:val="none"/>
        </w:rPr>
        <w:t>的投标，现作如下承诺：</w:t>
      </w:r>
    </w:p>
    <w:p w14:paraId="170F7760">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1、我公司参与此次投标活动所提交的所有资料都是合法、真实、有效的。</w:t>
      </w:r>
    </w:p>
    <w:p w14:paraId="3480B3AA">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2、不与其他</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串通投标、围标，依法、依规公平竞争，不损害采购人或其他</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的合法权益。</w:t>
      </w:r>
    </w:p>
    <w:p w14:paraId="5979733C">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3、不转让、出租、出借资质证书、人员岗位证书，不以法律法规禁止的方式投标。</w:t>
      </w:r>
    </w:p>
    <w:p w14:paraId="6932B74A">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4、不与采购人或采购代理机构串通投标，不损害国家利益、社会公共利益或其他当事人的合法权益。</w:t>
      </w:r>
    </w:p>
    <w:p w14:paraId="2B7473C8">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5、不向采购人、评标委员会成员、监督人员行贿。</w:t>
      </w:r>
    </w:p>
    <w:p w14:paraId="327200EE">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6、不扰乱交易活动正常秩序。</w:t>
      </w:r>
    </w:p>
    <w:p w14:paraId="6C7620C3">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7、不进行虚假恶意投诉。</w:t>
      </w:r>
    </w:p>
    <w:p w14:paraId="730D627D">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8、因违反法律法规或相关规定被查处的，不干预案件查处。</w:t>
      </w:r>
    </w:p>
    <w:p w14:paraId="41FB26FF">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如出现违法、违规或不良行为，甘愿接受相关部门调查处理。违法、违规或不良行为事实成立的，本</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不再要求退还投标时所提交的投标保证金，并承担相关责任。给采购人造成损失的，依法承担赔偿责任。</w:t>
      </w:r>
    </w:p>
    <w:p w14:paraId="7DFD0E30">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1E22F316">
      <w:pPr>
        <w:pageBreakBefore w:val="0"/>
        <w:kinsoku/>
        <w:wordWrap w:val="0"/>
        <w:overflowPunct/>
        <w:bidi w:val="0"/>
        <w:spacing w:line="360" w:lineRule="auto"/>
        <w:rPr>
          <w:rFonts w:hint="eastAsia" w:ascii="仿宋" w:hAnsi="仿宋" w:eastAsia="仿宋" w:cs="仿宋"/>
          <w:color w:val="auto"/>
          <w:sz w:val="24"/>
          <w:highlight w:val="none"/>
        </w:rPr>
      </w:pPr>
    </w:p>
    <w:p w14:paraId="1D06F0F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4C10AB1C">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357C587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547EE21">
      <w:pPr>
        <w:keepNext w:val="0"/>
        <w:keepLines w:val="0"/>
        <w:pageBreakBefore w:val="0"/>
        <w:widowControl w:val="0"/>
        <w:suppressLineNumbers w:val="0"/>
        <w:kinsoku/>
        <w:wordWrap w:val="0"/>
        <w:overflowPunct/>
        <w:bidi w:val="0"/>
        <w:spacing w:before="0" w:beforeAutospacing="0" w:after="0" w:afterAutospacing="0"/>
        <w:ind w:left="0" w:right="0"/>
        <w:jc w:val="both"/>
        <w:rPr>
          <w:rFonts w:hint="eastAsia" w:ascii="仿宋" w:hAnsi="仿宋" w:eastAsia="仿宋" w:cs="仿宋"/>
          <w:b/>
          <w:bCs w:val="0"/>
          <w:color w:val="auto"/>
          <w:kern w:val="2"/>
          <w:sz w:val="24"/>
          <w:szCs w:val="24"/>
          <w:highlight w:val="none"/>
          <w:lang w:val="en-US" w:eastAsia="zh-CN" w:bidi="ar"/>
        </w:rPr>
      </w:pPr>
    </w:p>
    <w:p w14:paraId="3EBD2A12">
      <w:pPr>
        <w:keepNext w:val="0"/>
        <w:keepLines w:val="0"/>
        <w:pageBreakBefore w:val="0"/>
        <w:widowControl w:val="0"/>
        <w:suppressLineNumbers w:val="0"/>
        <w:kinsoku/>
        <w:wordWrap w:val="0"/>
        <w:overflowPunct/>
        <w:bidi w:val="0"/>
        <w:spacing w:before="0" w:beforeAutospacing="0" w:after="0" w:afterAutospacing="0"/>
        <w:ind w:left="0" w:right="0"/>
        <w:jc w:val="both"/>
        <w:rPr>
          <w:rFonts w:hint="eastAsia" w:ascii="仿宋" w:hAnsi="仿宋" w:eastAsia="仿宋" w:cs="仿宋"/>
          <w:b/>
          <w:bCs w:val="0"/>
          <w:color w:val="auto"/>
          <w:kern w:val="2"/>
          <w:sz w:val="24"/>
          <w:szCs w:val="24"/>
          <w:highlight w:val="none"/>
          <w:lang w:val="en-US" w:eastAsia="zh-CN" w:bidi="ar"/>
        </w:rPr>
      </w:pPr>
    </w:p>
    <w:p w14:paraId="393F2793">
      <w:pPr>
        <w:keepNext w:val="0"/>
        <w:keepLines w:val="0"/>
        <w:pageBreakBefore w:val="0"/>
        <w:widowControl w:val="0"/>
        <w:suppressLineNumbers w:val="0"/>
        <w:kinsoku/>
        <w:wordWrap w:val="0"/>
        <w:overflowPunct/>
        <w:bidi w:val="0"/>
        <w:spacing w:before="0" w:beforeAutospacing="0" w:after="0" w:afterAutospacing="0"/>
        <w:ind w:left="0" w:right="0"/>
        <w:jc w:val="both"/>
        <w:rPr>
          <w:rFonts w:hint="eastAsia" w:ascii="仿宋" w:hAnsi="仿宋" w:eastAsia="仿宋" w:cs="仿宋"/>
          <w:b/>
          <w:bCs w:val="0"/>
          <w:color w:val="auto"/>
          <w:kern w:val="2"/>
          <w:sz w:val="24"/>
          <w:szCs w:val="24"/>
          <w:highlight w:val="none"/>
          <w:lang w:val="en-US" w:eastAsia="zh-CN" w:bidi="ar"/>
        </w:rPr>
      </w:pPr>
    </w:p>
    <w:p w14:paraId="673F99BB">
      <w:pPr>
        <w:pageBreakBefore w:val="0"/>
        <w:kinsoku/>
        <w:wordWrap w:val="0"/>
        <w:overflowPunct/>
        <w:bidi w:val="0"/>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br w:type="page"/>
      </w:r>
    </w:p>
    <w:p w14:paraId="02E6ECE5">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270" w:name="_Toc2723"/>
      <w:r>
        <w:rPr>
          <w:rFonts w:hint="eastAsia" w:ascii="仿宋" w:hAnsi="仿宋" w:eastAsia="仿宋" w:cs="仿宋"/>
          <w:b/>
          <w:bCs/>
          <w:color w:val="000000"/>
          <w:kern w:val="0"/>
          <w:sz w:val="28"/>
          <w:szCs w:val="28"/>
          <w:highlight w:val="none"/>
          <w:lang w:val="en-US" w:eastAsia="zh-CN" w:bidi="ar-SA"/>
        </w:rPr>
        <w:t>（七）保密承诺</w:t>
      </w:r>
      <w:bookmarkEnd w:id="270"/>
    </w:p>
    <w:p w14:paraId="11F33410">
      <w:pPr>
        <w:pageBreakBefore w:val="0"/>
        <w:kinsoku/>
        <w:wordWrap w:val="0"/>
        <w:overflowPunct/>
        <w:bidi w:val="0"/>
        <w:rPr>
          <w:rFonts w:hint="eastAsia" w:ascii="仿宋" w:hAnsi="仿宋" w:eastAsia="仿宋" w:cs="仿宋"/>
          <w:color w:val="auto"/>
          <w:highlight w:val="none"/>
        </w:rPr>
      </w:pPr>
    </w:p>
    <w:p w14:paraId="759F172A">
      <w:pPr>
        <w:pageBreakBefore w:val="0"/>
        <w:kinsoku/>
        <w:wordWrap w:val="0"/>
        <w:overflowPunct/>
        <w:bidi w:val="0"/>
        <w:spacing w:before="60" w:after="6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lang w:eastAsia="zh-CN"/>
        </w:rPr>
        <w:t>普洱市融媒体中心</w:t>
      </w:r>
      <w:r>
        <w:rPr>
          <w:rFonts w:hint="eastAsia" w:ascii="仿宋" w:hAnsi="仿宋" w:eastAsia="仿宋" w:cs="仿宋"/>
          <w:color w:val="auto"/>
          <w:sz w:val="24"/>
          <w:highlight w:val="none"/>
        </w:rPr>
        <w:t xml:space="preserve"> </w:t>
      </w:r>
    </w:p>
    <w:p w14:paraId="2EF5FC87">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鉴于</w:t>
      </w:r>
      <w:r>
        <w:rPr>
          <w:rFonts w:hint="eastAsia" w:ascii="仿宋" w:hAnsi="仿宋" w:eastAsia="仿宋" w:cs="仿宋"/>
          <w:b/>
          <w:bCs/>
          <w:color w:val="auto"/>
          <w:sz w:val="24"/>
          <w:highlight w:val="none"/>
          <w:u w:val="single"/>
        </w:rPr>
        <w:t>（项目名称）</w:t>
      </w:r>
      <w:r>
        <w:rPr>
          <w:rFonts w:hint="eastAsia" w:ascii="仿宋" w:hAnsi="仿宋" w:eastAsia="仿宋" w:cs="仿宋"/>
          <w:b/>
          <w:bCs/>
          <w:color w:val="auto"/>
          <w:sz w:val="24"/>
          <w:szCs w:val="36"/>
          <w:highlight w:val="none"/>
        </w:rPr>
        <w:t>（项目编号：</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b/>
          <w:bCs/>
          <w:color w:val="auto"/>
          <w:sz w:val="24"/>
          <w:szCs w:val="36"/>
          <w:highlight w:val="none"/>
        </w:rPr>
        <w:t>）</w:t>
      </w:r>
      <w:r>
        <w:rPr>
          <w:rFonts w:hint="eastAsia" w:ascii="仿宋" w:hAnsi="仿宋" w:eastAsia="仿宋" w:cs="仿宋"/>
          <w:color w:val="auto"/>
          <w:sz w:val="24"/>
          <w:highlight w:val="none"/>
        </w:rPr>
        <w:t>招投标过程中，涉及贵单位的商业或技术秘密，为保证秘密不致外泄，我方做出以下保密承诺：</w:t>
      </w:r>
    </w:p>
    <w:p w14:paraId="4114FEF9">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　　1、此</w:t>
      </w:r>
      <w:r>
        <w:rPr>
          <w:rFonts w:hint="eastAsia" w:ascii="仿宋" w:hAnsi="仿宋" w:eastAsia="仿宋" w:cs="仿宋"/>
          <w:strike w:val="0"/>
          <w:color w:val="auto"/>
          <w:sz w:val="24"/>
          <w:highlight w:val="none"/>
          <w:lang w:eastAsia="zh-CN"/>
        </w:rPr>
        <w:t>处</w:t>
      </w:r>
      <w:r>
        <w:rPr>
          <w:rFonts w:hint="eastAsia" w:ascii="仿宋" w:hAnsi="仿宋" w:eastAsia="仿宋" w:cs="仿宋"/>
          <w:color w:val="auto"/>
          <w:sz w:val="24"/>
          <w:highlight w:val="none"/>
        </w:rPr>
        <w:t>所述及的保密信息是指我方在投标过程中直接或间接获得的所有商业或技术信息（包括口头、书面信息及资料）。</w:t>
      </w:r>
    </w:p>
    <w:p w14:paraId="3A2D53BA">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　　2、我方获得的保密信息只用于本次招标工作，绝不用于其</w:t>
      </w:r>
      <w:r>
        <w:rPr>
          <w:rFonts w:hint="eastAsia" w:ascii="仿宋" w:hAnsi="仿宋" w:eastAsia="仿宋" w:cs="仿宋"/>
          <w:strike w:val="0"/>
          <w:dstrike w:val="0"/>
          <w:color w:val="auto"/>
          <w:sz w:val="24"/>
          <w:highlight w:val="none"/>
          <w:lang w:eastAsia="zh-CN"/>
        </w:rPr>
        <w:t>他</w:t>
      </w:r>
      <w:r>
        <w:rPr>
          <w:rFonts w:hint="eastAsia" w:ascii="仿宋" w:hAnsi="仿宋" w:eastAsia="仿宋" w:cs="仿宋"/>
          <w:color w:val="auto"/>
          <w:sz w:val="24"/>
          <w:highlight w:val="none"/>
        </w:rPr>
        <w:t>用途。</w:t>
      </w:r>
    </w:p>
    <w:p w14:paraId="772655EB">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　　3、我方将对从贵单位处得到的信息进行保密管理，采取措施防止信息的全部或任一部分泄露给第三方。</w:t>
      </w:r>
    </w:p>
    <w:p w14:paraId="3F5F4394">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　　4、我方采取严格措施防止与本次投标工作无关的我方人员接触保密信息，防止其泄露信息，如果发生泄密，我方承担一切相关责</w:t>
      </w:r>
      <w:r>
        <w:rPr>
          <w:rFonts w:hint="eastAsia" w:ascii="仿宋" w:hAnsi="仿宋" w:eastAsia="仿宋" w:cs="仿宋"/>
          <w:strike w:val="0"/>
          <w:color w:val="auto"/>
          <w:sz w:val="24"/>
          <w:highlight w:val="none"/>
          <w:lang w:eastAsia="zh-CN"/>
        </w:rPr>
        <w:t>任</w:t>
      </w:r>
      <w:r>
        <w:rPr>
          <w:rFonts w:hint="eastAsia" w:ascii="仿宋" w:hAnsi="仿宋" w:eastAsia="仿宋" w:cs="仿宋"/>
          <w:color w:val="auto"/>
          <w:sz w:val="24"/>
          <w:highlight w:val="none"/>
        </w:rPr>
        <w:t>。</w:t>
      </w:r>
    </w:p>
    <w:p w14:paraId="260A345F">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5、我方对内部因工作原因接触到保密信息</w:t>
      </w:r>
      <w:r>
        <w:rPr>
          <w:rFonts w:hint="eastAsia" w:ascii="仿宋" w:hAnsi="仿宋" w:eastAsia="仿宋" w:cs="仿宋"/>
          <w:strike w:val="0"/>
          <w:color w:val="auto"/>
          <w:sz w:val="24"/>
          <w:highlight w:val="none"/>
          <w:lang w:eastAsia="zh-CN"/>
        </w:rPr>
        <w:t>的</w:t>
      </w:r>
      <w:r>
        <w:rPr>
          <w:rFonts w:hint="eastAsia" w:ascii="仿宋" w:hAnsi="仿宋" w:eastAsia="仿宋" w:cs="仿宋"/>
          <w:color w:val="auto"/>
          <w:sz w:val="24"/>
          <w:highlight w:val="none"/>
        </w:rPr>
        <w:t>人员，进行保密教育，防止</w:t>
      </w:r>
      <w:r>
        <w:rPr>
          <w:rFonts w:hint="eastAsia" w:ascii="仿宋" w:hAnsi="仿宋" w:eastAsia="仿宋" w:cs="仿宋"/>
          <w:strike w:val="0"/>
          <w:color w:val="auto"/>
          <w:sz w:val="24"/>
          <w:highlight w:val="none"/>
          <w:lang w:eastAsia="zh-CN"/>
        </w:rPr>
        <w:t>信息</w:t>
      </w:r>
      <w:r>
        <w:rPr>
          <w:rFonts w:hint="eastAsia" w:ascii="仿宋" w:hAnsi="仿宋" w:eastAsia="仿宋" w:cs="仿宋"/>
          <w:color w:val="auto"/>
          <w:sz w:val="24"/>
          <w:highlight w:val="none"/>
        </w:rPr>
        <w:t>泄漏。</w:t>
      </w:r>
    </w:p>
    <w:p w14:paraId="2E59D9FD">
      <w:pPr>
        <w:pageBreakBefore w:val="0"/>
        <w:kinsoku/>
        <w:wordWrap w:val="0"/>
        <w:overflowPunct/>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6、如我方有幸中标，此承诺书将持续生效。</w:t>
      </w:r>
    </w:p>
    <w:p w14:paraId="2F2828F4">
      <w:pPr>
        <w:pStyle w:val="9"/>
        <w:pageBreakBefore w:val="0"/>
        <w:kinsoku/>
        <w:wordWrap w:val="0"/>
        <w:overflowPunct/>
        <w:bidi w:val="0"/>
        <w:rPr>
          <w:rFonts w:hint="eastAsia" w:ascii="仿宋" w:hAnsi="仿宋" w:eastAsia="仿宋" w:cs="仿宋"/>
          <w:color w:val="auto"/>
          <w:highlight w:val="none"/>
        </w:rPr>
      </w:pPr>
    </w:p>
    <w:p w14:paraId="36C1BBAB">
      <w:pPr>
        <w:pStyle w:val="9"/>
        <w:pageBreakBefore w:val="0"/>
        <w:kinsoku/>
        <w:wordWrap w:val="0"/>
        <w:overflowPunct/>
        <w:bidi w:val="0"/>
        <w:rPr>
          <w:rFonts w:hint="eastAsia" w:ascii="仿宋" w:hAnsi="仿宋" w:eastAsia="仿宋" w:cs="仿宋"/>
          <w:color w:val="auto"/>
          <w:highlight w:val="none"/>
        </w:rPr>
      </w:pPr>
    </w:p>
    <w:p w14:paraId="7245190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（电子签章）</w:t>
      </w:r>
    </w:p>
    <w:p w14:paraId="79B8AE9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14:paraId="6748CF0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8207DAF">
      <w:pPr>
        <w:pageBreakBefore w:val="0"/>
        <w:kinsoku/>
        <w:wordWrap w:val="0"/>
        <w:overflowPunct/>
        <w:bidi w:val="0"/>
        <w:spacing w:line="360" w:lineRule="auto"/>
        <w:ind w:firstLine="480" w:firstLineChars="200"/>
        <w:rPr>
          <w:rFonts w:hint="eastAsia" w:ascii="仿宋" w:hAnsi="仿宋" w:eastAsia="仿宋" w:cs="仿宋"/>
          <w:color w:val="auto"/>
          <w:sz w:val="24"/>
          <w:szCs w:val="24"/>
          <w:highlight w:val="none"/>
        </w:rPr>
      </w:pPr>
    </w:p>
    <w:p w14:paraId="7088E91F">
      <w:pPr>
        <w:keepNext w:val="0"/>
        <w:keepLines w:val="0"/>
        <w:pageBreakBefore w:val="0"/>
        <w:widowControl w:val="0"/>
        <w:suppressLineNumbers w:val="0"/>
        <w:kinsoku/>
        <w:wordWrap w:val="0"/>
        <w:overflowPunct/>
        <w:bidi w:val="0"/>
        <w:spacing w:before="0" w:beforeAutospacing="0" w:after="0" w:afterAutospacing="0"/>
        <w:ind w:left="0" w:right="0"/>
        <w:jc w:val="both"/>
        <w:rPr>
          <w:rFonts w:hint="eastAsia" w:ascii="仿宋" w:hAnsi="仿宋" w:eastAsia="仿宋" w:cs="仿宋"/>
          <w:b/>
          <w:bCs w:val="0"/>
          <w:color w:val="auto"/>
          <w:kern w:val="2"/>
          <w:sz w:val="24"/>
          <w:szCs w:val="24"/>
          <w:highlight w:val="none"/>
          <w:lang w:val="en-US" w:eastAsia="zh-CN" w:bidi="ar"/>
        </w:rPr>
      </w:pPr>
    </w:p>
    <w:p w14:paraId="77B62E42">
      <w:pPr>
        <w:pageBreakBefore w:val="0"/>
        <w:kinsoku/>
        <w:wordWrap w:val="0"/>
        <w:overflowPunct/>
        <w:bidi w:val="0"/>
        <w:spacing w:line="360" w:lineRule="auto"/>
        <w:rPr>
          <w:rFonts w:hint="eastAsia" w:ascii="仿宋" w:hAnsi="仿宋" w:eastAsia="仿宋" w:cs="仿宋"/>
          <w:color w:val="auto"/>
          <w:sz w:val="24"/>
          <w:highlight w:val="none"/>
        </w:rPr>
      </w:pPr>
    </w:p>
    <w:p w14:paraId="72E38A0D">
      <w:pPr>
        <w:pageBreakBefore w:val="0"/>
        <w:kinsoku/>
        <w:wordWrap w:val="0"/>
        <w:overflowPunct/>
        <w:bidi w:val="0"/>
        <w:spacing w:line="360" w:lineRule="auto"/>
        <w:ind w:firstLine="480" w:firstLineChars="200"/>
        <w:rPr>
          <w:rFonts w:hint="eastAsia" w:ascii="仿宋" w:hAnsi="仿宋" w:eastAsia="仿宋" w:cs="仿宋"/>
          <w:color w:val="auto"/>
          <w:sz w:val="24"/>
          <w:highlight w:val="none"/>
        </w:rPr>
      </w:pPr>
    </w:p>
    <w:p w14:paraId="2D4C9487">
      <w:pPr>
        <w:pageBreakBefore w:val="0"/>
        <w:kinsoku/>
        <w:wordWrap w:val="0"/>
        <w:overflowPunct/>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5ADF0A14">
      <w:pPr>
        <w:pStyle w:val="5"/>
        <w:pageBreakBefore w:val="0"/>
        <w:numPr>
          <w:ilvl w:val="0"/>
          <w:numId w:val="0"/>
        </w:numPr>
        <w:tabs>
          <w:tab w:val="left" w:pos="900"/>
          <w:tab w:val="left" w:pos="1588"/>
        </w:tabs>
        <w:kinsoku/>
        <w:wordWrap w:val="0"/>
        <w:overflowPunct w:val="0"/>
        <w:topLinePunct/>
        <w:bidi w:val="0"/>
        <w:adjustRightInd/>
        <w:ind w:left="0" w:leftChars="0" w:firstLine="0" w:firstLineChars="0"/>
        <w:jc w:val="center"/>
        <w:rPr>
          <w:rFonts w:hint="eastAsia" w:ascii="仿宋" w:hAnsi="仿宋" w:eastAsia="仿宋" w:cs="仿宋"/>
          <w:b/>
          <w:bCs/>
          <w:color w:val="000000"/>
          <w:kern w:val="0"/>
          <w:sz w:val="28"/>
          <w:szCs w:val="28"/>
          <w:highlight w:val="none"/>
          <w:lang w:val="en-US" w:eastAsia="zh-CN" w:bidi="ar-SA"/>
        </w:rPr>
      </w:pPr>
      <w:bookmarkStart w:id="271" w:name="_Toc4485"/>
      <w:r>
        <w:rPr>
          <w:rFonts w:hint="eastAsia" w:ascii="仿宋" w:hAnsi="仿宋" w:eastAsia="仿宋" w:cs="仿宋"/>
          <w:b/>
          <w:bCs/>
          <w:color w:val="000000"/>
          <w:kern w:val="0"/>
          <w:sz w:val="28"/>
          <w:szCs w:val="28"/>
          <w:highlight w:val="none"/>
          <w:lang w:val="en-US" w:eastAsia="zh-CN" w:bidi="ar-SA"/>
        </w:rPr>
        <w:t>（八）</w:t>
      </w:r>
      <w:bookmarkEnd w:id="271"/>
      <w:r>
        <w:rPr>
          <w:rFonts w:hint="eastAsia" w:ascii="仿宋" w:hAnsi="仿宋" w:eastAsia="仿宋" w:cs="仿宋"/>
          <w:b/>
          <w:bCs/>
          <w:color w:val="000000"/>
          <w:kern w:val="0"/>
          <w:sz w:val="28"/>
          <w:szCs w:val="28"/>
          <w:highlight w:val="none"/>
          <w:lang w:val="en-US" w:eastAsia="zh-CN" w:bidi="ar-SA"/>
        </w:rPr>
        <w:t>类似项目</w:t>
      </w:r>
    </w:p>
    <w:p w14:paraId="4BB12218">
      <w:pPr>
        <w:pageBreakBefore w:val="0"/>
        <w:kinsoku/>
        <w:wordWrap w:val="0"/>
        <w:bidi w:val="0"/>
        <w:spacing w:line="360" w:lineRule="auto"/>
        <w:jc w:val="center"/>
        <w:rPr>
          <w:rFonts w:hint="eastAsia" w:ascii="仿宋" w:hAnsi="仿宋" w:eastAsia="仿宋" w:cs="仿宋"/>
          <w:b/>
          <w:bCs/>
          <w:sz w:val="32"/>
          <w:szCs w:val="28"/>
          <w:highlight w:val="none"/>
          <w:lang w:val="en-US" w:eastAsia="zh-CN"/>
        </w:rPr>
      </w:pPr>
      <w:r>
        <w:rPr>
          <w:rFonts w:hint="eastAsia" w:ascii="仿宋" w:hAnsi="仿宋" w:eastAsia="仿宋" w:cs="仿宋"/>
          <w:b/>
          <w:bCs/>
          <w:sz w:val="32"/>
          <w:szCs w:val="28"/>
          <w:highlight w:val="none"/>
          <w:lang w:val="en-US" w:eastAsia="zh-CN"/>
        </w:rPr>
        <w:t>近年完成的类似项目情况表</w:t>
      </w:r>
    </w:p>
    <w:p w14:paraId="31AB980E">
      <w:pPr>
        <w:pageBreakBefore w:val="0"/>
        <w:kinsoku/>
        <w:wordWrap w:val="0"/>
        <w:overflowPunct/>
        <w:bidi w:val="0"/>
        <w:rPr>
          <w:rFonts w:hint="eastAsia" w:ascii="仿宋" w:hAnsi="仿宋" w:eastAsia="仿宋" w:cs="仿宋"/>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404"/>
        <w:gridCol w:w="887"/>
        <w:gridCol w:w="1104"/>
      </w:tblGrid>
      <w:tr w14:paraId="0EFF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20AFFB9A">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p>
        </w:tc>
        <w:tc>
          <w:tcPr>
            <w:tcW w:w="1105" w:type="dxa"/>
            <w:noWrap w:val="0"/>
            <w:vAlign w:val="center"/>
          </w:tcPr>
          <w:p w14:paraId="47770F3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采购人</w:t>
            </w:r>
          </w:p>
        </w:tc>
        <w:tc>
          <w:tcPr>
            <w:tcW w:w="1840" w:type="dxa"/>
            <w:noWrap w:val="0"/>
            <w:vAlign w:val="center"/>
          </w:tcPr>
          <w:p w14:paraId="42C2A6F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采购人</w:t>
            </w:r>
            <w:r>
              <w:rPr>
                <w:rFonts w:hint="eastAsia" w:ascii="仿宋" w:hAnsi="仿宋" w:eastAsia="仿宋" w:cs="仿宋"/>
                <w:color w:val="000000" w:themeColor="text1"/>
                <w:sz w:val="24"/>
                <w:szCs w:val="24"/>
                <w:highlight w:val="none"/>
                <w14:textFill>
                  <w14:solidFill>
                    <w14:schemeClr w14:val="tx1"/>
                  </w14:solidFill>
                </w14:textFill>
              </w:rPr>
              <w:t>联系人及联系电话</w:t>
            </w:r>
          </w:p>
        </w:tc>
        <w:tc>
          <w:tcPr>
            <w:tcW w:w="1366" w:type="dxa"/>
            <w:noWrap w:val="0"/>
            <w:vAlign w:val="center"/>
          </w:tcPr>
          <w:p w14:paraId="12C5CD1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交货期限</w:t>
            </w:r>
          </w:p>
        </w:tc>
        <w:tc>
          <w:tcPr>
            <w:tcW w:w="1294" w:type="dxa"/>
            <w:noWrap w:val="0"/>
            <w:vAlign w:val="center"/>
          </w:tcPr>
          <w:p w14:paraId="3E8DB96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项目地点</w:t>
            </w:r>
          </w:p>
        </w:tc>
        <w:tc>
          <w:tcPr>
            <w:tcW w:w="1404" w:type="dxa"/>
            <w:noWrap w:val="0"/>
            <w:vAlign w:val="center"/>
          </w:tcPr>
          <w:p w14:paraId="048C325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项目规模</w:t>
            </w:r>
          </w:p>
        </w:tc>
        <w:tc>
          <w:tcPr>
            <w:tcW w:w="887" w:type="dxa"/>
            <w:noWrap w:val="0"/>
            <w:vAlign w:val="center"/>
          </w:tcPr>
          <w:p w14:paraId="0947CF2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pacing w:val="-16"/>
                <w:sz w:val="24"/>
                <w:szCs w:val="24"/>
                <w:highlight w:val="none"/>
                <w14:textFill>
                  <w14:solidFill>
                    <w14:schemeClr w14:val="tx1"/>
                  </w14:solidFill>
                </w14:textFill>
              </w:rPr>
            </w:pPr>
            <w:r>
              <w:rPr>
                <w:rFonts w:hint="eastAsia" w:ascii="仿宋" w:hAnsi="仿宋" w:eastAsia="仿宋" w:cs="仿宋"/>
                <w:color w:val="000000" w:themeColor="text1"/>
                <w:spacing w:val="-16"/>
                <w:sz w:val="24"/>
                <w:szCs w:val="24"/>
                <w:highlight w:val="none"/>
                <w14:textFill>
                  <w14:solidFill>
                    <w14:schemeClr w14:val="tx1"/>
                  </w14:solidFill>
                </w14:textFill>
              </w:rPr>
              <w:t>签约合同金额</w:t>
            </w:r>
          </w:p>
        </w:tc>
        <w:tc>
          <w:tcPr>
            <w:tcW w:w="1104" w:type="dxa"/>
            <w:noWrap w:val="0"/>
            <w:vAlign w:val="center"/>
          </w:tcPr>
          <w:p w14:paraId="4527B4A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pacing w:val="-16"/>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16"/>
                <w:sz w:val="24"/>
                <w:szCs w:val="24"/>
                <w:highlight w:val="none"/>
                <w:lang w:val="en-US" w:eastAsia="zh-CN"/>
                <w14:textFill>
                  <w14:solidFill>
                    <w14:schemeClr w14:val="tx1"/>
                  </w14:solidFill>
                </w14:textFill>
              </w:rPr>
              <w:t>证明资料</w:t>
            </w:r>
          </w:p>
        </w:tc>
      </w:tr>
      <w:tr w14:paraId="26B6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5E9514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5" w:type="dxa"/>
            <w:noWrap w:val="0"/>
            <w:vAlign w:val="center"/>
          </w:tcPr>
          <w:p w14:paraId="4CFE498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40" w:type="dxa"/>
            <w:noWrap w:val="0"/>
            <w:vAlign w:val="center"/>
          </w:tcPr>
          <w:p w14:paraId="7C40D8C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366" w:type="dxa"/>
            <w:noWrap w:val="0"/>
            <w:vAlign w:val="center"/>
          </w:tcPr>
          <w:p w14:paraId="5361A9E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294" w:type="dxa"/>
            <w:noWrap w:val="0"/>
            <w:vAlign w:val="center"/>
          </w:tcPr>
          <w:p w14:paraId="7178799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04" w:type="dxa"/>
            <w:noWrap w:val="0"/>
            <w:vAlign w:val="center"/>
          </w:tcPr>
          <w:p w14:paraId="7CDC509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87" w:type="dxa"/>
            <w:noWrap w:val="0"/>
            <w:vAlign w:val="center"/>
          </w:tcPr>
          <w:p w14:paraId="6F76056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4" w:type="dxa"/>
            <w:noWrap w:val="0"/>
            <w:vAlign w:val="center"/>
          </w:tcPr>
          <w:p w14:paraId="5C06B6F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2DF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1A8E5F1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5" w:type="dxa"/>
            <w:noWrap w:val="0"/>
            <w:vAlign w:val="center"/>
          </w:tcPr>
          <w:p w14:paraId="1C556D9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40" w:type="dxa"/>
            <w:noWrap w:val="0"/>
            <w:vAlign w:val="center"/>
          </w:tcPr>
          <w:p w14:paraId="274A8084">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366" w:type="dxa"/>
            <w:noWrap w:val="0"/>
            <w:vAlign w:val="center"/>
          </w:tcPr>
          <w:p w14:paraId="35D9128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294" w:type="dxa"/>
            <w:noWrap w:val="0"/>
            <w:vAlign w:val="center"/>
          </w:tcPr>
          <w:p w14:paraId="68BDB05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04" w:type="dxa"/>
            <w:noWrap w:val="0"/>
            <w:vAlign w:val="center"/>
          </w:tcPr>
          <w:p w14:paraId="01C5D2B1">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87" w:type="dxa"/>
            <w:noWrap w:val="0"/>
            <w:vAlign w:val="center"/>
          </w:tcPr>
          <w:p w14:paraId="50753EE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4" w:type="dxa"/>
            <w:noWrap w:val="0"/>
            <w:vAlign w:val="center"/>
          </w:tcPr>
          <w:p w14:paraId="0F58D9B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61BF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A7FFA6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5" w:type="dxa"/>
            <w:noWrap w:val="0"/>
            <w:vAlign w:val="center"/>
          </w:tcPr>
          <w:p w14:paraId="3AF8D53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40" w:type="dxa"/>
            <w:noWrap w:val="0"/>
            <w:vAlign w:val="center"/>
          </w:tcPr>
          <w:p w14:paraId="1B0C9BF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366" w:type="dxa"/>
            <w:noWrap w:val="0"/>
            <w:vAlign w:val="center"/>
          </w:tcPr>
          <w:p w14:paraId="7443C388">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294" w:type="dxa"/>
            <w:noWrap w:val="0"/>
            <w:vAlign w:val="center"/>
          </w:tcPr>
          <w:p w14:paraId="62BBEF4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04" w:type="dxa"/>
            <w:noWrap w:val="0"/>
            <w:vAlign w:val="center"/>
          </w:tcPr>
          <w:p w14:paraId="12A5B45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87" w:type="dxa"/>
            <w:noWrap w:val="0"/>
            <w:vAlign w:val="center"/>
          </w:tcPr>
          <w:p w14:paraId="4F3AC85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4" w:type="dxa"/>
            <w:noWrap w:val="0"/>
            <w:vAlign w:val="center"/>
          </w:tcPr>
          <w:p w14:paraId="47711B3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71125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3C3EBDD">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5" w:type="dxa"/>
            <w:noWrap w:val="0"/>
            <w:vAlign w:val="center"/>
          </w:tcPr>
          <w:p w14:paraId="21C734A5">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40" w:type="dxa"/>
            <w:noWrap w:val="0"/>
            <w:vAlign w:val="center"/>
          </w:tcPr>
          <w:p w14:paraId="51AB204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366" w:type="dxa"/>
            <w:noWrap w:val="0"/>
            <w:vAlign w:val="center"/>
          </w:tcPr>
          <w:p w14:paraId="6BA6E9C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294" w:type="dxa"/>
            <w:noWrap w:val="0"/>
            <w:vAlign w:val="center"/>
          </w:tcPr>
          <w:p w14:paraId="5D6104E7">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04" w:type="dxa"/>
            <w:noWrap w:val="0"/>
            <w:vAlign w:val="center"/>
          </w:tcPr>
          <w:p w14:paraId="612868E3">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87" w:type="dxa"/>
            <w:noWrap w:val="0"/>
            <w:vAlign w:val="center"/>
          </w:tcPr>
          <w:p w14:paraId="224243A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4" w:type="dxa"/>
            <w:noWrap w:val="0"/>
            <w:vAlign w:val="center"/>
          </w:tcPr>
          <w:p w14:paraId="06DD5BC9">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EC2B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226F7E4B">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5" w:type="dxa"/>
            <w:noWrap w:val="0"/>
            <w:vAlign w:val="center"/>
          </w:tcPr>
          <w:p w14:paraId="72687D7E">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40" w:type="dxa"/>
            <w:noWrap w:val="0"/>
            <w:vAlign w:val="center"/>
          </w:tcPr>
          <w:p w14:paraId="2A712D2F">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366" w:type="dxa"/>
            <w:noWrap w:val="0"/>
            <w:vAlign w:val="center"/>
          </w:tcPr>
          <w:p w14:paraId="524E452F">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294" w:type="dxa"/>
            <w:noWrap w:val="0"/>
            <w:vAlign w:val="center"/>
          </w:tcPr>
          <w:p w14:paraId="5E5DD470">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404" w:type="dxa"/>
            <w:noWrap w:val="0"/>
            <w:vAlign w:val="center"/>
          </w:tcPr>
          <w:p w14:paraId="342232BC">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87" w:type="dxa"/>
            <w:noWrap w:val="0"/>
            <w:vAlign w:val="center"/>
          </w:tcPr>
          <w:p w14:paraId="4CAC8DB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104" w:type="dxa"/>
            <w:noWrap w:val="0"/>
            <w:vAlign w:val="center"/>
          </w:tcPr>
          <w:p w14:paraId="6671F072">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2462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0C62E116">
            <w:pPr>
              <w:keepNext w:val="0"/>
              <w:keepLines w:val="0"/>
              <w:pageBreakBefore w:val="0"/>
              <w:widowControl w:val="0"/>
              <w:kinsoku/>
              <w:wordWrap w:val="0"/>
              <w:overflowPunct/>
              <w:topLinePunct/>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说明：</w:t>
            </w:r>
            <w:r>
              <w:rPr>
                <w:rFonts w:hint="eastAsia" w:ascii="仿宋" w:hAnsi="仿宋" w:eastAsia="仿宋" w:cs="仿宋"/>
                <w:color w:val="000000" w:themeColor="text1"/>
                <w:sz w:val="24"/>
                <w:szCs w:val="24"/>
                <w:highlight w:val="none"/>
                <w:lang w:val="en-US" w:eastAsia="zh-CN"/>
                <w14:textFill>
                  <w14:solidFill>
                    <w14:schemeClr w14:val="tx1"/>
                  </w14:solidFill>
                </w14:textFill>
              </w:rPr>
              <w:t>证明资料填写</w:t>
            </w:r>
            <w:r>
              <w:rPr>
                <w:rFonts w:hint="eastAsia" w:ascii="仿宋" w:hAnsi="仿宋" w:eastAsia="仿宋" w:cs="仿宋"/>
                <w:b w:val="0"/>
                <w:bCs w:val="0"/>
                <w:color w:val="auto"/>
                <w:sz w:val="24"/>
                <w:szCs w:val="24"/>
                <w:highlight w:val="none"/>
                <w:lang w:val="en-US" w:eastAsia="zh-CN"/>
              </w:rPr>
              <w:t>合同、供货协议或中标/成交通知书等相关证明</w:t>
            </w:r>
          </w:p>
        </w:tc>
      </w:tr>
    </w:tbl>
    <w:p w14:paraId="5E73309C">
      <w:pPr>
        <w:rPr>
          <w:rFonts w:hint="eastAsia" w:ascii="仿宋" w:hAnsi="仿宋" w:eastAsia="仿宋" w:cs="仿宋"/>
          <w:highlight w:val="none"/>
        </w:rPr>
      </w:pPr>
      <w:r>
        <w:rPr>
          <w:rFonts w:hint="eastAsia" w:ascii="仿宋" w:hAnsi="仿宋" w:eastAsia="仿宋" w:cs="仿宋"/>
          <w:highlight w:val="none"/>
        </w:rPr>
        <w:br w:type="page"/>
      </w:r>
    </w:p>
    <w:p w14:paraId="40A26DED">
      <w:pPr>
        <w:pStyle w:val="2"/>
        <w:rPr>
          <w:rFonts w:hint="eastAsia" w:ascii="仿宋" w:hAnsi="仿宋" w:eastAsia="仿宋" w:cs="仿宋"/>
          <w:highlight w:val="none"/>
        </w:rPr>
      </w:pPr>
    </w:p>
    <w:tbl>
      <w:tblPr>
        <w:tblStyle w:val="23"/>
        <w:tblW w:w="0" w:type="auto"/>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7406"/>
      </w:tblGrid>
      <w:tr w14:paraId="0123A56F">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69FD9BF6">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7406" w:type="dxa"/>
            <w:tcBorders>
              <w:tl2br w:val="nil"/>
              <w:tr2bl w:val="nil"/>
            </w:tcBorders>
            <w:vAlign w:val="center"/>
          </w:tcPr>
          <w:p w14:paraId="548947D8">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8B7D48B">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15FC6CCC">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项目名称</w:t>
            </w:r>
          </w:p>
        </w:tc>
        <w:tc>
          <w:tcPr>
            <w:tcW w:w="7406" w:type="dxa"/>
            <w:tcBorders>
              <w:tl2br w:val="nil"/>
              <w:tr2bl w:val="nil"/>
            </w:tcBorders>
            <w:vAlign w:val="center"/>
          </w:tcPr>
          <w:p w14:paraId="2DA7B81E">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7DF29D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30467E07">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项目所在地</w:t>
            </w:r>
          </w:p>
        </w:tc>
        <w:tc>
          <w:tcPr>
            <w:tcW w:w="7406" w:type="dxa"/>
            <w:tcBorders>
              <w:tl2br w:val="nil"/>
              <w:tr2bl w:val="nil"/>
            </w:tcBorders>
            <w:vAlign w:val="center"/>
          </w:tcPr>
          <w:p w14:paraId="0470E5B4">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AC536C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24A522CA">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委托人名称</w:t>
            </w:r>
          </w:p>
        </w:tc>
        <w:tc>
          <w:tcPr>
            <w:tcW w:w="7406" w:type="dxa"/>
            <w:tcBorders>
              <w:tl2br w:val="nil"/>
              <w:tr2bl w:val="nil"/>
            </w:tcBorders>
            <w:vAlign w:val="center"/>
          </w:tcPr>
          <w:p w14:paraId="1EC78D09">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186912C">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09EAE9B9">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委托人地址</w:t>
            </w:r>
          </w:p>
        </w:tc>
        <w:tc>
          <w:tcPr>
            <w:tcW w:w="7406" w:type="dxa"/>
            <w:tcBorders>
              <w:tl2br w:val="nil"/>
              <w:tr2bl w:val="nil"/>
            </w:tcBorders>
            <w:vAlign w:val="center"/>
          </w:tcPr>
          <w:p w14:paraId="60C34369">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87964C8">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66DC546C">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委托人电话</w:t>
            </w:r>
          </w:p>
        </w:tc>
        <w:tc>
          <w:tcPr>
            <w:tcW w:w="7406" w:type="dxa"/>
            <w:tcBorders>
              <w:tl2br w:val="nil"/>
              <w:tr2bl w:val="nil"/>
            </w:tcBorders>
            <w:vAlign w:val="center"/>
          </w:tcPr>
          <w:p w14:paraId="021FE416">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E7B800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70714183">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投资规模</w:t>
            </w:r>
          </w:p>
        </w:tc>
        <w:tc>
          <w:tcPr>
            <w:tcW w:w="7406" w:type="dxa"/>
            <w:tcBorders>
              <w:tl2br w:val="nil"/>
              <w:tr2bl w:val="nil"/>
            </w:tcBorders>
            <w:vAlign w:val="center"/>
          </w:tcPr>
          <w:p w14:paraId="1042792B">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A9D4DE0">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6E3DEDEF">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项目工期</w:t>
            </w:r>
          </w:p>
        </w:tc>
        <w:tc>
          <w:tcPr>
            <w:tcW w:w="7406" w:type="dxa"/>
            <w:tcBorders>
              <w:tl2br w:val="nil"/>
              <w:tr2bl w:val="nil"/>
            </w:tcBorders>
            <w:vAlign w:val="center"/>
          </w:tcPr>
          <w:p w14:paraId="2E0C701E">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AEB978F">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3A91BC72">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合同主要内容</w:t>
            </w:r>
          </w:p>
        </w:tc>
        <w:tc>
          <w:tcPr>
            <w:tcW w:w="7406" w:type="dxa"/>
            <w:tcBorders>
              <w:tl2br w:val="nil"/>
              <w:tr2bl w:val="nil"/>
            </w:tcBorders>
            <w:vAlign w:val="center"/>
          </w:tcPr>
          <w:p w14:paraId="0D051544">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E9084D2">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4E33D321">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项目负责人</w:t>
            </w:r>
          </w:p>
        </w:tc>
        <w:tc>
          <w:tcPr>
            <w:tcW w:w="7406" w:type="dxa"/>
            <w:tcBorders>
              <w:tl2br w:val="nil"/>
              <w:tr2bl w:val="nil"/>
            </w:tcBorders>
            <w:vAlign w:val="center"/>
          </w:tcPr>
          <w:p w14:paraId="0CB97CD8">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65ED8F71">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2407" w:hRule="atLeast"/>
          <w:jc w:val="center"/>
        </w:trPr>
        <w:tc>
          <w:tcPr>
            <w:tcW w:w="1665" w:type="dxa"/>
            <w:tcBorders>
              <w:tl2br w:val="nil"/>
              <w:tr2bl w:val="nil"/>
            </w:tcBorders>
            <w:vAlign w:val="center"/>
          </w:tcPr>
          <w:p w14:paraId="35CF3422">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项目描述</w:t>
            </w:r>
          </w:p>
        </w:tc>
        <w:tc>
          <w:tcPr>
            <w:tcW w:w="7406" w:type="dxa"/>
            <w:tcBorders>
              <w:tl2br w:val="nil"/>
              <w:tr2bl w:val="nil"/>
            </w:tcBorders>
            <w:vAlign w:val="center"/>
          </w:tcPr>
          <w:p w14:paraId="132AD483">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8C85B5F">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5" w:type="dxa"/>
            <w:tcBorders>
              <w:tl2br w:val="nil"/>
              <w:tr2bl w:val="nil"/>
            </w:tcBorders>
            <w:vAlign w:val="center"/>
          </w:tcPr>
          <w:p w14:paraId="1B7EF50C">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c>
          <w:tcPr>
            <w:tcW w:w="7406" w:type="dxa"/>
            <w:tcBorders>
              <w:tl2br w:val="nil"/>
              <w:tr2bl w:val="nil"/>
            </w:tcBorders>
            <w:vAlign w:val="center"/>
          </w:tcPr>
          <w:p w14:paraId="14A4C47F">
            <w:pPr>
              <w:keepNext w:val="0"/>
              <w:keepLines w:val="0"/>
              <w:pageBreakBefore w:val="0"/>
              <w:suppressLineNumbers w:val="0"/>
              <w:kinsoku/>
              <w:wordWrap w:val="0"/>
              <w:overflowPunct/>
              <w:bidi w:val="0"/>
              <w:spacing w:before="0" w:beforeAutospacing="0" w:after="0" w:afterAutospacing="0"/>
              <w:ind w:left="0" w:right="0"/>
              <w:jc w:val="center"/>
              <w:rPr>
                <w:rFonts w:hint="eastAsia" w:ascii="仿宋" w:hAnsi="仿宋" w:eastAsia="仿宋" w:cs="仿宋"/>
                <w:color w:val="auto"/>
                <w:sz w:val="24"/>
                <w:szCs w:val="24"/>
                <w:highlight w:val="none"/>
              </w:rPr>
            </w:pPr>
          </w:p>
        </w:tc>
      </w:tr>
    </w:tbl>
    <w:p w14:paraId="4A56C8B0">
      <w:pPr>
        <w:pageBreakBefore w:val="0"/>
        <w:kinsoku/>
        <w:wordWrap w:val="0"/>
        <w:overflowPunct/>
        <w:bidi w:val="0"/>
        <w:ind w:firstLine="480"/>
        <w:jc w:val="right"/>
        <w:rPr>
          <w:rFonts w:hint="eastAsia" w:ascii="仿宋" w:hAnsi="仿宋" w:eastAsia="仿宋" w:cs="仿宋"/>
          <w:color w:val="auto"/>
          <w:highlight w:val="none"/>
        </w:rPr>
      </w:pPr>
    </w:p>
    <w:p w14:paraId="0EF74377">
      <w:pPr>
        <w:pageBreakBefore w:val="0"/>
        <w:kinsoku/>
        <w:wordWrap w:val="0"/>
        <w:overflowPunct/>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后附</w:t>
      </w:r>
      <w:r>
        <w:rPr>
          <w:rFonts w:hint="eastAsia" w:ascii="仿宋" w:hAnsi="仿宋" w:eastAsia="仿宋" w:cs="仿宋"/>
          <w:b w:val="0"/>
          <w:bCs w:val="0"/>
          <w:color w:val="auto"/>
          <w:sz w:val="24"/>
          <w:szCs w:val="24"/>
          <w:highlight w:val="none"/>
          <w:lang w:val="en-US" w:eastAsia="zh-CN"/>
        </w:rPr>
        <w:t>合同、供货协议或中标/成交通知书等相关证明</w:t>
      </w:r>
      <w:r>
        <w:rPr>
          <w:rFonts w:hint="eastAsia" w:ascii="仿宋" w:hAnsi="仿宋" w:eastAsia="仿宋" w:cs="仿宋"/>
          <w:color w:val="auto"/>
          <w:sz w:val="24"/>
          <w:highlight w:val="none"/>
        </w:rPr>
        <w:t>。</w:t>
      </w:r>
    </w:p>
    <w:p w14:paraId="3E3AEF85">
      <w:pPr>
        <w:pageBreakBefore w:val="0"/>
        <w:kinsoku/>
        <w:wordWrap w:val="0"/>
        <w:overflowPunct/>
        <w:bidi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47783EA">
      <w:pPr>
        <w:pageBreakBefore w:val="0"/>
        <w:kinsoku/>
        <w:wordWrap w:val="0"/>
        <w:bidi w:val="0"/>
        <w:spacing w:line="360" w:lineRule="auto"/>
        <w:jc w:val="center"/>
        <w:rPr>
          <w:rFonts w:hint="eastAsia" w:ascii="仿宋" w:hAnsi="仿宋" w:eastAsia="仿宋" w:cs="仿宋"/>
          <w:b/>
          <w:bCs/>
          <w:sz w:val="32"/>
          <w:szCs w:val="28"/>
          <w:highlight w:val="none"/>
          <w:lang w:val="en-US" w:eastAsia="zh-CN"/>
        </w:rPr>
      </w:pPr>
      <w:bookmarkStart w:id="272" w:name="_Toc15056"/>
    </w:p>
    <w:p w14:paraId="2B05D962">
      <w:pPr>
        <w:pageBreakBefore w:val="0"/>
        <w:kinsoku/>
        <w:wordWrap w:val="0"/>
        <w:bidi w:val="0"/>
        <w:spacing w:line="360" w:lineRule="auto"/>
        <w:jc w:val="center"/>
        <w:rPr>
          <w:rFonts w:hint="eastAsia" w:ascii="仿宋" w:hAnsi="仿宋" w:eastAsia="仿宋" w:cs="仿宋"/>
          <w:b/>
          <w:bCs/>
          <w:sz w:val="32"/>
          <w:szCs w:val="28"/>
          <w:highlight w:val="none"/>
          <w:lang w:val="en-US" w:eastAsia="zh-CN"/>
        </w:rPr>
      </w:pPr>
      <w:r>
        <w:rPr>
          <w:rFonts w:hint="eastAsia" w:ascii="仿宋" w:hAnsi="仿宋" w:eastAsia="仿宋" w:cs="仿宋"/>
          <w:b/>
          <w:bCs/>
          <w:sz w:val="32"/>
          <w:szCs w:val="28"/>
          <w:highlight w:val="none"/>
          <w:lang w:val="en-US" w:eastAsia="zh-CN"/>
        </w:rPr>
        <w:t>附表：本项目拟派团队人员配置表（如有）</w:t>
      </w:r>
    </w:p>
    <w:tbl>
      <w:tblPr>
        <w:tblStyle w:val="22"/>
        <w:tblW w:w="10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6A05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746" w:type="dxa"/>
            <w:noWrap w:val="0"/>
            <w:vAlign w:val="center"/>
          </w:tcPr>
          <w:p w14:paraId="0334F1B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083" w:type="dxa"/>
            <w:noWrap w:val="0"/>
            <w:vAlign w:val="center"/>
          </w:tcPr>
          <w:p w14:paraId="1484A9E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职务</w:t>
            </w:r>
          </w:p>
        </w:tc>
        <w:tc>
          <w:tcPr>
            <w:tcW w:w="993" w:type="dxa"/>
            <w:noWrap w:val="0"/>
            <w:vAlign w:val="center"/>
          </w:tcPr>
          <w:p w14:paraId="41336AF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姓名</w:t>
            </w:r>
          </w:p>
        </w:tc>
        <w:tc>
          <w:tcPr>
            <w:tcW w:w="850" w:type="dxa"/>
            <w:noWrap w:val="0"/>
            <w:vAlign w:val="center"/>
          </w:tcPr>
          <w:p w14:paraId="7BED562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年龄</w:t>
            </w:r>
          </w:p>
        </w:tc>
        <w:tc>
          <w:tcPr>
            <w:tcW w:w="992" w:type="dxa"/>
            <w:noWrap w:val="0"/>
            <w:vAlign w:val="center"/>
          </w:tcPr>
          <w:p w14:paraId="4455736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职称</w:t>
            </w:r>
          </w:p>
        </w:tc>
        <w:tc>
          <w:tcPr>
            <w:tcW w:w="1134" w:type="dxa"/>
            <w:noWrap w:val="0"/>
            <w:vAlign w:val="center"/>
          </w:tcPr>
          <w:p w14:paraId="6D78DD3A">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专业</w:t>
            </w:r>
          </w:p>
        </w:tc>
        <w:tc>
          <w:tcPr>
            <w:tcW w:w="1449" w:type="dxa"/>
            <w:noWrap w:val="0"/>
            <w:vAlign w:val="center"/>
          </w:tcPr>
          <w:p w14:paraId="6A05201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业绩</w:t>
            </w:r>
          </w:p>
        </w:tc>
        <w:tc>
          <w:tcPr>
            <w:tcW w:w="1449" w:type="dxa"/>
            <w:noWrap w:val="0"/>
            <w:vAlign w:val="center"/>
          </w:tcPr>
          <w:p w14:paraId="4847F67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拟担任职务</w:t>
            </w:r>
          </w:p>
        </w:tc>
        <w:tc>
          <w:tcPr>
            <w:tcW w:w="1955" w:type="dxa"/>
            <w:noWrap w:val="0"/>
            <w:vAlign w:val="center"/>
          </w:tcPr>
          <w:p w14:paraId="084162C2">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从</w:t>
            </w:r>
            <w:r>
              <w:rPr>
                <w:rFonts w:hint="eastAsia" w:ascii="仿宋" w:hAnsi="仿宋" w:eastAsia="仿宋" w:cs="仿宋"/>
                <w:strike w:val="0"/>
                <w:color w:val="auto"/>
                <w:sz w:val="24"/>
                <w:highlight w:val="none"/>
                <w:lang w:eastAsia="zh-CN"/>
              </w:rPr>
              <w:t>事</w:t>
            </w:r>
            <w:r>
              <w:rPr>
                <w:rFonts w:hint="eastAsia" w:ascii="仿宋" w:hAnsi="仿宋" w:eastAsia="仿宋" w:cs="仿宋"/>
                <w:color w:val="000000" w:themeColor="text1"/>
                <w:sz w:val="24"/>
                <w:highlight w:val="none"/>
                <w14:textFill>
                  <w14:solidFill>
                    <w14:schemeClr w14:val="tx1"/>
                  </w14:solidFill>
                </w14:textFill>
              </w:rPr>
              <w:t>专业工作时间</w:t>
            </w:r>
          </w:p>
        </w:tc>
      </w:tr>
      <w:tr w14:paraId="6C60D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76A1A1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6322EE8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1A198BE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45246FF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0A00057A">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5951631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77C54DF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6749B89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120DD99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76D6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5198D24E">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4799EACD">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2A7EC37F">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46D1DDF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0B8B690E">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0B0DC63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03AE9FF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6DBA68C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6F03C9E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5B55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BE778B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49A983B8">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5F58628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0D4A572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727FF5E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2BE3222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0365C7EF">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012BC03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0C9FF5BE">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20E8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3272197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14171D5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0A2A66E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037B4BFB">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28D4884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6383465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423A889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6C04031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09BCB4A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706E5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4D8EDAF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66DB8F8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0F764F3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7CB5F86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73208BA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52A4D508">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71EE61DD">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768BB4A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15A19C1B">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3825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489D4AA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320F034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49FF596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2BD0139B">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7464166E">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47491B7B">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15AC463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07DEBA5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27D7C1D7">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50D7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30DA6CA">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1C0DCD0A">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43A822E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580153E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78C1890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2FC0E3F2">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7BFAF118">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0C1ABB2F">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2ED7758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537F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EC3465D">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1B1260F2">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10E8CAD9">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3DA8537A">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362D997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1951101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6E36EB0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42EBB9D4">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39811B9C">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r w14:paraId="63D4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502F060">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083" w:type="dxa"/>
            <w:noWrap w:val="0"/>
            <w:vAlign w:val="center"/>
          </w:tcPr>
          <w:p w14:paraId="230F1E3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3" w:type="dxa"/>
            <w:noWrap w:val="0"/>
            <w:vAlign w:val="center"/>
          </w:tcPr>
          <w:p w14:paraId="2347DC3F">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850" w:type="dxa"/>
            <w:noWrap w:val="0"/>
            <w:vAlign w:val="center"/>
          </w:tcPr>
          <w:p w14:paraId="22DE732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992" w:type="dxa"/>
            <w:noWrap w:val="0"/>
            <w:vAlign w:val="center"/>
          </w:tcPr>
          <w:p w14:paraId="191209A5">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134" w:type="dxa"/>
            <w:noWrap w:val="0"/>
            <w:vAlign w:val="center"/>
          </w:tcPr>
          <w:p w14:paraId="30412633">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0239C266">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449" w:type="dxa"/>
            <w:noWrap w:val="0"/>
            <w:vAlign w:val="center"/>
          </w:tcPr>
          <w:p w14:paraId="2551E14E">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c>
          <w:tcPr>
            <w:tcW w:w="1955" w:type="dxa"/>
            <w:noWrap w:val="0"/>
            <w:vAlign w:val="center"/>
          </w:tcPr>
          <w:p w14:paraId="5D3E6601">
            <w:pPr>
              <w:keepNext w:val="0"/>
              <w:keepLines w:val="0"/>
              <w:pageBreakBefore w:val="0"/>
              <w:widowControl w:val="0"/>
              <w:kinsoku/>
              <w:wordWrap w:val="0"/>
              <w:overflowPunct/>
              <w:topLinePunct/>
              <w:autoSpaceDE/>
              <w:autoSpaceDN/>
              <w:bidi w:val="0"/>
              <w:adjustRightInd/>
              <w:snapToGrid/>
              <w:spacing w:line="360" w:lineRule="auto"/>
              <w:ind w:left="0" w:leftChars="0"/>
              <w:jc w:val="center"/>
              <w:rPr>
                <w:rFonts w:hint="eastAsia" w:ascii="仿宋" w:hAnsi="仿宋" w:eastAsia="仿宋" w:cs="仿宋"/>
                <w:color w:val="000000" w:themeColor="text1"/>
                <w:sz w:val="24"/>
                <w:highlight w:val="none"/>
                <w14:textFill>
                  <w14:solidFill>
                    <w14:schemeClr w14:val="tx1"/>
                  </w14:solidFill>
                </w14:textFill>
              </w:rPr>
            </w:pPr>
          </w:p>
        </w:tc>
      </w:tr>
    </w:tbl>
    <w:p w14:paraId="3EEB5509">
      <w:pPr>
        <w:keepNext w:val="0"/>
        <w:keepLines w:val="0"/>
        <w:pageBreakBefore w:val="0"/>
        <w:widowControl w:val="0"/>
        <w:kinsoku/>
        <w:wordWrap w:val="0"/>
        <w:overflowPunct/>
        <w:topLinePunct/>
        <w:autoSpaceDE/>
        <w:autoSpaceDN/>
        <w:bidi w:val="0"/>
        <w:adjustRightInd/>
        <w:snapToGrid/>
        <w:spacing w:line="360" w:lineRule="auto"/>
        <w:ind w:left="0" w:leftChars="0"/>
        <w:rPr>
          <w:rFonts w:hint="eastAsia" w:ascii="仿宋" w:hAnsi="仿宋" w:eastAsia="仿宋" w:cs="仿宋"/>
          <w:color w:val="000000" w:themeColor="text1"/>
          <w:highlight w:val="none"/>
          <w:lang w:val="zh-CN" w:eastAsia="zh-CN"/>
          <w14:textFill>
            <w14:solidFill>
              <w14:schemeClr w14:val="tx1"/>
            </w14:solidFill>
          </w14:textFill>
        </w:rPr>
      </w:pPr>
    </w:p>
    <w:p w14:paraId="5173AA96">
      <w:pPr>
        <w:pageBreakBefore w:val="0"/>
        <w:kinsoku/>
        <w:wordWrap w:val="0"/>
        <w:bidi w:val="0"/>
        <w:spacing w:line="360" w:lineRule="auto"/>
        <w:jc w:val="center"/>
        <w:rPr>
          <w:rFonts w:hint="eastAsia"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auto"/>
          <w:sz w:val="24"/>
          <w:szCs w:val="24"/>
          <w:highlight w:val="none"/>
        </w:rPr>
        <w:br w:type="page"/>
      </w:r>
      <w:bookmarkStart w:id="273" w:name="_Toc23104"/>
      <w:bookmarkStart w:id="274" w:name="_Toc21511"/>
      <w:bookmarkStart w:id="275" w:name="_Toc24537"/>
      <w:bookmarkStart w:id="276" w:name="_Toc5639"/>
      <w:bookmarkStart w:id="277" w:name="_Toc21479"/>
      <w:bookmarkStart w:id="278" w:name="_Toc28848"/>
      <w:bookmarkStart w:id="279" w:name="_Toc24613"/>
      <w:bookmarkStart w:id="280" w:name="_Toc10125"/>
      <w:bookmarkStart w:id="281" w:name="_Toc1374"/>
      <w:bookmarkStart w:id="282" w:name="_Toc21933"/>
      <w:bookmarkStart w:id="283" w:name="_Toc7800"/>
      <w:bookmarkStart w:id="284" w:name="_Toc20818"/>
      <w:bookmarkStart w:id="285" w:name="_Toc2163"/>
      <w:r>
        <w:rPr>
          <w:rFonts w:hint="eastAsia" w:ascii="仿宋" w:hAnsi="仿宋" w:eastAsia="仿宋" w:cs="仿宋"/>
          <w:b/>
          <w:bCs/>
          <w:sz w:val="32"/>
          <w:szCs w:val="28"/>
          <w:highlight w:val="none"/>
          <w:lang w:val="en-US" w:eastAsia="zh-CN"/>
        </w:rPr>
        <w:t>售后服务网点（若有）</w:t>
      </w:r>
      <w:bookmarkEnd w:id="273"/>
      <w:bookmarkEnd w:id="274"/>
      <w:bookmarkEnd w:id="275"/>
      <w:bookmarkEnd w:id="276"/>
      <w:bookmarkEnd w:id="277"/>
      <w:bookmarkEnd w:id="278"/>
      <w:bookmarkEnd w:id="279"/>
      <w:bookmarkEnd w:id="280"/>
      <w:bookmarkEnd w:id="281"/>
      <w:bookmarkEnd w:id="282"/>
      <w:bookmarkEnd w:id="283"/>
      <w:bookmarkEnd w:id="284"/>
      <w:bookmarkEnd w:id="285"/>
    </w:p>
    <w:p w14:paraId="5BA2B2F1">
      <w:pPr>
        <w:rPr>
          <w:rFonts w:hint="eastAsia" w:ascii="仿宋" w:hAnsi="仿宋" w:eastAsia="仿宋" w:cs="仿宋"/>
          <w:highlight w:val="none"/>
          <w:lang w:val="en-US" w:eastAsia="zh-CN"/>
        </w:rPr>
      </w:pPr>
    </w:p>
    <w:tbl>
      <w:tblPr>
        <w:tblStyle w:val="23"/>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518C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532EFE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286" w:name="_Toc24035"/>
            <w:bookmarkStart w:id="287" w:name="_Toc29179"/>
            <w:bookmarkStart w:id="288" w:name="_Toc2074"/>
            <w:bookmarkStart w:id="289" w:name="_Toc12381"/>
            <w:bookmarkStart w:id="290" w:name="_Toc20158"/>
            <w:bookmarkStart w:id="291" w:name="_Toc7915"/>
            <w:bookmarkStart w:id="292" w:name="_Toc12109"/>
            <w:bookmarkStart w:id="293" w:name="_Toc25684"/>
            <w:bookmarkStart w:id="294" w:name="_Toc23602"/>
            <w:bookmarkStart w:id="295" w:name="_Toc8289"/>
            <w:bookmarkStart w:id="296" w:name="_Toc7843"/>
            <w:bookmarkStart w:id="297" w:name="_Toc13943"/>
            <w:bookmarkStart w:id="298" w:name="_Toc22861"/>
            <w:bookmarkStart w:id="299" w:name="_Toc6992"/>
            <w:bookmarkStart w:id="300" w:name="_Toc3523"/>
            <w:bookmarkStart w:id="301" w:name="_Toc6278"/>
            <w:bookmarkStart w:id="302" w:name="_Toc4812"/>
            <w:bookmarkStart w:id="303" w:name="_Toc1758"/>
            <w:bookmarkStart w:id="304" w:name="_Toc17640"/>
            <w:bookmarkStart w:id="305" w:name="_Toc6224"/>
            <w:bookmarkStart w:id="306" w:name="_Toc26699"/>
            <w:bookmarkStart w:id="307" w:name="_Toc1058"/>
            <w:bookmarkStart w:id="308" w:name="_Toc30738"/>
            <w:bookmarkStart w:id="309" w:name="_Toc3679"/>
            <w:bookmarkStart w:id="310" w:name="_Toc24402"/>
            <w:bookmarkStart w:id="311" w:name="_Toc5070"/>
            <w:bookmarkStart w:id="312" w:name="_Toc3888"/>
            <w:bookmarkStart w:id="313" w:name="_Toc16062"/>
            <w:bookmarkStart w:id="314" w:name="_Toc11217"/>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序号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tc>
        <w:tc>
          <w:tcPr>
            <w:tcW w:w="1361" w:type="dxa"/>
            <w:noWrap w:val="0"/>
            <w:vAlign w:val="center"/>
          </w:tcPr>
          <w:p w14:paraId="5436588E">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315" w:name="_Toc17797"/>
            <w:bookmarkStart w:id="316" w:name="_Toc21937"/>
            <w:bookmarkStart w:id="317" w:name="_Toc26503"/>
            <w:bookmarkStart w:id="318" w:name="_Toc15103"/>
            <w:bookmarkStart w:id="319" w:name="_Toc7864"/>
            <w:bookmarkStart w:id="320" w:name="_Toc1887"/>
            <w:bookmarkStart w:id="321" w:name="_Toc14184"/>
            <w:bookmarkStart w:id="322" w:name="_Toc16373"/>
            <w:bookmarkStart w:id="323" w:name="_Toc19422"/>
            <w:bookmarkStart w:id="324" w:name="_Toc17813"/>
            <w:bookmarkStart w:id="325" w:name="_Toc12808"/>
            <w:bookmarkStart w:id="326" w:name="_Toc10456"/>
            <w:bookmarkStart w:id="327" w:name="_Toc7704"/>
            <w:bookmarkStart w:id="328" w:name="_Toc31416"/>
            <w:bookmarkStart w:id="329" w:name="_Toc8868"/>
            <w:bookmarkStart w:id="330" w:name="_Toc21789"/>
            <w:bookmarkStart w:id="331" w:name="_Toc3691"/>
            <w:bookmarkStart w:id="332" w:name="_Toc29571"/>
            <w:bookmarkStart w:id="333" w:name="_Toc4749"/>
            <w:bookmarkStart w:id="334" w:name="_Toc28523"/>
            <w:bookmarkStart w:id="335" w:name="_Toc6201"/>
            <w:bookmarkStart w:id="336" w:name="_Toc2978"/>
            <w:bookmarkStart w:id="337" w:name="_Toc16123"/>
            <w:bookmarkStart w:id="338" w:name="_Toc24744"/>
            <w:bookmarkStart w:id="339" w:name="_Toc27559"/>
            <w:bookmarkStart w:id="340" w:name="_Toc15362"/>
            <w:bookmarkStart w:id="341" w:name="_Toc14254"/>
            <w:bookmarkStart w:id="342" w:name="_Toc32336"/>
            <w:bookmarkStart w:id="343" w:name="_Toc30235"/>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机构名称</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tc>
        <w:tc>
          <w:tcPr>
            <w:tcW w:w="1376" w:type="dxa"/>
            <w:noWrap w:val="0"/>
            <w:vAlign w:val="center"/>
          </w:tcPr>
          <w:p w14:paraId="75A37E5E">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344" w:name="_Toc17860"/>
            <w:bookmarkStart w:id="345" w:name="_Toc9544"/>
            <w:bookmarkStart w:id="346" w:name="_Toc28990"/>
            <w:bookmarkStart w:id="347" w:name="_Toc21063"/>
            <w:bookmarkStart w:id="348" w:name="_Toc25900"/>
            <w:bookmarkStart w:id="349" w:name="_Toc10836"/>
            <w:bookmarkStart w:id="350" w:name="_Toc3645"/>
            <w:bookmarkStart w:id="351" w:name="_Toc16145"/>
            <w:bookmarkStart w:id="352" w:name="_Toc12510"/>
            <w:bookmarkStart w:id="353" w:name="_Toc13491"/>
            <w:bookmarkStart w:id="354" w:name="_Toc10518"/>
            <w:bookmarkStart w:id="355" w:name="_Toc18884"/>
            <w:bookmarkStart w:id="356" w:name="_Toc19028"/>
            <w:bookmarkStart w:id="357" w:name="_Toc14783"/>
            <w:bookmarkStart w:id="358" w:name="_Toc20351"/>
            <w:bookmarkStart w:id="359" w:name="_Toc28097"/>
            <w:bookmarkStart w:id="360" w:name="_Toc20090"/>
            <w:bookmarkStart w:id="361" w:name="_Toc32507"/>
            <w:bookmarkStart w:id="362" w:name="_Toc12851"/>
            <w:bookmarkStart w:id="363" w:name="_Toc12771"/>
            <w:bookmarkStart w:id="364" w:name="_Toc3492"/>
            <w:bookmarkStart w:id="365" w:name="_Toc23080"/>
            <w:bookmarkStart w:id="366" w:name="_Toc23010"/>
            <w:bookmarkStart w:id="367" w:name="_Toc20497"/>
            <w:bookmarkStart w:id="368" w:name="_Toc18594"/>
            <w:bookmarkStart w:id="369" w:name="_Toc8515"/>
            <w:bookmarkStart w:id="370" w:name="_Toc4855"/>
            <w:bookmarkStart w:id="371" w:name="_Toc7681"/>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机构地址</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tc>
        <w:tc>
          <w:tcPr>
            <w:tcW w:w="1251" w:type="dxa"/>
            <w:noWrap w:val="0"/>
            <w:vAlign w:val="center"/>
          </w:tcPr>
          <w:p w14:paraId="631C89C1">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372" w:name="_Toc14093"/>
            <w:bookmarkStart w:id="373" w:name="_Toc29540"/>
            <w:bookmarkStart w:id="374" w:name="_Toc15137"/>
            <w:bookmarkStart w:id="375" w:name="_Toc12591"/>
            <w:bookmarkStart w:id="376" w:name="_Toc22899"/>
            <w:bookmarkStart w:id="377" w:name="_Toc280"/>
            <w:bookmarkStart w:id="378" w:name="_Toc1583"/>
            <w:bookmarkStart w:id="379" w:name="_Toc12237"/>
            <w:bookmarkStart w:id="380" w:name="_Toc31369"/>
            <w:bookmarkStart w:id="381" w:name="_Toc29930"/>
            <w:bookmarkStart w:id="382" w:name="_Toc31544"/>
            <w:bookmarkStart w:id="383" w:name="_Toc943"/>
            <w:bookmarkStart w:id="384" w:name="_Toc4640"/>
            <w:bookmarkStart w:id="385" w:name="_Toc30050"/>
            <w:bookmarkStart w:id="386" w:name="_Toc19533"/>
            <w:bookmarkStart w:id="387" w:name="_Toc21669"/>
            <w:bookmarkStart w:id="388" w:name="_Toc7023"/>
            <w:bookmarkStart w:id="389" w:name="_Toc26035"/>
            <w:bookmarkStart w:id="390" w:name="_Toc31846"/>
            <w:bookmarkStart w:id="391" w:name="_Toc3849"/>
            <w:bookmarkStart w:id="392" w:name="_Toc10397"/>
            <w:bookmarkStart w:id="393" w:name="_Toc6464"/>
            <w:bookmarkStart w:id="394" w:name="_Toc5705"/>
            <w:bookmarkStart w:id="395" w:name="_Toc18878"/>
            <w:bookmarkStart w:id="396" w:name="_Toc12062"/>
            <w:bookmarkStart w:id="397" w:name="_Toc6682"/>
            <w:bookmarkStart w:id="398" w:name="_Toc1273"/>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固话号码</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c>
        <w:tc>
          <w:tcPr>
            <w:tcW w:w="1251" w:type="dxa"/>
            <w:noWrap w:val="0"/>
            <w:vAlign w:val="center"/>
          </w:tcPr>
          <w:p w14:paraId="4BA99DE4">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399" w:name="_Toc15764"/>
            <w:bookmarkStart w:id="400" w:name="_Toc9626"/>
            <w:bookmarkStart w:id="401" w:name="_Toc24220"/>
            <w:bookmarkStart w:id="402" w:name="_Toc10875"/>
            <w:bookmarkStart w:id="403" w:name="_Toc20156"/>
            <w:bookmarkStart w:id="404" w:name="_Toc24081"/>
            <w:bookmarkStart w:id="405" w:name="_Toc22301"/>
            <w:bookmarkStart w:id="406" w:name="_Toc25725"/>
            <w:bookmarkStart w:id="407" w:name="_Toc9926"/>
            <w:bookmarkStart w:id="408" w:name="_Toc30764"/>
            <w:bookmarkStart w:id="409" w:name="_Toc1875"/>
            <w:bookmarkStart w:id="410" w:name="_Toc10402"/>
            <w:bookmarkStart w:id="411" w:name="_Toc16024"/>
            <w:bookmarkStart w:id="412" w:name="_Toc13471"/>
            <w:bookmarkStart w:id="413" w:name="_Toc8784"/>
            <w:bookmarkStart w:id="414" w:name="_Toc246"/>
            <w:bookmarkStart w:id="415" w:name="_Toc14542"/>
            <w:bookmarkStart w:id="416" w:name="_Toc15015"/>
            <w:bookmarkStart w:id="417" w:name="_Toc15999"/>
            <w:bookmarkStart w:id="418" w:name="_Toc30264"/>
            <w:bookmarkStart w:id="419" w:name="_Toc21946"/>
            <w:bookmarkStart w:id="420" w:name="_Toc24123"/>
            <w:bookmarkStart w:id="421" w:name="_Toc697"/>
            <w:bookmarkStart w:id="422" w:name="_Toc17811"/>
            <w:bookmarkStart w:id="423" w:name="_Toc28184"/>
            <w:bookmarkStart w:id="424" w:name="_Toc22157"/>
            <w:bookmarkStart w:id="425" w:name="_Toc4393"/>
            <w:bookmarkStart w:id="426" w:name="_Toc28339"/>
            <w:bookmarkStart w:id="427" w:name="_Toc15477"/>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联系人</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tc>
        <w:tc>
          <w:tcPr>
            <w:tcW w:w="1224" w:type="dxa"/>
            <w:noWrap w:val="0"/>
            <w:vAlign w:val="center"/>
          </w:tcPr>
          <w:p w14:paraId="398CED4A">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428" w:name="_Toc20014"/>
            <w:bookmarkStart w:id="429" w:name="_Toc28533"/>
            <w:bookmarkStart w:id="430" w:name="_Toc32545"/>
            <w:bookmarkStart w:id="431" w:name="_Toc7210"/>
            <w:bookmarkStart w:id="432" w:name="_Toc13519"/>
            <w:bookmarkStart w:id="433" w:name="_Toc23923"/>
            <w:bookmarkStart w:id="434" w:name="_Toc31043"/>
            <w:bookmarkStart w:id="435" w:name="_Toc20059"/>
            <w:bookmarkStart w:id="436" w:name="_Toc26871"/>
            <w:bookmarkStart w:id="437" w:name="_Toc18521"/>
            <w:bookmarkStart w:id="438" w:name="_Toc7242"/>
            <w:bookmarkStart w:id="439" w:name="_Toc22701"/>
            <w:bookmarkStart w:id="440" w:name="_Toc1872"/>
            <w:bookmarkStart w:id="441" w:name="_Toc16094"/>
            <w:bookmarkStart w:id="442" w:name="_Toc4388"/>
            <w:bookmarkStart w:id="443" w:name="_Toc6618"/>
            <w:bookmarkStart w:id="444" w:name="_Toc22412"/>
            <w:bookmarkStart w:id="445" w:name="_Toc26287"/>
            <w:bookmarkStart w:id="446" w:name="_Toc17474"/>
            <w:bookmarkStart w:id="447" w:name="_Toc8631"/>
            <w:bookmarkStart w:id="448" w:name="_Toc26004"/>
            <w:bookmarkStart w:id="449" w:name="_Toc27482"/>
            <w:bookmarkStart w:id="450" w:name="_Toc28311"/>
            <w:bookmarkStart w:id="451" w:name="_Toc29949"/>
            <w:bookmarkStart w:id="452" w:name="_Toc8473"/>
            <w:bookmarkStart w:id="453" w:name="_Toc13239"/>
            <w:bookmarkStart w:id="454" w:name="_Toc29060"/>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联系电话</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tc>
        <w:tc>
          <w:tcPr>
            <w:tcW w:w="1669" w:type="dxa"/>
            <w:noWrap w:val="0"/>
            <w:vAlign w:val="center"/>
          </w:tcPr>
          <w:p w14:paraId="255B37FF">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455" w:name="_Toc3265"/>
            <w:bookmarkStart w:id="456" w:name="_Toc6185"/>
            <w:bookmarkStart w:id="457" w:name="_Toc14771"/>
            <w:bookmarkStart w:id="458" w:name="_Toc28482"/>
            <w:bookmarkStart w:id="459" w:name="_Toc31016"/>
            <w:bookmarkStart w:id="460" w:name="_Toc8611"/>
            <w:bookmarkStart w:id="461" w:name="_Toc5036"/>
            <w:bookmarkStart w:id="462" w:name="_Toc2225"/>
            <w:bookmarkStart w:id="463" w:name="_Toc29053"/>
            <w:bookmarkStart w:id="464" w:name="_Toc9429"/>
            <w:bookmarkStart w:id="465" w:name="_Toc9184"/>
            <w:bookmarkStart w:id="466" w:name="_Toc28039"/>
            <w:bookmarkStart w:id="467" w:name="_Toc2882"/>
            <w:bookmarkStart w:id="468" w:name="_Toc21540"/>
            <w:bookmarkStart w:id="469" w:name="_Toc26026"/>
            <w:bookmarkStart w:id="470" w:name="_Toc27890"/>
            <w:bookmarkStart w:id="471" w:name="_Toc3039"/>
            <w:bookmarkStart w:id="472" w:name="_Toc6586"/>
            <w:bookmarkStart w:id="473" w:name="_Toc3132"/>
            <w:bookmarkStart w:id="474" w:name="_Toc30413"/>
            <w:bookmarkStart w:id="475" w:name="_Toc26539"/>
            <w:bookmarkStart w:id="476" w:name="_Toc19590"/>
            <w:bookmarkStart w:id="477" w:name="_Toc18270"/>
            <w:bookmarkStart w:id="478" w:name="_Toc27573"/>
            <w:bookmarkStart w:id="479" w:name="_Toc24120"/>
            <w:bookmarkStart w:id="480" w:name="_Toc17461"/>
            <w:bookmarkStart w:id="481" w:name="_Toc30357"/>
            <w:bookmarkStart w:id="482" w:name="_Toc2580"/>
            <w:bookmarkStart w:id="483" w:name="_Toc8699"/>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E-mail/QQ</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tc>
        <w:tc>
          <w:tcPr>
            <w:tcW w:w="1669" w:type="dxa"/>
            <w:noWrap w:val="0"/>
            <w:vAlign w:val="center"/>
          </w:tcPr>
          <w:p w14:paraId="38A98E39">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bookmarkStart w:id="484" w:name="_Toc1188"/>
            <w:bookmarkStart w:id="485" w:name="_Toc27842"/>
            <w:bookmarkStart w:id="486" w:name="_Toc29384"/>
            <w:bookmarkStart w:id="487" w:name="_Toc32656"/>
            <w:bookmarkStart w:id="488" w:name="_Toc3025"/>
            <w:bookmarkStart w:id="489" w:name="_Toc16524"/>
            <w:bookmarkStart w:id="490" w:name="_Toc31327"/>
            <w:bookmarkStart w:id="491" w:name="_Toc19524"/>
            <w:bookmarkStart w:id="492" w:name="_Toc5810"/>
            <w:bookmarkStart w:id="493" w:name="_Toc24810"/>
            <w:bookmarkStart w:id="494" w:name="_Toc32207"/>
            <w:bookmarkStart w:id="495" w:name="_Toc620"/>
            <w:bookmarkStart w:id="496" w:name="_Toc12459"/>
            <w:bookmarkStart w:id="497" w:name="_Toc17215"/>
            <w:bookmarkStart w:id="498" w:name="_Toc5218"/>
            <w:bookmarkStart w:id="499" w:name="_Toc20906"/>
            <w:bookmarkStart w:id="500" w:name="_Toc12582"/>
            <w:bookmarkStart w:id="501" w:name="_Toc24149"/>
            <w:bookmarkStart w:id="502" w:name="_Toc9215"/>
            <w:bookmarkStart w:id="503" w:name="_Toc22453"/>
            <w:bookmarkStart w:id="504" w:name="_Toc32630"/>
            <w:bookmarkStart w:id="505" w:name="_Toc10061"/>
            <w:bookmarkStart w:id="506" w:name="_Toc26523"/>
            <w:bookmarkStart w:id="507" w:name="_Toc1752"/>
            <w:bookmarkStart w:id="508" w:name="_Toc2167"/>
            <w:bookmarkStart w:id="509" w:name="_Toc14213"/>
            <w:bookmarkStart w:id="510" w:name="_Toc11790"/>
            <w:bookmarkStart w:id="511" w:name="_Toc5711"/>
            <w:bookmarkStart w:id="512" w:name="_Toc14899"/>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400/800全国免费电话</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tc>
      </w:tr>
      <w:tr w14:paraId="3E990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BA635A4">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3CB53C3B">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319B1CCA">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56105CC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59DACDF0">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20A39CCF">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22CE3E3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65177251">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14:paraId="768D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B0600A7">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34C37D6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597416D2">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2911A6CB">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0EF4D214">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7E14C05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6DBF942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29B4E689">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14:paraId="04AD7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A76CFF4">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73A17DB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6276F87D">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0746551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79901F90">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10744DFB">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5A6CEC47">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64BC33AE">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14:paraId="66A8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53FD5D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0B592A89">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286B9116">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7A4FE42A">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6D7192D0">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5961DE3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0EFA6CC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690C2F2D">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14:paraId="4BD2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3CAEA4D7">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77E19B0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626BD612">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56A75A5A">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5982C304">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64F11129">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1032653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209325CF">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14:paraId="6447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A5C0554">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1C3E30A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7A4B89CB">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7EB5305A">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290F8CB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6508E41F">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53E0D82C">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22C9EF21">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14:paraId="590E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45DDDA9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61" w:type="dxa"/>
            <w:noWrap w:val="0"/>
            <w:vAlign w:val="center"/>
          </w:tcPr>
          <w:p w14:paraId="740F4AE5">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376" w:type="dxa"/>
            <w:noWrap w:val="0"/>
            <w:vAlign w:val="center"/>
          </w:tcPr>
          <w:p w14:paraId="3FD5196A">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731B1ADD">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51" w:type="dxa"/>
            <w:noWrap w:val="0"/>
            <w:vAlign w:val="center"/>
          </w:tcPr>
          <w:p w14:paraId="626B8D82">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224" w:type="dxa"/>
            <w:noWrap w:val="0"/>
            <w:vAlign w:val="center"/>
          </w:tcPr>
          <w:p w14:paraId="3FF8D0E7">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5D499B31">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669" w:type="dxa"/>
            <w:noWrap w:val="0"/>
            <w:vAlign w:val="center"/>
          </w:tcPr>
          <w:p w14:paraId="3F7D0C6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center"/>
              <w:textAlignment w:val="auto"/>
              <w:outlineLvl w:val="9"/>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bl>
    <w:p w14:paraId="383E8918">
      <w:pPr>
        <w:pStyle w:val="5"/>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jc w:val="left"/>
        <w:textAlignment w:val="auto"/>
        <w:outlineLvl w:val="9"/>
        <w:rPr>
          <w:rFonts w:hint="eastAsia" w:ascii="仿宋" w:hAnsi="仿宋" w:eastAsia="仿宋" w:cs="仿宋"/>
          <w:color w:val="000000" w:themeColor="text1"/>
          <w:spacing w:val="-1"/>
          <w:sz w:val="24"/>
          <w:szCs w:val="24"/>
          <w:highlight w:val="none"/>
          <w14:textFill>
            <w14:solidFill>
              <w14:schemeClr w14:val="tx1"/>
            </w14:solidFill>
          </w14:textFill>
        </w:rPr>
      </w:pPr>
      <w:bookmarkStart w:id="513" w:name="_Toc5807"/>
      <w:bookmarkStart w:id="514" w:name="_Toc13539"/>
      <w:bookmarkStart w:id="515" w:name="_Toc28284"/>
      <w:bookmarkStart w:id="516" w:name="_Toc12961"/>
      <w:bookmarkStart w:id="517" w:name="_Toc13525"/>
      <w:bookmarkStart w:id="518" w:name="_Toc6364"/>
      <w:bookmarkStart w:id="519" w:name="_Toc9881"/>
      <w:bookmarkStart w:id="520" w:name="_Toc26566"/>
      <w:bookmarkStart w:id="521" w:name="_Toc29027"/>
      <w:bookmarkStart w:id="522" w:name="_Toc11876"/>
      <w:bookmarkStart w:id="523" w:name="_Toc20444"/>
      <w:bookmarkStart w:id="524" w:name="_Toc19820"/>
      <w:bookmarkStart w:id="525" w:name="_Toc15916"/>
      <w:bookmarkStart w:id="526" w:name="_Toc1940"/>
      <w:bookmarkStart w:id="527" w:name="_Toc366"/>
      <w:bookmarkStart w:id="528" w:name="_Toc16685"/>
      <w:bookmarkStart w:id="529" w:name="_Toc24356"/>
      <w:bookmarkStart w:id="530" w:name="_Toc7105"/>
      <w:bookmarkStart w:id="531" w:name="_Toc25178"/>
      <w:bookmarkStart w:id="532" w:name="_Toc15187"/>
      <w:bookmarkStart w:id="533" w:name="_Toc7618"/>
      <w:bookmarkStart w:id="534" w:name="_Toc19065"/>
      <w:bookmarkStart w:id="535" w:name="_Toc20974"/>
      <w:bookmarkStart w:id="536" w:name="_Toc26955"/>
      <w:bookmarkStart w:id="537" w:name="_Toc2644"/>
      <w:bookmarkStart w:id="538" w:name="_Toc406"/>
      <w:bookmarkStart w:id="539" w:name="_Toc26181"/>
      <w:bookmarkStart w:id="540" w:name="_Toc12270"/>
      <w:bookmarkStart w:id="541" w:name="_Toc8634"/>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注：若服务机构为合作伙伴的需提供相关证明资料如机构营业执照等</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（扫描件加盖电子公章）</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39DE3D2A">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A189E18">
      <w:pPr>
        <w:pStyle w:val="2"/>
        <w:rPr>
          <w:rFonts w:hint="eastAsia" w:ascii="仿宋" w:hAnsi="仿宋" w:eastAsia="仿宋" w:cs="仿宋"/>
          <w:highlight w:val="none"/>
        </w:rPr>
      </w:pPr>
    </w:p>
    <w:bookmarkEnd w:id="272"/>
    <w:p w14:paraId="5E942083">
      <w:pPr>
        <w:pStyle w:val="4"/>
        <w:pageBreakBefore w:val="0"/>
        <w:kinsoku/>
        <w:wordWrap w:val="0"/>
        <w:overflowPunct/>
        <w:bidi w:val="0"/>
        <w:spacing w:after="0" w:line="360" w:lineRule="auto"/>
        <w:jc w:val="center"/>
        <w:rPr>
          <w:rFonts w:hint="eastAsia" w:ascii="仿宋" w:hAnsi="仿宋" w:eastAsia="仿宋" w:cs="仿宋"/>
          <w:color w:val="auto"/>
          <w:sz w:val="28"/>
          <w:szCs w:val="28"/>
          <w:highlight w:val="none"/>
        </w:rPr>
      </w:pPr>
      <w:bookmarkStart w:id="542" w:name="_Toc20989"/>
      <w:bookmarkStart w:id="543" w:name="_Toc15049"/>
      <w:r>
        <w:rPr>
          <w:rFonts w:hint="eastAsia" w:ascii="仿宋" w:hAnsi="仿宋" w:eastAsia="仿宋" w:cs="仿宋"/>
          <w:color w:val="auto"/>
          <w:sz w:val="28"/>
          <w:szCs w:val="28"/>
          <w:highlight w:val="none"/>
        </w:rPr>
        <w:t>四、其他资料</w:t>
      </w:r>
      <w:bookmarkEnd w:id="542"/>
      <w:bookmarkEnd w:id="543"/>
    </w:p>
    <w:p w14:paraId="48478BE0">
      <w:pPr>
        <w:pageBreakBefore w:val="0"/>
        <w:kinsoku/>
        <w:wordWrap w:val="0"/>
        <w:overflowPunct/>
        <w:bidi w:val="0"/>
        <w:spacing w:line="360" w:lineRule="auto"/>
        <w:rPr>
          <w:rFonts w:hint="eastAsia" w:ascii="仿宋" w:hAnsi="仿宋" w:eastAsia="仿宋" w:cs="仿宋"/>
          <w:color w:val="auto"/>
          <w:sz w:val="24"/>
          <w:szCs w:val="24"/>
          <w:highlight w:val="none"/>
        </w:rPr>
      </w:pPr>
    </w:p>
    <w:p w14:paraId="248A304E">
      <w:pPr>
        <w:pageBreakBefore w:val="0"/>
        <w:kinsoku/>
        <w:wordWrap w:val="0"/>
        <w:overflowPunct/>
        <w:bidi w:val="0"/>
        <w:spacing w:line="360" w:lineRule="auto"/>
        <w:rPr>
          <w:rFonts w:hint="eastAsia" w:ascii="仿宋" w:hAnsi="仿宋" w:eastAsia="仿宋" w:cs="仿宋"/>
          <w:color w:val="auto"/>
          <w:sz w:val="24"/>
          <w:szCs w:val="24"/>
          <w:highlight w:val="none"/>
        </w:rPr>
      </w:pPr>
    </w:p>
    <w:p w14:paraId="7D0468B4">
      <w:pPr>
        <w:pageBreakBefore w:val="0"/>
        <w:kinsoku/>
        <w:wordWrap w:val="0"/>
        <w:overflowPunct/>
        <w:bidi w:val="0"/>
        <w:spacing w:line="5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1、采购人或采购代理机构发出的修改或补遗（如有）；</w:t>
      </w:r>
    </w:p>
    <w:p w14:paraId="58C5E7CF">
      <w:pPr>
        <w:pageBreakBefore w:val="0"/>
        <w:kinsoku/>
        <w:wordWrap w:val="0"/>
        <w:overflowPunct/>
        <w:bidi w:val="0"/>
        <w:spacing w:line="560" w:lineRule="exact"/>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8"/>
          <w:szCs w:val="28"/>
          <w:highlight w:val="none"/>
        </w:rPr>
        <w:t>招标文件要求</w:t>
      </w:r>
      <w:r>
        <w:rPr>
          <w:rFonts w:hint="eastAsia" w:ascii="仿宋" w:hAnsi="仿宋" w:eastAsia="仿宋" w:cs="仿宋"/>
          <w:color w:val="auto"/>
          <w:sz w:val="28"/>
          <w:szCs w:val="28"/>
          <w:highlight w:val="none"/>
          <w:lang w:val="en-US" w:eastAsia="zh-CN"/>
        </w:rPr>
        <w:t>的其他资料；</w:t>
      </w:r>
    </w:p>
    <w:p w14:paraId="60090CC2">
      <w:pPr>
        <w:pageBreakBefore w:val="0"/>
        <w:kinsoku/>
        <w:wordWrap w:val="0"/>
        <w:overflowPunct/>
        <w:bidi w:val="0"/>
        <w:spacing w:line="56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认为有必要提供的其他材料（格式自拟）</w:t>
      </w:r>
    </w:p>
    <w:p w14:paraId="28247142">
      <w:pPr>
        <w:pageBreakBefore w:val="0"/>
        <w:kinsoku/>
        <w:wordWrap w:val="0"/>
        <w:overflowPunct/>
        <w:bidi w:val="0"/>
        <w:spacing w:line="360" w:lineRule="auto"/>
        <w:rPr>
          <w:rFonts w:hint="eastAsia" w:ascii="仿宋" w:hAnsi="仿宋" w:eastAsia="仿宋" w:cs="仿宋"/>
          <w:color w:val="auto"/>
          <w:sz w:val="24"/>
          <w:szCs w:val="24"/>
          <w:highlight w:val="none"/>
        </w:rPr>
      </w:pPr>
    </w:p>
    <w:p w14:paraId="4FB313A8">
      <w:pPr>
        <w:pageBreakBefore w:val="0"/>
        <w:kinsoku/>
        <w:wordWrap w:val="0"/>
        <w:overflowPunct/>
        <w:bidi w:val="0"/>
        <w:rPr>
          <w:rFonts w:hint="eastAsia" w:ascii="仿宋" w:hAnsi="仿宋" w:eastAsia="仿宋" w:cs="仿宋"/>
          <w:color w:val="auto"/>
          <w:highlight w:val="none"/>
        </w:rPr>
        <w:sectPr>
          <w:pgSz w:w="11906" w:h="16838"/>
          <w:pgMar w:top="1440" w:right="1080" w:bottom="1440" w:left="1080" w:header="851" w:footer="992" w:gutter="0"/>
          <w:pgNumType w:fmt="decimal"/>
          <w:cols w:space="708" w:num="1"/>
          <w:docGrid w:type="lines" w:linePitch="312" w:charSpace="0"/>
        </w:sectPr>
      </w:pPr>
      <w:r>
        <w:rPr>
          <w:rFonts w:hint="eastAsia" w:ascii="仿宋" w:hAnsi="仿宋" w:eastAsia="仿宋" w:cs="仿宋"/>
          <w:color w:val="auto"/>
          <w:highlight w:val="none"/>
        </w:rPr>
        <w:br w:type="page"/>
      </w:r>
    </w:p>
    <w:p w14:paraId="05260E29">
      <w:pPr>
        <w:pStyle w:val="2"/>
        <w:rPr>
          <w:rFonts w:hint="eastAsia" w:ascii="仿宋" w:hAnsi="仿宋" w:eastAsia="仿宋" w:cs="仿宋"/>
          <w:highlight w:val="none"/>
        </w:rPr>
      </w:pPr>
    </w:p>
    <w:p w14:paraId="23349204">
      <w:pPr>
        <w:pStyle w:val="3"/>
        <w:pageBreakBefore w:val="0"/>
        <w:kinsoku/>
        <w:wordWrap w:val="0"/>
        <w:overflowPunct/>
        <w:bidi w:val="0"/>
        <w:spacing w:line="360" w:lineRule="auto"/>
        <w:jc w:val="center"/>
        <w:rPr>
          <w:rFonts w:hint="eastAsia" w:ascii="仿宋" w:hAnsi="仿宋" w:eastAsia="仿宋" w:cs="仿宋"/>
          <w:color w:val="auto"/>
          <w:sz w:val="24"/>
          <w:highlight w:val="none"/>
        </w:rPr>
      </w:pPr>
      <w:bookmarkStart w:id="544" w:name="_Toc7441"/>
      <w:bookmarkStart w:id="545" w:name="_Toc313"/>
      <w:r>
        <w:rPr>
          <w:rFonts w:hint="eastAsia" w:ascii="仿宋" w:hAnsi="仿宋" w:eastAsia="仿宋" w:cs="仿宋"/>
          <w:color w:val="auto"/>
          <w:highlight w:val="none"/>
        </w:rPr>
        <w:t>第六章 采购需求及要求</w:t>
      </w:r>
      <w:bookmarkEnd w:id="544"/>
      <w:bookmarkEnd w:id="545"/>
    </w:p>
    <w:p w14:paraId="30202C7A">
      <w:pPr>
        <w:pStyle w:val="4"/>
        <w:keepNext w:val="0"/>
        <w:keepLines w:val="0"/>
        <w:pageBreakBefore w:val="0"/>
        <w:widowControl w:val="0"/>
        <w:kinsoku/>
        <w:wordWrap w:val="0"/>
        <w:overflowPunct/>
        <w:topLinePunct/>
        <w:autoSpaceDE/>
        <w:autoSpaceDN/>
        <w:bidi w:val="0"/>
        <w:adjustRightInd/>
        <w:snapToGrid/>
        <w:spacing w:before="0" w:after="0" w:line="600" w:lineRule="auto"/>
        <w:ind w:firstLine="643" w:firstLineChars="200"/>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bookmarkStart w:id="546" w:name="_Toc3204"/>
      <w:bookmarkStart w:id="547" w:name="_Toc28817"/>
      <w:r>
        <w:rPr>
          <w:rFonts w:hint="eastAsia" w:ascii="仿宋" w:hAnsi="仿宋" w:eastAsia="仿宋" w:cs="仿宋"/>
          <w:highlight w:val="none"/>
          <w:lang w:val="en-US" w:eastAsia="zh-CN"/>
        </w:rPr>
        <w:t>一、技术参数</w:t>
      </w:r>
      <w:bookmarkEnd w:id="546"/>
      <w:bookmarkEnd w:id="547"/>
    </w:p>
    <w:tbl>
      <w:tblPr>
        <w:tblStyle w:val="22"/>
        <w:tblW w:w="142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9"/>
        <w:gridCol w:w="1333"/>
        <w:gridCol w:w="9889"/>
        <w:gridCol w:w="789"/>
        <w:gridCol w:w="756"/>
        <w:gridCol w:w="755"/>
      </w:tblGrid>
      <w:tr w14:paraId="27B48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93BE">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序号</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F4B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b/>
                <w:bCs/>
                <w:i w:val="0"/>
                <w:iCs w:val="0"/>
                <w:color w:val="000000"/>
                <w:kern w:val="2"/>
                <w:sz w:val="24"/>
                <w:szCs w:val="24"/>
                <w:highlight w:val="none"/>
                <w:u w:val="none"/>
                <w:lang w:val="en-US" w:eastAsia="zh-CN" w:bidi="ar-SA"/>
              </w:rPr>
            </w:pPr>
            <w:r>
              <w:rPr>
                <w:rFonts w:hint="eastAsia" w:ascii="仿宋" w:hAnsi="仿宋" w:eastAsia="仿宋" w:cs="仿宋"/>
                <w:b/>
                <w:bCs/>
                <w:i w:val="0"/>
                <w:iCs w:val="0"/>
                <w:color w:val="000000"/>
                <w:kern w:val="0"/>
                <w:sz w:val="24"/>
                <w:szCs w:val="24"/>
                <w:highlight w:val="none"/>
                <w:u w:val="none"/>
                <w:lang w:val="en-US" w:eastAsia="zh-CN" w:bidi="ar"/>
              </w:rPr>
              <w:t>设备名称</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638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参数/说明</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D47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数量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6FC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bCs/>
                <w:i w:val="0"/>
                <w:iCs w:val="0"/>
                <w:color w:val="000000"/>
                <w:sz w:val="24"/>
                <w:szCs w:val="24"/>
                <w:highlight w:val="none"/>
                <w:u w:val="none"/>
                <w:lang w:val="en-US" w:eastAsia="zh-CN"/>
              </w:rPr>
              <w:t>单位</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639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i w:val="0"/>
                <w:iCs w:val="0"/>
                <w:color w:val="000000"/>
                <w:kern w:val="0"/>
                <w:sz w:val="24"/>
                <w:szCs w:val="24"/>
                <w:highlight w:val="none"/>
                <w:u w:val="none"/>
                <w:lang w:val="en-US" w:eastAsia="zh-CN" w:bidi="ar"/>
              </w:rPr>
              <w:t>所属行业</w:t>
            </w:r>
          </w:p>
        </w:tc>
      </w:tr>
      <w:tr w14:paraId="3771B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53D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C7E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LED切割灯</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290B">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（1）LED光源功率≥1</w:t>
            </w:r>
            <w:r>
              <w:rPr>
                <w:rFonts w:hint="eastAsia" w:ascii="仿宋" w:hAnsi="仿宋" w:eastAsia="仿宋" w:cs="仿宋"/>
                <w:i w:val="0"/>
                <w:iCs w:val="0"/>
                <w:color w:val="000000"/>
                <w:sz w:val="24"/>
                <w:szCs w:val="24"/>
                <w:highlight w:val="none"/>
                <w:u w:val="none"/>
                <w:lang w:val="en-US" w:eastAsia="zh-CN"/>
              </w:rPr>
              <w:t>5</w:t>
            </w:r>
            <w:r>
              <w:rPr>
                <w:rFonts w:hint="eastAsia" w:ascii="仿宋" w:hAnsi="仿宋" w:eastAsia="仿宋" w:cs="仿宋"/>
                <w:i w:val="0"/>
                <w:iCs w:val="0"/>
                <w:color w:val="000000"/>
                <w:sz w:val="24"/>
                <w:szCs w:val="24"/>
                <w:highlight w:val="none"/>
                <w:u w:val="none"/>
              </w:rPr>
              <w:t>00W；</w:t>
            </w:r>
          </w:p>
          <w:p w14:paraId="52D2AC4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（2）显</w:t>
            </w:r>
            <w:r>
              <w:rPr>
                <w:rFonts w:hint="eastAsia" w:ascii="仿宋" w:hAnsi="仿宋" w:eastAsia="仿宋" w:cs="仿宋"/>
                <w:i w:val="0"/>
                <w:iCs w:val="0"/>
                <w:color w:val="000000"/>
                <w:sz w:val="24"/>
                <w:szCs w:val="24"/>
                <w:highlight w:val="none"/>
                <w:u w:val="none"/>
                <w:lang w:eastAsia="zh-CN"/>
              </w:rPr>
              <w:t>色</w:t>
            </w:r>
            <w:r>
              <w:rPr>
                <w:rFonts w:hint="eastAsia" w:ascii="仿宋" w:hAnsi="仿宋" w:eastAsia="仿宋" w:cs="仿宋"/>
                <w:i w:val="0"/>
                <w:iCs w:val="0"/>
                <w:color w:val="000000"/>
                <w:sz w:val="24"/>
                <w:szCs w:val="24"/>
                <w:highlight w:val="none"/>
                <w:u w:val="none"/>
              </w:rPr>
              <w:t>指数Ra≥90，R9≥90；</w:t>
            </w:r>
          </w:p>
          <w:p w14:paraId="5EE8A643">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（3）8倍以上线性变焦，最小角度≤6°；</w:t>
            </w:r>
          </w:p>
          <w:p w14:paraId="0220EA50">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★（4）电子传感检测</w:t>
            </w:r>
            <w:r>
              <w:rPr>
                <w:rFonts w:hint="eastAsia" w:ascii="仿宋" w:hAnsi="仿宋" w:eastAsia="仿宋" w:cs="仿宋"/>
                <w:i w:val="0"/>
                <w:iCs w:val="0"/>
                <w:color w:val="000000"/>
                <w:sz w:val="24"/>
                <w:szCs w:val="24"/>
                <w:highlight w:val="none"/>
                <w:u w:val="none"/>
                <w:lang w:eastAsia="zh-CN"/>
              </w:rPr>
              <w:t>：</w:t>
            </w:r>
            <w:r>
              <w:rPr>
                <w:rFonts w:hint="eastAsia" w:ascii="仿宋" w:hAnsi="仿宋" w:eastAsia="仿宋" w:cs="仿宋"/>
                <w:i w:val="0"/>
                <w:iCs w:val="0"/>
                <w:color w:val="000000"/>
                <w:sz w:val="24"/>
                <w:szCs w:val="24"/>
                <w:highlight w:val="none"/>
                <w:u w:val="none"/>
              </w:rPr>
              <w:t>灯具具有霍尔传感器和磁编码传感器，可对运动部件信号检测；</w:t>
            </w:r>
          </w:p>
          <w:p w14:paraId="14E0E193">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★（5）CMY无极混色，RGB混色主波长：R：625nm±3nm；G：535nm±3nm；B：450nm±3nm；</w:t>
            </w:r>
          </w:p>
          <w:p w14:paraId="0409662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（6）图案：旋转图案盘带有≥6个图案片；</w:t>
            </w:r>
          </w:p>
          <w:p w14:paraId="35939F5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（7）切割成像系统由4个切角片组成，切角系统可做±90°旋转；</w:t>
            </w:r>
          </w:p>
          <w:p w14:paraId="0D97D74E">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（8）1个可切入切出的动感效果盘；</w:t>
            </w:r>
          </w:p>
          <w:p w14:paraId="4247A6C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rPr>
              <w:t>（9）1个双向旋转棱镜；</w:t>
            </w:r>
          </w:p>
          <w:p w14:paraId="0B808F8E">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（10）具有电动光圈功能；</w:t>
            </w:r>
          </w:p>
          <w:p w14:paraId="0E40E901">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（11）5</w:t>
            </w:r>
            <w:r>
              <w:rPr>
                <w:rFonts w:hint="eastAsia" w:ascii="仿宋" w:hAnsi="仿宋" w:eastAsia="仿宋" w:cs="仿宋"/>
                <w:i w:val="0"/>
                <w:iCs w:val="0"/>
                <w:color w:val="000000"/>
                <w:sz w:val="24"/>
                <w:szCs w:val="24"/>
                <w:highlight w:val="none"/>
                <w:u w:val="none"/>
                <w:lang w:eastAsia="zh-CN"/>
              </w:rPr>
              <w:t xml:space="preserve"> </w:t>
            </w:r>
            <w:r>
              <w:rPr>
                <w:rFonts w:hint="eastAsia" w:ascii="仿宋" w:hAnsi="仿宋" w:eastAsia="仿宋" w:cs="仿宋"/>
                <w:i w:val="0"/>
                <w:iCs w:val="0"/>
                <w:color w:val="000000"/>
                <w:sz w:val="24"/>
                <w:szCs w:val="24"/>
                <w:highlight w:val="none"/>
                <w:u w:val="none"/>
              </w:rPr>
              <w:t>-</w:t>
            </w:r>
            <w:r>
              <w:rPr>
                <w:rFonts w:hint="eastAsia" w:ascii="仿宋" w:hAnsi="仿宋" w:eastAsia="仿宋" w:cs="仿宋"/>
                <w:i w:val="0"/>
                <w:iCs w:val="0"/>
                <w:color w:val="000000"/>
                <w:sz w:val="24"/>
                <w:szCs w:val="24"/>
                <w:highlight w:val="none"/>
                <w:u w:val="none"/>
                <w:lang w:eastAsia="zh-CN"/>
              </w:rPr>
              <w:t xml:space="preserve"> </w:t>
            </w:r>
            <w:r>
              <w:rPr>
                <w:rFonts w:hint="eastAsia" w:ascii="仿宋" w:hAnsi="仿宋" w:eastAsia="仿宋" w:cs="仿宋"/>
                <w:i w:val="0"/>
                <w:iCs w:val="0"/>
                <w:color w:val="000000"/>
                <w:sz w:val="24"/>
                <w:szCs w:val="24"/>
                <w:highlight w:val="none"/>
                <w:u w:val="none"/>
              </w:rPr>
              <w:t>100%线性调光；</w:t>
            </w:r>
          </w:p>
          <w:p w14:paraId="2D2AD2BC">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（12）两个雾化效果，具有重叠功能；</w:t>
            </w:r>
          </w:p>
          <w:p w14:paraId="58D91E3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（13）水平扫描≥540°，垂直扫描≥270°；</w:t>
            </w:r>
          </w:p>
          <w:p w14:paraId="0B267AF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（14）具有软件升级功能；</w:t>
            </w:r>
          </w:p>
          <w:p w14:paraId="0E1F7300">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（15）标准DMX512/RDM协议接口，内置 Artnet（RJ45 接口）；</w:t>
            </w:r>
          </w:p>
          <w:p w14:paraId="0BAD8951">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★（16）风机智能调控：灯具具有NTC温度传感器，可根据温度调节风机转速和挡位；</w:t>
            </w:r>
          </w:p>
          <w:p w14:paraId="5268D7E5">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★（17）具备编辑菜单的无触点滚轮和独立一键式返回物理按钮；</w:t>
            </w:r>
          </w:p>
          <w:p w14:paraId="10CBAFF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★（18）具有云舞台灯具管理平台功能，进行设备维护管理、数据收集、设备实时状态监测，支持远程产品管理云功能、产品的故障自动报障和维护提醒功能、产品远程定位功能等；</w:t>
            </w:r>
          </w:p>
          <w:p w14:paraId="74DDF18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t>（19）配件耗材：信号线500米，规格2*0.2。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9F46">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5EEE">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盏</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8A3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工业</w:t>
            </w:r>
          </w:p>
        </w:tc>
      </w:tr>
      <w:tr w14:paraId="452DD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D61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D6B8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直通硅</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97D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36*6KW</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C2A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CE1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C60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工业</w:t>
            </w:r>
          </w:p>
        </w:tc>
      </w:tr>
      <w:tr w14:paraId="1BFBC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5C7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3</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C7CFE">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数字无线话筒接收机</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F5C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（1）调谐带宽≥82MHz（视地区而定）；</w:t>
            </w:r>
          </w:p>
          <w:p w14:paraId="2BFCA7C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（2）每个6MHz电视频道支持最多17个兼容系统；每个8MHz通道支持22个系统；</w:t>
            </w:r>
          </w:p>
          <w:p w14:paraId="30A47420">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（3）具有自动通道扫描功能；</w:t>
            </w:r>
          </w:p>
          <w:p w14:paraId="527540E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（4）具有红外同步部署发射机的选定频率功能；</w:t>
            </w:r>
          </w:p>
          <w:p w14:paraId="121F2B8F">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（5）联网的通道扫描可为所有已连接的接收器配置开放频率；</w:t>
            </w:r>
          </w:p>
          <w:p w14:paraId="1E0E87C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（6）用于安全无线传输的AES - 256位加密；</w:t>
            </w:r>
          </w:p>
          <w:p w14:paraId="16859F60">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（7）最高60dB可调音频增益；</w:t>
            </w:r>
          </w:p>
          <w:p w14:paraId="4951D81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（8）具有锁定功能的高对比度LCD菜单和控件；</w:t>
            </w:r>
          </w:p>
          <w:p w14:paraId="7AB7B588">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（9）音频和射频LED电平表，带峰值指示灯；</w:t>
            </w:r>
          </w:p>
          <w:p w14:paraId="2292378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（10）具有可拆卸式½波长天线；</w:t>
            </w:r>
          </w:p>
          <w:p w14:paraId="37E8B11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（11）话筒/线路可切换XLR输出；</w:t>
            </w:r>
          </w:p>
          <w:p w14:paraId="476F2D0B">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（12）具有¼英寸乐器输出；</w:t>
            </w:r>
          </w:p>
          <w:p w14:paraId="09582B9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（13）600MHz 频段。</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70D7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7CB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67597">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工业</w:t>
            </w:r>
          </w:p>
        </w:tc>
      </w:tr>
      <w:tr w14:paraId="21FA6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3"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D26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4</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9CD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手持式话筒发射机</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D5A3">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（1）频响范围20 Hz - 20 kHz（实际响应取决于话筒）；</w:t>
            </w:r>
          </w:p>
          <w:p w14:paraId="3B3087FE">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（2）可更换话筒头；</w:t>
            </w:r>
          </w:p>
          <w:p w14:paraId="25EF10B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（3）用于安全无线传输的AES 256位加密；</w:t>
            </w:r>
          </w:p>
          <w:p w14:paraId="0AD41798">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w:t>
            </w:r>
            <w:r>
              <w:rPr>
                <w:rFonts w:hint="eastAsia" w:ascii="仿宋" w:hAnsi="仿宋" w:eastAsia="仿宋" w:cs="仿宋"/>
                <w:i w:val="0"/>
                <w:iCs w:val="0"/>
                <w:strike w:val="0"/>
                <w:color w:val="auto"/>
                <w:sz w:val="24"/>
                <w:szCs w:val="24"/>
                <w:highlight w:val="none"/>
                <w:u w:val="none"/>
                <w:lang w:val="en-US" w:eastAsia="zh-CN"/>
              </w:rPr>
              <w:t>动态范围调整</w:t>
            </w:r>
            <w:r>
              <w:rPr>
                <w:rFonts w:hint="eastAsia" w:ascii="仿宋" w:hAnsi="仿宋" w:eastAsia="仿宋" w:cs="仿宋"/>
                <w:i w:val="0"/>
                <w:iCs w:val="0"/>
                <w:color w:val="000000"/>
                <w:sz w:val="24"/>
                <w:szCs w:val="24"/>
                <w:highlight w:val="none"/>
                <w:u w:val="none"/>
                <w:lang w:val="en-US" w:eastAsia="zh-CN"/>
              </w:rPr>
              <w:t>≥120dB；</w:t>
            </w:r>
          </w:p>
          <w:p w14:paraId="38664FA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（5）1/10mW可选射频输出功率；</w:t>
            </w:r>
          </w:p>
          <w:p w14:paraId="33BC1E7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（6）安装2节AA碱性电池时，可连续使用长达9小时；</w:t>
            </w:r>
          </w:p>
          <w:p w14:paraId="29BED8CE">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（7）背光式LCD显示，配备易用的导航菜单和控制按键，可选的显示模式，显示通道、频率或电池运行时间；</w:t>
            </w:r>
          </w:p>
          <w:p w14:paraId="0F9821AB">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（8）100米（330英尺）视线工作范围；</w:t>
            </w:r>
          </w:p>
          <w:p w14:paraId="038F4A68">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（9）具有频率和功率锁定功能；</w:t>
            </w:r>
          </w:p>
          <w:p w14:paraId="3CF32158">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（10）600MHz 频段。</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40C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E7E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DD4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工业</w:t>
            </w:r>
          </w:p>
        </w:tc>
      </w:tr>
      <w:tr w14:paraId="0E5AC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67BF">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C90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全指向性微型头戴式话筒</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C0C5">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（1）采用5mm全指向性微型设计和硅胶话筒杆支轴系统，能够安置于左耳侧或右耳侧；</w:t>
            </w:r>
          </w:p>
          <w:p w14:paraId="79C290DD">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（2）IP57防尘防水等级；</w:t>
            </w:r>
          </w:p>
          <w:p w14:paraId="45104775">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（3）线缆中采用双重冗余接地；</w:t>
            </w:r>
          </w:p>
          <w:p w14:paraId="693A1CED">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（4）可使用剧院中常见的涂料、钢笔和上色剂进行上漆；</w:t>
            </w:r>
          </w:p>
          <w:p w14:paraId="6594564F">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（5）随附为频率响应定制的高频提升网罩，能够优化人声清晰度和临场感（在10kHz附近增强3 - 4dB）；</w:t>
            </w:r>
          </w:p>
          <w:p w14:paraId="5D5DF3DA">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（6）颜色：肤色；</w:t>
            </w:r>
          </w:p>
          <w:p w14:paraId="1A5F61FF">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（7）提供两种接口类型：TA4F（mTQG）和LEMO；</w:t>
            </w:r>
          </w:p>
          <w:p w14:paraId="06765A39">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（8）包括以下配件：便携袋、泡沫防风罩、扣合式防风罩、单领夹等。</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F9E0">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E76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F3B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工业</w:t>
            </w:r>
          </w:p>
        </w:tc>
      </w:tr>
      <w:tr w14:paraId="5F2C9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5"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A84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4954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天线分配系统</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3A85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（1）将一对天线分频至多台接收机（5台）；</w:t>
            </w:r>
          </w:p>
          <w:p w14:paraId="030B7B6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（2）具有放大射频信号功能，补偿因信号功率被分至多个输出而造成的插入损耗；</w:t>
            </w:r>
          </w:p>
          <w:p w14:paraId="066DE90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（3）4个用于接收机的直流馈电端（15V，最大2.5A）；</w:t>
            </w:r>
          </w:p>
          <w:p w14:paraId="2D0B17D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（4）用于天线偏置的直流输出端（12V，最大300mA）。</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E2A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D00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台</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013E">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工业</w:t>
            </w:r>
          </w:p>
        </w:tc>
      </w:tr>
      <w:tr w14:paraId="02C23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3"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7E8D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53B4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有源指向性天线</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3D48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（1）对数周期偶极振子阵列；</w:t>
            </w:r>
          </w:p>
          <w:p w14:paraId="30BB2969">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（2）集成式放大器具有四个增益设置，用于补偿不同级别的同轴线缆信号损失；</w:t>
            </w:r>
          </w:p>
          <w:p w14:paraId="212C3B78">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（3）可固定在话筒支架上，也可将其悬挂在天花板上，或者使用集成式可旋转支架固定在墙壁上。</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5DD2">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09C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个</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03D6">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工业</w:t>
            </w:r>
          </w:p>
        </w:tc>
      </w:tr>
      <w:tr w14:paraId="6508F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B62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8</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4FF9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专业级三轴相机稳定器</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9FA8">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（1）全能套装；</w:t>
            </w:r>
          </w:p>
          <w:p w14:paraId="2C61F559">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主要参数：1.结构与负载能力：碳纤维轴臂，轻量化设计，最大负载4.5kg，适配主流微单/电影机及镜头组合；延长俯仰轴，优化调平范围，减少打轴现象，提升兼容性。2.电机与稳定性：三轴电机扭矩提升20%（相比前代），响应更灵敏，适应高负载拍摄；第四代增稳算法，优化抗风阻及车辆振动场景，提升动态稳定性；3.智能对焦系统：LiDAR激光跟焦，76800个测距点，最远20米跟焦距离，支持低光环境精准对焦；Focus Pro电机，转速提升30%，支持双电机协同（变焦 + 跟焦）；4.续航与电池：BG70大容量电池手柄，续航29小时（前代的2.4倍），支持快充；标准版BG30手柄续航12小时，可拆卸设计；5.操控与扩展：第二代原生横竖拍切换，无需额外配件，快速切换竖拍模式；蓝牙控制 + 触点接口，支持Ronin图传、Focus Pro手轮等配件，实现远程监看与操控；自动轴锁，开机自动解锁，收纳自动锁定，提升转场效率。</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172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26C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BC344">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049B2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69B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9</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720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无线收音设备</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BC4E">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（1）麦克风无线领夹；</w:t>
            </w:r>
          </w:p>
          <w:p w14:paraId="0B32047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（2）一拖四，多人直播vlog短视频短剧微电影一拖四无线收音麦克风；</w:t>
            </w:r>
          </w:p>
          <w:p w14:paraId="12A673EC">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（3）3.5mm版。</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25A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A58F">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019D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2BC31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0E21C">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B7B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直录播导播台</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3EC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（1）6通道 HDMI/SDI切换台，输入</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4*SDI和2*HDMI，输出</w:t>
            </w:r>
            <w:r>
              <w:rPr>
                <w:rFonts w:hint="eastAsia" w:ascii="仿宋" w:hAnsi="仿宋" w:eastAsia="仿宋" w:cs="仿宋"/>
                <w:i w:val="0"/>
                <w:iCs w:val="0"/>
                <w: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3*SDI AUX</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1*HDMI多画面</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1*USB Type - C PGM输出</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1*SD</w:t>
            </w:r>
            <w:r>
              <w:rPr>
                <w:rFonts w:hint="eastAsia" w:ascii="仿宋" w:hAnsi="仿宋" w:eastAsia="仿宋" w:cs="仿宋"/>
                <w:i w:val="0"/>
                <w:iCs w:val="0"/>
                <w:strike w:val="0"/>
                <w:dstrike w:val="0"/>
                <w:color w:val="auto"/>
                <w:sz w:val="24"/>
                <w:szCs w:val="24"/>
                <w:highlight w:val="none"/>
                <w:u w:val="none"/>
                <w:lang w:val="en-US" w:eastAsia="zh-CN"/>
              </w:rPr>
              <w:t>I</w:t>
            </w:r>
            <w:r>
              <w:rPr>
                <w:rFonts w:hint="eastAsia" w:ascii="仿宋" w:hAnsi="仿宋" w:eastAsia="仿宋" w:cs="仿宋"/>
                <w:i w:val="0"/>
                <w:iCs w:val="0"/>
                <w:color w:val="000000"/>
                <w:sz w:val="24"/>
                <w:szCs w:val="24"/>
                <w:highlight w:val="none"/>
                <w:u w:val="none"/>
                <w:lang w:val="en-US" w:eastAsia="zh-CN"/>
              </w:rPr>
              <w:t xml:space="preserve"> 1*HDMI；</w:t>
            </w:r>
          </w:p>
          <w:p w14:paraId="37FA2E74">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（2）专业级的亮度键和色度键，2x画中画，画外画下游键</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DSK（字幕叠加）和 LOGO 叠加PTZ摄像机控制</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Visca&amp; Pelco协议，支持横屏和竖屏模式；</w:t>
            </w:r>
          </w:p>
          <w:p w14:paraId="42C4AD23">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 USB Type - C输出用于采集和推流RTMP直播推流和U盘/SD卡录制，推杆/自动/硬切转场；</w:t>
            </w:r>
          </w:p>
          <w:p w14:paraId="0B0D8EE3">
            <w:pPr>
              <w:keepNext w:val="0"/>
              <w:keepLines w:val="0"/>
              <w:pageBreakBefore w:val="0"/>
              <w:widowControl w:val="0"/>
              <w:numPr>
                <w:ilvl w:val="0"/>
                <w:numId w:val="0"/>
              </w:numPr>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（4）混音</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4*SDI，2*HDMI内嵌音频和2麦克风输入，支持音频延时功能FTB/MUTE/STILL，GPIO接口用于Tally系统。</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BCA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32C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A606">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737A6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A4B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11</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5D2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专业液压三脚架</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2ED6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（1）碳纤维三脚架；</w:t>
            </w:r>
          </w:p>
          <w:p w14:paraId="206E95B1">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（2）专业摄影羊角架；</w:t>
            </w:r>
          </w:p>
          <w:p w14:paraId="7D04162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（3）一键全开，一秒调平；</w:t>
            </w:r>
          </w:p>
          <w:p w14:paraId="1416E48C">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（4）4档动平衡，水平双阻尼。</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C521">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206C">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0AA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2AFA5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D86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12</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CEAF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专业摄影摄像机套装</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09A1">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（1）摄像机机身（单机身标配）*1台：1.拍摄性能：全画幅背照式CMOS传感器，有效像素约1020万（视频模式），支持 4K 120p高帧率录制，ISO范围80 - 102400（可扩展至409600），15 + 档动态范围，适合低光环境拍摄，支持16 - bit RAW外录（4.2K 60p）和10 - bit 4:2:2机内录制；2.稳定与操控：5轴机身防抖，增强模式优化手持拍摄稳定性，可拆卸XLR手柄，支持4通道24 - bit音频输入，集成专业级麦克风接口，轻量化机身，配备8个1/4英寸螺孔，适配稳定器或无人机；3.专业功能：快速混合自动对焦，支持实时眼部追踪与触摸跟焦，直出电影级色调，减少后期调色需求，高效散热系统，内置风扇支持长时间4K 60p连续录制；</w:t>
            </w:r>
          </w:p>
          <w:p w14:paraId="1C7A0E0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（2）配套品牌电池充电器套装*1套：2600mAh 快速三充套装（电池*2 + 充电器*1）；</w:t>
            </w:r>
          </w:p>
          <w:p w14:paraId="75CBAF9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（3）品牌相机存储卡、读卡器*1套：CFexpress TypeA Gold CFA4.0存储卡 512G*1，TYPEA读卡器*1；</w:t>
            </w:r>
          </w:p>
          <w:p w14:paraId="3707709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（4）品牌假电池*1套：适配摄像机，外接电源适配器电池，直播录像供电。</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BBC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C726">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052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6C217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CBA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13</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DBA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原装镜头</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BB0E3">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（1）FE 24 - 70mm F2.8 GM II 新一代全画幅标准变焦G大师镜头；</w:t>
            </w:r>
          </w:p>
          <w:p w14:paraId="6D931B51">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（2）带UV保护镜。</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442C">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005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支</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D6C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7394C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201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0D6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原装镜头</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1D6B">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FE 16 - 35mm F2.8 GM II 新一代全画幅大三元超广角变焦G大师镜头。</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E2A1">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961A">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支</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600C">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74C96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EAA40">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15</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A1C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专业级口袋云台相机套装</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3B3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（1）专业级口袋云台相机*1；主要参数：1.影像系统：1英寸CMOS传感器，等效像素尺寸3.2μm，提升低光拍摄能力；等效20mm F2.0光圈镜头，支持4K/120fps视频录制，10 - bit D - Log M &amp; HLG色彩模式，优化后期调色空间；全像素疾速对焦，支持智能跟随6.0，精准追踪人、动物、车辆等主体；2. 稳定与操控：三轴机械云台增稳，有效抵消手持抖动，支持低角度拍摄模式；2英寸OLED旋转触控屏（314×556分辨率，700尼特亮度），支持横竖拍智能切换；机身重量179g，尺寸139.7×42.2×33.5mm，便携性强；3. 续航与存储：1300mAh电池，1080p/24fps续航约166分钟，支持PD快充（16分钟充至80%）；microSD卡扩展（最高1TB），推荐使用UHS - I V30及以上规格存储卡；4. 智能功能：智能美颜2.0，支持肤色优化与个性化美颜调节；三阵列麦克风，全指向立体收音，支持Mic 2直连；Wi - Fi直播 &amp; 网络摄像头模式，支持4K/1080p输出；</w:t>
            </w:r>
          </w:p>
          <w:p w14:paraId="6C4F566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（2）配套一拖二无线麦克风*1；支持 “四发八收” 高阶模式。</w:t>
            </w:r>
          </w:p>
          <w:p w14:paraId="1B37A9E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（3）配套续航手柄*1；配套相机收纳包*1；</w:t>
            </w:r>
          </w:p>
          <w:p w14:paraId="16C61025">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（4）配套品牌microsD卡128GB*1；</w:t>
            </w:r>
          </w:p>
          <w:p w14:paraId="2257500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（5）配套原装美颜柔光镜*1；</w:t>
            </w:r>
          </w:p>
          <w:p w14:paraId="6679379E">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（6）配套原装磁吸ND镜套装*1。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1A51">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6048">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8F4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687A5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18737">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16</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67F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户外大功率移动唱歌音响套装</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D17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（1）音箱*1支，无线话筒*2支，配件*1套；</w:t>
            </w:r>
          </w:p>
          <w:p w14:paraId="4DC719E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（2）技术参数：1.音箱：功率360W；AUX接口；2.配件：无线话筒*2支；充电底座*1；电源适配器（AC Adapter）*1；OTG 内录线*1；无线内录套件 *1；音响包*1；说明书、保修卡/保障卡。</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A0C6">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6772">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C2F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21A7B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D4390">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17</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5EE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户外大功率移动唱歌音响套装</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405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（1）音箱*1，无线话筒*1，配件*1套；</w:t>
            </w:r>
          </w:p>
          <w:p w14:paraId="55177E9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（2）技术参数：1.音箱：功率120W；麦克风接口、AUX 接</w:t>
            </w:r>
            <w:r>
              <w:rPr>
                <w:rFonts w:hint="eastAsia" w:ascii="仿宋" w:hAnsi="仿宋" w:eastAsia="仿宋" w:cs="仿宋"/>
                <w:i w:val="0"/>
                <w:iCs w:val="0"/>
                <w:strike w:val="0"/>
                <w:dstrike w:val="0"/>
                <w:color w:val="auto"/>
                <w:sz w:val="24"/>
                <w:szCs w:val="24"/>
                <w:highlight w:val="none"/>
                <w:u w:val="none"/>
                <w:lang w:val="en-US" w:eastAsia="zh-CN"/>
              </w:rPr>
              <w:t>口</w:t>
            </w:r>
            <w:r>
              <w:rPr>
                <w:rFonts w:hint="eastAsia" w:ascii="仿宋" w:hAnsi="仿宋" w:eastAsia="仿宋" w:cs="仿宋"/>
                <w:i w:val="0"/>
                <w:iCs w:val="0"/>
                <w:color w:val="000000"/>
                <w:sz w:val="24"/>
                <w:szCs w:val="24"/>
                <w:highlight w:val="none"/>
                <w:u w:val="none"/>
                <w:lang w:val="en-US" w:eastAsia="zh-CN"/>
              </w:rPr>
              <w:t>、锂电池、适配器。2.配件：无线话筒*1支；无线内录套件*1；电源适配器*1；OTG 内录线*1；便携音箱包*1；金属音箱支架*1；说明书、保修卡。</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091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CB2B">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364B7">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7D7A5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01D2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18</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401A0">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唱歌级直播设备套装</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4B74">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（1）无线麦克风系统*1 + 无线监听耳机*1 + 外置手机声卡*1；</w:t>
            </w:r>
          </w:p>
          <w:p w14:paraId="35E88A6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（2）技术主要参数：麦克风输入（XLR/平衡）信噪比</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95dB</w:t>
            </w:r>
            <w:r>
              <w:rPr>
                <w:rFonts w:hint="eastAsia" w:ascii="仿宋" w:hAnsi="仿宋" w:eastAsia="仿宋" w:cs="仿宋"/>
                <w:i w:val="0"/>
                <w:iCs w:val="0"/>
                <w:strike w:val="0"/>
                <w:dstrike w:val="0"/>
                <w:color w:val="auto"/>
                <w:sz w:val="24"/>
                <w:szCs w:val="24"/>
                <w:highlight w:val="none"/>
                <w:u w:val="none"/>
                <w:lang w:val="en-US" w:eastAsia="zh-CN"/>
              </w:rPr>
              <w:t>，A</w:t>
            </w:r>
            <w:r>
              <w:rPr>
                <w:rFonts w:hint="eastAsia" w:ascii="仿宋" w:hAnsi="仿宋" w:eastAsia="仿宋" w:cs="仿宋"/>
                <w:i w:val="0"/>
                <w:iCs w:val="0"/>
                <w:color w:val="000000"/>
                <w:sz w:val="24"/>
                <w:szCs w:val="24"/>
                <w:highlight w:val="none"/>
                <w:u w:val="none"/>
                <w:lang w:val="en-US" w:eastAsia="zh-CN"/>
              </w:rPr>
              <w:t>-weighted线性输出1/2（6.35mm</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TRS，非平衡）频率响应：20Hz - 20kHz（+/-0.2dB）；</w:t>
            </w:r>
          </w:p>
          <w:p w14:paraId="51A1360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（3）配件：OTG线两根，USB2.0线，三包凭证，7号电池、耳机、台式支架，防滑圈、防喷罩。</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8BCC">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68E5">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套</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8EFF">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rPr>
              <w:t>工业</w:t>
            </w:r>
          </w:p>
        </w:tc>
      </w:tr>
      <w:tr w14:paraId="01305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A94D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19</w:t>
            </w:r>
          </w:p>
        </w:tc>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AF2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钢琴</w:t>
            </w:r>
          </w:p>
        </w:tc>
        <w:tc>
          <w:tcPr>
            <w:tcW w:w="9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E8CB">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★（1）规格：275型或以上三角钢琴；</w:t>
            </w:r>
          </w:p>
          <w:p w14:paraId="2BCF19F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★（2）外观尺寸：长≥275cm，宽≥155cm，高≥100cm；</w:t>
            </w:r>
          </w:p>
          <w:p w14:paraId="1C205281">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（3）五金件：钢琴外观可见的五金件采用不易氧化的金色合金类金属；</w:t>
            </w:r>
          </w:p>
          <w:p w14:paraId="7DC7D9D5">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（4）外壳：板面粘贴防火板；油漆表面平整光亮；键盖商标使用镍片材质并封在油漆里；</w:t>
            </w:r>
            <w:r>
              <w:rPr>
                <w:rFonts w:hint="eastAsia" w:ascii="仿宋" w:hAnsi="仿宋" w:eastAsia="仿宋" w:cs="仿宋"/>
                <w:i w:val="0"/>
                <w:iCs w:val="0"/>
                <w:color w:val="000000"/>
                <w:sz w:val="24"/>
                <w:szCs w:val="24"/>
                <w:highlight w:val="none"/>
                <w:u w:val="none"/>
                <w:lang w:val="en-US" w:eastAsia="zh-CN"/>
              </w:rPr>
              <w:br w:type="textWrapping"/>
            </w:r>
            <w:r>
              <w:rPr>
                <w:rFonts w:hint="eastAsia" w:ascii="仿宋" w:hAnsi="仿宋" w:eastAsia="仿宋" w:cs="仿宋"/>
                <w:i w:val="0"/>
                <w:iCs w:val="0"/>
                <w:color w:val="000000"/>
                <w:sz w:val="24"/>
                <w:szCs w:val="24"/>
                <w:highlight w:val="none"/>
                <w:u w:val="none"/>
                <w:lang w:val="en-US" w:eastAsia="zh-CN"/>
              </w:rPr>
              <w:t>★（5）铁板：翻砂工艺铸铁板；铁板长度≥243cm；</w:t>
            </w:r>
          </w:p>
          <w:p w14:paraId="0B57780B">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（6）琴弦：中高音区裸弦采用抛光琴弦，表面有防锈涂层；低音区琴弦以钢弦为芯线，外层用纯铜弦手工缠绕最大有效弦长≥202cm；中高音区域具有前后复振弦列；</w:t>
            </w:r>
          </w:p>
          <w:p w14:paraId="238E1F4F">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（7）音板：选用鱼鳞云杉，径切纹理，按不同声部的振动而配作加工的非规则不等厚单层实木音板；</w:t>
            </w:r>
          </w:p>
          <w:p w14:paraId="0F48AB0D">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（8）肋木：使用与音板相同材质木材，数量不少于17根；</w:t>
            </w:r>
          </w:p>
          <w:p w14:paraId="0F1BC4C0">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（9）弦轴板</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由多层坚硬的榉木交错压榨制成；</w:t>
            </w:r>
          </w:p>
          <w:p w14:paraId="44EDBA76">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★（10）弦码：中高音弦码和低音弦码一体化不分段设计，竖直弯压粘合，保留原有纹路。使用榉木和红木两种硬木层叠压制；</w:t>
            </w:r>
          </w:p>
          <w:p w14:paraId="2C80A0B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★（11）背柱：实木制作，不少于五根背柱；背柱截面尺寸不少于120*60mm；整体严密牢固，无明显缝隙或粘贴痕迹；</w:t>
            </w:r>
          </w:p>
          <w:p w14:paraId="39AA3F83">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（12）键盘材质</w:t>
            </w:r>
            <w:r>
              <w:rPr>
                <w:rFonts w:hint="eastAsia" w:ascii="仿宋" w:hAnsi="仿宋" w:eastAsia="仿宋" w:cs="仿宋"/>
                <w:i w:val="0"/>
                <w:iCs w:val="0"/>
                <w:strike w:val="0"/>
                <w:dstrike w:val="0"/>
                <w:color w:val="auto"/>
                <w:sz w:val="24"/>
                <w:szCs w:val="24"/>
                <w:highlight w:val="none"/>
                <w:u w:val="none"/>
                <w:lang w:val="en-US" w:eastAsia="zh-CN"/>
              </w:rPr>
              <w:t>：</w:t>
            </w:r>
            <w:r>
              <w:rPr>
                <w:rFonts w:hint="eastAsia" w:ascii="仿宋" w:hAnsi="仿宋" w:eastAsia="仿宋" w:cs="仿宋"/>
                <w:i w:val="0"/>
                <w:iCs w:val="0"/>
                <w:color w:val="000000"/>
                <w:sz w:val="24"/>
                <w:szCs w:val="24"/>
                <w:highlight w:val="none"/>
                <w:u w:val="none"/>
                <w:lang w:val="en-US" w:eastAsia="zh-CN"/>
              </w:rPr>
              <w:t>有机玻璃白键片，黑黄檀木黑键键顶；键板用鱼鳞松制作，含水率要求：6 - 12%；</w:t>
            </w:r>
          </w:p>
          <w:p w14:paraId="6FCCE617">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（13）中盘：使用稳定不易变形的木材制作而成。除螺丝外中盘上面不加装任何金属加固或金属链接结构；</w:t>
            </w:r>
          </w:p>
          <w:p w14:paraId="43ED0312">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★（14）击弦系统：主要运动部件采用鹅耳枥木制作，全套击弦系统为品牌原厂成套制造，非不同厂家部件拼装；</w:t>
            </w:r>
          </w:p>
          <w:p w14:paraId="52C7E0F0">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（15）缓降功能：隐藏式缓降器；</w:t>
            </w:r>
          </w:p>
          <w:p w14:paraId="304A79B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（16）脚轮：静音脚轮，采用一体成型工艺，脚轮外包覆无断点氯化聚乙烯橡胶缓冲层；带有锁止功能；</w:t>
            </w:r>
          </w:p>
          <w:p w14:paraId="1043234A">
            <w:pPr>
              <w:keepNext w:val="0"/>
              <w:keepLines w:val="0"/>
              <w:pageBreakBefore w:val="0"/>
              <w:widowControl w:val="0"/>
              <w:suppressLineNumbers w:val="0"/>
              <w:kinsoku/>
              <w:wordWrap w:val="0"/>
              <w:overflowPunct/>
              <w:topLinePunct/>
              <w:autoSpaceDE/>
              <w:autoSpaceDN/>
              <w:bidi w:val="0"/>
              <w:adjustRightInd/>
              <w:snapToGrid/>
              <w:spacing w:line="320" w:lineRule="exact"/>
              <w:jc w:val="both"/>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★（17）环保：甲醛、甲苯、二甲苯、苯、总挥发有机化合物等有害物质的检测结果符合GB 28489 - 2022《乐器有害物质限量》要求。</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5183">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FDAD">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台</w:t>
            </w:r>
          </w:p>
        </w:tc>
        <w:tc>
          <w:tcPr>
            <w:tcW w:w="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A039">
            <w:pPr>
              <w:keepNext w:val="0"/>
              <w:keepLines w:val="0"/>
              <w:pageBreakBefore w:val="0"/>
              <w:widowControl w:val="0"/>
              <w:suppressLineNumbers w:val="0"/>
              <w:kinsoku/>
              <w:wordWrap w:val="0"/>
              <w:overflowPunct/>
              <w:topLinePunct/>
              <w:autoSpaceDE/>
              <w:autoSpaceDN/>
              <w:bidi w:val="0"/>
              <w:adjustRightInd/>
              <w:snapToGrid/>
              <w:spacing w:line="320" w:lineRule="exact"/>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文化业</w:t>
            </w:r>
          </w:p>
        </w:tc>
      </w:tr>
    </w:tbl>
    <w:p w14:paraId="3989AC0F">
      <w:pPr>
        <w:pageBreakBefore w:val="0"/>
        <w:kinsoku/>
        <w:wordWrap w:val="0"/>
        <w:overflowPunct/>
        <w:bidi w:val="0"/>
        <w:rPr>
          <w:rFonts w:hint="eastAsia" w:ascii="仿宋" w:hAnsi="仿宋" w:eastAsia="仿宋" w:cs="仿宋"/>
          <w:color w:val="auto"/>
          <w:sz w:val="24"/>
          <w:szCs w:val="24"/>
          <w:highlight w:val="none"/>
        </w:rPr>
        <w:sectPr>
          <w:pgSz w:w="16838" w:h="11906" w:orient="landscape"/>
          <w:pgMar w:top="1080" w:right="1440" w:bottom="1080" w:left="1440" w:header="851" w:footer="992" w:gutter="0"/>
          <w:pgNumType w:fmt="decimal"/>
          <w:cols w:space="708" w:num="1"/>
          <w:docGrid w:type="lines" w:linePitch="312" w:charSpace="0"/>
        </w:sectPr>
      </w:pPr>
    </w:p>
    <w:p w14:paraId="05F371A7">
      <w:pPr>
        <w:pStyle w:val="4"/>
        <w:keepNext/>
        <w:keepLines/>
        <w:pageBreakBefore w:val="0"/>
        <w:widowControl w:val="0"/>
        <w:kinsoku/>
        <w:wordWrap w:val="0"/>
        <w:overflowPunct/>
        <w:topLinePunct w:val="0"/>
        <w:autoSpaceDE/>
        <w:autoSpaceDN/>
        <w:bidi w:val="0"/>
        <w:adjustRightInd/>
        <w:snapToGrid/>
        <w:spacing w:before="0" w:after="0"/>
        <w:jc w:val="left"/>
        <w:textAlignment w:val="auto"/>
        <w:rPr>
          <w:rFonts w:hint="eastAsia" w:ascii="仿宋" w:hAnsi="仿宋" w:eastAsia="仿宋" w:cs="仿宋"/>
          <w:color w:val="000000"/>
          <w:sz w:val="24"/>
          <w:szCs w:val="24"/>
          <w:highlight w:val="none"/>
          <w:lang w:val="en-US" w:eastAsia="zh-CN"/>
        </w:rPr>
      </w:pPr>
      <w:bookmarkStart w:id="548" w:name="_Toc2151"/>
      <w:bookmarkStart w:id="549" w:name="_Toc29114"/>
      <w:r>
        <w:rPr>
          <w:rFonts w:hint="eastAsia" w:ascii="仿宋" w:hAnsi="仿宋" w:eastAsia="仿宋" w:cs="仿宋"/>
          <w:color w:val="000000"/>
          <w:sz w:val="28"/>
          <w:szCs w:val="28"/>
          <w:highlight w:val="none"/>
          <w:lang w:val="en-US" w:eastAsia="zh-CN"/>
        </w:rPr>
        <w:t>二、商务要求</w:t>
      </w:r>
      <w:bookmarkEnd w:id="548"/>
      <w:bookmarkEnd w:id="549"/>
    </w:p>
    <w:tbl>
      <w:tblPr>
        <w:tblStyle w:val="22"/>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913"/>
        <w:gridCol w:w="6240"/>
      </w:tblGrid>
      <w:tr w14:paraId="60B4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blHeader/>
          <w:jc w:val="center"/>
        </w:trPr>
        <w:tc>
          <w:tcPr>
            <w:tcW w:w="716" w:type="dxa"/>
            <w:shd w:val="pct10" w:color="auto" w:fill="auto"/>
            <w:noWrap w:val="0"/>
            <w:vAlign w:val="center"/>
          </w:tcPr>
          <w:p w14:paraId="0E83E37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sz w:val="24"/>
                <w:szCs w:val="24"/>
                <w:highlight w:val="none"/>
              </w:rPr>
            </w:pPr>
            <w:bookmarkStart w:id="550" w:name="OfficeAISelectedParaphsRangeNextChunk" w:colFirst="0" w:colLast="0"/>
            <w:r>
              <w:rPr>
                <w:rFonts w:hint="eastAsia" w:ascii="仿宋" w:hAnsi="仿宋" w:eastAsia="仿宋" w:cs="仿宋"/>
                <w:color w:val="000000"/>
                <w:sz w:val="24"/>
                <w:szCs w:val="24"/>
                <w:highlight w:val="none"/>
              </w:rPr>
              <w:t>序号</w:t>
            </w:r>
          </w:p>
        </w:tc>
        <w:tc>
          <w:tcPr>
            <w:tcW w:w="1913" w:type="dxa"/>
            <w:shd w:val="pct10" w:color="auto" w:fill="auto"/>
            <w:noWrap w:val="0"/>
            <w:vAlign w:val="center"/>
          </w:tcPr>
          <w:p w14:paraId="1AD02DB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商务条款</w:t>
            </w:r>
          </w:p>
        </w:tc>
        <w:tc>
          <w:tcPr>
            <w:tcW w:w="6240" w:type="dxa"/>
            <w:shd w:val="pct10" w:color="auto" w:fill="auto"/>
            <w:noWrap w:val="0"/>
            <w:vAlign w:val="center"/>
          </w:tcPr>
          <w:p w14:paraId="779EF1FF">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内    容</w:t>
            </w:r>
          </w:p>
        </w:tc>
      </w:tr>
      <w:bookmarkEnd w:id="550"/>
      <w:tr w14:paraId="31806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01FB5D1E">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1913" w:type="dxa"/>
            <w:noWrap w:val="0"/>
            <w:vAlign w:val="center"/>
          </w:tcPr>
          <w:p w14:paraId="1798D44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kern w:val="2"/>
                <w:sz w:val="24"/>
                <w:szCs w:val="24"/>
                <w:highlight w:val="none"/>
                <w:lang w:val="en-US" w:eastAsia="zh-CN" w:bidi="ar-SA"/>
              </w:rPr>
            </w:pPr>
            <w:r>
              <w:rPr>
                <w:rFonts w:hint="eastAsia" w:ascii="仿宋" w:hAnsi="仿宋" w:eastAsia="仿宋" w:cs="仿宋"/>
                <w:b/>
                <w:color w:val="000000"/>
                <w:sz w:val="24"/>
                <w:szCs w:val="24"/>
                <w:highlight w:val="none"/>
                <w:lang w:eastAsia="zh-CN"/>
              </w:rPr>
              <w:t>★</w:t>
            </w:r>
            <w:r>
              <w:rPr>
                <w:rFonts w:hint="eastAsia" w:ascii="仿宋" w:hAnsi="仿宋" w:eastAsia="仿宋" w:cs="仿宋"/>
                <w:b/>
                <w:color w:val="000000"/>
                <w:sz w:val="24"/>
                <w:szCs w:val="24"/>
                <w:highlight w:val="none"/>
                <w:lang w:val="en-US" w:eastAsia="zh-CN"/>
              </w:rPr>
              <w:t>合同履约期限</w:t>
            </w:r>
          </w:p>
        </w:tc>
        <w:tc>
          <w:tcPr>
            <w:tcW w:w="6240" w:type="dxa"/>
            <w:noWrap w:val="0"/>
            <w:vAlign w:val="center"/>
          </w:tcPr>
          <w:p w14:paraId="7A66DB80">
            <w:pPr>
              <w:pStyle w:val="8"/>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仿宋" w:hAnsi="仿宋" w:eastAsia="仿宋" w:cs="仿宋"/>
                <w:b/>
                <w:color w:val="000000"/>
                <w:kern w:val="2"/>
                <w:sz w:val="24"/>
                <w:szCs w:val="24"/>
                <w:highlight w:val="none"/>
                <w:lang w:val="en-US" w:eastAsia="zh-CN" w:bidi="ar-SA"/>
              </w:rPr>
            </w:pPr>
            <w:r>
              <w:rPr>
                <w:rFonts w:hint="eastAsia" w:ascii="仿宋" w:hAnsi="仿宋" w:eastAsia="仿宋" w:cs="仿宋"/>
                <w:b w:val="0"/>
                <w:bCs/>
                <w:color w:val="000000"/>
                <w:kern w:val="2"/>
                <w:sz w:val="24"/>
                <w:szCs w:val="24"/>
                <w:highlight w:val="none"/>
                <w:lang w:val="en-US" w:eastAsia="zh-CN" w:bidi="ar-SA"/>
              </w:rPr>
              <w:t>自合同签订之日起3个月内完成安装、调试。</w:t>
            </w:r>
          </w:p>
        </w:tc>
      </w:tr>
      <w:tr w14:paraId="36D9B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28811D1A">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p>
        </w:tc>
        <w:tc>
          <w:tcPr>
            <w:tcW w:w="1913" w:type="dxa"/>
            <w:noWrap w:val="0"/>
            <w:vAlign w:val="center"/>
          </w:tcPr>
          <w:p w14:paraId="78E3AE7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eastAsia="zh-CN"/>
              </w:rPr>
              <w:t>★</w:t>
            </w:r>
            <w:r>
              <w:rPr>
                <w:rFonts w:hint="eastAsia" w:ascii="仿宋" w:hAnsi="仿宋" w:eastAsia="仿宋" w:cs="仿宋"/>
                <w:b/>
                <w:color w:val="000000"/>
                <w:sz w:val="24"/>
                <w:szCs w:val="24"/>
                <w:highlight w:val="none"/>
                <w:lang w:val="en-US" w:eastAsia="zh-CN"/>
              </w:rPr>
              <w:t>项目实施地点</w:t>
            </w:r>
          </w:p>
        </w:tc>
        <w:tc>
          <w:tcPr>
            <w:tcW w:w="6240" w:type="dxa"/>
            <w:noWrap w:val="0"/>
            <w:vAlign w:val="center"/>
          </w:tcPr>
          <w:p w14:paraId="19D56E56">
            <w:pPr>
              <w:pStyle w:val="8"/>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rPr>
                <w:rFonts w:hint="eastAsia" w:ascii="仿宋" w:hAnsi="仿宋" w:eastAsia="仿宋" w:cs="仿宋"/>
                <w:b w:val="0"/>
                <w:bCs/>
                <w:color w:val="000000"/>
                <w:kern w:val="2"/>
                <w:sz w:val="24"/>
                <w:szCs w:val="24"/>
                <w:highlight w:val="none"/>
                <w:lang w:val="en-US" w:eastAsia="zh-CN" w:bidi="ar-SA"/>
              </w:rPr>
            </w:pPr>
            <w:r>
              <w:rPr>
                <w:rFonts w:hint="eastAsia" w:ascii="仿宋" w:hAnsi="仿宋" w:eastAsia="仿宋" w:cs="仿宋"/>
                <w:b w:val="0"/>
                <w:bCs/>
                <w:color w:val="000000"/>
                <w:kern w:val="2"/>
                <w:sz w:val="24"/>
                <w:szCs w:val="24"/>
                <w:highlight w:val="none"/>
                <w:lang w:val="en-US" w:eastAsia="zh-CN" w:bidi="ar-SA"/>
              </w:rPr>
              <w:t>普洱市大剧院</w:t>
            </w:r>
          </w:p>
        </w:tc>
      </w:tr>
      <w:tr w14:paraId="440F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6078C8F6">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w:t>
            </w:r>
          </w:p>
        </w:tc>
        <w:tc>
          <w:tcPr>
            <w:tcW w:w="1913" w:type="dxa"/>
            <w:noWrap w:val="0"/>
            <w:vAlign w:val="center"/>
          </w:tcPr>
          <w:p w14:paraId="3FCF33F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★供货要求</w:t>
            </w:r>
          </w:p>
        </w:tc>
        <w:tc>
          <w:tcPr>
            <w:tcW w:w="6240" w:type="dxa"/>
            <w:noWrap w:val="0"/>
            <w:vAlign w:val="center"/>
          </w:tcPr>
          <w:p w14:paraId="0AC90EF8">
            <w:pPr>
              <w:keepNext w:val="0"/>
              <w:keepLines w:val="0"/>
              <w:pageBreakBefore w:val="0"/>
              <w:widowControl w:val="0"/>
              <w:kinsoku/>
              <w:wordWrap w:val="0"/>
              <w:overflowPunct w:val="0"/>
              <w:topLinePunct/>
              <w:autoSpaceDE/>
              <w:autoSpaceDN/>
              <w:bidi w:val="0"/>
              <w:adjustRightInd/>
              <w:snapToGrid/>
              <w:spacing w:line="360" w:lineRule="auto"/>
              <w:ind w:right="0" w:rightChars="0"/>
              <w:textAlignment w:val="auto"/>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val="en-US" w:eastAsia="zh-CN"/>
              </w:rPr>
              <w:t>货物为原厂商未启封全新包装，序列号、包装箱号与出厂批号一致，并可追索查阅。</w:t>
            </w:r>
          </w:p>
        </w:tc>
      </w:tr>
      <w:tr w14:paraId="397A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4244E30C">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p>
        </w:tc>
        <w:tc>
          <w:tcPr>
            <w:tcW w:w="1913" w:type="dxa"/>
            <w:noWrap w:val="0"/>
            <w:vAlign w:val="center"/>
          </w:tcPr>
          <w:p w14:paraId="18FAF90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★质保期</w:t>
            </w:r>
          </w:p>
        </w:tc>
        <w:tc>
          <w:tcPr>
            <w:tcW w:w="6240" w:type="dxa"/>
            <w:noWrap w:val="0"/>
            <w:vAlign w:val="center"/>
          </w:tcPr>
          <w:p w14:paraId="0A6EB101">
            <w:pPr>
              <w:keepNext w:val="0"/>
              <w:keepLines w:val="0"/>
              <w:pageBreakBefore w:val="0"/>
              <w:widowControl w:val="0"/>
              <w:kinsoku/>
              <w:wordWrap w:val="0"/>
              <w:overflowPunct w:val="0"/>
              <w:topLinePunct/>
              <w:autoSpaceDE/>
              <w:autoSpaceDN/>
              <w:bidi w:val="0"/>
              <w:adjustRightInd/>
              <w:snapToGrid/>
              <w:spacing w:line="360" w:lineRule="auto"/>
              <w:ind w:right="0" w:rightChars="0"/>
              <w:textAlignment w:val="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i w:val="0"/>
                <w:iCs w:val="0"/>
                <w:color w:val="000000"/>
                <w:sz w:val="24"/>
                <w:szCs w:val="24"/>
                <w:highlight w:val="none"/>
                <w:u w:val="none"/>
                <w:lang w:val="en-US" w:eastAsia="zh-CN"/>
              </w:rPr>
              <w:t>≥3年</w:t>
            </w:r>
            <w:r>
              <w:rPr>
                <w:rFonts w:hint="eastAsia" w:ascii="仿宋" w:hAnsi="仿宋" w:eastAsia="仿宋" w:cs="仿宋"/>
                <w:color w:val="000000"/>
                <w:sz w:val="24"/>
                <w:szCs w:val="24"/>
                <w:highlight w:val="none"/>
                <w:lang w:val="en-US" w:eastAsia="zh-CN"/>
              </w:rPr>
              <w:t>，国家有明确质保期的，按国家标准执行。</w:t>
            </w:r>
          </w:p>
        </w:tc>
      </w:tr>
      <w:tr w14:paraId="571A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2420EABC">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5</w:t>
            </w:r>
          </w:p>
        </w:tc>
        <w:tc>
          <w:tcPr>
            <w:tcW w:w="1913" w:type="dxa"/>
            <w:noWrap w:val="0"/>
            <w:vAlign w:val="center"/>
          </w:tcPr>
          <w:p w14:paraId="1845496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★质量标准</w:t>
            </w:r>
          </w:p>
        </w:tc>
        <w:tc>
          <w:tcPr>
            <w:tcW w:w="6240" w:type="dxa"/>
            <w:noWrap w:val="0"/>
            <w:vAlign w:val="center"/>
          </w:tcPr>
          <w:p w14:paraId="0B2691E8">
            <w:pPr>
              <w:keepNext w:val="0"/>
              <w:keepLines w:val="0"/>
              <w:pageBreakBefore w:val="0"/>
              <w:widowControl w:val="0"/>
              <w:tabs>
                <w:tab w:val="left" w:pos="351"/>
                <w:tab w:val="left" w:pos="690"/>
              </w:tabs>
              <w:kinsoku/>
              <w:wordWrap w:val="0"/>
              <w:overflowPunct/>
              <w:topLinePunct w:val="0"/>
              <w:autoSpaceDE/>
              <w:autoSpaceDN/>
              <w:bidi w:val="0"/>
              <w:adjustRightInd/>
              <w:snapToGrid/>
              <w:spacing w:line="360" w:lineRule="auto"/>
              <w:ind w:right="0" w:rightChars="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满足国家及行业相关技术标准和验收规范要求，一次性验收合格。</w:t>
            </w:r>
          </w:p>
        </w:tc>
      </w:tr>
      <w:tr w14:paraId="1033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716" w:type="dxa"/>
            <w:noWrap w:val="0"/>
            <w:vAlign w:val="center"/>
          </w:tcPr>
          <w:p w14:paraId="411E6D97">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6</w:t>
            </w:r>
          </w:p>
        </w:tc>
        <w:tc>
          <w:tcPr>
            <w:tcW w:w="1913" w:type="dxa"/>
            <w:noWrap w:val="0"/>
            <w:vAlign w:val="center"/>
          </w:tcPr>
          <w:p w14:paraId="53EAA9B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kern w:val="2"/>
                <w:sz w:val="24"/>
                <w:szCs w:val="24"/>
                <w:highlight w:val="none"/>
                <w:lang w:val="en-US" w:eastAsia="zh-CN" w:bidi="ar-SA"/>
              </w:rPr>
            </w:pPr>
            <w:r>
              <w:rPr>
                <w:rFonts w:hint="eastAsia" w:ascii="仿宋" w:hAnsi="仿宋" w:eastAsia="仿宋" w:cs="仿宋"/>
                <w:b/>
                <w:color w:val="000000"/>
                <w:sz w:val="24"/>
                <w:szCs w:val="24"/>
                <w:highlight w:val="none"/>
                <w:lang w:val="en-US" w:eastAsia="zh-CN"/>
              </w:rPr>
              <w:t>★</w:t>
            </w:r>
            <w:r>
              <w:rPr>
                <w:rFonts w:hint="eastAsia" w:ascii="仿宋" w:hAnsi="仿宋" w:eastAsia="仿宋" w:cs="仿宋"/>
                <w:b/>
                <w:color w:val="000000"/>
                <w:sz w:val="24"/>
                <w:szCs w:val="24"/>
                <w:highlight w:val="none"/>
              </w:rPr>
              <w:t>安装调试</w:t>
            </w:r>
          </w:p>
        </w:tc>
        <w:tc>
          <w:tcPr>
            <w:tcW w:w="6240" w:type="dxa"/>
            <w:noWrap w:val="0"/>
            <w:vAlign w:val="center"/>
          </w:tcPr>
          <w:p w14:paraId="6962CEA7">
            <w:pPr>
              <w:pStyle w:val="8"/>
              <w:keepNext w:val="0"/>
              <w:keepLines w:val="0"/>
              <w:pageBreakBefore w:val="0"/>
              <w:widowControl w:val="0"/>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设备现场交货后，由</w:t>
            </w:r>
            <w:r>
              <w:rPr>
                <w:rFonts w:hint="eastAsia" w:ascii="仿宋" w:hAnsi="仿宋" w:eastAsia="仿宋" w:cs="仿宋"/>
                <w:b w:val="0"/>
                <w:bCs/>
                <w:color w:val="000000"/>
                <w:sz w:val="24"/>
                <w:szCs w:val="24"/>
                <w:highlight w:val="none"/>
                <w:lang w:eastAsia="zh-CN"/>
              </w:rPr>
              <w:t>投标人</w:t>
            </w:r>
            <w:r>
              <w:rPr>
                <w:rFonts w:hint="eastAsia" w:ascii="仿宋" w:hAnsi="仿宋" w:eastAsia="仿宋" w:cs="仿宋"/>
                <w:b w:val="0"/>
                <w:bCs/>
                <w:color w:val="000000"/>
                <w:sz w:val="24"/>
                <w:szCs w:val="24"/>
                <w:highlight w:val="none"/>
              </w:rPr>
              <w:t>负责设备安装调试及技术指导：</w:t>
            </w:r>
          </w:p>
          <w:p w14:paraId="3EC63A87">
            <w:pPr>
              <w:pStyle w:val="8"/>
              <w:keepNext w:val="0"/>
              <w:keepLines w:val="0"/>
              <w:pageBreakBefore w:val="0"/>
              <w:widowControl w:val="0"/>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1、由</w:t>
            </w:r>
            <w:r>
              <w:rPr>
                <w:rFonts w:hint="eastAsia" w:ascii="仿宋" w:hAnsi="仿宋" w:eastAsia="仿宋" w:cs="仿宋"/>
                <w:b w:val="0"/>
                <w:bCs/>
                <w:color w:val="000000"/>
                <w:sz w:val="24"/>
                <w:szCs w:val="24"/>
                <w:highlight w:val="none"/>
                <w:lang w:eastAsia="zh-CN"/>
              </w:rPr>
              <w:t>投标人</w:t>
            </w:r>
            <w:r>
              <w:rPr>
                <w:rFonts w:hint="eastAsia" w:ascii="仿宋" w:hAnsi="仿宋" w:eastAsia="仿宋" w:cs="仿宋"/>
                <w:b w:val="0"/>
                <w:bCs/>
                <w:color w:val="000000"/>
                <w:sz w:val="24"/>
                <w:szCs w:val="24"/>
                <w:highlight w:val="none"/>
              </w:rPr>
              <w:t>负责派出技术人员到达现场进行安装、调试，并负责调试至验收合格</w:t>
            </w:r>
            <w:r>
              <w:rPr>
                <w:rFonts w:hint="eastAsia" w:ascii="仿宋" w:hAnsi="仿宋" w:eastAsia="仿宋" w:cs="仿宋"/>
                <w:b w:val="0"/>
                <w:bCs/>
                <w:color w:val="000000"/>
                <w:sz w:val="24"/>
                <w:szCs w:val="24"/>
                <w:highlight w:val="none"/>
                <w:lang w:eastAsia="zh-CN"/>
              </w:rPr>
              <w:t>，其间</w:t>
            </w:r>
            <w:r>
              <w:rPr>
                <w:rFonts w:hint="eastAsia" w:ascii="仿宋" w:hAnsi="仿宋" w:eastAsia="仿宋" w:cs="仿宋"/>
                <w:b w:val="0"/>
                <w:bCs/>
                <w:color w:val="000000"/>
                <w:sz w:val="24"/>
                <w:szCs w:val="24"/>
                <w:highlight w:val="none"/>
              </w:rPr>
              <w:t>产生的所有费用由</w:t>
            </w:r>
            <w:r>
              <w:rPr>
                <w:rFonts w:hint="eastAsia" w:ascii="仿宋" w:hAnsi="仿宋" w:eastAsia="仿宋" w:cs="仿宋"/>
                <w:b w:val="0"/>
                <w:bCs/>
                <w:color w:val="000000"/>
                <w:sz w:val="24"/>
                <w:szCs w:val="24"/>
                <w:highlight w:val="none"/>
                <w:lang w:eastAsia="zh-CN"/>
              </w:rPr>
              <w:t>投标人</w:t>
            </w:r>
            <w:r>
              <w:rPr>
                <w:rFonts w:hint="eastAsia" w:ascii="仿宋" w:hAnsi="仿宋" w:eastAsia="仿宋" w:cs="仿宋"/>
                <w:b w:val="0"/>
                <w:bCs/>
                <w:color w:val="000000"/>
                <w:sz w:val="24"/>
                <w:szCs w:val="24"/>
                <w:highlight w:val="none"/>
              </w:rPr>
              <w:t>承担。</w:t>
            </w:r>
          </w:p>
          <w:p w14:paraId="15D62610">
            <w:pPr>
              <w:pStyle w:val="8"/>
              <w:keepNext w:val="0"/>
              <w:keepLines w:val="0"/>
              <w:pageBreakBefore w:val="0"/>
              <w:widowControl w:val="0"/>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2、</w:t>
            </w:r>
            <w:r>
              <w:rPr>
                <w:rFonts w:hint="eastAsia" w:ascii="仿宋" w:hAnsi="仿宋" w:eastAsia="仿宋" w:cs="仿宋"/>
                <w:b w:val="0"/>
                <w:bCs/>
                <w:color w:val="000000"/>
                <w:sz w:val="24"/>
                <w:szCs w:val="24"/>
                <w:highlight w:val="none"/>
                <w:lang w:eastAsia="zh-CN"/>
              </w:rPr>
              <w:t>投标人</w:t>
            </w:r>
            <w:r>
              <w:rPr>
                <w:rFonts w:hint="eastAsia" w:ascii="仿宋" w:hAnsi="仿宋" w:eastAsia="仿宋" w:cs="仿宋"/>
                <w:b w:val="0"/>
                <w:bCs/>
                <w:color w:val="000000"/>
                <w:sz w:val="24"/>
                <w:szCs w:val="24"/>
                <w:highlight w:val="none"/>
              </w:rPr>
              <w:t>应在设备运抵现场一周前，向</w:t>
            </w:r>
            <w:r>
              <w:rPr>
                <w:rFonts w:hint="eastAsia" w:ascii="仿宋" w:hAnsi="仿宋" w:eastAsia="仿宋" w:cs="仿宋"/>
                <w:b w:val="0"/>
                <w:bCs/>
                <w:color w:val="000000"/>
                <w:sz w:val="24"/>
                <w:szCs w:val="24"/>
                <w:highlight w:val="none"/>
                <w:lang w:eastAsia="zh-CN"/>
              </w:rPr>
              <w:t>采购人</w:t>
            </w:r>
            <w:r>
              <w:rPr>
                <w:rFonts w:hint="eastAsia" w:ascii="仿宋" w:hAnsi="仿宋" w:eastAsia="仿宋" w:cs="仿宋"/>
                <w:b w:val="0"/>
                <w:bCs/>
                <w:color w:val="000000"/>
                <w:sz w:val="24"/>
                <w:szCs w:val="24"/>
                <w:highlight w:val="none"/>
              </w:rPr>
              <w:t>提供安装、调试及试运行的进度计划表，并提供详细的场地布置规划方案。</w:t>
            </w:r>
          </w:p>
          <w:p w14:paraId="1F3FEA8D">
            <w:pPr>
              <w:pStyle w:val="8"/>
              <w:keepNext w:val="0"/>
              <w:keepLines w:val="0"/>
              <w:pageBreakBefore w:val="0"/>
              <w:widowControl w:val="0"/>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3、</w:t>
            </w:r>
            <w:r>
              <w:rPr>
                <w:rFonts w:hint="eastAsia" w:ascii="仿宋" w:hAnsi="仿宋" w:eastAsia="仿宋" w:cs="仿宋"/>
                <w:b w:val="0"/>
                <w:bCs/>
                <w:color w:val="000000"/>
                <w:sz w:val="24"/>
                <w:szCs w:val="24"/>
                <w:highlight w:val="none"/>
                <w:lang w:eastAsia="zh-CN"/>
              </w:rPr>
              <w:t>投标人</w:t>
            </w:r>
            <w:r>
              <w:rPr>
                <w:rFonts w:hint="eastAsia" w:ascii="仿宋" w:hAnsi="仿宋" w:eastAsia="仿宋" w:cs="仿宋"/>
                <w:color w:val="000000"/>
                <w:sz w:val="24"/>
                <w:szCs w:val="24"/>
                <w:highlight w:val="none"/>
                <w:lang w:val="en-US" w:eastAsia="zh-CN"/>
              </w:rPr>
              <w:t>应在七天</w:t>
            </w:r>
            <w:r>
              <w:rPr>
                <w:rFonts w:hint="eastAsia" w:ascii="仿宋" w:hAnsi="仿宋" w:eastAsia="仿宋" w:cs="仿宋"/>
                <w:b w:val="0"/>
                <w:bCs/>
                <w:color w:val="000000"/>
                <w:sz w:val="24"/>
                <w:szCs w:val="24"/>
                <w:highlight w:val="none"/>
              </w:rPr>
              <w:t>内派技术人员到现场进行安装，负责完成安装调试并经用户组织的专家小组验收合格，相关费用由</w:t>
            </w:r>
            <w:r>
              <w:rPr>
                <w:rFonts w:hint="eastAsia" w:ascii="仿宋" w:hAnsi="仿宋" w:eastAsia="仿宋" w:cs="仿宋"/>
                <w:b w:val="0"/>
                <w:bCs/>
                <w:color w:val="000000"/>
                <w:sz w:val="24"/>
                <w:szCs w:val="24"/>
                <w:highlight w:val="none"/>
                <w:lang w:eastAsia="zh-CN"/>
              </w:rPr>
              <w:t>投标人</w:t>
            </w:r>
            <w:r>
              <w:rPr>
                <w:rFonts w:hint="eastAsia" w:ascii="仿宋" w:hAnsi="仿宋" w:eastAsia="仿宋" w:cs="仿宋"/>
                <w:b w:val="0"/>
                <w:bCs/>
                <w:color w:val="000000"/>
                <w:sz w:val="24"/>
                <w:szCs w:val="24"/>
                <w:highlight w:val="none"/>
              </w:rPr>
              <w:t>自理。</w:t>
            </w:r>
          </w:p>
          <w:p w14:paraId="6E49C3A9">
            <w:pPr>
              <w:pStyle w:val="8"/>
              <w:keepNext w:val="0"/>
              <w:keepLines w:val="0"/>
              <w:pageBreakBefore w:val="0"/>
              <w:widowControl w:val="0"/>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4、</w:t>
            </w:r>
            <w:r>
              <w:rPr>
                <w:rFonts w:hint="eastAsia" w:ascii="仿宋" w:hAnsi="仿宋" w:eastAsia="仿宋" w:cs="仿宋"/>
                <w:b w:val="0"/>
                <w:bCs/>
                <w:color w:val="000000"/>
                <w:sz w:val="24"/>
                <w:szCs w:val="24"/>
                <w:highlight w:val="none"/>
                <w:lang w:val="en-US" w:eastAsia="zh-CN"/>
              </w:rPr>
              <w:t>免费提供</w:t>
            </w:r>
            <w:r>
              <w:rPr>
                <w:rFonts w:hint="eastAsia" w:ascii="仿宋" w:hAnsi="仿宋" w:eastAsia="仿宋" w:cs="仿宋"/>
                <w:b w:val="0"/>
                <w:bCs/>
                <w:color w:val="000000"/>
                <w:sz w:val="24"/>
                <w:szCs w:val="24"/>
                <w:highlight w:val="none"/>
              </w:rPr>
              <w:t>咨询及技术培训。</w:t>
            </w:r>
          </w:p>
          <w:p w14:paraId="16D00A0F">
            <w:pPr>
              <w:pStyle w:val="8"/>
              <w:keepNext w:val="0"/>
              <w:keepLines w:val="0"/>
              <w:pageBreakBefore w:val="0"/>
              <w:widowControl w:val="0"/>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kern w:val="2"/>
                <w:sz w:val="24"/>
                <w:szCs w:val="24"/>
                <w:highlight w:val="none"/>
                <w:lang w:val="en-US" w:eastAsia="zh-CN" w:bidi="ar-SA"/>
              </w:rPr>
            </w:pPr>
            <w:r>
              <w:rPr>
                <w:rFonts w:hint="eastAsia" w:ascii="仿宋" w:hAnsi="仿宋" w:eastAsia="仿宋" w:cs="仿宋"/>
                <w:b/>
                <w:bCs/>
                <w:color w:val="000000"/>
                <w:sz w:val="24"/>
                <w:szCs w:val="24"/>
                <w:highlight w:val="none"/>
                <w:lang w:val="en-US" w:eastAsia="zh-CN"/>
              </w:rPr>
              <w:t>各投标人应在响应文件中提供详细的安装调试及验收方案。</w:t>
            </w:r>
          </w:p>
        </w:tc>
      </w:tr>
      <w:tr w14:paraId="30609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noWrap w:val="0"/>
            <w:vAlign w:val="center"/>
          </w:tcPr>
          <w:p w14:paraId="5E244847">
            <w:pPr>
              <w:keepNext w:val="0"/>
              <w:keepLines w:val="0"/>
              <w:pageBreakBefore w:val="0"/>
              <w:widowControl w:val="0"/>
              <w:tabs>
                <w:tab w:val="left" w:pos="130"/>
              </w:tabs>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7</w:t>
            </w:r>
          </w:p>
        </w:tc>
        <w:tc>
          <w:tcPr>
            <w:tcW w:w="1913" w:type="dxa"/>
            <w:noWrap w:val="0"/>
            <w:vAlign w:val="center"/>
          </w:tcPr>
          <w:p w14:paraId="594F58D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kern w:val="2"/>
                <w:sz w:val="24"/>
                <w:szCs w:val="24"/>
                <w:highlight w:val="none"/>
                <w:lang w:val="en-US" w:eastAsia="zh-CN" w:bidi="ar-SA"/>
              </w:rPr>
            </w:pPr>
            <w:r>
              <w:rPr>
                <w:rFonts w:hint="eastAsia" w:ascii="仿宋" w:hAnsi="仿宋" w:eastAsia="仿宋" w:cs="仿宋"/>
                <w:b/>
                <w:color w:val="000000"/>
                <w:sz w:val="24"/>
                <w:szCs w:val="24"/>
                <w:highlight w:val="none"/>
              </w:rPr>
              <w:t>售后服务</w:t>
            </w:r>
          </w:p>
        </w:tc>
        <w:tc>
          <w:tcPr>
            <w:tcW w:w="6240" w:type="dxa"/>
            <w:noWrap w:val="0"/>
            <w:vAlign w:val="center"/>
          </w:tcPr>
          <w:p w14:paraId="7F4B4CB8">
            <w:pPr>
              <w:keepNext w:val="0"/>
              <w:keepLines w:val="0"/>
              <w:pageBreakBefore w:val="0"/>
              <w:widowControl w:val="0"/>
              <w:tabs>
                <w:tab w:val="left" w:pos="351"/>
                <w:tab w:val="left" w:pos="690"/>
              </w:tabs>
              <w:kinsoku/>
              <w:wordWrap w:val="0"/>
              <w:overflowPunct/>
              <w:topLinePunct w:val="0"/>
              <w:autoSpaceDE/>
              <w:autoSpaceDN/>
              <w:bidi w:val="0"/>
              <w:adjustRightInd/>
              <w:snapToGrid/>
              <w:spacing w:line="320" w:lineRule="exact"/>
              <w:ind w:right="0" w:rightChars="0"/>
              <w:jc w:val="both"/>
              <w:textAlignment w:val="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在质保期内，成交人应保证接到采购人通知后及时进行处理，在接到采购人服务要求2小时内做出响应，需要进行现场维修的，应在24小时内到达采购人现场。一般问题应该在24小时内解决，重大问题或其他无法迅速解决的问题，应该在72小时内解决或者提出具体解决方案。在接到采购人故障报修后成交人人员必须按照服务标准、流程、规范响应用户服务并做好记录和反馈。成交人应无偿的承担故障维修、维护保养的义务，确系质量原因无法正常工作时，成交人应无偿更换全新合格的产品。成交人应承诺在质保期满后保证以优惠价格提供维修或更换需使用的材料。</w:t>
            </w:r>
          </w:p>
          <w:p w14:paraId="19997207">
            <w:pPr>
              <w:keepNext w:val="0"/>
              <w:keepLines w:val="0"/>
              <w:pageBreakBefore w:val="0"/>
              <w:widowControl w:val="0"/>
              <w:tabs>
                <w:tab w:val="left" w:pos="351"/>
                <w:tab w:val="left" w:pos="690"/>
              </w:tabs>
              <w:kinsoku/>
              <w:wordWrap w:val="0"/>
              <w:overflowPunct/>
              <w:topLinePunct w:val="0"/>
              <w:autoSpaceDE/>
              <w:autoSpaceDN/>
              <w:bidi w:val="0"/>
              <w:adjustRightInd/>
              <w:snapToGrid/>
              <w:spacing w:line="320" w:lineRule="exact"/>
              <w:ind w:right="0" w:rightChars="0"/>
              <w:jc w:val="both"/>
              <w:textAlignment w:val="auto"/>
              <w:rPr>
                <w:rFonts w:hint="eastAsia" w:ascii="仿宋" w:hAnsi="仿宋" w:eastAsia="仿宋" w:cs="仿宋"/>
                <w:b w:val="0"/>
                <w:bCs/>
                <w:color w:val="000000"/>
                <w:kern w:val="2"/>
                <w:sz w:val="24"/>
                <w:szCs w:val="24"/>
                <w:highlight w:val="none"/>
                <w:lang w:val="en-US" w:eastAsia="zh-CN" w:bidi="ar-SA"/>
              </w:rPr>
            </w:pPr>
            <w:r>
              <w:rPr>
                <w:rFonts w:hint="eastAsia" w:ascii="仿宋" w:hAnsi="仿宋" w:eastAsia="仿宋" w:cs="仿宋"/>
                <w:b/>
                <w:bCs/>
                <w:color w:val="000000"/>
                <w:sz w:val="24"/>
                <w:szCs w:val="24"/>
                <w:highlight w:val="none"/>
                <w:lang w:val="en-US" w:eastAsia="zh-CN"/>
              </w:rPr>
              <w:t>各投标人应在响应文件中提供详细的售后服务方案</w:t>
            </w:r>
            <w:r>
              <w:rPr>
                <w:rFonts w:hint="eastAsia" w:ascii="仿宋" w:hAnsi="仿宋" w:eastAsia="仿宋" w:cs="仿宋"/>
                <w:b w:val="0"/>
                <w:bCs/>
                <w:color w:val="000000"/>
                <w:sz w:val="24"/>
                <w:szCs w:val="24"/>
                <w:highlight w:val="none"/>
              </w:rPr>
              <w:t>。</w:t>
            </w:r>
          </w:p>
        </w:tc>
      </w:tr>
      <w:tr w14:paraId="0057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noWrap w:val="0"/>
            <w:vAlign w:val="center"/>
          </w:tcPr>
          <w:p w14:paraId="077AE7B9">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8</w:t>
            </w:r>
          </w:p>
        </w:tc>
        <w:tc>
          <w:tcPr>
            <w:tcW w:w="1913" w:type="dxa"/>
            <w:noWrap w:val="0"/>
            <w:vAlign w:val="center"/>
          </w:tcPr>
          <w:p w14:paraId="328E504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color w:val="000000"/>
                <w:kern w:val="2"/>
                <w:sz w:val="24"/>
                <w:szCs w:val="24"/>
                <w:highlight w:val="none"/>
                <w:lang w:val="en-US" w:eastAsia="zh-CN" w:bidi="ar-SA"/>
              </w:rPr>
            </w:pPr>
            <w:r>
              <w:rPr>
                <w:rFonts w:hint="eastAsia" w:ascii="仿宋" w:hAnsi="仿宋" w:eastAsia="仿宋" w:cs="仿宋"/>
                <w:b/>
                <w:color w:val="000000"/>
                <w:sz w:val="24"/>
                <w:szCs w:val="24"/>
                <w:highlight w:val="none"/>
                <w:lang w:val="en-US" w:eastAsia="zh-CN"/>
              </w:rPr>
              <w:t>采购标的的其他技术、服务等要求</w:t>
            </w:r>
          </w:p>
        </w:tc>
        <w:tc>
          <w:tcPr>
            <w:tcW w:w="6240" w:type="dxa"/>
            <w:noWrap w:val="0"/>
            <w:vAlign w:val="center"/>
          </w:tcPr>
          <w:p w14:paraId="5B64FF06">
            <w:pPr>
              <w:keepNext w:val="0"/>
              <w:keepLines w:val="0"/>
              <w:pageBreakBefore w:val="0"/>
              <w:widowControl w:val="0"/>
              <w:kinsoku/>
              <w:wordWrap w:val="0"/>
              <w:overflowPunct/>
              <w:topLinePunct w:val="0"/>
              <w:autoSpaceDE/>
              <w:autoSpaceDN/>
              <w:bidi w:val="0"/>
              <w:adjustRightInd/>
              <w:snapToGrid/>
              <w:spacing w:line="320" w:lineRule="exact"/>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1、“★”号条款是本项目招标文件规定的实质性条款，也是评标委员会评审时的重要参考指标，不满足将导致响应无效。</w:t>
            </w:r>
          </w:p>
          <w:p w14:paraId="7BD692E9">
            <w:pPr>
              <w:keepNext w:val="0"/>
              <w:keepLines w:val="0"/>
              <w:pageBreakBefore w:val="0"/>
              <w:widowControl w:val="0"/>
              <w:kinsoku/>
              <w:wordWrap w:val="0"/>
              <w:overflowPunct/>
              <w:topLinePunct w:val="0"/>
              <w:autoSpaceDE/>
              <w:autoSpaceDN/>
              <w:bidi w:val="0"/>
              <w:adjustRightInd/>
              <w:snapToGrid/>
              <w:spacing w:line="320" w:lineRule="exact"/>
              <w:jc w:val="left"/>
              <w:textAlignment w:val="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val="en-US" w:eastAsia="zh-CN"/>
              </w:rPr>
              <w:t>2、若</w:t>
            </w:r>
            <w:r>
              <w:rPr>
                <w:rFonts w:hint="eastAsia" w:ascii="仿宋" w:hAnsi="仿宋" w:eastAsia="仿宋" w:cs="仿宋"/>
                <w:b w:val="0"/>
                <w:bCs w:val="0"/>
                <w:color w:val="000000"/>
                <w:sz w:val="24"/>
                <w:szCs w:val="24"/>
                <w:highlight w:val="none"/>
              </w:rPr>
              <w:t>技术</w:t>
            </w:r>
            <w:r>
              <w:rPr>
                <w:rFonts w:hint="eastAsia" w:ascii="仿宋" w:hAnsi="仿宋" w:eastAsia="仿宋" w:cs="仿宋"/>
                <w:b w:val="0"/>
                <w:bCs w:val="0"/>
                <w:color w:val="000000"/>
                <w:sz w:val="24"/>
                <w:szCs w:val="24"/>
                <w:highlight w:val="none"/>
                <w:lang w:val="en-US" w:eastAsia="zh-CN"/>
              </w:rPr>
              <w:t>要求</w:t>
            </w:r>
            <w:r>
              <w:rPr>
                <w:rFonts w:hint="eastAsia" w:ascii="仿宋" w:hAnsi="仿宋" w:eastAsia="仿宋" w:cs="仿宋"/>
                <w:b w:val="0"/>
                <w:bCs w:val="0"/>
                <w:color w:val="000000"/>
                <w:sz w:val="24"/>
                <w:szCs w:val="24"/>
                <w:highlight w:val="none"/>
              </w:rPr>
              <w:t>中标注“</w:t>
            </w:r>
            <w:r>
              <w:rPr>
                <w:rFonts w:hint="eastAsia" w:ascii="仿宋" w:hAnsi="仿宋" w:eastAsia="仿宋" w:cs="仿宋"/>
                <w:b w:val="0"/>
                <w:bCs w:val="0"/>
                <w:color w:val="000000"/>
                <w:sz w:val="24"/>
                <w:szCs w:val="24"/>
                <w:highlight w:val="none"/>
                <w:lang w:val="en-US" w:eastAsia="zh-CN"/>
              </w:rPr>
              <w:t>★</w:t>
            </w:r>
            <w:r>
              <w:rPr>
                <w:rFonts w:hint="eastAsia" w:ascii="仿宋" w:hAnsi="仿宋" w:eastAsia="仿宋" w:cs="仿宋"/>
                <w:b w:val="0"/>
                <w:bCs w:val="0"/>
                <w:color w:val="000000"/>
                <w:sz w:val="24"/>
                <w:szCs w:val="24"/>
                <w:highlight w:val="none"/>
              </w:rPr>
              <w:t>”号的技术参数</w:t>
            </w:r>
            <w:r>
              <w:rPr>
                <w:rFonts w:hint="eastAsia" w:ascii="仿宋" w:hAnsi="仿宋" w:eastAsia="仿宋" w:cs="仿宋"/>
                <w:b w:val="0"/>
                <w:bCs w:val="0"/>
                <w:color w:val="000000"/>
                <w:sz w:val="24"/>
                <w:szCs w:val="24"/>
                <w:highlight w:val="none"/>
                <w:lang w:val="en-US" w:eastAsia="zh-CN"/>
              </w:rPr>
              <w:t>或技术条款</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color w:val="000000"/>
                <w:sz w:val="24"/>
                <w:szCs w:val="24"/>
                <w:highlight w:val="none"/>
                <w:lang w:eastAsia="zh-CN"/>
              </w:rPr>
              <w:t>投标人</w:t>
            </w:r>
            <w:r>
              <w:rPr>
                <w:rFonts w:hint="eastAsia" w:ascii="仿宋" w:hAnsi="仿宋" w:eastAsia="仿宋" w:cs="仿宋"/>
                <w:b w:val="0"/>
                <w:bCs w:val="0"/>
                <w:color w:val="000000"/>
                <w:sz w:val="24"/>
                <w:szCs w:val="24"/>
                <w:highlight w:val="none"/>
              </w:rPr>
              <w:t>须在</w:t>
            </w:r>
            <w:r>
              <w:rPr>
                <w:rFonts w:hint="eastAsia" w:ascii="仿宋" w:hAnsi="仿宋" w:eastAsia="仿宋" w:cs="仿宋"/>
                <w:b w:val="0"/>
                <w:bCs w:val="0"/>
                <w:color w:val="000000"/>
                <w:sz w:val="24"/>
                <w:szCs w:val="24"/>
                <w:highlight w:val="none"/>
                <w:lang w:val="en-US" w:eastAsia="zh-CN"/>
              </w:rPr>
              <w:t>响应</w:t>
            </w:r>
            <w:r>
              <w:rPr>
                <w:rFonts w:hint="eastAsia" w:ascii="仿宋" w:hAnsi="仿宋" w:eastAsia="仿宋" w:cs="仿宋"/>
                <w:b w:val="0"/>
                <w:bCs w:val="0"/>
                <w:color w:val="000000"/>
                <w:sz w:val="24"/>
                <w:szCs w:val="24"/>
                <w:highlight w:val="none"/>
              </w:rPr>
              <w:t>文件中按照</w:t>
            </w:r>
            <w:r>
              <w:rPr>
                <w:rFonts w:hint="eastAsia" w:ascii="仿宋" w:hAnsi="仿宋" w:eastAsia="仿宋" w:cs="仿宋"/>
                <w:b w:val="0"/>
                <w:bCs w:val="0"/>
                <w:color w:val="000000"/>
                <w:sz w:val="24"/>
                <w:szCs w:val="24"/>
                <w:highlight w:val="none"/>
                <w:lang w:val="en-US" w:eastAsia="zh-CN"/>
              </w:rPr>
              <w:t>招标</w:t>
            </w:r>
            <w:r>
              <w:rPr>
                <w:rFonts w:hint="eastAsia" w:ascii="仿宋" w:hAnsi="仿宋" w:eastAsia="仿宋" w:cs="仿宋"/>
                <w:b w:val="0"/>
                <w:bCs w:val="0"/>
                <w:color w:val="000000"/>
                <w:sz w:val="24"/>
                <w:szCs w:val="24"/>
                <w:highlight w:val="none"/>
              </w:rPr>
              <w:t>文件技术规格的要求提供技术应答的证明材料</w:t>
            </w:r>
            <w:r>
              <w:rPr>
                <w:rFonts w:hint="eastAsia" w:ascii="仿宋" w:hAnsi="仿宋" w:eastAsia="仿宋" w:cs="仿宋"/>
                <w:b w:val="0"/>
                <w:bCs w:val="0"/>
                <w:color w:val="000000"/>
                <w:sz w:val="24"/>
                <w:szCs w:val="24"/>
                <w:highlight w:val="none"/>
                <w:lang w:eastAsia="zh-CN"/>
              </w:rPr>
              <w:t>；</w:t>
            </w:r>
          </w:p>
          <w:p w14:paraId="151085B6">
            <w:pPr>
              <w:keepNext w:val="0"/>
              <w:keepLines w:val="0"/>
              <w:pageBreakBefore w:val="0"/>
              <w:widowControl w:val="0"/>
              <w:kinsoku/>
              <w:wordWrap w:val="0"/>
              <w:overflowPunct/>
              <w:topLinePunct w:val="0"/>
              <w:autoSpaceDE/>
              <w:autoSpaceDN/>
              <w:bidi w:val="0"/>
              <w:adjustRightInd/>
              <w:snapToGrid/>
              <w:spacing w:line="320" w:lineRule="exact"/>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3、若</w:t>
            </w:r>
            <w:r>
              <w:rPr>
                <w:rFonts w:hint="eastAsia" w:ascii="仿宋" w:hAnsi="仿宋" w:eastAsia="仿宋" w:cs="仿宋"/>
                <w:b w:val="0"/>
                <w:bCs w:val="0"/>
                <w:color w:val="000000"/>
                <w:sz w:val="24"/>
                <w:szCs w:val="24"/>
                <w:highlight w:val="none"/>
              </w:rPr>
              <w:t>技术</w:t>
            </w:r>
            <w:r>
              <w:rPr>
                <w:rFonts w:hint="eastAsia" w:ascii="仿宋" w:hAnsi="仿宋" w:eastAsia="仿宋" w:cs="仿宋"/>
                <w:b w:val="0"/>
                <w:bCs w:val="0"/>
                <w:color w:val="000000"/>
                <w:sz w:val="24"/>
                <w:szCs w:val="24"/>
                <w:highlight w:val="none"/>
                <w:lang w:val="en-US" w:eastAsia="zh-CN"/>
              </w:rPr>
              <w:t>要求</w:t>
            </w:r>
            <w:r>
              <w:rPr>
                <w:rFonts w:hint="eastAsia" w:ascii="仿宋" w:hAnsi="仿宋" w:eastAsia="仿宋" w:cs="仿宋"/>
                <w:b w:val="0"/>
                <w:bCs w:val="0"/>
                <w:color w:val="000000"/>
                <w:sz w:val="24"/>
                <w:szCs w:val="24"/>
                <w:highlight w:val="none"/>
              </w:rPr>
              <w:t>中无特殊要求则</w:t>
            </w:r>
            <w:r>
              <w:rPr>
                <w:rFonts w:hint="eastAsia" w:ascii="仿宋" w:hAnsi="仿宋" w:eastAsia="仿宋" w:cs="仿宋"/>
                <w:b w:val="0"/>
                <w:bCs w:val="0"/>
                <w:color w:val="000000"/>
                <w:sz w:val="24"/>
                <w:szCs w:val="24"/>
                <w:highlight w:val="none"/>
                <w:lang w:val="en-US" w:eastAsia="zh-CN"/>
              </w:rPr>
              <w:t>可不提供或根据响应情况提供相关证明资料</w:t>
            </w:r>
            <w:r>
              <w:rPr>
                <w:rFonts w:hint="eastAsia" w:ascii="仿宋" w:hAnsi="仿宋" w:eastAsia="仿宋" w:cs="仿宋"/>
                <w:b w:val="0"/>
                <w:bCs w:val="0"/>
                <w:color w:val="000000"/>
                <w:sz w:val="24"/>
                <w:szCs w:val="24"/>
                <w:highlight w:val="none"/>
              </w:rPr>
              <w:t>。</w:t>
            </w:r>
          </w:p>
          <w:p w14:paraId="44ACC894">
            <w:pPr>
              <w:keepNext w:val="0"/>
              <w:keepLines w:val="0"/>
              <w:pageBreakBefore w:val="0"/>
              <w:widowControl w:val="0"/>
              <w:kinsoku/>
              <w:wordWrap w:val="0"/>
              <w:overflowPunct/>
              <w:topLinePunct w:val="0"/>
              <w:autoSpaceDE/>
              <w:autoSpaceDN/>
              <w:bidi w:val="0"/>
              <w:adjustRightInd/>
              <w:snapToGrid/>
              <w:spacing w:line="320" w:lineRule="exact"/>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4、</w:t>
            </w:r>
            <w:r>
              <w:rPr>
                <w:rFonts w:hint="eastAsia" w:ascii="仿宋" w:hAnsi="仿宋" w:eastAsia="仿宋" w:cs="仿宋"/>
                <w:b w:val="0"/>
                <w:bCs w:val="0"/>
                <w:color w:val="000000"/>
                <w:sz w:val="24"/>
                <w:szCs w:val="24"/>
                <w:highlight w:val="none"/>
              </w:rPr>
              <w:t>其中技术支持资料指生产厂家公开发布的印刷资料或检测机构出具的检验报告，若生产厂家公开发布的印刷资料或检测机构出具的检验报告不一致，以检测机构出具的检验报告为准。如</w:t>
            </w:r>
            <w:r>
              <w:rPr>
                <w:rFonts w:hint="eastAsia" w:ascii="仿宋" w:hAnsi="仿宋" w:eastAsia="仿宋" w:cs="仿宋"/>
                <w:b w:val="0"/>
                <w:bCs w:val="0"/>
                <w:color w:val="000000"/>
                <w:sz w:val="24"/>
                <w:szCs w:val="24"/>
                <w:highlight w:val="none"/>
                <w:lang w:eastAsia="zh-CN"/>
              </w:rPr>
              <w:t>投标人</w:t>
            </w:r>
            <w:r>
              <w:rPr>
                <w:rFonts w:hint="eastAsia" w:ascii="仿宋" w:hAnsi="仿宋" w:eastAsia="仿宋" w:cs="仿宋"/>
                <w:b w:val="0"/>
                <w:bCs w:val="0"/>
                <w:color w:val="000000"/>
                <w:sz w:val="24"/>
                <w:szCs w:val="24"/>
                <w:highlight w:val="none"/>
              </w:rPr>
              <w:t>技术响应与技术支持资料（或证明材料）不一致，将以技术支持资料（或证明材料）为准。</w:t>
            </w:r>
          </w:p>
          <w:p w14:paraId="665ADF8D">
            <w:pPr>
              <w:keepNext w:val="0"/>
              <w:keepLines w:val="0"/>
              <w:pageBreakBefore w:val="0"/>
              <w:widowControl w:val="0"/>
              <w:tabs>
                <w:tab w:val="left" w:pos="351"/>
                <w:tab w:val="left" w:pos="690"/>
              </w:tabs>
              <w:kinsoku/>
              <w:wordWrap w:val="0"/>
              <w:overflowPunct/>
              <w:topLinePunct w:val="0"/>
              <w:autoSpaceDE/>
              <w:autoSpaceDN/>
              <w:bidi w:val="0"/>
              <w:adjustRightInd/>
              <w:snapToGrid/>
              <w:spacing w:line="320" w:lineRule="exact"/>
              <w:ind w:right="0" w:rightChars="0"/>
              <w:textAlignment w:val="auto"/>
              <w:rPr>
                <w:rFonts w:hint="eastAsia" w:ascii="仿宋" w:hAnsi="仿宋" w:eastAsia="仿宋" w:cs="仿宋"/>
                <w:b w:val="0"/>
                <w:bCs/>
                <w:color w:val="000000"/>
                <w:kern w:val="2"/>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rPr>
              <w:t>5、</w:t>
            </w:r>
            <w:r>
              <w:rPr>
                <w:rFonts w:hint="eastAsia" w:ascii="仿宋" w:hAnsi="仿宋" w:eastAsia="仿宋" w:cs="仿宋"/>
                <w:b w:val="0"/>
                <w:bCs w:val="0"/>
                <w:color w:val="000000"/>
                <w:sz w:val="24"/>
                <w:szCs w:val="24"/>
                <w:highlight w:val="none"/>
                <w:lang w:eastAsia="zh-CN"/>
              </w:rPr>
              <w:t>投标人</w:t>
            </w:r>
            <w:r>
              <w:rPr>
                <w:rFonts w:hint="eastAsia" w:ascii="仿宋" w:hAnsi="仿宋" w:eastAsia="仿宋" w:cs="仿宋"/>
                <w:b w:val="0"/>
                <w:bCs w:val="0"/>
                <w:color w:val="000000"/>
                <w:sz w:val="24"/>
                <w:szCs w:val="24"/>
                <w:highlight w:val="none"/>
              </w:rPr>
              <w:t>需对提交的证明材料真实性负责，</w:t>
            </w:r>
            <w:r>
              <w:rPr>
                <w:rFonts w:hint="eastAsia" w:ascii="仿宋" w:hAnsi="仿宋" w:eastAsia="仿宋" w:cs="仿宋"/>
                <w:b w:val="0"/>
                <w:bCs w:val="0"/>
                <w:color w:val="000000"/>
                <w:sz w:val="24"/>
                <w:szCs w:val="24"/>
                <w:highlight w:val="none"/>
                <w:lang w:val="en-US" w:eastAsia="zh-CN"/>
              </w:rPr>
              <w:t>若</w:t>
            </w:r>
            <w:r>
              <w:rPr>
                <w:rFonts w:hint="eastAsia" w:ascii="仿宋" w:hAnsi="仿宋" w:eastAsia="仿宋" w:cs="仿宋"/>
                <w:b w:val="0"/>
                <w:bCs w:val="0"/>
                <w:color w:val="000000"/>
                <w:sz w:val="24"/>
                <w:szCs w:val="24"/>
                <w:highlight w:val="none"/>
              </w:rPr>
              <w:t>提供的产品规格、技术条款、检测报告、相关认证证书</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产品手册、彩页、说明书、</w:t>
            </w:r>
            <w:r>
              <w:rPr>
                <w:rFonts w:hint="eastAsia" w:ascii="仿宋" w:hAnsi="仿宋" w:eastAsia="仿宋" w:cs="仿宋"/>
                <w:color w:val="000000"/>
                <w:sz w:val="24"/>
                <w:szCs w:val="24"/>
                <w:highlight w:val="none"/>
                <w:lang w:val="en-US" w:eastAsia="zh-CN"/>
              </w:rPr>
              <w:t>图纸</w:t>
            </w:r>
            <w:r>
              <w:rPr>
                <w:rFonts w:hint="eastAsia" w:ascii="仿宋" w:hAnsi="仿宋" w:eastAsia="仿宋" w:cs="仿宋"/>
                <w:b w:val="0"/>
                <w:bCs w:val="0"/>
                <w:color w:val="000000"/>
                <w:sz w:val="24"/>
                <w:szCs w:val="24"/>
                <w:highlight w:val="none"/>
              </w:rPr>
              <w:t>等方面的材料不真实，将认定为提供虚假材料谋取</w:t>
            </w:r>
            <w:r>
              <w:rPr>
                <w:rFonts w:hint="eastAsia" w:ascii="仿宋" w:hAnsi="仿宋" w:eastAsia="仿宋" w:cs="仿宋"/>
                <w:b w:val="0"/>
                <w:bCs w:val="0"/>
                <w:color w:val="000000"/>
                <w:sz w:val="24"/>
                <w:szCs w:val="24"/>
                <w:highlight w:val="none"/>
                <w:lang w:eastAsia="zh-CN"/>
              </w:rPr>
              <w:t>成交。</w:t>
            </w:r>
            <w:r>
              <w:rPr>
                <w:rFonts w:hint="eastAsia" w:ascii="仿宋" w:hAnsi="仿宋" w:eastAsia="仿宋" w:cs="仿宋"/>
                <w:b w:val="0"/>
                <w:bCs w:val="0"/>
                <w:color w:val="000000"/>
                <w:sz w:val="24"/>
                <w:szCs w:val="24"/>
                <w:highlight w:val="none"/>
                <w:lang w:val="en-US" w:eastAsia="zh-CN"/>
              </w:rPr>
              <w:t>货到验收技术参数与响应文件不符时，成交无效，采购方有权拒收货物，拒付款，并且供货方必须承担相应的法律责任</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rPr>
              <w:t>由此给采购人造成损失的，</w:t>
            </w:r>
            <w:r>
              <w:rPr>
                <w:rFonts w:hint="eastAsia" w:ascii="仿宋" w:hAnsi="仿宋" w:eastAsia="仿宋" w:cs="仿宋"/>
                <w:b w:val="0"/>
                <w:bCs w:val="0"/>
                <w:color w:val="000000"/>
                <w:sz w:val="24"/>
                <w:szCs w:val="24"/>
                <w:highlight w:val="none"/>
                <w:lang w:eastAsia="zh-CN"/>
              </w:rPr>
              <w:t>投标人</w:t>
            </w:r>
            <w:r>
              <w:rPr>
                <w:rFonts w:hint="eastAsia" w:ascii="仿宋" w:hAnsi="仿宋" w:eastAsia="仿宋" w:cs="仿宋"/>
                <w:b w:val="0"/>
                <w:bCs w:val="0"/>
                <w:color w:val="000000"/>
                <w:sz w:val="24"/>
                <w:szCs w:val="24"/>
                <w:highlight w:val="none"/>
              </w:rPr>
              <w:t>应承担相应后果，并负责赔偿。</w:t>
            </w:r>
          </w:p>
        </w:tc>
      </w:tr>
    </w:tbl>
    <w:p w14:paraId="2C736CF4">
      <w:pPr>
        <w:pStyle w:val="2"/>
        <w:ind w:left="0" w:leftChars="0" w:firstLine="0" w:firstLineChars="0"/>
        <w:rPr>
          <w:rFonts w:hint="eastAsia" w:ascii="仿宋" w:hAnsi="仿宋" w:eastAsia="仿宋" w:cs="仿宋"/>
          <w:highlight w:val="none"/>
          <w:lang w:val="en-US" w:eastAsia="zh-CN"/>
        </w:rPr>
      </w:pPr>
      <w:bookmarkStart w:id="551" w:name="OfficeAISelectedParaphsRangeEnd"/>
      <w:bookmarkEnd w:id="551"/>
    </w:p>
    <w:sectPr>
      <w:pgSz w:w="11906" w:h="16838"/>
      <w:pgMar w:top="1440" w:right="1080" w:bottom="1440" w:left="1080" w:header="851" w:footer="992" w:gutter="0"/>
      <w:pgNumType w:fmt="decimal"/>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Yu Mincho Light">
    <w:altName w:val="Yu Gothic"/>
    <w:panose1 w:val="00000000000000000000"/>
    <w:charset w:val="80"/>
    <w:family w:val="roman"/>
    <w:pitch w:val="default"/>
    <w:sig w:usb0="00000000" w:usb1="00000000" w:usb2="00000012" w:usb3="00000000" w:csb0="0002009F" w:csb1="00000000"/>
  </w:font>
  <w:font w:name="Yu Gothic">
    <w:panose1 w:val="020B0400000000000000"/>
    <w:charset w:val="80"/>
    <w:family w:val="auto"/>
    <w:pitch w:val="default"/>
    <w:sig w:usb0="E00002FF" w:usb1="2AC7FDFF" w:usb2="00000016" w:usb3="00000000" w:csb0="2002009F" w:csb1="00000000"/>
  </w:font>
  <w:font w:name="@MS PMincho">
    <w:altName w:val="Yu Gothic UI"/>
    <w:panose1 w:val="02020600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1D5BE">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8E196">
    <w:pPr>
      <w:pStyle w:val="14"/>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A458CA">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DA458CA">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D4378">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9254C">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329254C">
                    <w:pPr>
                      <w:pStyle w:val="1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02A1D">
    <w:pPr>
      <w:pStyle w:val="15"/>
      <w:pBdr>
        <w:bottom w:val="thinThickSmallGap" w:color="auto" w:sz="12" w:space="1"/>
      </w:pBdr>
      <w:jc w:val="right"/>
      <w:rPr>
        <w:rFonts w:hint="eastAsia" w:ascii="仿宋" w:hAnsi="仿宋" w:eastAsia="仿宋" w:cs="仿宋"/>
      </w:rPr>
    </w:pPr>
    <w:r>
      <w:rPr>
        <w:rFonts w:hint="default"/>
        <w:lang w:val="en-US" w:eastAsia="zh-CN"/>
      </w:rPr>
      <w:drawing>
        <wp:inline distT="0" distB="0" distL="114300" distR="114300">
          <wp:extent cx="1412240" cy="454025"/>
          <wp:effectExtent l="0" t="0" r="0" b="3175"/>
          <wp:docPr id="8" name="图片 1"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log"/>
                  <pic:cNvPicPr>
                    <a:picLocks noChangeAspect="1"/>
                  </pic:cNvPicPr>
                </pic:nvPicPr>
                <pic:blipFill>
                  <a:blip r:embed="rId1"/>
                  <a:srcRect t="11752" b="22871"/>
                  <a:stretch>
                    <a:fillRect/>
                  </a:stretch>
                </pic:blipFill>
                <pic:spPr>
                  <a:xfrm>
                    <a:off x="0" y="0"/>
                    <a:ext cx="1412240" cy="45402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7CBA9">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0843F">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1">
    <w:nsid w:val="00000002"/>
    <w:multiLevelType w:val="multilevel"/>
    <w:tmpl w:val="00000002"/>
    <w:lvl w:ilvl="0" w:tentative="0">
      <w:start w:val="3"/>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2">
    <w:nsid w:val="2B6FD98E"/>
    <w:multiLevelType w:val="singleLevel"/>
    <w:tmpl w:val="2B6FD98E"/>
    <w:lvl w:ilvl="0" w:tentative="0">
      <w:start w:val="3"/>
      <w:numFmt w:val="chineseCounting"/>
      <w:suff w:val="space"/>
      <w:lvlText w:val="第%1章"/>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kMjNiNmVmYjNlODQyYTljZWZkYWEyYTkzMzlhNzEifQ=="/>
  </w:docVars>
  <w:rsids>
    <w:rsidRoot w:val="00000000"/>
    <w:rsid w:val="000F3059"/>
    <w:rsid w:val="003A4E50"/>
    <w:rsid w:val="01115B19"/>
    <w:rsid w:val="0207305F"/>
    <w:rsid w:val="020E3E06"/>
    <w:rsid w:val="024C2AB3"/>
    <w:rsid w:val="03394EB3"/>
    <w:rsid w:val="035D39A0"/>
    <w:rsid w:val="04155A4B"/>
    <w:rsid w:val="049E6C4E"/>
    <w:rsid w:val="054568CD"/>
    <w:rsid w:val="05AD1FD6"/>
    <w:rsid w:val="066C0483"/>
    <w:rsid w:val="06F8266B"/>
    <w:rsid w:val="077B7572"/>
    <w:rsid w:val="077C0455"/>
    <w:rsid w:val="080D25F4"/>
    <w:rsid w:val="08210512"/>
    <w:rsid w:val="09121943"/>
    <w:rsid w:val="09842C00"/>
    <w:rsid w:val="0BBF2615"/>
    <w:rsid w:val="0DF04490"/>
    <w:rsid w:val="0E0768A5"/>
    <w:rsid w:val="0EB42B57"/>
    <w:rsid w:val="0FFC7994"/>
    <w:rsid w:val="10846AB0"/>
    <w:rsid w:val="11CC0AD6"/>
    <w:rsid w:val="12B32FBA"/>
    <w:rsid w:val="1331143C"/>
    <w:rsid w:val="13AA0323"/>
    <w:rsid w:val="13DD0FD6"/>
    <w:rsid w:val="141B7707"/>
    <w:rsid w:val="14230E1A"/>
    <w:rsid w:val="14AB2494"/>
    <w:rsid w:val="156059A9"/>
    <w:rsid w:val="160A05A7"/>
    <w:rsid w:val="161363DA"/>
    <w:rsid w:val="16B44C11"/>
    <w:rsid w:val="17105EAE"/>
    <w:rsid w:val="1766520F"/>
    <w:rsid w:val="19960E59"/>
    <w:rsid w:val="19F70C35"/>
    <w:rsid w:val="1A1E1FE7"/>
    <w:rsid w:val="1AE73E42"/>
    <w:rsid w:val="1B344FBA"/>
    <w:rsid w:val="1B5D2E45"/>
    <w:rsid w:val="1C9A0C60"/>
    <w:rsid w:val="1C9A3DA5"/>
    <w:rsid w:val="1CFD1B8F"/>
    <w:rsid w:val="1F542BBF"/>
    <w:rsid w:val="210451D9"/>
    <w:rsid w:val="213363DA"/>
    <w:rsid w:val="21661111"/>
    <w:rsid w:val="21846BF1"/>
    <w:rsid w:val="226E6E1B"/>
    <w:rsid w:val="22A417C8"/>
    <w:rsid w:val="23CE24B4"/>
    <w:rsid w:val="241C1F5B"/>
    <w:rsid w:val="253B0B07"/>
    <w:rsid w:val="25A01955"/>
    <w:rsid w:val="25A8626E"/>
    <w:rsid w:val="26541EE9"/>
    <w:rsid w:val="26544778"/>
    <w:rsid w:val="26DF26C5"/>
    <w:rsid w:val="26DF3E46"/>
    <w:rsid w:val="27A02EA3"/>
    <w:rsid w:val="27B3418C"/>
    <w:rsid w:val="28BF53C4"/>
    <w:rsid w:val="292C0028"/>
    <w:rsid w:val="293D2AF9"/>
    <w:rsid w:val="296306DF"/>
    <w:rsid w:val="29A7368A"/>
    <w:rsid w:val="29D90681"/>
    <w:rsid w:val="29F27ADF"/>
    <w:rsid w:val="2A3D18A8"/>
    <w:rsid w:val="2A8E1E5E"/>
    <w:rsid w:val="2A9500A8"/>
    <w:rsid w:val="2B7721AE"/>
    <w:rsid w:val="2C1F083A"/>
    <w:rsid w:val="2C7E7C57"/>
    <w:rsid w:val="2C91377B"/>
    <w:rsid w:val="2CD45510"/>
    <w:rsid w:val="2D6F134E"/>
    <w:rsid w:val="2DFE6398"/>
    <w:rsid w:val="2E4B4CB9"/>
    <w:rsid w:val="2E61589F"/>
    <w:rsid w:val="2EB62002"/>
    <w:rsid w:val="2F587FB0"/>
    <w:rsid w:val="2F713AA3"/>
    <w:rsid w:val="2F8C0FDE"/>
    <w:rsid w:val="2F9718C9"/>
    <w:rsid w:val="2FE73D65"/>
    <w:rsid w:val="30025A09"/>
    <w:rsid w:val="30DD2BA7"/>
    <w:rsid w:val="310412CE"/>
    <w:rsid w:val="31CF15AD"/>
    <w:rsid w:val="321C75CA"/>
    <w:rsid w:val="32647EAA"/>
    <w:rsid w:val="3294445B"/>
    <w:rsid w:val="33BF2903"/>
    <w:rsid w:val="342832B5"/>
    <w:rsid w:val="347447B6"/>
    <w:rsid w:val="34C2318D"/>
    <w:rsid w:val="35584965"/>
    <w:rsid w:val="35BF0824"/>
    <w:rsid w:val="35C249F4"/>
    <w:rsid w:val="364E2A02"/>
    <w:rsid w:val="365F00DD"/>
    <w:rsid w:val="367B3DB1"/>
    <w:rsid w:val="373C022C"/>
    <w:rsid w:val="37783FC2"/>
    <w:rsid w:val="37F05BF6"/>
    <w:rsid w:val="384D7CF9"/>
    <w:rsid w:val="38A74091"/>
    <w:rsid w:val="3A8F7CA6"/>
    <w:rsid w:val="3AA36ADA"/>
    <w:rsid w:val="3AAC3BE1"/>
    <w:rsid w:val="3BEE1964"/>
    <w:rsid w:val="3C3D64B3"/>
    <w:rsid w:val="3C5A5BA6"/>
    <w:rsid w:val="3C801C4E"/>
    <w:rsid w:val="3C9B5825"/>
    <w:rsid w:val="3CE533DA"/>
    <w:rsid w:val="3D0D2FFA"/>
    <w:rsid w:val="3D2837E0"/>
    <w:rsid w:val="3D57464A"/>
    <w:rsid w:val="3DC35D78"/>
    <w:rsid w:val="3DC90F73"/>
    <w:rsid w:val="3EB56DDC"/>
    <w:rsid w:val="3FA8269D"/>
    <w:rsid w:val="3FF52D3F"/>
    <w:rsid w:val="40EF2A79"/>
    <w:rsid w:val="412F0DC7"/>
    <w:rsid w:val="41A512C4"/>
    <w:rsid w:val="41A53138"/>
    <w:rsid w:val="42BF6B3C"/>
    <w:rsid w:val="42E12E1C"/>
    <w:rsid w:val="43261F5B"/>
    <w:rsid w:val="4355293C"/>
    <w:rsid w:val="43CE248F"/>
    <w:rsid w:val="43D74E11"/>
    <w:rsid w:val="43FB2D3D"/>
    <w:rsid w:val="44390965"/>
    <w:rsid w:val="447029B2"/>
    <w:rsid w:val="45581599"/>
    <w:rsid w:val="45D5565B"/>
    <w:rsid w:val="45E9475A"/>
    <w:rsid w:val="46515646"/>
    <w:rsid w:val="465B470D"/>
    <w:rsid w:val="46B7320B"/>
    <w:rsid w:val="47EE0C1F"/>
    <w:rsid w:val="495C67D2"/>
    <w:rsid w:val="499E686A"/>
    <w:rsid w:val="49AE4CE2"/>
    <w:rsid w:val="4A4A0542"/>
    <w:rsid w:val="4B10041A"/>
    <w:rsid w:val="4BC66B09"/>
    <w:rsid w:val="4BD76080"/>
    <w:rsid w:val="4C41730F"/>
    <w:rsid w:val="4CF23495"/>
    <w:rsid w:val="4D0B1881"/>
    <w:rsid w:val="4D9E7AF5"/>
    <w:rsid w:val="4DA913C5"/>
    <w:rsid w:val="4DBB438C"/>
    <w:rsid w:val="4EB15812"/>
    <w:rsid w:val="4EF12FF9"/>
    <w:rsid w:val="4F3D21CD"/>
    <w:rsid w:val="50C049AB"/>
    <w:rsid w:val="52102754"/>
    <w:rsid w:val="52171E30"/>
    <w:rsid w:val="52330933"/>
    <w:rsid w:val="53243902"/>
    <w:rsid w:val="53722EA7"/>
    <w:rsid w:val="54883745"/>
    <w:rsid w:val="54C11A88"/>
    <w:rsid w:val="55CD1CD6"/>
    <w:rsid w:val="55F26D71"/>
    <w:rsid w:val="560721BC"/>
    <w:rsid w:val="56511D28"/>
    <w:rsid w:val="56592CE0"/>
    <w:rsid w:val="56CA6FB2"/>
    <w:rsid w:val="57207B81"/>
    <w:rsid w:val="579839F4"/>
    <w:rsid w:val="58A23248"/>
    <w:rsid w:val="590C4F28"/>
    <w:rsid w:val="596D4A2C"/>
    <w:rsid w:val="598073D9"/>
    <w:rsid w:val="5B2768E1"/>
    <w:rsid w:val="5B477CC2"/>
    <w:rsid w:val="5C6E089F"/>
    <w:rsid w:val="5CAF2C65"/>
    <w:rsid w:val="5D2B4975"/>
    <w:rsid w:val="5D4D3BC9"/>
    <w:rsid w:val="5D683540"/>
    <w:rsid w:val="5E652175"/>
    <w:rsid w:val="5E907E2E"/>
    <w:rsid w:val="5EF3065B"/>
    <w:rsid w:val="5F090B3B"/>
    <w:rsid w:val="5FB566C9"/>
    <w:rsid w:val="5FD72359"/>
    <w:rsid w:val="5FFC0182"/>
    <w:rsid w:val="60652A37"/>
    <w:rsid w:val="60793CB6"/>
    <w:rsid w:val="60DD41AD"/>
    <w:rsid w:val="6129421A"/>
    <w:rsid w:val="61693D2A"/>
    <w:rsid w:val="62C90F25"/>
    <w:rsid w:val="62F76986"/>
    <w:rsid w:val="631C51F0"/>
    <w:rsid w:val="63474941"/>
    <w:rsid w:val="639211D3"/>
    <w:rsid w:val="64572D09"/>
    <w:rsid w:val="64746C6E"/>
    <w:rsid w:val="65887D0C"/>
    <w:rsid w:val="667B7D37"/>
    <w:rsid w:val="67811B87"/>
    <w:rsid w:val="695222A2"/>
    <w:rsid w:val="69844FEA"/>
    <w:rsid w:val="6A6B16D9"/>
    <w:rsid w:val="6B004FC1"/>
    <w:rsid w:val="6B51346B"/>
    <w:rsid w:val="6BC25C78"/>
    <w:rsid w:val="6CA34CA6"/>
    <w:rsid w:val="6D0442A4"/>
    <w:rsid w:val="6D346D35"/>
    <w:rsid w:val="6DA8619A"/>
    <w:rsid w:val="6DD54C21"/>
    <w:rsid w:val="6E1F406D"/>
    <w:rsid w:val="6E7C509D"/>
    <w:rsid w:val="6F9E7295"/>
    <w:rsid w:val="6FAE2AA7"/>
    <w:rsid w:val="6FB32DCD"/>
    <w:rsid w:val="70BA1EAD"/>
    <w:rsid w:val="70D406F4"/>
    <w:rsid w:val="71787359"/>
    <w:rsid w:val="7244017F"/>
    <w:rsid w:val="729329B5"/>
    <w:rsid w:val="72DF437B"/>
    <w:rsid w:val="72E731E8"/>
    <w:rsid w:val="73CA02E8"/>
    <w:rsid w:val="742D4A14"/>
    <w:rsid w:val="744C3764"/>
    <w:rsid w:val="74A80B3D"/>
    <w:rsid w:val="74EE1840"/>
    <w:rsid w:val="75894543"/>
    <w:rsid w:val="75AE56CA"/>
    <w:rsid w:val="76A82A66"/>
    <w:rsid w:val="76D62D42"/>
    <w:rsid w:val="76FC0DDC"/>
    <w:rsid w:val="770E7D31"/>
    <w:rsid w:val="777B7FA7"/>
    <w:rsid w:val="78245C46"/>
    <w:rsid w:val="78654C1B"/>
    <w:rsid w:val="7A725C87"/>
    <w:rsid w:val="7B190493"/>
    <w:rsid w:val="7B5B428C"/>
    <w:rsid w:val="7BF27C55"/>
    <w:rsid w:val="7C05739D"/>
    <w:rsid w:val="7C7400F4"/>
    <w:rsid w:val="7CB3260B"/>
    <w:rsid w:val="7D955BF9"/>
    <w:rsid w:val="7DD24CD9"/>
    <w:rsid w:val="7DE315A6"/>
    <w:rsid w:val="7E300F68"/>
    <w:rsid w:val="7E521976"/>
    <w:rsid w:val="7EBB281F"/>
    <w:rsid w:val="7F1E5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Yu Mincho Light" w:hAnsi="@Yu Mincho Light" w:eastAsia="@Yu Mincho Light" w:cs="@MS PMincho"/>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widowControl/>
      <w:tabs>
        <w:tab w:val="left" w:pos="912"/>
        <w:tab w:val="left" w:pos="1080"/>
      </w:tabs>
      <w:spacing w:before="120" w:after="120" w:line="360" w:lineRule="auto"/>
      <w:jc w:val="left"/>
      <w:outlineLvl w:val="3"/>
    </w:pPr>
    <w:rPr>
      <w:rFonts w:ascii="Times New Roman" w:hAnsi="Times New Roman" w:eastAsia="黑体"/>
      <w:bCs/>
      <w:kern w:val="44"/>
      <w:sz w:val="28"/>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napToGrid w:val="0"/>
      <w:spacing w:line="400" w:lineRule="exact"/>
      <w:ind w:firstLine="540" w:firstLineChars="225"/>
    </w:pPr>
    <w:rPr>
      <w:rFonts w:eastAsia="仿宋_GB2312"/>
      <w:sz w:val="24"/>
      <w:szCs w:val="24"/>
    </w:rPr>
  </w:style>
  <w:style w:type="paragraph" w:styleId="7">
    <w:name w:val="Normal Indent"/>
    <w:basedOn w:val="1"/>
    <w:qFormat/>
    <w:uiPriority w:val="0"/>
    <w:pPr>
      <w:ind w:firstLine="420"/>
    </w:pPr>
  </w:style>
  <w:style w:type="paragraph" w:styleId="8">
    <w:name w:val="annotation text"/>
    <w:basedOn w:val="1"/>
    <w:qFormat/>
    <w:uiPriority w:val="99"/>
    <w:pPr>
      <w:jc w:val="left"/>
    </w:pPr>
  </w:style>
  <w:style w:type="paragraph" w:styleId="9">
    <w:name w:val="Body Text"/>
    <w:basedOn w:val="1"/>
    <w:next w:val="10"/>
    <w:qFormat/>
    <w:uiPriority w:val="1"/>
    <w:rPr>
      <w:rFonts w:ascii="@MS PMincho" w:hAnsi="@MS PMincho" w:eastAsia="@MS PMincho" w:cs="@MS PMincho"/>
      <w:sz w:val="24"/>
      <w:szCs w:val="24"/>
      <w:lang w:val="zh-CN" w:bidi="zh-CN"/>
    </w:rPr>
  </w:style>
  <w:style w:type="paragraph" w:styleId="10">
    <w:name w:val="toc 5"/>
    <w:basedOn w:val="1"/>
    <w:next w:val="1"/>
    <w:qFormat/>
    <w:uiPriority w:val="39"/>
    <w:pPr>
      <w:ind w:left="1680" w:leftChars="800"/>
    </w:pPr>
    <w:rPr>
      <w:rFonts w:ascii="黑体" w:hAnsi="黑体" w:eastAsia="@Yu Mincho Light" w:cs="@MS PMincho"/>
    </w:rPr>
  </w:style>
  <w:style w:type="paragraph" w:styleId="11">
    <w:name w:val="Block Text"/>
    <w:basedOn w:val="1"/>
    <w:qFormat/>
    <w:uiPriority w:val="0"/>
    <w:pPr>
      <w:spacing w:after="120"/>
      <w:ind w:left="1440" w:right="1440"/>
    </w:pPr>
  </w:style>
  <w:style w:type="paragraph" w:styleId="12">
    <w:name w:val="index 4"/>
    <w:basedOn w:val="1"/>
    <w:next w:val="1"/>
    <w:qFormat/>
    <w:uiPriority w:val="99"/>
    <w:pPr>
      <w:ind w:left="600" w:leftChars="600"/>
    </w:pPr>
    <w:rPr>
      <w:szCs w:val="24"/>
    </w:rPr>
  </w:style>
  <w:style w:type="paragraph" w:styleId="13">
    <w:name w:val="Plain Text"/>
    <w:basedOn w:val="1"/>
    <w:qFormat/>
    <w:uiPriority w:val="0"/>
    <w:rPr>
      <w:rFonts w:ascii="@Yu Mincho Light" w:hAnsi="@Yu Mincho Light" w:cs="@Yu Mincho Light"/>
      <w:szCs w:val="21"/>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9736"/>
      </w:tabs>
    </w:pPr>
    <w:rPr>
      <w:rFonts w:ascii="@Yu Mincho Light" w:hAnsi="@Yu Mincho Light"/>
      <w:b/>
    </w:rPr>
  </w:style>
  <w:style w:type="paragraph" w:styleId="17">
    <w:name w:val="toc 2"/>
    <w:basedOn w:val="1"/>
    <w:next w:val="1"/>
    <w:qFormat/>
    <w:uiPriority w:val="39"/>
    <w:pPr>
      <w:ind w:left="420" w:leftChars="200"/>
    </w:pPr>
  </w:style>
  <w:style w:type="paragraph" w:styleId="18">
    <w:name w:val="Normal (Web)"/>
    <w:basedOn w:val="1"/>
    <w:qFormat/>
    <w:uiPriority w:val="0"/>
    <w:pPr>
      <w:widowControl/>
      <w:spacing w:before="100" w:beforeAutospacing="1" w:after="100" w:afterAutospacing="1"/>
      <w:jc w:val="left"/>
    </w:pPr>
    <w:rPr>
      <w:rFonts w:ascii="@Yu Mincho Light" w:hAnsi="@Yu Mincho Light" w:cs="@Yu Mincho Light"/>
      <w:kern w:val="0"/>
      <w:sz w:val="24"/>
      <w:szCs w:val="24"/>
    </w:rPr>
  </w:style>
  <w:style w:type="paragraph" w:styleId="19">
    <w:name w:val="annotation subject"/>
    <w:basedOn w:val="8"/>
    <w:next w:val="1"/>
    <w:unhideWhenUsed/>
    <w:qFormat/>
    <w:uiPriority w:val="99"/>
    <w:rPr>
      <w:b/>
      <w:bCs/>
    </w:rPr>
  </w:style>
  <w:style w:type="paragraph" w:styleId="20">
    <w:name w:val="Body Text First Indent"/>
    <w:basedOn w:val="9"/>
    <w:next w:val="1"/>
    <w:qFormat/>
    <w:uiPriority w:val="0"/>
    <w:pPr>
      <w:tabs>
        <w:tab w:val="center" w:pos="2185"/>
      </w:tabs>
      <w:adjustRightInd/>
      <w:spacing w:beforeLines="50" w:line="300" w:lineRule="auto"/>
      <w:ind w:firstLine="200" w:firstLineChars="200"/>
    </w:pPr>
    <w:rPr>
      <w:rFonts w:ascii="楷体_GB2312" w:eastAsia="楷体_GB2312"/>
      <w:color w:val="auto"/>
      <w:spacing w:val="4"/>
      <w:kern w:val="2"/>
      <w:sz w:val="21"/>
    </w:rPr>
  </w:style>
  <w:style w:type="paragraph" w:styleId="21">
    <w:name w:val="Body Text First Indent 2"/>
    <w:basedOn w:val="2"/>
    <w:next w:val="20"/>
    <w:qFormat/>
    <w:uiPriority w:val="0"/>
    <w:pPr>
      <w:spacing w:after="120" w:line="240" w:lineRule="auto"/>
      <w:ind w:left="420" w:leftChars="200" w:firstLine="420" w:firstLineChars="200"/>
    </w:pPr>
    <w:rPr>
      <w:sz w:val="21"/>
    </w:rPr>
  </w:style>
  <w:style w:type="table" w:styleId="23">
    <w:name w:val="Table Grid"/>
    <w:basedOn w:val="22"/>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
    <w:name w:val="TOC 标题2"/>
    <w:basedOn w:val="3"/>
    <w:next w:val="1"/>
    <w:qFormat/>
    <w:uiPriority w:val="39"/>
    <w:pPr>
      <w:widowControl/>
      <w:spacing w:before="480" w:after="0" w:line="276" w:lineRule="auto"/>
      <w:jc w:val="left"/>
      <w:outlineLvl w:val="9"/>
    </w:pPr>
    <w:rPr>
      <w:rFonts w:ascii="@Yu Mincho Light" w:hAnsi="@Yu Mincho Light" w:eastAsia="@Yu Mincho Light" w:cs="@MS PMincho"/>
      <w:color w:val="365F91"/>
      <w:kern w:val="0"/>
      <w:sz w:val="28"/>
      <w:szCs w:val="28"/>
    </w:rPr>
  </w:style>
  <w:style w:type="paragraph" w:customStyle="1" w:styleId="26">
    <w:name w:val="p0"/>
    <w:basedOn w:val="1"/>
    <w:qFormat/>
    <w:uiPriority w:val="0"/>
    <w:pPr>
      <w:widowControl/>
    </w:pPr>
    <w:rPr>
      <w:rFonts w:ascii="@MS PMincho" w:hAnsi="@MS PMincho"/>
      <w:kern w:val="0"/>
      <w:szCs w:val="21"/>
    </w:rPr>
  </w:style>
  <w:style w:type="paragraph" w:customStyle="1" w:styleId="27">
    <w:name w:val="Default"/>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paragraph" w:customStyle="1" w:styleId="29">
    <w:name w:val="列出段落1"/>
    <w:basedOn w:val="1"/>
    <w:qFormat/>
    <w:uiPriority w:val="0"/>
    <w:pPr>
      <w:ind w:firstLine="420" w:firstLineChars="200"/>
    </w:pPr>
    <w:rPr>
      <w:rFonts w:ascii="Times New Roman" w:hAnsi="Times New Roman"/>
      <w:szCs w:val="21"/>
    </w:rPr>
  </w:style>
  <w:style w:type="paragraph" w:customStyle="1" w:styleId="30">
    <w:name w:val="Table Paragraph"/>
    <w:basedOn w:val="1"/>
    <w:unhideWhenUsed/>
    <w:qFormat/>
    <w:uiPriority w:val="1"/>
    <w:pPr>
      <w:spacing w:beforeLines="0" w:afterLines="0"/>
    </w:pPr>
    <w:rPr>
      <w:rFonts w:hint="default"/>
      <w:sz w:val="24"/>
    </w:rPr>
  </w:style>
  <w:style w:type="paragraph" w:customStyle="1" w:styleId="31">
    <w:name w:val="表格样式"/>
    <w:basedOn w:val="1"/>
    <w:qFormat/>
    <w:uiPriority w:val="0"/>
    <w:pPr>
      <w:spacing w:beforeLines="30"/>
      <w:jc w:val="left"/>
    </w:pPr>
    <w:rPr>
      <w:szCs w:val="21"/>
    </w:rPr>
  </w:style>
  <w:style w:type="paragraph" w:customStyle="1" w:styleId="32">
    <w:name w:val="标准中文版式_正文"/>
    <w:basedOn w:val="1"/>
    <w:qFormat/>
    <w:uiPriority w:val="0"/>
    <w:pPr>
      <w:spacing w:before="30" w:beforeLines="0" w:line="360" w:lineRule="auto"/>
      <w:ind w:firstLineChars="200"/>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834</Words>
  <Characters>914</Characters>
  <Lines>0</Lines>
  <Paragraphs>0</Paragraphs>
  <TotalTime>43</TotalTime>
  <ScaleCrop>false</ScaleCrop>
  <LinksUpToDate>false</LinksUpToDate>
  <CharactersWithSpaces>967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2024-10-19T15:07:00Z</dcterms:created>
  <dc:creator>丁绍繁</dc:creator>
  <cp:lastModifiedBy>十三空</cp:lastModifiedBy>
  <cp:lastPrinted>2025-10-24T06:13:00Z</cp:lastPrinted>
  <dcterms:modified xsi:type="dcterms:W3CDTF">2025-11-10T09:31:37Z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2358A30112D84EFCA73424FBAC8213D8_13</vt:lpwstr>
  </property>
  <property fmtid="{D5CDD505-2E9C-101B-9397-08002B2CF9AE}" pid="4" name="KSOTemplateDocerSaveRecord">
    <vt:lpwstr>eyJoZGlkIjoiMzJkMDk2OTg4ZWE2ZjUwMmYzMjE4NWQzMmZlMzgyOWMiLCJ1c2VySWQiOiIyNzA3MjU0NzcifQ==</vt:lpwstr>
  </property>
  <property fmtid="{D5CDD505-2E9C-101B-9397-08002B2CF9AE}" pid="5" name="OfficeAIDocId">
    <vt:lpwstr>DOC_1bdd4763a71b49d3a057b0e5f6062e8f</vt:lpwstr>
  </property>
</Properties>
</file>