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版本号：N511701202500013920250530001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人口备份资源库服务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N5117012025000139</w:t>
      </w:r>
    </w:p>
    <w:p>
      <w:pPr>
        <w:pStyle w:val="null3"/>
        <w:jc w:val="left"/>
        <w:outlineLvl w:val="2"/>
      </w:pPr>
      <w:r>
        <w:rPr>
          <w:rFonts w:ascii="仿宋_GB2312" w:hAnsi="仿宋_GB2312" w:cs="仿宋_GB2312" w:eastAsia="仿宋_GB2312"/>
          <w:sz w:val="28"/>
          <w:b/>
        </w:rPr>
        <w:t>达州市公安局</w:t>
      </w:r>
    </w:p>
    <w:p>
      <w:pPr>
        <w:pStyle w:val="null3"/>
        <w:jc w:val="center"/>
        <w:outlineLvl w:val="2"/>
      </w:pPr>
      <w:r>
        <w:rPr>
          <w:rFonts w:ascii="仿宋_GB2312" w:hAnsi="仿宋_GB2312" w:cs="仿宋_GB2312" w:eastAsia="仿宋_GB2312"/>
          <w:sz w:val="28"/>
          <w:b/>
        </w:rPr>
        <w:t>四川九星工程管理有限公司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2025年05月30日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四川九星工程管理有限公司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达州市公安局</w:t>
      </w:r>
      <w:r>
        <w:rPr>
          <w:rFonts w:ascii="仿宋_GB2312" w:hAnsi="仿宋_GB2312" w:cs="仿宋_GB2312" w:eastAsia="仿宋_GB2312"/>
        </w:rPr>
        <w:t xml:space="preserve"> 委托，拟对 </w:t>
      </w:r>
      <w:r>
        <w:rPr>
          <w:rFonts w:ascii="仿宋_GB2312" w:hAnsi="仿宋_GB2312" w:cs="仿宋_GB2312" w:eastAsia="仿宋_GB2312"/>
        </w:rPr>
        <w:t>人口备份资源库服务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N5117012025000139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人口备份资源库服务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人口备份资源库服务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达州市公安局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四川省达州市西外永安街8号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18080689797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四川九星工程管理有限公司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达州市通川区新宁街56号2层3号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0818-2989888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采购包1：376,160.00元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代理服务费收费标准：参照原国家计委《关于印发招标代理服务收费管理暂行办法的通知》（计价格〔2002〕1980号）文件规定的收费标准收取，由成交供应商在领取成交通知书前一次性支付给采购代理机构</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达州市公安局</w:t>
      </w:r>
      <w:r>
        <w:rPr>
          <w:rFonts w:ascii="仿宋_GB2312" w:hAnsi="仿宋_GB2312" w:cs="仿宋_GB2312" w:eastAsia="仿宋_GB2312"/>
        </w:rPr>
        <w:t xml:space="preserve"> 和 </w:t>
      </w:r>
      <w:r>
        <w:rPr>
          <w:rFonts w:ascii="仿宋_GB2312" w:hAnsi="仿宋_GB2312" w:cs="仿宋_GB2312" w:eastAsia="仿宋_GB2312"/>
        </w:rPr>
        <w:t>四川九星工程管理有限公司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达州市公安局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四川九星工程管理有限公司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按磋商文件的技术要求、报价供应商的磋商文件及承诺以及合同约定标准进行验收。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按磋商文件的商务要求、报价供应商的磋商文件及承诺以及合同约定标准进行验收。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达到磋商文件的服务要求、报价供应商的磋商文件及承诺以及合同约定标准。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达州市公安局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联系人：邓老师</w:t>
      </w:r>
    </w:p>
    <w:p>
      <w:pPr>
        <w:pStyle w:val="null3"/>
        <w:jc w:val="left"/>
      </w:pPr>
      <w:r>
        <w:rPr>
          <w:rFonts w:ascii="仿宋_GB2312" w:hAnsi="仿宋_GB2312" w:cs="仿宋_GB2312" w:eastAsia="仿宋_GB2312"/>
        </w:rPr>
        <w:t>联系电话：18080689797</w:t>
      </w:r>
    </w:p>
    <w:p>
      <w:pPr>
        <w:pStyle w:val="null3"/>
        <w:jc w:val="left"/>
      </w:pPr>
      <w:r>
        <w:rPr>
          <w:rFonts w:ascii="仿宋_GB2312" w:hAnsi="仿宋_GB2312" w:cs="仿宋_GB2312" w:eastAsia="仿宋_GB2312"/>
        </w:rPr>
        <w:t>地址：达州市通川区永安街8号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联系电话：0818-2989888</w:t>
      </w:r>
    </w:p>
    <w:p>
      <w:pPr>
        <w:pStyle w:val="null3"/>
        <w:jc w:val="left"/>
      </w:pPr>
      <w:r>
        <w:rPr>
          <w:rFonts w:ascii="仿宋_GB2312" w:hAnsi="仿宋_GB2312" w:cs="仿宋_GB2312" w:eastAsia="仿宋_GB2312"/>
        </w:rPr>
        <w:t>地址：达州市通川区新宁街56号2层3号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376,160.00</w:t>
      </w:r>
    </w:p>
    <w:p>
      <w:pPr>
        <w:pStyle w:val="null3"/>
        <w:jc w:val="left"/>
      </w:pPr>
      <w:r>
        <w:rPr>
          <w:rFonts w:ascii="仿宋_GB2312" w:hAnsi="仿宋_GB2312" w:cs="仿宋_GB2312" w:eastAsia="仿宋_GB2312"/>
        </w:rPr>
        <w:t>采购包最高限价（元）: 376,160.00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备份服务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376,160.00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备份服务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376,160.00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标的名称：备份服务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采购需求</w:t>
            </w:r>
          </w:p>
        </w:tc>
        <w:tc>
          <w:tcPr>
            <w:tcW w:type="dxa" w:w="5814"/>
          </w:tcPr>
          <w:p>
            <w:pPr>
              <w:pStyle w:val="null3"/>
              <w:spacing w:after="240"/>
              <w:jc w:val="left"/>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8"/>
              </w:rPr>
              <w:t>按照省厅已下发的《四川省居民身份证登记指纹信息工作暨人口信息管理系统升级改造工作方案》（川公发〔</w:t>
            </w:r>
            <w:r>
              <w:rPr>
                <w:rFonts w:ascii="仿宋_GB2312" w:hAnsi="仿宋_GB2312" w:cs="仿宋_GB2312" w:eastAsia="仿宋_GB2312"/>
                <w:sz w:val="28"/>
              </w:rPr>
              <w:t>2013〕69号）、《关于四川省居民身份证登记指纹信息工作暨人口信息管理系统升级改造有关问题的补充通知》（公厅治发[2013]19号）和《省级人口信息管理系统升级改造项目需求任务书》文件的任务要求：在人口信息管理系统省集中后，各市、州应同步完成与省级人口信息管理系统相对应的本地人口信息业务备份资源库建设。进一步以完善覆盖全省的，省、市两级人口信息管理、应用、服务、保障体系。各市、州需按照省厅统一安排，完成部署“与集中式人口信息管理系统相对应的各市、州人口业务备份资源库”，并从集中式人口信息管理系统中获取本地人口基础信息数据与业务数据。</w:t>
            </w:r>
          </w:p>
          <w:p>
            <w:pPr>
              <w:pStyle w:val="null3"/>
              <w:ind w:firstLine="560"/>
              <w:jc w:val="both"/>
            </w:pPr>
            <w:r>
              <w:rPr>
                <w:rFonts w:ascii="仿宋_GB2312" w:hAnsi="仿宋_GB2312" w:cs="仿宋_GB2312" w:eastAsia="仿宋_GB2312"/>
                <w:sz w:val="28"/>
              </w:rPr>
              <w:t>我市已于</w:t>
            </w:r>
            <w:r>
              <w:rPr>
                <w:rFonts w:ascii="仿宋_GB2312" w:hAnsi="仿宋_GB2312" w:cs="仿宋_GB2312" w:eastAsia="仿宋_GB2312"/>
                <w:sz w:val="28"/>
              </w:rPr>
              <w:t>2019年完成人口备份资源库的建设，资源库为采购人业务部门提供了人口数据查询、统计、分析、比对以及专项考核任务清理等软件功能和数据支撑，为采购人其他警种和我市其他政府部门提供了数据核查、核验等协同服务，取得了良好的效果和成绩，本项目需对人口备份资源库提供数据保障运维服务，以保障人口备份资源库系统及数据同步服务稳定运行。</w:t>
            </w:r>
          </w:p>
          <w:p>
            <w:pPr>
              <w:pStyle w:val="null3"/>
              <w:spacing w:after="240"/>
              <w:jc w:val="left"/>
            </w:pPr>
            <w:r>
              <w:rPr>
                <w:rFonts w:ascii="仿宋_GB2312" w:hAnsi="仿宋_GB2312" w:cs="仿宋_GB2312" w:eastAsia="仿宋_GB2312"/>
                <w:sz w:val="28"/>
                <w:b/>
              </w:rPr>
              <w:t>（二）服务目标：</w:t>
            </w:r>
          </w:p>
          <w:p>
            <w:pPr>
              <w:pStyle w:val="null3"/>
              <w:ind w:firstLine="560"/>
              <w:jc w:val="both"/>
            </w:pPr>
            <w:r>
              <w:rPr>
                <w:rFonts w:ascii="仿宋_GB2312" w:hAnsi="仿宋_GB2312" w:cs="仿宋_GB2312" w:eastAsia="仿宋_GB2312"/>
                <w:sz w:val="28"/>
              </w:rPr>
              <w:t>配合人口备份资源库，构建高可用的省级和地市人口信息的分布式存储、基层基础应用体系；备份资源库是省中心分布式异地数据容灾和本地业务协同的数据基础，须保障</w:t>
            </w:r>
            <w:r>
              <w:rPr>
                <w:rFonts w:ascii="仿宋_GB2312" w:hAnsi="仿宋_GB2312" w:cs="仿宋_GB2312" w:eastAsia="仿宋_GB2312"/>
                <w:sz w:val="28"/>
              </w:rPr>
              <w:t>资源库</w:t>
            </w:r>
            <w:r>
              <w:rPr>
                <w:rFonts w:ascii="仿宋_GB2312" w:hAnsi="仿宋_GB2312" w:cs="仿宋_GB2312" w:eastAsia="仿宋_GB2312"/>
                <w:sz w:val="28"/>
              </w:rPr>
              <w:t>系统和数据库</w:t>
            </w:r>
            <w:r>
              <w:rPr>
                <w:rFonts w:ascii="仿宋_GB2312" w:hAnsi="仿宋_GB2312" w:cs="仿宋_GB2312" w:eastAsia="仿宋_GB2312"/>
                <w:sz w:val="28"/>
              </w:rPr>
              <w:t>7X24小时可靠运行</w:t>
            </w:r>
            <w:r>
              <w:rPr>
                <w:rFonts w:ascii="仿宋_GB2312" w:hAnsi="仿宋_GB2312" w:cs="仿宋_GB2312" w:eastAsia="仿宋_GB2312"/>
                <w:sz w:val="28"/>
              </w:rPr>
              <w:t>，</w:t>
            </w:r>
            <w:r>
              <w:rPr>
                <w:rFonts w:ascii="仿宋_GB2312" w:hAnsi="仿宋_GB2312" w:cs="仿宋_GB2312" w:eastAsia="仿宋_GB2312"/>
                <w:sz w:val="28"/>
              </w:rPr>
              <w:t>在业务数据复制</w:t>
            </w:r>
            <w:r>
              <w:rPr>
                <w:rFonts w:ascii="仿宋_GB2312" w:hAnsi="仿宋_GB2312" w:cs="仿宋_GB2312" w:eastAsia="仿宋_GB2312"/>
                <w:sz w:val="28"/>
              </w:rPr>
              <w:t>7X24小时持续不间断的过程中，保证业务备份数据</w:t>
            </w:r>
            <w:r>
              <w:rPr>
                <w:rFonts w:ascii="仿宋_GB2312" w:hAnsi="仿宋_GB2312" w:cs="仿宋_GB2312" w:eastAsia="仿宋_GB2312"/>
                <w:sz w:val="28"/>
              </w:rPr>
              <w:t>准</w:t>
            </w:r>
            <w:r>
              <w:rPr>
                <w:rFonts w:ascii="仿宋_GB2312" w:hAnsi="仿宋_GB2312" w:cs="仿宋_GB2312" w:eastAsia="仿宋_GB2312"/>
                <w:sz w:val="28"/>
              </w:rPr>
              <w:t>实时更新维护</w:t>
            </w:r>
            <w:r>
              <w:rPr>
                <w:rFonts w:ascii="仿宋_GB2312" w:hAnsi="仿宋_GB2312" w:cs="仿宋_GB2312" w:eastAsia="仿宋_GB2312"/>
                <w:sz w:val="28"/>
              </w:rPr>
              <w:t>，保障数据的</w:t>
            </w:r>
            <w:r>
              <w:rPr>
                <w:rFonts w:ascii="仿宋_GB2312" w:hAnsi="仿宋_GB2312" w:cs="仿宋_GB2312" w:eastAsia="仿宋_GB2312"/>
                <w:sz w:val="28"/>
              </w:rPr>
              <w:t>完整性和一致性</w:t>
            </w:r>
            <w:r>
              <w:rPr>
                <w:rFonts w:ascii="仿宋_GB2312" w:hAnsi="仿宋_GB2312" w:cs="仿宋_GB2312" w:eastAsia="仿宋_GB2312"/>
                <w:sz w:val="28"/>
              </w:rPr>
              <w:t>，</w:t>
            </w:r>
            <w:r>
              <w:rPr>
                <w:rFonts w:ascii="仿宋_GB2312" w:hAnsi="仿宋_GB2312" w:cs="仿宋_GB2312" w:eastAsia="仿宋_GB2312"/>
                <w:sz w:val="28"/>
              </w:rPr>
              <w:t>准确为其他警种和政府部门提供数据核查、核验服务，并保障省公安厅、市公安局交办任务能顺利完成。</w:t>
            </w:r>
          </w:p>
          <w:p>
            <w:pPr>
              <w:pStyle w:val="null3"/>
              <w:spacing w:after="240"/>
              <w:jc w:val="left"/>
            </w:pPr>
            <w:r>
              <w:rPr>
                <w:rFonts w:ascii="仿宋_GB2312" w:hAnsi="仿宋_GB2312" w:cs="仿宋_GB2312" w:eastAsia="仿宋_GB2312"/>
                <w:sz w:val="28"/>
                <w:b/>
              </w:rPr>
              <w:t>（三）服务内容及要求：</w:t>
            </w:r>
          </w:p>
          <w:p>
            <w:pPr>
              <w:pStyle w:val="null3"/>
              <w:spacing w:after="240"/>
              <w:jc w:val="left"/>
              <w:outlineLvl w:val="1"/>
            </w:pPr>
            <w:r>
              <w:rPr>
                <w:rFonts w:ascii="仿宋_GB2312" w:hAnsi="仿宋_GB2312" w:cs="仿宋_GB2312" w:eastAsia="仿宋_GB2312"/>
                <w:sz w:val="28"/>
                <w:b/>
              </w:rPr>
              <w:t>★</w:t>
            </w:r>
            <w:r>
              <w:rPr>
                <w:rFonts w:ascii="仿宋_GB2312" w:hAnsi="仿宋_GB2312" w:cs="仿宋_GB2312" w:eastAsia="仿宋_GB2312"/>
                <w:sz w:val="28"/>
                <w:b/>
              </w:rPr>
              <w:t>1、数据同步服务</w:t>
            </w:r>
          </w:p>
          <w:p>
            <w:pPr>
              <w:pStyle w:val="null3"/>
              <w:ind w:right="285" w:firstLine="560"/>
              <w:jc w:val="left"/>
            </w:pPr>
            <w:r>
              <w:rPr>
                <w:rFonts w:ascii="仿宋_GB2312" w:hAnsi="仿宋_GB2312" w:cs="仿宋_GB2312" w:eastAsia="仿宋_GB2312"/>
                <w:sz w:val="28"/>
              </w:rPr>
              <w:t>实时抽取四川省级人口信息管理系统中的数据，打包成数据文件，再分发到本地数据库服务器中，本地数据库再解析数据入库。数据分发、解析是实时进行，保证数据更新的及时性；当本地数据丢失或不可恢复时，能够按要求完成数据恢复。</w:t>
            </w:r>
          </w:p>
          <w:p>
            <w:pPr>
              <w:pStyle w:val="null3"/>
              <w:ind w:right="285" w:firstLine="560"/>
              <w:jc w:val="left"/>
            </w:pPr>
            <w:r>
              <w:rPr>
                <w:rFonts w:ascii="仿宋_GB2312" w:hAnsi="仿宋_GB2312" w:cs="仿宋_GB2312" w:eastAsia="仿宋_GB2312"/>
                <w:sz w:val="28"/>
              </w:rPr>
              <w:t>供应商须承诺保障达州全市户籍人口数据能够从四川省级人口信息管理系统实时同步到本地人口备份资源库系统，并且保障数据的一致性和准确性。（提供承诺函）</w:t>
            </w:r>
          </w:p>
          <w:p>
            <w:pPr>
              <w:pStyle w:val="null3"/>
              <w:spacing w:after="240"/>
              <w:jc w:val="left"/>
              <w:outlineLvl w:val="1"/>
            </w:pPr>
            <w:r>
              <w:rPr>
                <w:rFonts w:ascii="仿宋_GB2312" w:hAnsi="仿宋_GB2312" w:cs="仿宋_GB2312" w:eastAsia="仿宋_GB2312"/>
                <w:sz w:val="28"/>
                <w:b/>
              </w:rPr>
              <w:t>★</w:t>
            </w:r>
            <w:r>
              <w:rPr>
                <w:rFonts w:ascii="仿宋_GB2312" w:hAnsi="仿宋_GB2312" w:cs="仿宋_GB2312" w:eastAsia="仿宋_GB2312"/>
                <w:sz w:val="28"/>
                <w:b/>
              </w:rPr>
              <w:t>2、日常巡检</w:t>
            </w:r>
            <w:r>
              <w:rPr>
                <w:rFonts w:ascii="仿宋_GB2312" w:hAnsi="仿宋_GB2312" w:cs="仿宋_GB2312" w:eastAsia="仿宋_GB2312"/>
                <w:sz w:val="28"/>
                <w:b/>
              </w:rPr>
              <w:t>服务</w:t>
            </w:r>
          </w:p>
          <w:p>
            <w:pPr>
              <w:pStyle w:val="null3"/>
              <w:ind w:right="285" w:firstLine="560"/>
              <w:jc w:val="left"/>
            </w:pPr>
            <w:r>
              <w:rPr>
                <w:rFonts w:ascii="仿宋_GB2312" w:hAnsi="仿宋_GB2312" w:cs="仿宋_GB2312" w:eastAsia="仿宋_GB2312"/>
                <w:sz w:val="28"/>
              </w:rPr>
              <w:t>每日对资源库系统及网络、服务器、数据同步服务进行巡检，并对检查中存在的故障及安全隐患进行处理分析和详细记录，通过定期的巡检工作及时发现备份资源库系统及数据同步服务存在的脆弱性，分析其存在的风险，并及时采取措施予以整改，保障系统及数据同步服务安全稳定运行。</w:t>
            </w:r>
          </w:p>
          <w:p>
            <w:pPr>
              <w:pStyle w:val="null3"/>
              <w:spacing w:after="240"/>
              <w:jc w:val="left"/>
              <w:outlineLvl w:val="1"/>
            </w:pPr>
            <w:r>
              <w:rPr>
                <w:rFonts w:ascii="仿宋_GB2312" w:hAnsi="仿宋_GB2312" w:cs="仿宋_GB2312" w:eastAsia="仿宋_GB2312"/>
                <w:sz w:val="28"/>
                <w:b/>
              </w:rPr>
              <w:t>★</w:t>
            </w:r>
            <w:r>
              <w:rPr>
                <w:rFonts w:ascii="仿宋_GB2312" w:hAnsi="仿宋_GB2312" w:cs="仿宋_GB2312" w:eastAsia="仿宋_GB2312"/>
                <w:sz w:val="28"/>
                <w:b/>
              </w:rPr>
              <w:t>3、功能升级服务</w:t>
            </w:r>
          </w:p>
          <w:p>
            <w:pPr>
              <w:pStyle w:val="null3"/>
              <w:ind w:right="285" w:firstLine="560"/>
              <w:jc w:val="left"/>
            </w:pPr>
            <w:r>
              <w:rPr>
                <w:rFonts w:ascii="仿宋_GB2312" w:hAnsi="仿宋_GB2312" w:cs="仿宋_GB2312" w:eastAsia="仿宋_GB2312"/>
                <w:sz w:val="28"/>
              </w:rPr>
              <w:t>根据省厅、市局相关业务场景需求，并针对省厅当年专项工作任务要求，完善系统功能及性能，完成针对业务工作的系统功能升级、测试及部署上线。</w:t>
            </w:r>
          </w:p>
          <w:p>
            <w:pPr>
              <w:pStyle w:val="null3"/>
              <w:ind w:right="285" w:firstLine="560"/>
              <w:jc w:val="left"/>
            </w:pPr>
            <w:r>
              <w:rPr>
                <w:rFonts w:ascii="仿宋_GB2312" w:hAnsi="仿宋_GB2312" w:cs="仿宋_GB2312" w:eastAsia="仿宋_GB2312"/>
                <w:sz w:val="28"/>
              </w:rPr>
              <w:t>供应商须承诺当四川省级人口信息管理系统数据结构发生变化时，能在</w:t>
            </w:r>
            <w:r>
              <w:rPr>
                <w:rFonts w:ascii="仿宋_GB2312" w:hAnsi="仿宋_GB2312" w:cs="仿宋_GB2312" w:eastAsia="仿宋_GB2312"/>
                <w:sz w:val="28"/>
              </w:rPr>
              <w:t>5个工作日内完成达州人口备份资源库系统数据结构的适配改造，保障达州人口备份资源库系统数据结构与四川省级人口信息管理系统保持一致。（提供承诺函）</w:t>
            </w:r>
          </w:p>
          <w:p>
            <w:pPr>
              <w:pStyle w:val="null3"/>
              <w:spacing w:after="240"/>
              <w:jc w:val="left"/>
              <w:outlineLvl w:val="1"/>
            </w:pPr>
            <w:r>
              <w:rPr>
                <w:rFonts w:ascii="仿宋_GB2312" w:hAnsi="仿宋_GB2312" w:cs="仿宋_GB2312" w:eastAsia="仿宋_GB2312"/>
                <w:sz w:val="28"/>
                <w:b/>
              </w:rPr>
              <w:t>★</w:t>
            </w:r>
            <w:r>
              <w:rPr>
                <w:rFonts w:ascii="仿宋_GB2312" w:hAnsi="仿宋_GB2312" w:cs="仿宋_GB2312" w:eastAsia="仿宋_GB2312"/>
                <w:sz w:val="28"/>
                <w:b/>
              </w:rPr>
              <w:t>4、安全调优服务</w:t>
            </w:r>
          </w:p>
          <w:p>
            <w:pPr>
              <w:pStyle w:val="null3"/>
              <w:ind w:right="285" w:firstLine="560"/>
              <w:jc w:val="left"/>
            </w:pPr>
            <w:r>
              <w:rPr>
                <w:rFonts w:ascii="仿宋_GB2312" w:hAnsi="仿宋_GB2312" w:cs="仿宋_GB2312" w:eastAsia="仿宋_GB2312"/>
                <w:sz w:val="28"/>
              </w:rPr>
              <w:t>对风险评估中发现的系统安全风险进行处理，适时调整系统配置、合理规划系统资源、消除系统漏洞，提高系统稳定性和可靠性。具体调优内容包括：帐户策略、帐户锁定策略、审核策略、用户权限分配、系统服务策略、补丁管理、事件日志、应用软件更新。</w:t>
            </w:r>
          </w:p>
          <w:p>
            <w:pPr>
              <w:pStyle w:val="null3"/>
              <w:spacing w:after="240"/>
              <w:jc w:val="left"/>
              <w:outlineLvl w:val="1"/>
            </w:pPr>
            <w:r>
              <w:rPr>
                <w:rFonts w:ascii="仿宋_GB2312" w:hAnsi="仿宋_GB2312" w:cs="仿宋_GB2312" w:eastAsia="仿宋_GB2312"/>
                <w:sz w:val="28"/>
                <w:b/>
              </w:rPr>
              <w:t>★</w:t>
            </w:r>
            <w:r>
              <w:rPr>
                <w:rFonts w:ascii="仿宋_GB2312" w:hAnsi="仿宋_GB2312" w:cs="仿宋_GB2312" w:eastAsia="仿宋_GB2312"/>
                <w:sz w:val="28"/>
                <w:b/>
              </w:rPr>
              <w:t>5、故障响应服务</w:t>
            </w:r>
          </w:p>
          <w:p>
            <w:pPr>
              <w:pStyle w:val="null3"/>
              <w:ind w:right="285" w:firstLine="560"/>
              <w:jc w:val="left"/>
            </w:pPr>
            <w:r>
              <w:rPr>
                <w:rFonts w:ascii="仿宋_GB2312" w:hAnsi="仿宋_GB2312" w:cs="仿宋_GB2312" w:eastAsia="仿宋_GB2312"/>
                <w:sz w:val="28"/>
              </w:rPr>
              <w:t>依据故障重要性和紧急性的原则，定义故障级别及响应时限，针对故障级别采用不同的方式进行处理，每一级事故严格定义响应和处理时间，其中在二级事故和一级事故处理过程中，要及时考虑替代恢复方案，尽可能在最短的时间内恢复业务系统及数据同步。</w:t>
            </w:r>
          </w:p>
          <w:p>
            <w:pPr>
              <w:pStyle w:val="null3"/>
              <w:ind w:right="285" w:firstLine="560"/>
              <w:jc w:val="left"/>
            </w:pPr>
            <w:r>
              <w:rPr>
                <w:rFonts w:ascii="仿宋_GB2312" w:hAnsi="仿宋_GB2312" w:cs="仿宋_GB2312" w:eastAsia="仿宋_GB2312"/>
                <w:sz w:val="28"/>
              </w:rPr>
              <w:t>各级故障事件的最短处置及响应时限为：</w:t>
            </w:r>
          </w:p>
          <w:tbl>
            <w:tblPr>
              <w:tblBorders>
                <w:top w:val="none" w:color="000000" w:sz="4"/>
                <w:left w:val="none" w:color="000000" w:sz="4"/>
                <w:bottom w:val="none" w:color="000000" w:sz="4"/>
                <w:right w:val="none" w:color="000000" w:sz="4"/>
                <w:insideH w:val="none"/>
                <w:insideV w:val="none"/>
              </w:tblBorders>
            </w:tblPr>
            <w:tblGrid>
              <w:gridCol w:w="594"/>
              <w:gridCol w:w="1188"/>
              <w:gridCol w:w="1272"/>
              <w:gridCol w:w="1272"/>
              <w:gridCol w:w="1272"/>
            </w:tblGrid>
            <w:tr>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p>
              </w:tc>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一级故障事件</w:t>
                  </w:r>
                </w:p>
              </w:tc>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二级故障事件</w:t>
                  </w:r>
                </w:p>
              </w:tc>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三级故障事件</w:t>
                  </w:r>
                </w:p>
              </w:tc>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四级故障事件</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故障响应</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7*24小时</w:t>
                  </w:r>
                </w:p>
                <w:p>
                  <w:pPr>
                    <w:pStyle w:val="null3"/>
                    <w:jc w:val="center"/>
                  </w:pPr>
                  <w:r>
                    <w:rPr>
                      <w:rFonts w:ascii="仿宋_GB2312" w:hAnsi="仿宋_GB2312" w:cs="仿宋_GB2312" w:eastAsia="仿宋_GB2312"/>
                      <w:sz w:val="24"/>
                    </w:rPr>
                    <w:t>即时响应</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7*24小时</w:t>
                  </w:r>
                </w:p>
                <w:p>
                  <w:pPr>
                    <w:pStyle w:val="null3"/>
                    <w:jc w:val="center"/>
                  </w:pPr>
                  <w:r>
                    <w:rPr>
                      <w:rFonts w:ascii="仿宋_GB2312" w:hAnsi="仿宋_GB2312" w:cs="仿宋_GB2312" w:eastAsia="仿宋_GB2312"/>
                      <w:sz w:val="24"/>
                    </w:rPr>
                    <w:t>即时响应</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7*24小时</w:t>
                  </w:r>
                </w:p>
                <w:p>
                  <w:pPr>
                    <w:pStyle w:val="null3"/>
                    <w:jc w:val="center"/>
                  </w:pPr>
                  <w:r>
                    <w:rPr>
                      <w:rFonts w:ascii="仿宋_GB2312" w:hAnsi="仿宋_GB2312" w:cs="仿宋_GB2312" w:eastAsia="仿宋_GB2312"/>
                      <w:sz w:val="24"/>
                    </w:rPr>
                    <w:t>即时响应</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7*24小时</w:t>
                  </w:r>
                </w:p>
                <w:p>
                  <w:pPr>
                    <w:pStyle w:val="null3"/>
                    <w:jc w:val="center"/>
                  </w:pPr>
                  <w:r>
                    <w:rPr>
                      <w:rFonts w:ascii="仿宋_GB2312" w:hAnsi="仿宋_GB2312" w:cs="仿宋_GB2312" w:eastAsia="仿宋_GB2312"/>
                      <w:sz w:val="24"/>
                    </w:rPr>
                    <w:t>即时响应</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响应时限</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5分钟内响应</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10分钟内响应</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2小时内响应</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8小时内响应</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处置时限</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1小时内</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2小时内</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4小时内</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3个工作日内</w:t>
                  </w:r>
                </w:p>
              </w:tc>
            </w:tr>
          </w:tbl>
          <w:p>
            <w:pPr>
              <w:pStyle w:val="null3"/>
              <w:ind w:right="285" w:firstLine="560"/>
              <w:jc w:val="left"/>
            </w:pPr>
            <w:r>
              <w:rPr>
                <w:rFonts w:ascii="仿宋_GB2312" w:hAnsi="仿宋_GB2312" w:cs="仿宋_GB2312" w:eastAsia="仿宋_GB2312"/>
                <w:sz w:val="28"/>
              </w:rPr>
              <w:t>故障事件等级划分如下：</w:t>
            </w:r>
          </w:p>
          <w:p>
            <w:pPr>
              <w:pStyle w:val="null3"/>
              <w:ind w:right="285" w:firstLine="560"/>
              <w:jc w:val="left"/>
            </w:pPr>
            <w:r>
              <w:rPr>
                <w:rFonts w:ascii="仿宋_GB2312" w:hAnsi="仿宋_GB2312" w:cs="仿宋_GB2312" w:eastAsia="仿宋_GB2312"/>
                <w:sz w:val="28"/>
              </w:rPr>
              <w:t>一级故障事件：现有的信息系统及数据同步服务中断，或遭到严重攻击行为或安全事件，对信息系统的业务及数据同步服务运行有重大影响。</w:t>
            </w:r>
          </w:p>
          <w:p>
            <w:pPr>
              <w:pStyle w:val="null3"/>
              <w:ind w:right="285" w:firstLine="560"/>
              <w:jc w:val="left"/>
            </w:pPr>
            <w:r>
              <w:rPr>
                <w:rFonts w:ascii="仿宋_GB2312" w:hAnsi="仿宋_GB2312" w:cs="仿宋_GB2312" w:eastAsia="仿宋_GB2312"/>
                <w:sz w:val="28"/>
              </w:rPr>
              <w:t>二级故障事件：现有信息系统的操作性能严重降级，数据同步效率严重降低，或由于安全事件严重影响信息系统用户业务操作。</w:t>
            </w:r>
          </w:p>
          <w:p>
            <w:pPr>
              <w:pStyle w:val="null3"/>
              <w:ind w:right="285" w:firstLine="560"/>
              <w:jc w:val="left"/>
            </w:pPr>
            <w:r>
              <w:rPr>
                <w:rFonts w:ascii="仿宋_GB2312" w:hAnsi="仿宋_GB2312" w:cs="仿宋_GB2312" w:eastAsia="仿宋_GB2312"/>
                <w:sz w:val="28"/>
              </w:rPr>
              <w:t>三级故障事件：信息系统的操作性能受损，安全事件（例如病毒在小范围内发作），但大部分业务运作仍可正常工作。</w:t>
            </w:r>
          </w:p>
          <w:p>
            <w:pPr>
              <w:pStyle w:val="null3"/>
              <w:ind w:right="285" w:firstLine="560"/>
              <w:jc w:val="left"/>
            </w:pPr>
            <w:r>
              <w:rPr>
                <w:rFonts w:ascii="仿宋_GB2312" w:hAnsi="仿宋_GB2312" w:cs="仿宋_GB2312" w:eastAsia="仿宋_GB2312"/>
                <w:sz w:val="28"/>
              </w:rPr>
              <w:t>四级故障事件：信息系统功能、安装或配置方面将要调整或优化。本级故障事件对信息系统的业务运作几乎无影响，或影响很小。</w:t>
            </w:r>
          </w:p>
          <w:p>
            <w:pPr>
              <w:pStyle w:val="null3"/>
              <w:spacing w:after="240"/>
              <w:jc w:val="left"/>
              <w:outlineLvl w:val="1"/>
            </w:pPr>
            <w:r>
              <w:rPr>
                <w:rFonts w:ascii="仿宋_GB2312" w:hAnsi="仿宋_GB2312" w:cs="仿宋_GB2312" w:eastAsia="仿宋_GB2312"/>
                <w:sz w:val="28"/>
                <w:b/>
              </w:rPr>
              <w:t>★</w:t>
            </w:r>
            <w:r>
              <w:rPr>
                <w:rFonts w:ascii="仿宋_GB2312" w:hAnsi="仿宋_GB2312" w:cs="仿宋_GB2312" w:eastAsia="仿宋_GB2312"/>
                <w:sz w:val="28"/>
                <w:b/>
              </w:rPr>
              <w:t>6、应急响应服务</w:t>
            </w:r>
          </w:p>
          <w:p>
            <w:pPr>
              <w:pStyle w:val="null3"/>
              <w:ind w:right="285" w:firstLine="560"/>
              <w:jc w:val="left"/>
            </w:pPr>
            <w:r>
              <w:rPr>
                <w:rFonts w:ascii="仿宋_GB2312" w:hAnsi="仿宋_GB2312" w:cs="仿宋_GB2312" w:eastAsia="仿宋_GB2312"/>
                <w:sz w:val="28"/>
              </w:rPr>
              <w:t>应急状态的安全值守、响应工作，主要是系统应急响应、故障处理，确保系统出现安全事件时快速反应、及时处理，降低系统及数据同步安全问题对采购人日常工作的影响。主要包括但不限于如下内容：</w:t>
            </w:r>
          </w:p>
          <w:p>
            <w:pPr>
              <w:pStyle w:val="null3"/>
              <w:ind w:right="285" w:firstLine="560"/>
              <w:jc w:val="left"/>
            </w:pPr>
            <w:r>
              <w:rPr>
                <w:rFonts w:ascii="仿宋_GB2312" w:hAnsi="仿宋_GB2312" w:cs="仿宋_GB2312" w:eastAsia="仿宋_GB2312"/>
                <w:sz w:val="28"/>
              </w:rPr>
              <w:t>（</w:t>
            </w:r>
            <w:r>
              <w:rPr>
                <w:rFonts w:ascii="仿宋_GB2312" w:hAnsi="仿宋_GB2312" w:cs="仿宋_GB2312" w:eastAsia="仿宋_GB2312"/>
                <w:sz w:val="28"/>
              </w:rPr>
              <w:t>1）安全事件处理：包括安全事件的定义、分级、处置流程等；</w:t>
            </w:r>
          </w:p>
          <w:p>
            <w:pPr>
              <w:pStyle w:val="null3"/>
              <w:ind w:right="285" w:firstLine="560"/>
              <w:jc w:val="left"/>
            </w:pPr>
            <w:r>
              <w:rPr>
                <w:rFonts w:ascii="仿宋_GB2312" w:hAnsi="仿宋_GB2312" w:cs="仿宋_GB2312" w:eastAsia="仿宋_GB2312"/>
                <w:sz w:val="28"/>
              </w:rPr>
              <w:t>（</w:t>
            </w:r>
            <w:r>
              <w:rPr>
                <w:rFonts w:ascii="仿宋_GB2312" w:hAnsi="仿宋_GB2312" w:cs="仿宋_GB2312" w:eastAsia="仿宋_GB2312"/>
                <w:sz w:val="28"/>
              </w:rPr>
              <w:t>2）安全组织的搭建：责任划分、安全事件通报准则、内部、外部应急响应的组织架构等；</w:t>
            </w:r>
          </w:p>
          <w:p>
            <w:pPr>
              <w:pStyle w:val="null3"/>
              <w:ind w:right="285" w:firstLine="560"/>
              <w:jc w:val="left"/>
            </w:pPr>
            <w:r>
              <w:rPr>
                <w:rFonts w:ascii="仿宋_GB2312" w:hAnsi="仿宋_GB2312" w:cs="仿宋_GB2312" w:eastAsia="仿宋_GB2312"/>
                <w:sz w:val="28"/>
              </w:rPr>
              <w:t>（</w:t>
            </w:r>
            <w:r>
              <w:rPr>
                <w:rFonts w:ascii="仿宋_GB2312" w:hAnsi="仿宋_GB2312" w:cs="仿宋_GB2312" w:eastAsia="仿宋_GB2312"/>
                <w:sz w:val="28"/>
              </w:rPr>
              <w:t>3）应急预案的测试与演练：按照设定周期定期对信息化系统及数据同步服务进行应急预案的测试和演练；</w:t>
            </w:r>
          </w:p>
          <w:p>
            <w:pPr>
              <w:pStyle w:val="null3"/>
              <w:ind w:right="285" w:firstLine="560"/>
              <w:jc w:val="left"/>
            </w:pPr>
            <w:r>
              <w:rPr>
                <w:rFonts w:ascii="仿宋_GB2312" w:hAnsi="仿宋_GB2312" w:cs="仿宋_GB2312" w:eastAsia="仿宋_GB2312"/>
                <w:sz w:val="28"/>
              </w:rPr>
              <w:t>（</w:t>
            </w:r>
            <w:r>
              <w:rPr>
                <w:rFonts w:ascii="仿宋_GB2312" w:hAnsi="仿宋_GB2312" w:cs="仿宋_GB2312" w:eastAsia="仿宋_GB2312"/>
                <w:sz w:val="28"/>
              </w:rPr>
              <w:t>4）安全事件应急响应支持；</w:t>
            </w:r>
          </w:p>
          <w:p>
            <w:pPr>
              <w:pStyle w:val="null3"/>
              <w:ind w:right="285" w:firstLine="560"/>
              <w:jc w:val="left"/>
            </w:pPr>
            <w:r>
              <w:rPr>
                <w:rFonts w:ascii="仿宋_GB2312" w:hAnsi="仿宋_GB2312" w:cs="仿宋_GB2312" w:eastAsia="仿宋_GB2312"/>
                <w:sz w:val="28"/>
              </w:rPr>
              <w:t>（5）重大活动期间系统安全保障。</w:t>
            </w:r>
          </w:p>
          <w:p>
            <w:pPr>
              <w:pStyle w:val="null3"/>
              <w:spacing w:after="240"/>
              <w:jc w:val="left"/>
              <w:outlineLvl w:val="1"/>
            </w:pPr>
            <w:r>
              <w:rPr>
                <w:rFonts w:ascii="仿宋_GB2312" w:hAnsi="仿宋_GB2312" w:cs="仿宋_GB2312" w:eastAsia="仿宋_GB2312"/>
                <w:sz w:val="28"/>
                <w:b/>
              </w:rPr>
              <w:t>★</w:t>
            </w:r>
            <w:r>
              <w:rPr>
                <w:rFonts w:ascii="仿宋_GB2312" w:hAnsi="仿宋_GB2312" w:cs="仿宋_GB2312" w:eastAsia="仿宋_GB2312"/>
                <w:sz w:val="28"/>
                <w:b/>
              </w:rPr>
              <w:t>7、业务协同服务</w:t>
            </w:r>
          </w:p>
          <w:p>
            <w:pPr>
              <w:pStyle w:val="null3"/>
              <w:ind w:right="285" w:firstLine="560"/>
              <w:jc w:val="left"/>
            </w:pPr>
            <w:r>
              <w:rPr>
                <w:rFonts w:ascii="仿宋_GB2312" w:hAnsi="仿宋_GB2312" w:cs="仿宋_GB2312" w:eastAsia="仿宋_GB2312"/>
                <w:sz w:val="28"/>
              </w:rPr>
              <w:t>（</w:t>
            </w:r>
            <w:r>
              <w:rPr>
                <w:rFonts w:ascii="仿宋_GB2312" w:hAnsi="仿宋_GB2312" w:cs="仿宋_GB2312" w:eastAsia="仿宋_GB2312"/>
                <w:sz w:val="28"/>
              </w:rPr>
              <w:t>1）根据采购人个性化核查、比对需求，完成人口信息各类数据核查、比对工作。</w:t>
            </w:r>
          </w:p>
          <w:p>
            <w:pPr>
              <w:pStyle w:val="null3"/>
              <w:ind w:right="285" w:firstLine="560"/>
              <w:jc w:val="left"/>
            </w:pPr>
            <w:r>
              <w:rPr>
                <w:rFonts w:ascii="仿宋_GB2312" w:hAnsi="仿宋_GB2312" w:cs="仿宋_GB2312" w:eastAsia="仿宋_GB2312"/>
                <w:sz w:val="28"/>
              </w:rPr>
              <w:t>（</w:t>
            </w:r>
            <w:r>
              <w:rPr>
                <w:rFonts w:ascii="仿宋_GB2312" w:hAnsi="仿宋_GB2312" w:cs="仿宋_GB2312" w:eastAsia="仿宋_GB2312"/>
                <w:sz w:val="28"/>
              </w:rPr>
              <w:t>2）根据采购人接收到的个性化数据接口需求，在行政许可、符合各项规定的情况下，完成数据核查、比对等协同接口开发、测试及部署上线。</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达州市公安局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严格按照政府采购相关法律法规以及《财政部关于进一步加强政府采购需求和履约验收管理的指导意见》（财库〔2016〕205号）的要求，竞争性磋商文件的规定和成交供应商响应文件及合同条款内容进行验收。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1、服务期满3个月后，达到付款条件起10日内，支付合同总金额的25.00%</w:t>
            </w:r>
          </w:p>
          <w:p>
            <w:pPr>
              <w:pStyle w:val="null3"/>
              <w:jc w:val="left"/>
            </w:pPr>
            <w:r>
              <w:rPr>
                <w:rFonts w:ascii="仿宋_GB2312" w:hAnsi="仿宋_GB2312" w:cs="仿宋_GB2312" w:eastAsia="仿宋_GB2312"/>
              </w:rPr>
              <w:t>2、服务期满3个月后，达到付款条件起10日内，支付合同总金额的25.00%</w:t>
            </w:r>
          </w:p>
          <w:p>
            <w:pPr>
              <w:pStyle w:val="null3"/>
              <w:jc w:val="left"/>
            </w:pPr>
            <w:r>
              <w:rPr>
                <w:rFonts w:ascii="仿宋_GB2312" w:hAnsi="仿宋_GB2312" w:cs="仿宋_GB2312" w:eastAsia="仿宋_GB2312"/>
              </w:rPr>
              <w:t>3、服务期满3个月后，达到付款条件起10日内，支付合同总金额的25.00%</w:t>
            </w:r>
          </w:p>
          <w:p>
            <w:pPr>
              <w:pStyle w:val="null3"/>
              <w:jc w:val="left"/>
            </w:pPr>
            <w:r>
              <w:rPr>
                <w:rFonts w:ascii="仿宋_GB2312" w:hAnsi="仿宋_GB2312" w:cs="仿宋_GB2312" w:eastAsia="仿宋_GB2312"/>
              </w:rPr>
              <w:t>4、一年服务期满，达到付款条件起10日内，支付合同总金额的25.00%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双方正式签订的合同约定为准。合同签订后，无正当理由，不按照合同约定履行合同义务，视为擅自变更、中止或者终止政府采购合同，将依据《中华人民共和国政府采购法实施条例》第六十七条、第七十一条、第七十二条依法依规处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与评分相关的项目要求，不作响应要求，不影响供应商响应文件有效性：（一）供应商针对本项目提供的服务方案，方案内容包含： 1、服务总体方案：（1）服务体系；（2）服务流程。 2、服务实施方案：（1）数据同步服务；（2）日常巡检服务；（3）功能升级服务；（4）安全调优服务；（5）故障响应服务；（6）应急响应服务；（7）业务协同服务。 3、服务实施计划：（1）总体计划；（2）人员安排；（3）进度安排。 4、服务安全保障：（1）安全体系；（2）数据安全；（3）系统安全。(二）履约能力：供应商应具有与本项目类似的知识产权成果或编著有知识专著成果。（三）类似业绩：供应商应具有类似本项目的履约经验。（四）拟派本项目服务人员：供应商拟派本项目的服务人员应具有相应专业技术资格和类似本项目的履约经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tc>
        <w:tc>
          <w:tcPr>
            <w:tcW w:type="dxa" w:w="1910"/>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注:供应商根据自身情况选择提供其中任意一项:(1)供应商是法人的可提供2022年以来任一年度经审计的财务报告(包含审计报告和审计报告中所涉及的财务报表和报表附注，执行《小企业会计准则》的可不提供所有者权益变动表);也可提供2022年以来任一年度供应商财务报表(至少包含资产负债表和利润表);也可提供截至投标(响应)文件提交截止日一年内基本开户银行出具的资信证明。(扫描件)(2)其他组织和自然人可提供截至投标(响应)文件提交截止日一年内银行出具的资信证明。(扫描件)(3)供应商也可提供健全的财务管理制度(扫描件)。(4)供应商为个体工商户或自然人时，可提供《投标(响应)函》完成承诺并进行电子签章}。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实质性技术、服务及其他要求</w:t>
            </w:r>
          </w:p>
        </w:tc>
        <w:tc>
          <w:tcPr>
            <w:tcW w:type="dxa" w:w="3322"/>
          </w:tcPr>
          <w:p>
            <w:pPr>
              <w:pStyle w:val="null3"/>
              <w:jc w:val="left"/>
            </w:pPr>
            <w:r>
              <w:rPr>
                <w:rFonts w:ascii="仿宋_GB2312" w:hAnsi="仿宋_GB2312" w:cs="仿宋_GB2312" w:eastAsia="仿宋_GB2312"/>
              </w:rPr>
              <w:t>磋商小组针对采购文件“第三章 技术、服务及其他要求”中所列实质性要求的条款进行审查。</w:t>
            </w:r>
          </w:p>
        </w:tc>
        <w:tc>
          <w:tcPr>
            <w:tcW w:type="dxa" w:w="1910"/>
          </w:tcPr>
          <w:p>
            <w:pPr>
              <w:pStyle w:val="null3"/>
              <w:jc w:val="left"/>
            </w:pPr>
            <w:r>
              <w:rPr>
                <w:rFonts w:ascii="仿宋_GB2312" w:hAnsi="仿宋_GB2312" w:cs="仿宋_GB2312" w:eastAsia="仿宋_GB2312"/>
              </w:rPr>
              <w:t>商务应答表.docx,技术要求应答表.docx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提供法定代表人身份证明文件或者提供法定代表人授权书证明材料</w:t>
            </w:r>
          </w:p>
        </w:tc>
        <w:tc>
          <w:tcPr>
            <w:tcW w:type="dxa" w:w="3322"/>
          </w:tcPr>
          <w:p>
            <w:pPr>
              <w:pStyle w:val="null3"/>
              <w:jc w:val="left"/>
            </w:pPr>
            <w:r>
              <w:rPr>
                <w:rFonts w:ascii="仿宋_GB2312" w:hAnsi="仿宋_GB2312" w:cs="仿宋_GB2312" w:eastAsia="仿宋_GB2312"/>
              </w:rPr>
              <w:t>提供法定代表人身份证明文件或者提供法定代表人授权书证明材料</w:t>
            </w:r>
          </w:p>
        </w:tc>
        <w:tc>
          <w:tcPr>
            <w:tcW w:type="dxa" w:w="1910"/>
          </w:tcPr>
          <w:p>
            <w:pPr>
              <w:pStyle w:val="null3"/>
              <w:jc w:val="left"/>
            </w:pPr>
            <w:r>
              <w:rPr>
                <w:rFonts w:ascii="仿宋_GB2312" w:hAnsi="仿宋_GB2312" w:cs="仿宋_GB2312" w:eastAsia="仿宋_GB2312"/>
              </w:rPr>
              <w:t>提供法定代表人身份证明文件或者提供法定代表人授权书证明材料.docx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投标文件有效期</w:t>
            </w:r>
          </w:p>
        </w:tc>
        <w:tc>
          <w:tcPr>
            <w:tcW w:type="dxa" w:w="3322"/>
          </w:tcPr>
          <w:p>
            <w:pPr>
              <w:pStyle w:val="null3"/>
              <w:jc w:val="left"/>
            </w:pPr>
            <w:r>
              <w:rPr>
                <w:rFonts w:ascii="仿宋_GB2312" w:hAnsi="仿宋_GB2312" w:cs="仿宋_GB2312" w:eastAsia="仿宋_GB2312"/>
              </w:rPr>
              <w:t>提交投标文件的截止之日起不少于90天</w:t>
            </w:r>
          </w:p>
        </w:tc>
        <w:tc>
          <w:tcPr>
            <w:tcW w:type="dxa" w:w="1910"/>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第三章 技术、服务及其他要求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供应商针对本项目提供的服务方案，方案内容包含： 1、服务总体方案：（4分） 供应商针对本项目提供的服务总体方案，方案内容包含：（1）服务体系、（2）服务流程，上述方案包含的2项内容完全满足采购要求的得4分，每缺失一项内容的扣2分，每有一项有内容缺陷的扣1分，扣完为止。 2、服务实施方案：（14分） 供应商针对本项目提供的服务实施方案，方案内容包含：（1）数据同步服务、（2）日常巡检服务、（3）功能升级服务、（4）安全调优服务、（5）故障响应服务、（6）应急响应服务、（7）业务协同服务，上述方案包含的7项内容完全满足采购要求的得14分，每缺失一项内容的扣2分，每有一项有内容缺陷的扣1分，扣完为止。 3、服务实施计划：（6分） 供应商针对本项目提供的服务实施计划，方案内容包含：（1）总体计划、（2）人员安排、（3）进度安排，上述方案包含的3项内容完全满足采购要求的得6分，每缺失一项内容的扣2分，每有一项有内容缺陷的扣1分，扣完为止。 4、服务安全保障：（6分） 供应商针对本项目提供的服务安全保障，方案内容包含：（1）安全体系、（2）数据安全、（3）系统安全，上述方案包含的3项内容完全满足采购要求的得6分，每缺失一项内容的扣2分，每有一项有内容缺陷的扣1分，扣完为止。 注：缺陷是指存在项目名称错误、地点区域错误、内容与本项目需求无关、方案内容矛盾或表述前后不一致、方案内容简略或仅有框架或标题、适用的标准（方法）错误、明显复制其他项目内容等任意一种情形。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供应商提供与本项目类似的知识产权成果或编著有知识专著成果的证明材料，每提供一个得1分，最多得10分。说明： （1）提供证明材料复印件并加盖供应商公章； （2）类似知识产权成果或编著有知识专著成果指材料内容包含人口信息采集、存储、管理等关键字。</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1、供应商提供类似的软件建设业绩证明材料，每提供一个得2分，最多得10分。 2、供应商提供类似的运行维护业绩证明材料，每提供一个得2分，最多得10分。 注：（1）提供2021年至今的类似业绩，以合同签约时间为准； （2）提供项目合同复印件并加盖供应商公章； （3）类似项目指合同主要内容包含人口信息采集、存储、管理等内容的项目。这些项目包括但不限于城市人口普查数据管理系统建设、大型企业员工信息管理平台开发、社区人口动态监测系统实施等。</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拟派本项目服务人员</w:t>
            </w:r>
          </w:p>
        </w:tc>
        <w:tc>
          <w:tcPr>
            <w:tcW w:type="dxa" w:w="2575"/>
          </w:tcPr>
          <w:p>
            <w:pPr>
              <w:pStyle w:val="null3"/>
              <w:jc w:val="left"/>
            </w:pPr>
            <w:r>
              <w:rPr>
                <w:rFonts w:ascii="仿宋_GB2312" w:hAnsi="仿宋_GB2312" w:cs="仿宋_GB2312" w:eastAsia="仿宋_GB2312"/>
              </w:rPr>
              <w:t>1、供应商为本项目配备的项目经理（1名，不可与技术负责人重复）同时具有计算机技术与软件专业技术资格证书（信息系统项目管理师）和类似本项目的项目经理经验证明的得2分，无不得分。 2、供应商为本项目配备的技术负责人（1名，不可与项目经理重复）同时具有计算机技术与软件专业技术资格证书（系统架构设计师或系统分析师）和类似本项目的技术负责人经验证明的得2分，无不得分。 3、供应商拟投入本项目的项目成员（不含项目经理、技术负责人）具有以下任意一项计算机技术与软件专业技术资格证书（信息系统项目管理师或系统规划与管理师或系统架构设计师或系统分析师或网络规划设计师或系统集成项目管理工程师或软件设计师或网络工程师或软件评测师或数据库系统工程师或信息系统管理工程师或信息安全工程师）的，每提供一个证书的得1分，最多得3分，无不得分。 4、供应商拟投入本项目的项目成员（不含项目经理、技术负责人、第3项得分人员），每有1人具备类似本项目实施经验证明的得0.5分，最多得3分，无不得分。 注：（1）以上1、2、3、4项拟派人员需一人一岗且不重复计分；（2）经验证明材料{验收报告复印件（需体现人员姓名）或经实施项目甲方认可的证明材料（需体现人员姓名）}复印件并加盖供应商公章，未按要求提证明材料的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供应商根据评分标准要求进行响应.docx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满足磋商文件要求且磋商报价最低的价格为磋商基准价，其价格分为满分。其他供应商的价格分统一按照下列公式计算：磋商报价得分=磋商基准价/磋商报价×30。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详见附件：供应商根据评分标准要求进行响应.docx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详见附件：提供法定代表人身份证明文件或者提供法定代表人授权书证明材料.docx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