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版本号：N511124202500008020250908001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公安局执法执勤车辆采购项目（2025年转移资金）(二次)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N5111242025000080</w:t>
      </w:r>
    </w:p>
    <w:p>
      <w:pPr>
        <w:pStyle w:val="null3"/>
        <w:jc w:val="left"/>
        <w:outlineLvl w:val="2"/>
      </w:pPr>
      <w:r>
        <w:rPr>
          <w:rFonts w:ascii="仿宋_GB2312" w:hAnsi="仿宋_GB2312" w:cs="仿宋_GB2312" w:eastAsia="仿宋_GB2312"/>
          <w:sz w:val="28"/>
          <w:b/>
        </w:rPr>
        <w:t>井研县公安局</w:t>
      </w:r>
    </w:p>
    <w:p>
      <w:pPr>
        <w:pStyle w:val="null3"/>
        <w:jc w:val="center"/>
        <w:outlineLvl w:val="2"/>
      </w:pPr>
      <w:r>
        <w:rPr>
          <w:rFonts w:ascii="仿宋_GB2312" w:hAnsi="仿宋_GB2312" w:cs="仿宋_GB2312" w:eastAsia="仿宋_GB2312"/>
          <w:sz w:val="28"/>
          <w:b/>
        </w:rPr>
        <w:t>井研县公共资源交易服务中心（井研县政府采购中心）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井研县公安局</w:t>
      </w:r>
      <w:r>
        <w:rPr>
          <w:rFonts w:ascii="仿宋_GB2312" w:hAnsi="仿宋_GB2312" w:cs="仿宋_GB2312" w:eastAsia="仿宋_GB2312"/>
        </w:rPr>
        <w:t xml:space="preserve"> 委托，拟对 </w:t>
      </w:r>
      <w:r>
        <w:rPr>
          <w:rFonts w:ascii="仿宋_GB2312" w:hAnsi="仿宋_GB2312" w:cs="仿宋_GB2312" w:eastAsia="仿宋_GB2312"/>
        </w:rPr>
        <w:t>公安局执法执勤车辆采购项目（2025年转移资金）(二次)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乐山市井研县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N5111242025000080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公安局执法执勤车辆采购项目（2025年转移资金）(二次)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 xml:space="preserve"> 1、警务实战需求日益增长，装备保障亟待加强： （1）随着当地经济社会快速发展，人口流动性增强，社会治安形势呈现 新特点、新挑战（如新型犯罪增多、大型活动安保任务繁重、应急处突压力增大、交通管理复杂度提升等）。 （2）现有的警车数量与性能，已难以支撑 高强度、快节奏、全天候 的现代警务运行模式。特别是在[重大安保任务、突发性事件处置、跨区域追捕、偏远地区巡逻、恶劣天气执勤]等情况下，装备保障能力捉襟见肘。 （3）缺乏足够数量和符合标准的警车，严重制约了 快速反应能力、巡逻防控密度和执法执勤效能，影响了打击犯罪、维护治安、服务群众的整体效果。 2、保障执法规范化与服务效能提升： （1）警车是公安机关执法形象的重要载体和移动服务平台。老旧、非制式或不规范的车辆， 影响执法权威性和队伍形象。 （2）配备符合国家标准、标识清晰、性能可靠的制式警车，是规范执法行为、提升执法公信力的必然要求，也是提升便民服务水平（如快速到达报警现场、开展移动服务）的基础保障。 3、落实上级部署与政策要求： （1）公安部及上级公安机关近年来多次强调要加强基层基础建设和装备保障现代化水平，要求 “向科技要警力、向装备要战斗力”。 （2）购置更新警车是落实上级关于加强公安基层基础建设、提升警务实战化能力等 重要决策部署 的具体行动，符合 [《“十四五”公安发展规划》、《关于加强新时代公安派出所工作的意见》] 的政策导向和要求。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井研县公安局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研城街道幸福大道3号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13890623118</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井研县公共资源交易服务中心（井研县政府采购中心）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四川省乐山市井研县千佛镇石家桥村兴盛路8号（千禧家居斜对面）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交易（袁老师）、评审（高老师）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交易0833-3713930、评审0833-3711023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井研县公安局</w:t>
      </w:r>
      <w:r>
        <w:rPr>
          <w:rFonts w:ascii="仿宋_GB2312" w:hAnsi="仿宋_GB2312" w:cs="仿宋_GB2312" w:eastAsia="仿宋_GB2312"/>
        </w:rPr>
        <w:t xml:space="preserve"> 和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井研县公安局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交货完成后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按国家有关规定、采购文件的服务要求、供应商的响应文件及承诺以及合同约定标准及《财政部关于进一步加强政府采购需求和履约验收管理的指导意见》(财库〔2016〕205号)文件规定进行验收。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按技术要求、响应文件及合同约定履约验收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按服务要求、响应文件及合同约定履约验收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按国家有关规定、采购文件的服务要求、供应商的响应文件及承诺以及合同约定标准及《财政部关于进一步加强政府采购需求和履约验收管理的指导意见》(财库〔2016〕205号)文件规定进行验收。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如有未尽事宜，由双方依法订立补充合同。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井研县公安局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联系人：谭老师</w:t>
      </w:r>
    </w:p>
    <w:p>
      <w:pPr>
        <w:pStyle w:val="null3"/>
        <w:jc w:val="left"/>
      </w:pPr>
      <w:r>
        <w:rPr>
          <w:rFonts w:ascii="仿宋_GB2312" w:hAnsi="仿宋_GB2312" w:cs="仿宋_GB2312" w:eastAsia="仿宋_GB2312"/>
        </w:rPr>
        <w:t>联系电话：13890623118</w:t>
      </w:r>
    </w:p>
    <w:p>
      <w:pPr>
        <w:pStyle w:val="null3"/>
        <w:jc w:val="left"/>
      </w:pPr>
      <w:r>
        <w:rPr>
          <w:rFonts w:ascii="仿宋_GB2312" w:hAnsi="仿宋_GB2312" w:cs="仿宋_GB2312" w:eastAsia="仿宋_GB2312"/>
        </w:rPr>
        <w:t>地址：研城街道幸福大道3号</w:t>
      </w:r>
    </w:p>
    <w:p>
      <w:pPr>
        <w:pStyle w:val="null3"/>
        <w:jc w:val="left"/>
      </w:pPr>
      <w:r>
        <w:rPr>
          <w:rFonts w:ascii="仿宋_GB2312" w:hAnsi="仿宋_GB2312" w:cs="仿宋_GB2312" w:eastAsia="仿宋_GB2312"/>
        </w:rPr>
        <w:t>邮编：613100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联系人：苏老师</w:t>
      </w:r>
    </w:p>
    <w:p>
      <w:pPr>
        <w:pStyle w:val="null3"/>
        <w:jc w:val="left"/>
      </w:pPr>
      <w:r>
        <w:rPr>
          <w:rFonts w:ascii="仿宋_GB2312" w:hAnsi="仿宋_GB2312" w:cs="仿宋_GB2312" w:eastAsia="仿宋_GB2312"/>
        </w:rPr>
        <w:t>联系电话：0833-3711502</w:t>
      </w:r>
    </w:p>
    <w:p>
      <w:pPr>
        <w:pStyle w:val="null3"/>
        <w:jc w:val="left"/>
      </w:pPr>
      <w:r>
        <w:rPr>
          <w:rFonts w:ascii="仿宋_GB2312" w:hAnsi="仿宋_GB2312" w:cs="仿宋_GB2312" w:eastAsia="仿宋_GB2312"/>
        </w:rPr>
        <w:t>地址：四川省乐山市井研县千佛镇石家桥村兴盛路8号（井研县公共资源交易服务中心）</w:t>
      </w:r>
    </w:p>
    <w:p>
      <w:pPr>
        <w:pStyle w:val="null3"/>
        <w:jc w:val="left"/>
      </w:pPr>
      <w:r>
        <w:rPr>
          <w:rFonts w:ascii="仿宋_GB2312" w:hAnsi="仿宋_GB2312" w:cs="仿宋_GB2312" w:eastAsia="仿宋_GB2312"/>
        </w:rPr>
        <w:t>邮编：613100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A02030610 警车</w:t>
            </w:r>
          </w:p>
        </w:tc>
        <w:tc>
          <w:tcPr>
            <w:tcW w:type="dxa" w:w="821"/>
          </w:tcPr>
          <w:p>
            <w:pPr>
              <w:pStyle w:val="null3"/>
              <w:jc w:val="left"/>
            </w:pPr>
            <w:r>
              <w:rPr>
                <w:rFonts w:ascii="仿宋_GB2312" w:hAnsi="仿宋_GB2312" w:cs="仿宋_GB2312" w:eastAsia="仿宋_GB2312"/>
              </w:rPr>
              <w:t>勘测车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A02030610 警车</w:t>
            </w:r>
          </w:p>
        </w:tc>
        <w:tc>
          <w:tcPr>
            <w:tcW w:type="dxa" w:w="821"/>
          </w:tcPr>
          <w:p>
            <w:pPr>
              <w:pStyle w:val="null3"/>
              <w:jc w:val="left"/>
            </w:pPr>
            <w:r>
              <w:rPr>
                <w:rFonts w:ascii="仿宋_GB2312" w:hAnsi="仿宋_GB2312" w:cs="仿宋_GB2312" w:eastAsia="仿宋_GB2312"/>
              </w:rPr>
              <w:t>特警巡逻车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A02030610 警车</w:t>
            </w:r>
          </w:p>
        </w:tc>
        <w:tc>
          <w:tcPr>
            <w:tcW w:type="dxa" w:w="821"/>
          </w:tcPr>
          <w:p>
            <w:pPr>
              <w:pStyle w:val="null3"/>
              <w:jc w:val="left"/>
            </w:pPr>
            <w:r>
              <w:rPr>
                <w:rFonts w:ascii="仿宋_GB2312" w:hAnsi="仿宋_GB2312" w:cs="仿宋_GB2312" w:eastAsia="仿宋_GB2312"/>
              </w:rPr>
              <w:t>SUV巡逻车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A02030610 警车</w:t>
            </w:r>
          </w:p>
        </w:tc>
        <w:tc>
          <w:tcPr>
            <w:tcW w:type="dxa" w:w="821"/>
          </w:tcPr>
          <w:p>
            <w:pPr>
              <w:pStyle w:val="null3"/>
              <w:jc w:val="left"/>
            </w:pPr>
            <w:r>
              <w:rPr>
                <w:rFonts w:ascii="仿宋_GB2312" w:hAnsi="仿宋_GB2312" w:cs="仿宋_GB2312" w:eastAsia="仿宋_GB2312"/>
              </w:rPr>
              <w:t>MPV巡逻车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勘测车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特警巡逻车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SUV巡逻车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MPV巡逻车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A02030610 警车</w:t>
            </w:r>
          </w:p>
        </w:tc>
        <w:tc>
          <w:tcPr>
            <w:tcW w:type="dxa" w:w="2492"/>
          </w:tcPr>
          <w:p>
            <w:pPr>
              <w:pStyle w:val="null3"/>
              <w:jc w:val="left"/>
            </w:pPr>
            <w:r>
              <w:rPr>
                <w:rFonts w:ascii="仿宋_GB2312" w:hAnsi="仿宋_GB2312" w:cs="仿宋_GB2312" w:eastAsia="仿宋_GB2312"/>
              </w:rPr>
              <w:t>MPV巡逻车</w:t>
            </w:r>
          </w:p>
        </w:tc>
        <w:tc>
          <w:tcPr>
            <w:tcW w:type="dxa" w:w="2492"/>
          </w:tcPr>
          <w:p>
            <w:pPr>
              <w:pStyle w:val="null3"/>
              <w:jc w:val="left"/>
            </w:pPr>
            <w:r>
              <w:rPr>
                <w:rFonts w:ascii="仿宋_GB2312" w:hAnsi="仿宋_GB2312" w:cs="仿宋_GB2312" w:eastAsia="仿宋_GB2312"/>
              </w:rPr>
              <w:t>MPV巡逻车</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A02030610 警车</w:t>
            </w:r>
          </w:p>
        </w:tc>
        <w:tc>
          <w:tcPr>
            <w:tcW w:type="dxa" w:w="2492"/>
          </w:tcPr>
          <w:p>
            <w:pPr>
              <w:pStyle w:val="null3"/>
              <w:jc w:val="left"/>
            </w:pPr>
            <w:r>
              <w:rPr>
                <w:rFonts w:ascii="仿宋_GB2312" w:hAnsi="仿宋_GB2312" w:cs="仿宋_GB2312" w:eastAsia="仿宋_GB2312"/>
              </w:rPr>
              <w:t>勘测车</w:t>
            </w:r>
          </w:p>
        </w:tc>
        <w:tc>
          <w:tcPr>
            <w:tcW w:type="dxa" w:w="2492"/>
          </w:tcPr>
          <w:p>
            <w:pPr>
              <w:pStyle w:val="null3"/>
              <w:jc w:val="left"/>
            </w:pPr>
            <w:r>
              <w:rPr>
                <w:rFonts w:ascii="仿宋_GB2312" w:hAnsi="仿宋_GB2312" w:cs="仿宋_GB2312" w:eastAsia="仿宋_GB2312"/>
              </w:rPr>
              <w:t>勘测车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A02030610 警车</w:t>
            </w:r>
          </w:p>
        </w:tc>
        <w:tc>
          <w:tcPr>
            <w:tcW w:type="dxa" w:w="2492"/>
          </w:tcPr>
          <w:p>
            <w:pPr>
              <w:pStyle w:val="null3"/>
              <w:jc w:val="left"/>
            </w:pPr>
            <w:r>
              <w:rPr>
                <w:rFonts w:ascii="仿宋_GB2312" w:hAnsi="仿宋_GB2312" w:cs="仿宋_GB2312" w:eastAsia="仿宋_GB2312"/>
              </w:rPr>
              <w:t>特警巡逻车</w:t>
            </w:r>
          </w:p>
        </w:tc>
        <w:tc>
          <w:tcPr>
            <w:tcW w:type="dxa" w:w="2492"/>
          </w:tcPr>
          <w:p>
            <w:pPr>
              <w:pStyle w:val="null3"/>
              <w:jc w:val="left"/>
            </w:pPr>
            <w:r>
              <w:rPr>
                <w:rFonts w:ascii="仿宋_GB2312" w:hAnsi="仿宋_GB2312" w:cs="仿宋_GB2312" w:eastAsia="仿宋_GB2312"/>
              </w:rPr>
              <w:t>特警巡逻车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A02030610 警车</w:t>
            </w:r>
          </w:p>
        </w:tc>
        <w:tc>
          <w:tcPr>
            <w:tcW w:type="dxa" w:w="2492"/>
          </w:tcPr>
          <w:p>
            <w:pPr>
              <w:pStyle w:val="null3"/>
              <w:jc w:val="left"/>
            </w:pPr>
            <w:r>
              <w:rPr>
                <w:rFonts w:ascii="仿宋_GB2312" w:hAnsi="仿宋_GB2312" w:cs="仿宋_GB2312" w:eastAsia="仿宋_GB2312"/>
              </w:rPr>
              <w:t>SUV巡逻车</w:t>
            </w:r>
          </w:p>
        </w:tc>
        <w:tc>
          <w:tcPr>
            <w:tcW w:type="dxa" w:w="2492"/>
          </w:tcPr>
          <w:p>
            <w:pPr>
              <w:pStyle w:val="null3"/>
              <w:jc w:val="left"/>
            </w:pPr>
            <w:r>
              <w:rPr>
                <w:rFonts w:ascii="仿宋_GB2312" w:hAnsi="仿宋_GB2312" w:cs="仿宋_GB2312" w:eastAsia="仿宋_GB2312"/>
              </w:rPr>
              <w:t>SUV巡逻车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A02030610 警车</w:t>
            </w:r>
          </w:p>
        </w:tc>
        <w:tc>
          <w:tcPr>
            <w:tcW w:type="dxa" w:w="2492"/>
          </w:tcPr>
          <w:p>
            <w:pPr>
              <w:pStyle w:val="null3"/>
              <w:jc w:val="left"/>
            </w:pPr>
            <w:r>
              <w:rPr>
                <w:rFonts w:ascii="仿宋_GB2312" w:hAnsi="仿宋_GB2312" w:cs="仿宋_GB2312" w:eastAsia="仿宋_GB2312"/>
              </w:rPr>
              <w:t>MPV巡逻车</w:t>
            </w:r>
          </w:p>
        </w:tc>
        <w:tc>
          <w:tcPr>
            <w:tcW w:type="dxa" w:w="2492"/>
          </w:tcPr>
          <w:p>
            <w:pPr>
              <w:pStyle w:val="null3"/>
              <w:jc w:val="left"/>
            </w:pPr>
            <w:r>
              <w:rPr>
                <w:rFonts w:ascii="仿宋_GB2312" w:hAnsi="仿宋_GB2312" w:cs="仿宋_GB2312" w:eastAsia="仿宋_GB2312"/>
              </w:rPr>
              <w:t>MPV巡逻车</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标的名称：勘测车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rPr>
              <w:t>详见附件“技术参数与性能指标（9.8）”，按附件内容响应。</w:t>
            </w:r>
          </w:p>
        </w:tc>
      </w:tr>
    </w:tbl>
    <w:p>
      <w:pPr>
        <w:pStyle w:val="null3"/>
        <w:jc w:val="left"/>
      </w:pPr>
      <w:r>
        <w:rPr>
          <w:rFonts w:ascii="仿宋_GB2312" w:hAnsi="仿宋_GB2312" w:cs="仿宋_GB2312" w:eastAsia="仿宋_GB2312"/>
        </w:rPr>
        <w:t>标的名称：特警巡逻车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rPr>
              <w:t>详见附件“技术参数与性能指标（9.8）”，按附件内容响应。</w:t>
            </w:r>
          </w:p>
        </w:tc>
      </w:tr>
    </w:tbl>
    <w:p>
      <w:pPr>
        <w:pStyle w:val="null3"/>
        <w:jc w:val="left"/>
      </w:pPr>
      <w:r>
        <w:rPr>
          <w:rFonts w:ascii="仿宋_GB2312" w:hAnsi="仿宋_GB2312" w:cs="仿宋_GB2312" w:eastAsia="仿宋_GB2312"/>
        </w:rPr>
        <w:t>标的名称：SUV巡逻车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rPr>
              <w:t>详见附件“技术参数与性能指标（9.8）”，按附件内容响应。</w:t>
            </w:r>
          </w:p>
        </w:tc>
      </w:tr>
    </w:tbl>
    <w:p>
      <w:pPr>
        <w:pStyle w:val="null3"/>
        <w:jc w:val="left"/>
      </w:pPr>
      <w:r>
        <w:rPr>
          <w:rFonts w:ascii="仿宋_GB2312" w:hAnsi="仿宋_GB2312" w:cs="仿宋_GB2312" w:eastAsia="仿宋_GB2312"/>
        </w:rPr>
        <w:t>标的名称：MPV巡逻车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rPr>
              <w:t>详见附件“技术参数与性能指标（9.8）”，按附件内容响应。</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rPr>
              <w:t>1、本项目为货物采购项目，响应报价是履行合同的最终价格，报价应包含车辆、运输、装卸、安装调试、车身颜色、贴字、法律规定供应商应支付的相关税收等需要完成本项目所需的一切费用，采购人不再支付任何费用；响应报价估算错误等引起的风险由成交供应商自行承担。</w:t>
            </w:r>
          </w:p>
          <w:p>
            <w:pPr>
              <w:pStyle w:val="null3"/>
              <w:jc w:val="left"/>
            </w:pPr>
            <w:r>
              <w:rPr>
                <w:rFonts w:ascii="仿宋_GB2312" w:hAnsi="仿宋_GB2312" w:cs="仿宋_GB2312" w:eastAsia="仿宋_GB2312"/>
              </w:rPr>
              <w:t>2、成交供应商须协助车辆上户、上牌，期间产生的车辆上户费用由采购人承担。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rPr>
              <w:t>1、整车质保期为验收合格后不低于3年，改装部分质保1年。</w:t>
            </w:r>
          </w:p>
          <w:p>
            <w:pPr>
              <w:pStyle w:val="null3"/>
              <w:jc w:val="left"/>
            </w:pPr>
            <w:r>
              <w:rPr>
                <w:rFonts w:ascii="仿宋_GB2312" w:hAnsi="仿宋_GB2312" w:cs="仿宋_GB2312" w:eastAsia="仿宋_GB2312"/>
              </w:rPr>
              <w:t>2、维修响应速度：质保期内，成交供应商须做到30分钟内响应，3小时内到达故障现场，维修工程师12小时内到达现场处理。</w:t>
            </w:r>
          </w:p>
          <w:p>
            <w:pPr>
              <w:pStyle w:val="null3"/>
              <w:jc w:val="left"/>
            </w:pPr>
            <w:r>
              <w:rPr>
                <w:rFonts w:ascii="仿宋_GB2312" w:hAnsi="仿宋_GB2312" w:cs="仿宋_GB2312" w:eastAsia="仿宋_GB2312"/>
              </w:rPr>
              <w:t>3、成交供应商须提供售后服务电话，提供7*24小时电话技术支持和救援服务。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履约要求</w:t>
            </w:r>
          </w:p>
        </w:tc>
        <w:tc>
          <w:tcPr>
            <w:tcW w:type="dxa" w:w="5814"/>
          </w:tcPr>
          <w:p>
            <w:pPr>
              <w:pStyle w:val="null3"/>
              <w:jc w:val="left"/>
            </w:pPr>
            <w:r>
              <w:rPr>
                <w:rFonts w:ascii="仿宋_GB2312" w:hAnsi="仿宋_GB2312" w:cs="仿宋_GB2312" w:eastAsia="仿宋_GB2312"/>
              </w:rPr>
              <w:t>供应商提供的车辆产品需具有工信部公告、国家环保公告及强制性3c认证相关证明材料【提供加盖公章（鲜章）的有效证明材料或提供承诺函（承诺成交后提供相关证明材料供采购人查验）】。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自合同签订之日起20日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井研县公安局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1、交货完成并通过验收合格后 ，达到付款条件起10日内，支付合同总金额的100.00%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按国家有关规定、采购文件的服务要求、供应商的响应文件及承诺以及合同约定标准及《财政部关于进一步加强政府采购需求和履约验收管理的指导意见》(财库〔2016〕205号)文件规定进行验收。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1.质量要求：必须保证提供的车辆生产日期为2025年生产，全新未使用过。且完全符合国家相关标准要求。 2.成交供应商所提供产品必须完好无损，且权属清楚，不得侵害他人的知识产权。 3.成交供应商所投产品须符合国家车辆公告要求，提供相关上户资料，协助上户。</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1.采购人及供应商双方必须遵守采购合同并执行合同中的各项规定，保证采购合同的正常履行。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有提交的成果达不到相关质量要求或未按采购人时间进度安排完成成果或拒绝履行合同内容等一系列其他严重失职行为的，采购人有权不支付合同相关款项，并有权无条件提出解除采购合同，一切因此产生的所有后果及损失等均由供应商承担，采购人不承担任何责任。 4.争议解决办法： 4.1采购人及供应商双方就采购合同所产生的任何争议都应该进行友好协商，协商解决不成的，任何一方均可向项目所在地仲裁委员会申请仲裁； 4.2仲裁费应由败诉方承担； 4.3在仲裁期间，除正在进行仲裁的部分外，合同其他部分继续执行； 4.4协商、调解、仲裁不能解决的，双方可向项目所在地的人民法院提起诉讼。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近两年（2023年或2024年）任一年度经审计的财务报告（包含审计报告和审计报告中所涉及的财务报表和报表附注）；（2）可提供近两年（2023年或2024年）任一年度的全套财务报表（应当包括资产负债表、利润表、现金流量表、所有者权益变动表及其附注）；（3）可提供截至响应文件提交截止日一年内银行出具的资信证明；（4）供应商注册时间截至响应文件提交截止日不足一年的，也可提供供应商营业执照和在相关主管部门备案的公司章程。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具有健全会计财务制度.docx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w:t>
            </w:r>
          </w:p>
        </w:tc>
        <w:tc>
          <w:tcPr>
            <w:tcW w:type="dxa" w:w="3322"/>
          </w:tcPr>
          <w:p>
            <w:pPr>
              <w:pStyle w:val="null3"/>
              <w:jc w:val="left"/>
            </w:pPr>
            <w:r>
              <w:rPr>
                <w:rFonts w:ascii="仿宋_GB2312" w:hAnsi="仿宋_GB2312" w:cs="仿宋_GB2312" w:eastAsia="仿宋_GB2312"/>
              </w:rPr>
              <w:t>供应商需在项目电子化交易系统中根据“第三章3.2技术要求”进行响应，投标产品技术参数响应须据实填写，并进行电子签章。</w:t>
            </w:r>
          </w:p>
        </w:tc>
        <w:tc>
          <w:tcPr>
            <w:tcW w:type="dxa" w:w="1910"/>
          </w:tcPr>
          <w:p>
            <w:pPr>
              <w:pStyle w:val="null3"/>
              <w:jc w:val="left"/>
            </w:pPr>
            <w:r>
              <w:rPr>
                <w:rFonts w:ascii="仿宋_GB2312" w:hAnsi="仿宋_GB2312" w:cs="仿宋_GB2312" w:eastAsia="仿宋_GB2312"/>
              </w:rPr>
              <w:t>产品技术参数响应表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服务要求应答</w:t>
            </w:r>
          </w:p>
        </w:tc>
        <w:tc>
          <w:tcPr>
            <w:tcW w:type="dxa" w:w="3322"/>
          </w:tcPr>
          <w:p>
            <w:pPr>
              <w:pStyle w:val="null3"/>
              <w:jc w:val="left"/>
            </w:pPr>
            <w:r>
              <w:rPr>
                <w:rFonts w:ascii="仿宋_GB2312" w:hAnsi="仿宋_GB2312" w:cs="仿宋_GB2312" w:eastAsia="仿宋_GB2312"/>
              </w:rPr>
              <w:t>供应商需在项目电子化交易系统中根据“第三章3.3服务要求”列入此表进行应答，需提供相关材料的按要求提供，并进行电子签章。</w:t>
            </w:r>
          </w:p>
        </w:tc>
        <w:tc>
          <w:tcPr>
            <w:tcW w:type="dxa" w:w="1910"/>
          </w:tcPr>
          <w:p>
            <w:pPr>
              <w:pStyle w:val="null3"/>
              <w:jc w:val="left"/>
            </w:pPr>
            <w:r>
              <w:rPr>
                <w:rFonts w:ascii="仿宋_GB2312" w:hAnsi="仿宋_GB2312" w:cs="仿宋_GB2312" w:eastAsia="仿宋_GB2312"/>
              </w:rPr>
              <w:t>相关佐证材料.docx,服务应答表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报价审查</w:t>
            </w:r>
          </w:p>
        </w:tc>
        <w:tc>
          <w:tcPr>
            <w:tcW w:type="dxa" w:w="3322"/>
          </w:tcPr>
          <w:p>
            <w:pPr>
              <w:pStyle w:val="null3"/>
              <w:jc w:val="left"/>
            </w:pPr>
            <w:r>
              <w:rPr>
                <w:rFonts w:ascii="仿宋_GB2312" w:hAnsi="仿宋_GB2312" w:cs="仿宋_GB2312" w:eastAsia="仿宋_GB2312"/>
              </w:rPr>
              <w:t>供应商需在项目电子化交易系统中按“报价表”要求填报响应价，并逐一据实填写投标产品具体产地、品牌、规格型号、生产厂家等，然后进行电子签章，否则作无效处理。投标产品应指向唯一产品，不能指向唯一产品的，应通过 报价表唯一产品说明栏进行说明。</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评审价格最低的投标人的评审价格作为评标基准价。2.投标报价得分=(评标基准价／评审价格)×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优先环境标志产品响应.docx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详见附件：具有健全会计财务制度.docx</w:t>
      </w:r>
    </w:p>
    <w:p>
      <w:pPr>
        <w:pStyle w:val="null3"/>
        <w:ind w:firstLine="960"/>
        <w:jc w:val="left"/>
      </w:pPr>
      <w:r>
        <w:rPr>
          <w:rFonts w:ascii="仿宋_GB2312" w:hAnsi="仿宋_GB2312" w:cs="仿宋_GB2312" w:eastAsia="仿宋_GB2312"/>
        </w:rPr>
        <w:t>详见附件：相关佐证材料.docx</w:t>
      </w:r>
    </w:p>
    <w:p>
      <w:pPr>
        <w:pStyle w:val="null3"/>
        <w:ind w:firstLine="960"/>
        <w:jc w:val="left"/>
      </w:pPr>
      <w:r>
        <w:rPr>
          <w:rFonts w:ascii="仿宋_GB2312" w:hAnsi="仿宋_GB2312" w:cs="仿宋_GB2312" w:eastAsia="仿宋_GB2312"/>
        </w:rPr>
        <w:t>详见附件：优先环境标志产品响应.docx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