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版本号：N510184202600012520260626002</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崇州市比亚迪新产品结构件项目110KV供电工程设计服务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N5101842026000125</w:t>
      </w:r>
    </w:p>
    <w:p>
      <w:pPr>
        <w:pStyle w:val="null3"/>
        <w:jc w:val="left"/>
        <w:outlineLvl w:val="2"/>
      </w:pPr>
      <w:r>
        <w:rPr>
          <w:rFonts w:ascii="仿宋_GB2312" w:hAnsi="仿宋_GB2312" w:cs="仿宋_GB2312" w:eastAsia="仿宋_GB2312"/>
          <w:sz w:val="28"/>
          <w:b/>
        </w:rPr>
        <w:t>四川崇州经济开发区管理委员会</w:t>
      </w:r>
    </w:p>
    <w:p>
      <w:pPr>
        <w:pStyle w:val="null3"/>
        <w:jc w:val="center"/>
        <w:outlineLvl w:val="2"/>
      </w:pPr>
      <w:r>
        <w:rPr>
          <w:rFonts w:ascii="仿宋_GB2312" w:hAnsi="仿宋_GB2312" w:cs="仿宋_GB2312" w:eastAsia="仿宋_GB2312"/>
          <w:sz w:val="28"/>
          <w:b/>
        </w:rPr>
        <w:t>四川华景工程项目管理有限公司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四川华景工程项目管理有限公司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四川崇州经济开发区管理委员会</w:t>
      </w:r>
      <w:r>
        <w:rPr>
          <w:rFonts w:ascii="仿宋_GB2312" w:hAnsi="仿宋_GB2312" w:cs="仿宋_GB2312" w:eastAsia="仿宋_GB2312"/>
        </w:rPr>
        <w:t xml:space="preserve"> 委托，拟对 </w:t>
      </w:r>
      <w:r>
        <w:rPr>
          <w:rFonts w:ascii="仿宋_GB2312" w:hAnsi="仿宋_GB2312" w:cs="仿宋_GB2312" w:eastAsia="仿宋_GB2312"/>
        </w:rPr>
        <w:t>崇州市比亚迪新产品结构件项目110KV供电工程设计服务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成都市崇州市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N5101842026000125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崇州市比亚迪新产品结构件项目110KV供电工程设计服务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工程项目以保障比亚迪崇州基地车载计算平台生产线长期稳定用电为核心，建成满足二级负荷要求的110kV双电源专用供电系统，全面承接155.2MW最大用电负荷，确保生产连续、设备安全、质量稳定；同步完善崇州经开区电网结构，破解区域供电瓶颈，提升供电可靠性，符合省、市、县各级电力发展规划与产业政策要求；实现工程安全、环保、节能、合规一体化建设。拟采购崇州市比亚迪新产品结构件项目110KV供电工程设计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应具备：1、建设行政主管部门颁发的工程设计电力行业（送电工程、变电工程）专业乙级及以上资质、或工程设计电力行业乙级及以上资质、或工程设计综合甲级资质；2、工程勘察专业类(工程测量)乙级及以上资质。（描述：投标人应具备：1、建设行政主管部门颁发的工程设计电力行业（送电工程、变电工程）专业乙级及以上资质、或工程设计电力行业乙级及以上资质、或工程设计综合甲级资质；2、工程勘察专业类(工程测量)乙级及以上资质。提供资质证书复印/扫描件加盖供应商公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四川崇州经济开发区管理委员会</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崇州市飞云路495号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611230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028-82382492</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四川华景工程项目管理有限公司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成都市双流区蛟龙港园区海滨广场11座16楼1603室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028-60613388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采购包1：500,000.00元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采购包1：</w:t>
            </w:r>
            <w:r>
              <w:br/>
            </w:r>
            <w:r>
              <w:rPr>
                <w:rFonts w:ascii="仿宋_GB2312" w:hAnsi="仿宋_GB2312" w:cs="仿宋_GB2312" w:eastAsia="仿宋_GB2312"/>
              </w:rPr>
              <w:t>政府购买服务项目（含政府和社会资本合作项目）：否</w:t>
            </w:r>
            <w:r>
              <w:br/>
            </w:r>
            <w:r>
              <w:rPr>
                <w:rFonts w:ascii="仿宋_GB2312" w:hAnsi="仿宋_GB2312" w:cs="仿宋_GB2312" w:eastAsia="仿宋_GB2312"/>
              </w:rPr>
              <w:t>市场竞争不充分的科研项目：否</w:t>
            </w:r>
            <w:r>
              <w:br/>
            </w:r>
            <w:r>
              <w:rPr>
                <w:rFonts w:ascii="仿宋_GB2312" w:hAnsi="仿宋_GB2312" w:cs="仿宋_GB2312" w:eastAsia="仿宋_GB2312"/>
              </w:rPr>
              <w:t>需要扶持的科技成果转化项目：否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代理服务费收费标准：本项目按照委托代理协议及成本加合理利润的原则，以实际成交金额的1.2%收取。由成交人在领取成交通知书前向采购代理机构一次性交纳。</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 xml:space="preserve"> （一）交易系统发生故障而无法正常使用的；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 xml:space="preserve"> 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四川崇州经济开发区管理委员会</w:t>
      </w:r>
      <w:r>
        <w:rPr>
          <w:rFonts w:ascii="仿宋_GB2312" w:hAnsi="仿宋_GB2312" w:cs="仿宋_GB2312" w:eastAsia="仿宋_GB2312"/>
        </w:rPr>
        <w:t xml:space="preserve"> 和 </w:t>
      </w:r>
      <w:r>
        <w:rPr>
          <w:rFonts w:ascii="仿宋_GB2312" w:hAnsi="仿宋_GB2312" w:cs="仿宋_GB2312" w:eastAsia="仿宋_GB2312"/>
        </w:rPr>
        <w:t>四川华景工程项目管理有限公司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四川崇州经济开发区管理委员会</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四川华景工程项目管理有限公司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技术、服务要求的全部内容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商务要求的全部内容</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政府采购需求管理办法》（财库〔2021〕22号）的要求、磋商文件规定的要求和响应文件及采购合同的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四川崇州经济开发区管理委员会</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四川华景工程项目管理有限公司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四川华景工程项目管理有限公司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联系人：王老师</w:t>
      </w:r>
    </w:p>
    <w:p>
      <w:pPr>
        <w:pStyle w:val="null3"/>
        <w:jc w:val="left"/>
      </w:pPr>
      <w:r>
        <w:rPr>
          <w:rFonts w:ascii="仿宋_GB2312" w:hAnsi="仿宋_GB2312" w:cs="仿宋_GB2312" w:eastAsia="仿宋_GB2312"/>
        </w:rPr>
        <w:t>联系电话：028-60613388</w:t>
      </w:r>
    </w:p>
    <w:p>
      <w:pPr>
        <w:pStyle w:val="null3"/>
        <w:jc w:val="left"/>
      </w:pPr>
      <w:r>
        <w:rPr>
          <w:rFonts w:ascii="仿宋_GB2312" w:hAnsi="仿宋_GB2312" w:cs="仿宋_GB2312" w:eastAsia="仿宋_GB2312"/>
        </w:rPr>
        <w:t>地址：成都蛟龙港双流园区海滨广场11座16楼1603号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500,000.00</w:t>
      </w:r>
    </w:p>
    <w:p>
      <w:pPr>
        <w:pStyle w:val="null3"/>
        <w:jc w:val="left"/>
      </w:pPr>
      <w:r>
        <w:rPr>
          <w:rFonts w:ascii="仿宋_GB2312" w:hAnsi="仿宋_GB2312" w:cs="仿宋_GB2312" w:eastAsia="仿宋_GB2312"/>
        </w:rPr>
        <w:t>采购包最高限价（元）: 500,000.00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C11020000 工程设计服务</w:t>
            </w:r>
          </w:p>
        </w:tc>
        <w:tc>
          <w:tcPr>
            <w:tcW w:type="dxa" w:w="821"/>
          </w:tcPr>
          <w:p>
            <w:pPr>
              <w:pStyle w:val="null3"/>
              <w:jc w:val="left"/>
            </w:pPr>
            <w:r>
              <w:rPr>
                <w:rFonts w:ascii="仿宋_GB2312" w:hAnsi="仿宋_GB2312" w:cs="仿宋_GB2312" w:eastAsia="仿宋_GB2312"/>
              </w:rPr>
              <w:t>崇州市比亚迪新产品结构件项目110KV供电工程设计服务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崇州市比亚迪新产品结构件项目110KV供电工程设计服务</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本项目预算金额50万元，供应商报价按国家建设部《工程勘察设计收费标准》（2002年修订版）收费标准进行折扣率报价。设计服务费最终以施工招标控制价（扣除暂列金额）为基数按收费标准和供应商折扣率据实计算，例如供应商报价折扣率为80%，则设计服务费＝按收费标准计算后×80%。最终结算金额不超过50万元。</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标的名称：崇州市比亚迪新产品结构件项目110KV供电工程设计服务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ind w:firstLine="482"/>
              <w:jc w:val="left"/>
            </w:pPr>
            <w:r>
              <w:rPr>
                <w:rFonts w:ascii="仿宋_GB2312" w:hAnsi="仿宋_GB2312" w:cs="仿宋_GB2312" w:eastAsia="仿宋_GB2312"/>
                <w:sz w:val="24"/>
                <w:b/>
              </w:rPr>
              <w:t>一</w:t>
            </w:r>
            <w:r>
              <w:rPr>
                <w:rFonts w:ascii="仿宋_GB2312" w:hAnsi="仿宋_GB2312" w:cs="仿宋_GB2312" w:eastAsia="仿宋_GB2312"/>
                <w:sz w:val="24"/>
                <w:b/>
              </w:rPr>
              <w:t>、服务内容</w:t>
            </w:r>
            <w:r>
              <w:rPr>
                <w:rFonts w:ascii="仿宋_GB2312" w:hAnsi="仿宋_GB2312" w:cs="仿宋_GB2312" w:eastAsia="仿宋_GB2312"/>
                <w:sz w:val="24"/>
                <w:b/>
              </w:rPr>
              <w:t>及要求</w:t>
            </w:r>
          </w:p>
          <w:p>
            <w:pPr>
              <w:pStyle w:val="null3"/>
              <w:ind w:firstLine="480"/>
              <w:jc w:val="left"/>
            </w:pPr>
            <w:r>
              <w:rPr>
                <w:rFonts w:ascii="仿宋_GB2312" w:hAnsi="仿宋_GB2312" w:cs="仿宋_GB2312" w:eastAsia="仿宋_GB2312"/>
                <w:sz w:val="24"/>
              </w:rPr>
              <w:t>1、服务内容</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完成</w:t>
            </w:r>
            <w:r>
              <w:rPr>
                <w:rFonts w:ascii="仿宋_GB2312" w:hAnsi="仿宋_GB2312" w:cs="仿宋_GB2312" w:eastAsia="仿宋_GB2312"/>
                <w:sz w:val="24"/>
              </w:rPr>
              <w:t>净居220kV变电站至比亚迪第二变电站110kV线路工程</w:t>
            </w:r>
            <w:r>
              <w:rPr>
                <w:rFonts w:ascii="仿宋_GB2312" w:hAnsi="仿宋_GB2312" w:cs="仿宋_GB2312" w:eastAsia="仿宋_GB2312"/>
                <w:sz w:val="24"/>
              </w:rPr>
              <w:t>及</w:t>
            </w:r>
            <w:r>
              <w:rPr>
                <w:rFonts w:ascii="仿宋_GB2312" w:hAnsi="仿宋_GB2312" w:cs="仿宋_GB2312" w:eastAsia="仿宋_GB2312"/>
                <w:sz w:val="24"/>
              </w:rPr>
              <w:t>净居220kV变电站110kV出线间隔完善工程</w:t>
            </w:r>
            <w:r>
              <w:rPr>
                <w:rFonts w:ascii="仿宋_GB2312" w:hAnsi="仿宋_GB2312" w:cs="仿宋_GB2312" w:eastAsia="仿宋_GB2312"/>
                <w:sz w:val="24"/>
              </w:rPr>
              <w:t>的初步设计、施工图设计、现场勘察（测量）、工代、参加各阶段审查、配合审计工作等。</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完成</w:t>
            </w:r>
            <w:r>
              <w:rPr>
                <w:rFonts w:ascii="仿宋_GB2312" w:hAnsi="仿宋_GB2312" w:cs="仿宋_GB2312" w:eastAsia="仿宋_GB2312"/>
                <w:sz w:val="24"/>
              </w:rPr>
              <w:t>隆兴220kV变电站至净居220kV变电站光缆改接工程</w:t>
            </w:r>
            <w:r>
              <w:rPr>
                <w:rFonts w:ascii="仿宋_GB2312" w:hAnsi="仿宋_GB2312" w:cs="仿宋_GB2312" w:eastAsia="仿宋_GB2312"/>
                <w:sz w:val="24"/>
              </w:rPr>
              <w:t>及</w:t>
            </w:r>
            <w:r>
              <w:rPr>
                <w:rFonts w:ascii="仿宋_GB2312" w:hAnsi="仿宋_GB2312" w:cs="仿宋_GB2312" w:eastAsia="仿宋_GB2312"/>
                <w:sz w:val="24"/>
              </w:rPr>
              <w:t>隆兴220kV变电站二次系统完善工程</w:t>
            </w:r>
            <w:r>
              <w:rPr>
                <w:rFonts w:ascii="仿宋_GB2312" w:hAnsi="仿宋_GB2312" w:cs="仿宋_GB2312" w:eastAsia="仿宋_GB2312"/>
                <w:sz w:val="24"/>
              </w:rPr>
              <w:t>初步设计、施工图设计、现场勘察（测量）、工代、参加各阶段审查、配合审计工作等。</w:t>
            </w:r>
          </w:p>
          <w:p>
            <w:pPr>
              <w:pStyle w:val="null3"/>
              <w:ind w:firstLine="480"/>
              <w:jc w:val="left"/>
            </w:pPr>
            <w:r>
              <w:rPr>
                <w:rFonts w:ascii="仿宋_GB2312" w:hAnsi="仿宋_GB2312" w:cs="仿宋_GB2312" w:eastAsia="仿宋_GB2312"/>
                <w:sz w:val="24"/>
              </w:rPr>
              <w:t>2、设计范围</w:t>
            </w:r>
          </w:p>
          <w:p>
            <w:pPr>
              <w:pStyle w:val="null3"/>
              <w:ind w:firstLine="480"/>
              <w:jc w:val="left"/>
            </w:pPr>
            <w:r>
              <w:rPr>
                <w:rFonts w:ascii="仿宋_GB2312" w:hAnsi="仿宋_GB2312" w:cs="仿宋_GB2312" w:eastAsia="仿宋_GB2312"/>
                <w:sz w:val="24"/>
              </w:rPr>
              <w:t>（1）新建净居220kV变电站至比亚迪第二变电站110kV线路工程：线路采用架空和电缆结合方式进行架设，全线为双回线路，路径长度约1.3km；</w:t>
            </w:r>
          </w:p>
          <w:p>
            <w:pPr>
              <w:pStyle w:val="null3"/>
              <w:ind w:firstLine="480"/>
              <w:jc w:val="left"/>
            </w:pPr>
            <w:r>
              <w:rPr>
                <w:rFonts w:ascii="仿宋_GB2312" w:hAnsi="仿宋_GB2312" w:cs="仿宋_GB2312" w:eastAsia="仿宋_GB2312"/>
                <w:sz w:val="24"/>
              </w:rPr>
              <w:t>（2）隆兴220kV变电站至净居220kV变电站光缆改接工程：利旧现有架空线路通道，路径长度约9km，全线架设ADSS-48B1光缆，同步完成隆兴、净居侧站内通信及保护通道改造；</w:t>
            </w:r>
          </w:p>
          <w:p>
            <w:pPr>
              <w:pStyle w:val="null3"/>
              <w:ind w:firstLine="480"/>
              <w:jc w:val="left"/>
            </w:pPr>
            <w:r>
              <w:rPr>
                <w:rFonts w:ascii="仿宋_GB2312" w:hAnsi="仿宋_GB2312" w:cs="仿宋_GB2312" w:eastAsia="仿宋_GB2312"/>
                <w:sz w:val="24"/>
              </w:rPr>
              <w:t>（3）净居220kV变电站110kV出线间隔完善工程：电气一次在净居变电站内完善相应线路对应出线间隔设备连接线（173间隔）（本次173间隔接入比亚迪二站）；对现有不满足本次项目的设备进行更换；电气二次新增设备为电流互感器、电压互感器、电子式智能电度表、电能质量在线监测装置、电气二次部分相关线缆及相关调试；</w:t>
            </w:r>
          </w:p>
          <w:p>
            <w:pPr>
              <w:pStyle w:val="null3"/>
              <w:ind w:firstLine="480"/>
              <w:jc w:val="left"/>
            </w:pPr>
            <w:r>
              <w:rPr>
                <w:rFonts w:ascii="仿宋_GB2312" w:hAnsi="仿宋_GB2312" w:cs="仿宋_GB2312" w:eastAsia="仿宋_GB2312"/>
                <w:sz w:val="24"/>
              </w:rPr>
              <w:t>（4）隆兴220kV变电站二次系统完善工程：新增电能质量在线监测装置，电气二次部分相关线缆及相关调试</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3、技术要求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1）供应商应按国家技术规范、标准、规程及采购人提出的设计要求，按合同规定的进度要求提交质量合格的成果资料，并对其负责。</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2）制作报政府相关部门进行设计审查的设计图纸，提供相关的工程用量参数，并负责有关解释和修改。</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3）对采购人的审核修改意见进行修改、完善，保证其设计意图的最终实现；</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4）根据项目进度要求及时提供各阶段报审图纸，协助采购人进行报审工作，根据审查结果在本合同约定的范围内。</w:t>
            </w:r>
          </w:p>
          <w:p>
            <w:pPr>
              <w:pStyle w:val="null3"/>
              <w:ind w:firstLine="480"/>
              <w:jc w:val="left"/>
            </w:pPr>
            <w:r>
              <w:rPr>
                <w:rFonts w:ascii="仿宋_GB2312" w:hAnsi="仿宋_GB2312" w:cs="仿宋_GB2312" w:eastAsia="仿宋_GB2312"/>
                <w:sz w:val="24"/>
              </w:rPr>
              <w:t>4、成果要求</w:t>
            </w:r>
          </w:p>
          <w:tbl>
            <w:tblPr>
              <w:tblBorders>
                <w:top w:val="none" w:color="000000" w:sz="4"/>
                <w:left w:val="none" w:color="000000" w:sz="4"/>
                <w:bottom w:val="none" w:color="000000" w:sz="4"/>
                <w:right w:val="none" w:color="000000" w:sz="4"/>
                <w:insideH w:val="none"/>
                <w:insideV w:val="none"/>
              </w:tblBorders>
            </w:tblPr>
            <w:tblGrid>
              <w:gridCol w:w="517"/>
              <w:gridCol w:w="1373"/>
              <w:gridCol w:w="442"/>
              <w:gridCol w:w="1467"/>
              <w:gridCol w:w="1778"/>
            </w:tblGrid>
            <w:tr>
              <w:tc>
                <w:tcPr>
                  <w:tcW w:type="dxa" w:w="51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37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资料及文件名称</w:t>
                  </w:r>
                </w:p>
              </w:tc>
              <w:tc>
                <w:tcPr>
                  <w:tcW w:type="dxa" w:w="44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份数</w:t>
                  </w:r>
                </w:p>
              </w:tc>
              <w:tc>
                <w:tcPr>
                  <w:tcW w:type="dxa" w:w="146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提交日期</w:t>
                  </w:r>
                </w:p>
              </w:tc>
              <w:tc>
                <w:tcPr>
                  <w:tcW w:type="dxa" w:w="177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5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初步设计文件</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4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按采购人任务委托书的进度安排</w:t>
                  </w:r>
                </w:p>
              </w:tc>
              <w:tc>
                <w:tcPr>
                  <w:tcW w:type="dxa" w:w="17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包括电子文件（</w:t>
                  </w:r>
                  <w:r>
                    <w:rPr>
                      <w:rFonts w:ascii="仿宋_GB2312" w:hAnsi="仿宋_GB2312" w:cs="仿宋_GB2312" w:eastAsia="仿宋_GB2312"/>
                      <w:sz w:val="24"/>
                    </w:rPr>
                    <w:t>CAD</w:t>
                  </w:r>
                  <w:r>
                    <w:rPr>
                      <w:rFonts w:ascii="仿宋_GB2312" w:hAnsi="仿宋_GB2312" w:cs="仿宋_GB2312" w:eastAsia="仿宋_GB2312"/>
                      <w:sz w:val="24"/>
                    </w:rPr>
                    <w:t>、</w:t>
                  </w:r>
                  <w:r>
                    <w:rPr>
                      <w:rFonts w:ascii="仿宋_GB2312" w:hAnsi="仿宋_GB2312" w:cs="仿宋_GB2312" w:eastAsia="仿宋_GB2312"/>
                      <w:sz w:val="24"/>
                    </w:rPr>
                    <w:t>WORD</w:t>
                  </w:r>
                  <w:r>
                    <w:rPr>
                      <w:rFonts w:ascii="仿宋_GB2312" w:hAnsi="仿宋_GB2312" w:cs="仿宋_GB2312" w:eastAsia="仿宋_GB2312"/>
                      <w:sz w:val="24"/>
                    </w:rPr>
                    <w:t>、</w:t>
                  </w:r>
                  <w:r>
                    <w:rPr>
                      <w:rFonts w:ascii="仿宋_GB2312" w:hAnsi="仿宋_GB2312" w:cs="仿宋_GB2312" w:eastAsia="仿宋_GB2312"/>
                      <w:sz w:val="24"/>
                    </w:rPr>
                    <w:t>EXCEL</w:t>
                  </w:r>
                  <w:r>
                    <w:rPr>
                      <w:rFonts w:ascii="仿宋_GB2312" w:hAnsi="仿宋_GB2312" w:cs="仿宋_GB2312" w:eastAsia="仿宋_GB2312"/>
                      <w:sz w:val="24"/>
                    </w:rPr>
                    <w:t>文档）</w:t>
                  </w:r>
                </w:p>
              </w:tc>
            </w:tr>
            <w:tr>
              <w:tc>
                <w:tcPr>
                  <w:tcW w:type="dxa" w:w="5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施工图设计文件</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4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按采购人的进度安排</w:t>
                  </w:r>
                </w:p>
              </w:tc>
              <w:tc>
                <w:tcPr>
                  <w:tcW w:type="dxa" w:w="17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包括电子文件（</w:t>
                  </w:r>
                  <w:r>
                    <w:rPr>
                      <w:rFonts w:ascii="仿宋_GB2312" w:hAnsi="仿宋_GB2312" w:cs="仿宋_GB2312" w:eastAsia="仿宋_GB2312"/>
                      <w:sz w:val="24"/>
                    </w:rPr>
                    <w:t>CAD</w:t>
                  </w:r>
                  <w:r>
                    <w:rPr>
                      <w:rFonts w:ascii="仿宋_GB2312" w:hAnsi="仿宋_GB2312" w:cs="仿宋_GB2312" w:eastAsia="仿宋_GB2312"/>
                      <w:sz w:val="24"/>
                    </w:rPr>
                    <w:t>、</w:t>
                  </w:r>
                  <w:r>
                    <w:rPr>
                      <w:rFonts w:ascii="仿宋_GB2312" w:hAnsi="仿宋_GB2312" w:cs="仿宋_GB2312" w:eastAsia="仿宋_GB2312"/>
                      <w:sz w:val="24"/>
                    </w:rPr>
                    <w:t>WORD</w:t>
                  </w:r>
                  <w:r>
                    <w:rPr>
                      <w:rFonts w:ascii="仿宋_GB2312" w:hAnsi="仿宋_GB2312" w:cs="仿宋_GB2312" w:eastAsia="仿宋_GB2312"/>
                      <w:sz w:val="24"/>
                    </w:rPr>
                    <w:t>、</w:t>
                  </w:r>
                  <w:r>
                    <w:rPr>
                      <w:rFonts w:ascii="仿宋_GB2312" w:hAnsi="仿宋_GB2312" w:cs="仿宋_GB2312" w:eastAsia="仿宋_GB2312"/>
                      <w:sz w:val="24"/>
                    </w:rPr>
                    <w:t>EXCEL</w:t>
                  </w:r>
                  <w:r>
                    <w:rPr>
                      <w:rFonts w:ascii="仿宋_GB2312" w:hAnsi="仿宋_GB2312" w:cs="仿宋_GB2312" w:eastAsia="仿宋_GB2312"/>
                      <w:sz w:val="24"/>
                    </w:rPr>
                    <w:t>文档）</w:t>
                  </w:r>
                </w:p>
              </w:tc>
            </w:tr>
          </w:tbl>
          <w:p>
            <w:pPr>
              <w:pStyle w:val="null3"/>
              <w:ind w:firstLine="482"/>
              <w:jc w:val="left"/>
            </w:pPr>
            <w:r>
              <w:rPr>
                <w:rFonts w:ascii="仿宋_GB2312" w:hAnsi="仿宋_GB2312" w:cs="仿宋_GB2312" w:eastAsia="仿宋_GB2312"/>
                <w:sz w:val="24"/>
                <w:b/>
              </w:rPr>
              <w:t>二、其他服务要求</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人员要求</w:t>
            </w:r>
          </w:p>
          <w:p>
            <w:pPr>
              <w:pStyle w:val="null3"/>
              <w:ind w:firstLine="480"/>
              <w:jc w:val="left"/>
            </w:pPr>
            <w:r>
              <w:rPr>
                <w:rFonts w:ascii="仿宋_GB2312" w:hAnsi="仿宋_GB2312" w:cs="仿宋_GB2312" w:eastAsia="仿宋_GB2312"/>
                <w:sz w:val="24"/>
              </w:rPr>
              <w:t>供应商需组建专业服务团队，</w:t>
            </w:r>
            <w:r>
              <w:rPr>
                <w:rFonts w:ascii="仿宋_GB2312" w:hAnsi="仿宋_GB2312" w:cs="仿宋_GB2312" w:eastAsia="仿宋_GB2312"/>
                <w:sz w:val="24"/>
              </w:rPr>
              <w:t>设置</w:t>
            </w:r>
            <w:r>
              <w:rPr>
                <w:rFonts w:ascii="仿宋_GB2312" w:hAnsi="仿宋_GB2312" w:cs="仿宋_GB2312" w:eastAsia="仿宋_GB2312"/>
                <w:sz w:val="24"/>
              </w:rPr>
              <w:t>项目负责人（设计负责人）</w:t>
            </w:r>
            <w:r>
              <w:rPr>
                <w:rFonts w:ascii="仿宋_GB2312" w:hAnsi="仿宋_GB2312" w:cs="仿宋_GB2312" w:eastAsia="仿宋_GB2312"/>
                <w:sz w:val="24"/>
              </w:rPr>
              <w:t>1名，具备</w:t>
            </w:r>
            <w:r>
              <w:rPr>
                <w:rFonts w:ascii="仿宋_GB2312" w:hAnsi="仿宋_GB2312" w:cs="仿宋_GB2312" w:eastAsia="仿宋_GB2312"/>
                <w:sz w:val="24"/>
              </w:rPr>
              <w:t>注册电气工程师（发输变电或供配电）资格</w:t>
            </w:r>
            <w:r>
              <w:rPr>
                <w:rFonts w:ascii="仿宋_GB2312" w:hAnsi="仿宋_GB2312" w:cs="仿宋_GB2312" w:eastAsia="仿宋_GB2312"/>
                <w:sz w:val="24"/>
              </w:rPr>
              <w:t>证书，其他专业技术人员按实际需要配置</w:t>
            </w:r>
            <w:r>
              <w:rPr>
                <w:rFonts w:ascii="仿宋_GB2312" w:hAnsi="仿宋_GB2312" w:cs="仿宋_GB2312" w:eastAsia="仿宋_GB2312"/>
                <w:sz w:val="24"/>
              </w:rPr>
              <w:t>。</w:t>
            </w:r>
            <w:r>
              <w:rPr>
                <w:rFonts w:ascii="仿宋_GB2312" w:hAnsi="仿宋_GB2312" w:cs="仿宋_GB2312" w:eastAsia="仿宋_GB2312"/>
                <w:sz w:val="24"/>
              </w:rPr>
              <w:t>（提供项目负责人相应资格证书复印</w:t>
            </w:r>
            <w:r>
              <w:rPr>
                <w:rFonts w:ascii="仿宋_GB2312" w:hAnsi="仿宋_GB2312" w:cs="仿宋_GB2312" w:eastAsia="仿宋_GB2312"/>
                <w:sz w:val="24"/>
              </w:rPr>
              <w:t>/扫描件和在职证明加盖供应商公章。）</w:t>
            </w:r>
          </w:p>
          <w:p>
            <w:pPr>
              <w:pStyle w:val="null3"/>
              <w:ind w:firstLine="480"/>
              <w:jc w:val="left"/>
            </w:pPr>
            <w:r>
              <w:rPr>
                <w:rFonts w:ascii="仿宋_GB2312" w:hAnsi="仿宋_GB2312" w:cs="仿宋_GB2312" w:eastAsia="仿宋_GB2312"/>
                <w:sz w:val="24"/>
              </w:rPr>
              <w:t>2、保密要求：供应商工作过程中必须严格按国家保密工作规程操作，以保障对整个工作成果及接触到的相关工作资料进行保密。</w:t>
            </w:r>
          </w:p>
          <w:p>
            <w:pPr>
              <w:pStyle w:val="null3"/>
              <w:ind w:firstLine="480"/>
              <w:jc w:val="left"/>
            </w:pPr>
            <w:r>
              <w:rPr>
                <w:rFonts w:ascii="仿宋_GB2312" w:hAnsi="仿宋_GB2312" w:cs="仿宋_GB2312" w:eastAsia="仿宋_GB2312"/>
                <w:sz w:val="24"/>
              </w:rPr>
              <w:t>3、安全要求：供应商应按安全规范规定做好项目实施过程中的一切安全工作，确保工作人员的安全，凡工作过程中发生的一切安全事故均由供应商负责。</w:t>
            </w:r>
          </w:p>
          <w:p>
            <w:pPr>
              <w:pStyle w:val="null3"/>
              <w:ind w:firstLine="480"/>
              <w:jc w:val="left"/>
            </w:pPr>
            <w:r>
              <w:rPr>
                <w:rFonts w:ascii="仿宋_GB2312" w:hAnsi="仿宋_GB2312" w:cs="仿宋_GB2312" w:eastAsia="仿宋_GB2312"/>
                <w:sz w:val="24"/>
                <w:b/>
              </w:rPr>
              <w:t>三、报价要求</w:t>
            </w:r>
          </w:p>
          <w:p>
            <w:pPr>
              <w:pStyle w:val="null3"/>
              <w:ind w:firstLine="480"/>
              <w:jc w:val="left"/>
            </w:pPr>
            <w:r>
              <w:rPr>
                <w:rFonts w:ascii="仿宋_GB2312" w:hAnsi="仿宋_GB2312" w:cs="仿宋_GB2312" w:eastAsia="仿宋_GB2312"/>
                <w:sz w:val="24"/>
              </w:rPr>
              <w:t>本项目预算金额50万元，供应商报价按国家建设部《工程勘察设计收费标准》（2002年修订版）收费标准进行折扣率报价。设计服务费最终以施工招标控制价（扣除暂列金额）为基数按收费标准和供应商折扣率据实计算，例如供应商报价折扣率为80%，则设计服务费＝按收费标准计算后×80%。最终结算金额不超过50万元。</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付款方式</w:t>
            </w:r>
          </w:p>
        </w:tc>
        <w:tc>
          <w:tcPr>
            <w:tcW w:type="dxa" w:w="5814"/>
          </w:tcPr>
          <w:p>
            <w:pPr>
              <w:pStyle w:val="null3"/>
              <w:jc w:val="left"/>
            </w:pPr>
            <w:r>
              <w:rPr>
                <w:rFonts w:ascii="仿宋_GB2312" w:hAnsi="仿宋_GB2312" w:cs="仿宋_GB2312" w:eastAsia="仿宋_GB2312"/>
              </w:rPr>
              <w:t>因系统格式限制，本项目付款方式以此为准：</w:t>
            </w:r>
          </w:p>
          <w:tbl>
            <w:tblPr>
              <w:tblBorders>
                <w:top w:val="none" w:color="000000" w:sz="4"/>
                <w:left w:val="none" w:color="000000" w:sz="4"/>
                <w:bottom w:val="none" w:color="000000" w:sz="4"/>
                <w:right w:val="none" w:color="000000" w:sz="4"/>
                <w:insideH w:val="none"/>
                <w:insideV w:val="none"/>
              </w:tblBorders>
            </w:tblPr>
            <w:tblGrid>
              <w:gridCol w:w="855"/>
              <w:gridCol w:w="1083"/>
              <w:gridCol w:w="1893"/>
              <w:gridCol w:w="1756"/>
            </w:tblGrid>
            <w:tr>
              <w:tc>
                <w:tcPr>
                  <w:tcW w:type="dxa" w:w="855"/>
                  <w:tcBorders>
                    <w:top w:val="single" w:color="000000" w:sz="4"/>
                    <w:left w:val="single" w:color="000000" w:sz="4"/>
                    <w:bottom w:val="single" w:color="000000" w:sz="4"/>
                    <w:right w:val="single" w:color="000000" w:sz="4"/>
                  </w:tcBorders>
                  <w:shd w:fill="FFFFFF"/>
                  <w:tcMar>
                    <w:top w:type="dxa" w:w="0"/>
                    <w:left w:type="dxa" w:w="45"/>
                    <w:bottom w:type="dxa" w:w="0"/>
                    <w:right w:type="dxa" w:w="45"/>
                  </w:tcMar>
                  <w:vAlign w:val="top"/>
                </w:tcPr>
                <w:p>
                  <w:pPr>
                    <w:pStyle w:val="null3"/>
                    <w:jc w:val="center"/>
                  </w:pPr>
                  <w:r>
                    <w:rPr>
                      <w:rFonts w:ascii="仿宋_GB2312" w:hAnsi="仿宋_GB2312" w:cs="仿宋_GB2312" w:eastAsia="仿宋_GB2312"/>
                      <w:sz w:val="24"/>
                    </w:rPr>
                    <w:t>付费次序</w:t>
                  </w:r>
                </w:p>
              </w:tc>
              <w:tc>
                <w:tcPr>
                  <w:tcW w:type="dxa" w:w="1083"/>
                  <w:tcBorders>
                    <w:top w:val="single" w:color="000000" w:sz="4"/>
                    <w:left w:val="none" w:color="000000" w:sz="4"/>
                    <w:bottom w:val="single" w:color="000000" w:sz="4"/>
                    <w:right w:val="single" w:color="000000" w:sz="4"/>
                  </w:tcBorders>
                  <w:shd w:fill="FFFFFF"/>
                  <w:tcMar>
                    <w:top w:type="dxa" w:w="0"/>
                    <w:left w:type="dxa" w:w="45"/>
                    <w:bottom w:type="dxa" w:w="0"/>
                    <w:right w:type="dxa" w:w="45"/>
                  </w:tcMar>
                  <w:vAlign w:val="top"/>
                </w:tcPr>
                <w:p>
                  <w:pPr>
                    <w:pStyle w:val="null3"/>
                    <w:jc w:val="center"/>
                  </w:pPr>
                  <w:r>
                    <w:rPr>
                      <w:rFonts w:ascii="仿宋_GB2312" w:hAnsi="仿宋_GB2312" w:cs="仿宋_GB2312" w:eastAsia="仿宋_GB2312"/>
                      <w:sz w:val="24"/>
                    </w:rPr>
                    <w:t>付费比例（占）</w:t>
                  </w:r>
                </w:p>
              </w:tc>
              <w:tc>
                <w:tcPr>
                  <w:tcW w:type="dxa" w:w="1893"/>
                  <w:tcBorders>
                    <w:top w:val="single" w:color="000000" w:sz="4"/>
                    <w:left w:val="none" w:color="000000" w:sz="4"/>
                    <w:bottom w:val="single" w:color="000000" w:sz="4"/>
                    <w:right w:val="single" w:color="000000" w:sz="4"/>
                  </w:tcBorders>
                  <w:shd w:fill="FFFFFF"/>
                  <w:tcMar>
                    <w:top w:type="dxa" w:w="0"/>
                    <w:left w:type="dxa" w:w="45"/>
                    <w:bottom w:type="dxa" w:w="0"/>
                    <w:right w:type="dxa" w:w="45"/>
                  </w:tcMar>
                  <w:vAlign w:val="top"/>
                </w:tcPr>
                <w:p>
                  <w:pPr>
                    <w:pStyle w:val="null3"/>
                    <w:jc w:val="center"/>
                  </w:pPr>
                  <w:r>
                    <w:rPr>
                      <w:rFonts w:ascii="仿宋_GB2312" w:hAnsi="仿宋_GB2312" w:cs="仿宋_GB2312" w:eastAsia="仿宋_GB2312"/>
                      <w:sz w:val="24"/>
                    </w:rPr>
                    <w:t>付费时间</w:t>
                  </w:r>
                </w:p>
              </w:tc>
              <w:tc>
                <w:tcPr>
                  <w:tcW w:type="dxa" w:w="1756"/>
                  <w:tcBorders>
                    <w:top w:val="single" w:color="000000" w:sz="4"/>
                    <w:left w:val="none" w:color="000000" w:sz="4"/>
                    <w:bottom w:val="single" w:color="000000" w:sz="4"/>
                    <w:right w:val="single" w:color="000000" w:sz="4"/>
                  </w:tcBorders>
                  <w:shd w:fill="FFFFFF"/>
                  <w:tcMar>
                    <w:top w:type="dxa" w:w="0"/>
                    <w:left w:type="dxa" w:w="45"/>
                    <w:bottom w:type="dxa" w:w="0"/>
                    <w:right w:type="dxa" w:w="45"/>
                  </w:tcMar>
                  <w:vAlign w:val="top"/>
                </w:tcPr>
                <w:p>
                  <w:pPr>
                    <w:pStyle w:val="null3"/>
                    <w:jc w:val="center"/>
                  </w:pPr>
                  <w:r>
                    <w:rPr>
                      <w:rFonts w:ascii="仿宋_GB2312" w:hAnsi="仿宋_GB2312" w:cs="仿宋_GB2312" w:eastAsia="仿宋_GB2312"/>
                      <w:sz w:val="24"/>
                    </w:rPr>
                    <w:t>备注</w:t>
                  </w:r>
                </w:p>
              </w:tc>
            </w:tr>
            <w:tr>
              <w:tc>
                <w:tcPr>
                  <w:tcW w:type="dxa" w:w="855"/>
                  <w:tcBorders>
                    <w:top w:val="none" w:color="000000" w:sz="4"/>
                    <w:left w:val="single" w:color="000000" w:sz="4"/>
                    <w:bottom w:val="single" w:color="000000" w:sz="4"/>
                    <w:right w:val="single" w:color="000000" w:sz="4"/>
                  </w:tcBorders>
                  <w:shd w:fill="FFFFFF"/>
                  <w:tcMar>
                    <w:top w:type="dxa" w:w="0"/>
                    <w:left w:type="dxa" w:w="45"/>
                    <w:bottom w:type="dxa" w:w="0"/>
                    <w:right w:type="dxa" w:w="45"/>
                  </w:tcMar>
                  <w:vAlign w:val="top"/>
                </w:tcPr>
                <w:p>
                  <w:pPr>
                    <w:pStyle w:val="null3"/>
                    <w:jc w:val="center"/>
                  </w:pPr>
                  <w:r>
                    <w:rPr>
                      <w:rFonts w:ascii="仿宋_GB2312" w:hAnsi="仿宋_GB2312" w:cs="仿宋_GB2312" w:eastAsia="仿宋_GB2312"/>
                      <w:sz w:val="24"/>
                    </w:rPr>
                    <w:t>第一次付费</w:t>
                  </w:r>
                </w:p>
              </w:tc>
              <w:tc>
                <w:tcPr>
                  <w:tcW w:type="dxa" w:w="1083"/>
                  <w:tcBorders>
                    <w:top w:val="none" w:color="000000" w:sz="4"/>
                    <w:left w:val="none" w:color="000000" w:sz="4"/>
                    <w:bottom w:val="single" w:color="000000" w:sz="4"/>
                    <w:right w:val="single" w:color="000000" w:sz="4"/>
                  </w:tcBorders>
                  <w:shd w:fill="FFFFFF"/>
                  <w:tcMar>
                    <w:top w:type="dxa" w:w="0"/>
                    <w:left w:type="dxa" w:w="45"/>
                    <w:bottom w:type="dxa" w:w="0"/>
                    <w:right w:type="dxa" w:w="45"/>
                  </w:tcMar>
                  <w:vAlign w:val="top"/>
                </w:tcPr>
                <w:p>
                  <w:pPr>
                    <w:pStyle w:val="null3"/>
                    <w:jc w:val="center"/>
                  </w:pPr>
                  <w:r>
                    <w:rPr>
                      <w:rFonts w:ascii="仿宋_GB2312" w:hAnsi="仿宋_GB2312" w:cs="仿宋_GB2312" w:eastAsia="仿宋_GB2312"/>
                      <w:sz w:val="24"/>
                    </w:rPr>
                    <w:t>付至</w:t>
                  </w:r>
                  <w:r>
                    <w:rPr>
                      <w:rFonts w:ascii="仿宋_GB2312" w:hAnsi="仿宋_GB2312" w:cs="仿宋_GB2312" w:eastAsia="仿宋_GB2312"/>
                      <w:sz w:val="24"/>
                    </w:rPr>
                    <w:t>40%</w:t>
                  </w:r>
                </w:p>
              </w:tc>
              <w:tc>
                <w:tcPr>
                  <w:tcW w:type="dxa" w:w="1893"/>
                  <w:tcBorders>
                    <w:top w:val="none" w:color="000000" w:sz="4"/>
                    <w:left w:val="none" w:color="000000" w:sz="4"/>
                    <w:bottom w:val="single" w:color="000000" w:sz="4"/>
                    <w:right w:val="single" w:color="000000" w:sz="4"/>
                  </w:tcBorders>
                  <w:shd w:fill="FFFFFF"/>
                  <w:tcMar>
                    <w:top w:type="dxa" w:w="0"/>
                    <w:left w:type="dxa" w:w="45"/>
                    <w:bottom w:type="dxa" w:w="0"/>
                    <w:right w:type="dxa" w:w="45"/>
                  </w:tcMar>
                  <w:vAlign w:val="top"/>
                </w:tcPr>
                <w:p>
                  <w:pPr>
                    <w:pStyle w:val="null3"/>
                    <w:jc w:val="center"/>
                  </w:pPr>
                  <w:r>
                    <w:rPr>
                      <w:rFonts w:ascii="仿宋_GB2312" w:hAnsi="仿宋_GB2312" w:cs="仿宋_GB2312" w:eastAsia="仿宋_GB2312"/>
                      <w:sz w:val="24"/>
                    </w:rPr>
                    <w:t>合同签订后</w:t>
                  </w:r>
                  <w:r>
                    <w:rPr>
                      <w:rFonts w:ascii="仿宋_GB2312" w:hAnsi="仿宋_GB2312" w:cs="仿宋_GB2312" w:eastAsia="仿宋_GB2312"/>
                      <w:sz w:val="24"/>
                    </w:rPr>
                    <w:t>30个工作日内</w:t>
                  </w:r>
                </w:p>
              </w:tc>
              <w:tc>
                <w:tcPr>
                  <w:tcW w:type="dxa" w:w="1756"/>
                  <w:tcBorders>
                    <w:top w:val="none" w:color="000000" w:sz="4"/>
                    <w:left w:val="none" w:color="000000" w:sz="4"/>
                    <w:bottom w:val="single" w:color="000000" w:sz="4"/>
                    <w:right w:val="single" w:color="000000" w:sz="4"/>
                  </w:tcBorders>
                  <w:shd w:fill="FFFFFF"/>
                  <w:tcMar>
                    <w:top w:type="dxa" w:w="0"/>
                    <w:left w:type="dxa" w:w="45"/>
                    <w:bottom w:type="dxa" w:w="0"/>
                    <w:right w:type="dxa" w:w="45"/>
                  </w:tcMar>
                  <w:vAlign w:val="top"/>
                </w:tcPr>
                <w:p>
                  <w:pPr>
                    <w:pStyle w:val="null3"/>
                    <w:jc w:val="center"/>
                  </w:pPr>
                  <w:r>
                    <w:rPr>
                      <w:rFonts w:ascii="仿宋_GB2312" w:hAnsi="仿宋_GB2312" w:cs="仿宋_GB2312" w:eastAsia="仿宋_GB2312"/>
                      <w:sz w:val="24"/>
                    </w:rPr>
                    <w:t>以签订合同设计暂定价为计费依据</w:t>
                  </w:r>
                </w:p>
              </w:tc>
            </w:tr>
            <w:tr>
              <w:tc>
                <w:tcPr>
                  <w:tcW w:type="dxa" w:w="855"/>
                  <w:tcBorders>
                    <w:top w:val="none" w:color="000000" w:sz="4"/>
                    <w:left w:val="single" w:color="000000" w:sz="4"/>
                    <w:bottom w:val="single" w:color="000000" w:sz="4"/>
                    <w:right w:val="single" w:color="000000" w:sz="4"/>
                  </w:tcBorders>
                  <w:shd w:fill="FFFFFF"/>
                  <w:tcMar>
                    <w:top w:type="dxa" w:w="0"/>
                    <w:left w:type="dxa" w:w="45"/>
                    <w:bottom w:type="dxa" w:w="0"/>
                    <w:right w:type="dxa" w:w="45"/>
                  </w:tcMar>
                  <w:vAlign w:val="top"/>
                </w:tcPr>
                <w:p>
                  <w:pPr>
                    <w:pStyle w:val="null3"/>
                    <w:jc w:val="center"/>
                  </w:pPr>
                  <w:r>
                    <w:rPr>
                      <w:rFonts w:ascii="仿宋_GB2312" w:hAnsi="仿宋_GB2312" w:cs="仿宋_GB2312" w:eastAsia="仿宋_GB2312"/>
                      <w:sz w:val="24"/>
                    </w:rPr>
                    <w:t>第二次付费</w:t>
                  </w:r>
                </w:p>
              </w:tc>
              <w:tc>
                <w:tcPr>
                  <w:tcW w:type="dxa" w:w="1083"/>
                  <w:tcBorders>
                    <w:top w:val="none" w:color="000000" w:sz="4"/>
                    <w:left w:val="none" w:color="000000" w:sz="4"/>
                    <w:bottom w:val="single" w:color="000000" w:sz="4"/>
                    <w:right w:val="single" w:color="000000" w:sz="4"/>
                  </w:tcBorders>
                  <w:shd w:fill="FFFFFF"/>
                  <w:tcMar>
                    <w:top w:type="dxa" w:w="0"/>
                    <w:left w:type="dxa" w:w="45"/>
                    <w:bottom w:type="dxa" w:w="0"/>
                    <w:right w:type="dxa" w:w="45"/>
                  </w:tcMar>
                  <w:vAlign w:val="top"/>
                </w:tcPr>
                <w:p>
                  <w:pPr>
                    <w:pStyle w:val="null3"/>
                    <w:jc w:val="center"/>
                  </w:pPr>
                  <w:r>
                    <w:rPr>
                      <w:rFonts w:ascii="仿宋_GB2312" w:hAnsi="仿宋_GB2312" w:cs="仿宋_GB2312" w:eastAsia="仿宋_GB2312"/>
                      <w:sz w:val="24"/>
                    </w:rPr>
                    <w:t>付至</w:t>
                  </w:r>
                  <w:r>
                    <w:rPr>
                      <w:rFonts w:ascii="仿宋_GB2312" w:hAnsi="仿宋_GB2312" w:cs="仿宋_GB2312" w:eastAsia="仿宋_GB2312"/>
                      <w:sz w:val="24"/>
                    </w:rPr>
                    <w:t>70%</w:t>
                  </w:r>
                </w:p>
              </w:tc>
              <w:tc>
                <w:tcPr>
                  <w:tcW w:type="dxa" w:w="1893"/>
                  <w:tcBorders>
                    <w:top w:val="none" w:color="000000" w:sz="4"/>
                    <w:left w:val="none" w:color="000000" w:sz="4"/>
                    <w:bottom w:val="single" w:color="000000" w:sz="4"/>
                    <w:right w:val="single" w:color="000000" w:sz="4"/>
                  </w:tcBorders>
                  <w:shd w:fill="FFFFFF"/>
                  <w:tcMar>
                    <w:top w:type="dxa" w:w="0"/>
                    <w:left w:type="dxa" w:w="45"/>
                    <w:bottom w:type="dxa" w:w="0"/>
                    <w:right w:type="dxa" w:w="45"/>
                  </w:tcMar>
                  <w:vAlign w:val="top"/>
                </w:tcPr>
                <w:p>
                  <w:pPr>
                    <w:pStyle w:val="null3"/>
                    <w:jc w:val="center"/>
                  </w:pPr>
                  <w:r>
                    <w:rPr>
                      <w:rFonts w:ascii="仿宋_GB2312" w:hAnsi="仿宋_GB2312" w:cs="仿宋_GB2312" w:eastAsia="仿宋_GB2312"/>
                      <w:sz w:val="24"/>
                    </w:rPr>
                    <w:t>全部初步设计完成，并通过图纸审查单位审批合格后</w:t>
                  </w:r>
                  <w:r>
                    <w:rPr>
                      <w:rFonts w:ascii="仿宋_GB2312" w:hAnsi="仿宋_GB2312" w:cs="仿宋_GB2312" w:eastAsia="仿宋_GB2312"/>
                      <w:sz w:val="24"/>
                    </w:rPr>
                    <w:t>30个工作日内</w:t>
                  </w:r>
                </w:p>
              </w:tc>
              <w:tc>
                <w:tcPr>
                  <w:tcW w:type="dxa" w:w="1756"/>
                  <w:tcBorders>
                    <w:top w:val="none" w:color="000000" w:sz="4"/>
                    <w:left w:val="none" w:color="000000" w:sz="4"/>
                    <w:bottom w:val="single" w:color="000000" w:sz="4"/>
                    <w:right w:val="single" w:color="000000" w:sz="4"/>
                  </w:tcBorders>
                  <w:shd w:fill="FFFFFF"/>
                  <w:tcMar>
                    <w:top w:type="dxa" w:w="0"/>
                    <w:left w:type="dxa" w:w="45"/>
                    <w:bottom w:type="dxa" w:w="0"/>
                    <w:right w:type="dxa" w:w="45"/>
                  </w:tcMar>
                  <w:vAlign w:val="top"/>
                </w:tcPr>
                <w:p>
                  <w:pPr>
                    <w:pStyle w:val="null3"/>
                    <w:jc w:val="center"/>
                  </w:pPr>
                  <w:r>
                    <w:rPr>
                      <w:rFonts w:ascii="仿宋_GB2312" w:hAnsi="仿宋_GB2312" w:cs="仿宋_GB2312" w:eastAsia="仿宋_GB2312"/>
                      <w:sz w:val="24"/>
                    </w:rPr>
                    <w:t>以签订合同设计暂定价为计费依据</w:t>
                  </w:r>
                </w:p>
              </w:tc>
            </w:tr>
            <w:tr>
              <w:tc>
                <w:tcPr>
                  <w:tcW w:type="dxa" w:w="855"/>
                  <w:tcBorders>
                    <w:top w:val="none" w:color="000000" w:sz="4"/>
                    <w:left w:val="single" w:color="000000" w:sz="4"/>
                    <w:bottom w:val="single" w:color="000000" w:sz="4"/>
                    <w:right w:val="single" w:color="000000" w:sz="4"/>
                  </w:tcBorders>
                  <w:shd w:fill="FFFFFF"/>
                  <w:tcMar>
                    <w:top w:type="dxa" w:w="0"/>
                    <w:left w:type="dxa" w:w="45"/>
                    <w:bottom w:type="dxa" w:w="0"/>
                    <w:right w:type="dxa" w:w="45"/>
                  </w:tcMar>
                  <w:vAlign w:val="top"/>
                </w:tcPr>
                <w:p>
                  <w:pPr>
                    <w:pStyle w:val="null3"/>
                    <w:jc w:val="center"/>
                  </w:pPr>
                  <w:r>
                    <w:rPr>
                      <w:rFonts w:ascii="仿宋_GB2312" w:hAnsi="仿宋_GB2312" w:cs="仿宋_GB2312" w:eastAsia="仿宋_GB2312"/>
                      <w:sz w:val="24"/>
                    </w:rPr>
                    <w:t>第三次付费</w:t>
                  </w:r>
                </w:p>
              </w:tc>
              <w:tc>
                <w:tcPr>
                  <w:tcW w:type="dxa" w:w="1083"/>
                  <w:tcBorders>
                    <w:top w:val="none" w:color="000000" w:sz="4"/>
                    <w:left w:val="none" w:color="000000" w:sz="4"/>
                    <w:bottom w:val="single" w:color="000000" w:sz="4"/>
                    <w:right w:val="single" w:color="000000" w:sz="4"/>
                  </w:tcBorders>
                  <w:shd w:fill="FFFFFF"/>
                  <w:tcMar>
                    <w:top w:type="dxa" w:w="0"/>
                    <w:left w:type="dxa" w:w="45"/>
                    <w:bottom w:type="dxa" w:w="0"/>
                    <w:right w:type="dxa" w:w="45"/>
                  </w:tcMar>
                  <w:vAlign w:val="top"/>
                </w:tcPr>
                <w:p>
                  <w:pPr>
                    <w:pStyle w:val="null3"/>
                    <w:jc w:val="center"/>
                  </w:pPr>
                  <w:r>
                    <w:rPr>
                      <w:rFonts w:ascii="仿宋_GB2312" w:hAnsi="仿宋_GB2312" w:cs="仿宋_GB2312" w:eastAsia="仿宋_GB2312"/>
                      <w:sz w:val="24"/>
                    </w:rPr>
                    <w:t>付至</w:t>
                  </w:r>
                  <w:r>
                    <w:rPr>
                      <w:rFonts w:ascii="仿宋_GB2312" w:hAnsi="仿宋_GB2312" w:cs="仿宋_GB2312" w:eastAsia="仿宋_GB2312"/>
                      <w:sz w:val="24"/>
                    </w:rPr>
                    <w:t>85%</w:t>
                  </w:r>
                </w:p>
              </w:tc>
              <w:tc>
                <w:tcPr>
                  <w:tcW w:type="dxa" w:w="1893"/>
                  <w:tcBorders>
                    <w:top w:val="none" w:color="000000" w:sz="4"/>
                    <w:left w:val="none" w:color="000000" w:sz="4"/>
                    <w:bottom w:val="single" w:color="000000" w:sz="4"/>
                    <w:right w:val="single" w:color="000000" w:sz="4"/>
                  </w:tcBorders>
                  <w:shd w:fill="FFFFFF"/>
                  <w:tcMar>
                    <w:top w:type="dxa" w:w="0"/>
                    <w:left w:type="dxa" w:w="45"/>
                    <w:bottom w:type="dxa" w:w="0"/>
                    <w:right w:type="dxa" w:w="45"/>
                  </w:tcMar>
                  <w:vAlign w:val="top"/>
                </w:tcPr>
                <w:p>
                  <w:pPr>
                    <w:pStyle w:val="null3"/>
                    <w:jc w:val="center"/>
                  </w:pPr>
                  <w:r>
                    <w:rPr>
                      <w:rFonts w:ascii="仿宋_GB2312" w:hAnsi="仿宋_GB2312" w:cs="仿宋_GB2312" w:eastAsia="仿宋_GB2312"/>
                      <w:sz w:val="24"/>
                    </w:rPr>
                    <w:t>全部施工图完成，</w:t>
                  </w:r>
                  <w:r>
                    <w:rPr>
                      <w:rFonts w:ascii="仿宋_GB2312" w:hAnsi="仿宋_GB2312" w:cs="仿宋_GB2312" w:eastAsia="仿宋_GB2312"/>
                      <w:sz w:val="24"/>
                    </w:rPr>
                    <w:t>30个工作日内支付</w:t>
                  </w:r>
                </w:p>
              </w:tc>
              <w:tc>
                <w:tcPr>
                  <w:tcW w:type="dxa" w:w="1756"/>
                  <w:tcBorders>
                    <w:top w:val="none" w:color="000000" w:sz="4"/>
                    <w:left w:val="none" w:color="000000" w:sz="4"/>
                    <w:bottom w:val="single" w:color="000000" w:sz="4"/>
                    <w:right w:val="single" w:color="000000" w:sz="4"/>
                  </w:tcBorders>
                  <w:shd w:fill="FFFFFF"/>
                  <w:tcMar>
                    <w:top w:type="dxa" w:w="0"/>
                    <w:left w:type="dxa" w:w="45"/>
                    <w:bottom w:type="dxa" w:w="0"/>
                    <w:right w:type="dxa" w:w="45"/>
                  </w:tcMar>
                  <w:vAlign w:val="top"/>
                </w:tcPr>
                <w:p>
                  <w:pPr>
                    <w:pStyle w:val="null3"/>
                    <w:jc w:val="center"/>
                  </w:pPr>
                  <w:r>
                    <w:rPr>
                      <w:rFonts w:ascii="仿宋_GB2312" w:hAnsi="仿宋_GB2312" w:cs="仿宋_GB2312" w:eastAsia="仿宋_GB2312"/>
                      <w:sz w:val="24"/>
                    </w:rPr>
                    <w:t>以施工招标控制价（扣除暂列金额）为基数按实计算</w:t>
                  </w:r>
                </w:p>
              </w:tc>
            </w:tr>
            <w:tr>
              <w:tc>
                <w:tcPr>
                  <w:tcW w:type="dxa" w:w="855"/>
                  <w:tcBorders>
                    <w:top w:val="none" w:color="000000" w:sz="4"/>
                    <w:left w:val="single" w:color="000000" w:sz="4"/>
                    <w:bottom w:val="single" w:color="000000" w:sz="4"/>
                    <w:right w:val="single" w:color="000000" w:sz="4"/>
                  </w:tcBorders>
                  <w:shd w:fill="FFFFFF"/>
                  <w:tcMar>
                    <w:top w:type="dxa" w:w="0"/>
                    <w:left w:type="dxa" w:w="45"/>
                    <w:bottom w:type="dxa" w:w="0"/>
                    <w:right w:type="dxa" w:w="45"/>
                  </w:tcMar>
                  <w:vAlign w:val="top"/>
                </w:tcPr>
                <w:p>
                  <w:pPr>
                    <w:pStyle w:val="null3"/>
                    <w:jc w:val="center"/>
                  </w:pPr>
                  <w:r>
                    <w:rPr>
                      <w:rFonts w:ascii="仿宋_GB2312" w:hAnsi="仿宋_GB2312" w:cs="仿宋_GB2312" w:eastAsia="仿宋_GB2312"/>
                      <w:sz w:val="24"/>
                    </w:rPr>
                    <w:t>第四次付费</w:t>
                  </w:r>
                </w:p>
              </w:tc>
              <w:tc>
                <w:tcPr>
                  <w:tcW w:type="dxa" w:w="1083"/>
                  <w:tcBorders>
                    <w:top w:val="none" w:color="000000" w:sz="4"/>
                    <w:left w:val="none" w:color="000000" w:sz="4"/>
                    <w:bottom w:val="single" w:color="000000" w:sz="4"/>
                    <w:right w:val="single" w:color="000000" w:sz="4"/>
                  </w:tcBorders>
                  <w:shd w:fill="FFFFFF"/>
                  <w:tcMar>
                    <w:top w:type="dxa" w:w="0"/>
                    <w:left w:type="dxa" w:w="45"/>
                    <w:bottom w:type="dxa" w:w="0"/>
                    <w:right w:type="dxa" w:w="45"/>
                  </w:tcMar>
                  <w:vAlign w:val="top"/>
                </w:tcPr>
                <w:p>
                  <w:pPr>
                    <w:pStyle w:val="null3"/>
                    <w:jc w:val="center"/>
                  </w:pPr>
                  <w:r>
                    <w:rPr>
                      <w:rFonts w:ascii="仿宋_GB2312" w:hAnsi="仿宋_GB2312" w:cs="仿宋_GB2312" w:eastAsia="仿宋_GB2312"/>
                      <w:sz w:val="24"/>
                    </w:rPr>
                    <w:t>付至</w:t>
                  </w:r>
                  <w:r>
                    <w:rPr>
                      <w:rFonts w:ascii="仿宋_GB2312" w:hAnsi="仿宋_GB2312" w:cs="仿宋_GB2312" w:eastAsia="仿宋_GB2312"/>
                      <w:sz w:val="24"/>
                    </w:rPr>
                    <w:t>95%</w:t>
                  </w:r>
                </w:p>
              </w:tc>
              <w:tc>
                <w:tcPr>
                  <w:tcW w:type="dxa" w:w="1893"/>
                  <w:tcBorders>
                    <w:top w:val="none" w:color="000000" w:sz="4"/>
                    <w:left w:val="none" w:color="000000" w:sz="4"/>
                    <w:bottom w:val="single" w:color="000000" w:sz="4"/>
                    <w:right w:val="single" w:color="000000" w:sz="4"/>
                  </w:tcBorders>
                  <w:shd w:fill="FFFFFF"/>
                  <w:tcMar>
                    <w:top w:type="dxa" w:w="0"/>
                    <w:left w:type="dxa" w:w="45"/>
                    <w:bottom w:type="dxa" w:w="0"/>
                    <w:right w:type="dxa" w:w="45"/>
                  </w:tcMar>
                  <w:vAlign w:val="top"/>
                </w:tcPr>
                <w:p>
                  <w:pPr>
                    <w:pStyle w:val="null3"/>
                    <w:jc w:val="center"/>
                  </w:pPr>
                  <w:r>
                    <w:rPr>
                      <w:rFonts w:ascii="仿宋_GB2312" w:hAnsi="仿宋_GB2312" w:cs="仿宋_GB2312" w:eastAsia="仿宋_GB2312"/>
                      <w:sz w:val="24"/>
                    </w:rPr>
                    <w:t>工程竣工验收报告出具后</w:t>
                  </w:r>
                  <w:r>
                    <w:rPr>
                      <w:rFonts w:ascii="仿宋_GB2312" w:hAnsi="仿宋_GB2312" w:cs="仿宋_GB2312" w:eastAsia="仿宋_GB2312"/>
                      <w:sz w:val="24"/>
                    </w:rPr>
                    <w:t>30个工作日内</w:t>
                  </w:r>
                </w:p>
              </w:tc>
              <w:tc>
                <w:tcPr>
                  <w:tcW w:type="dxa" w:w="1756"/>
                  <w:tcBorders>
                    <w:top w:val="none" w:color="000000" w:sz="4"/>
                    <w:left w:val="none" w:color="000000" w:sz="4"/>
                    <w:bottom w:val="single" w:color="000000" w:sz="4"/>
                    <w:right w:val="single" w:color="000000" w:sz="4"/>
                  </w:tcBorders>
                  <w:shd w:fill="FFFFFF"/>
                  <w:tcMar>
                    <w:top w:type="dxa" w:w="0"/>
                    <w:left w:type="dxa" w:w="45"/>
                    <w:bottom w:type="dxa" w:w="0"/>
                    <w:right w:type="dxa" w:w="45"/>
                  </w:tcMar>
                  <w:vAlign w:val="top"/>
                </w:tcPr>
                <w:p>
                  <w:pPr>
                    <w:pStyle w:val="null3"/>
                    <w:jc w:val="center"/>
                  </w:pPr>
                  <w:r>
                    <w:rPr>
                      <w:rFonts w:ascii="仿宋_GB2312" w:hAnsi="仿宋_GB2312" w:cs="仿宋_GB2312" w:eastAsia="仿宋_GB2312"/>
                      <w:sz w:val="24"/>
                    </w:rPr>
                    <w:t>以施工招标控制价（扣除暂列金额）为基数按实计算</w:t>
                  </w:r>
                </w:p>
              </w:tc>
            </w:tr>
            <w:tr>
              <w:tc>
                <w:tcPr>
                  <w:tcW w:type="dxa" w:w="855"/>
                  <w:tcBorders>
                    <w:top w:val="none" w:color="000000" w:sz="4"/>
                    <w:left w:val="single" w:color="000000" w:sz="4"/>
                    <w:bottom w:val="single" w:color="000000" w:sz="4"/>
                    <w:right w:val="single" w:color="000000" w:sz="4"/>
                  </w:tcBorders>
                  <w:shd w:fill="FFFFFF"/>
                  <w:tcMar>
                    <w:top w:type="dxa" w:w="0"/>
                    <w:left w:type="dxa" w:w="45"/>
                    <w:bottom w:type="dxa" w:w="0"/>
                    <w:right w:type="dxa" w:w="45"/>
                  </w:tcMar>
                  <w:vAlign w:val="top"/>
                </w:tcPr>
                <w:p>
                  <w:pPr>
                    <w:pStyle w:val="null3"/>
                    <w:jc w:val="center"/>
                  </w:pPr>
                  <w:r>
                    <w:rPr>
                      <w:rFonts w:ascii="仿宋_GB2312" w:hAnsi="仿宋_GB2312" w:cs="仿宋_GB2312" w:eastAsia="仿宋_GB2312"/>
                      <w:sz w:val="24"/>
                    </w:rPr>
                    <w:t>第五次付费</w:t>
                  </w:r>
                </w:p>
              </w:tc>
              <w:tc>
                <w:tcPr>
                  <w:tcW w:type="dxa" w:w="1083"/>
                  <w:tcBorders>
                    <w:top w:val="none" w:color="000000" w:sz="4"/>
                    <w:left w:val="none" w:color="000000" w:sz="4"/>
                    <w:bottom w:val="single" w:color="000000" w:sz="4"/>
                    <w:right w:val="single" w:color="000000" w:sz="4"/>
                  </w:tcBorders>
                  <w:shd w:fill="FFFFFF"/>
                  <w:tcMar>
                    <w:top w:type="dxa" w:w="0"/>
                    <w:left w:type="dxa" w:w="45"/>
                    <w:bottom w:type="dxa" w:w="0"/>
                    <w:right w:type="dxa" w:w="45"/>
                  </w:tcMar>
                  <w:vAlign w:val="top"/>
                </w:tcPr>
                <w:p>
                  <w:pPr>
                    <w:pStyle w:val="null3"/>
                    <w:jc w:val="center"/>
                  </w:pPr>
                  <w:r>
                    <w:rPr>
                      <w:rFonts w:ascii="仿宋_GB2312" w:hAnsi="仿宋_GB2312" w:cs="仿宋_GB2312" w:eastAsia="仿宋_GB2312"/>
                      <w:sz w:val="24"/>
                    </w:rPr>
                    <w:t>付至</w:t>
                  </w:r>
                  <w:r>
                    <w:rPr>
                      <w:rFonts w:ascii="仿宋_GB2312" w:hAnsi="仿宋_GB2312" w:cs="仿宋_GB2312" w:eastAsia="仿宋_GB2312"/>
                      <w:sz w:val="24"/>
                    </w:rPr>
                    <w:t>100%</w:t>
                  </w:r>
                </w:p>
              </w:tc>
              <w:tc>
                <w:tcPr>
                  <w:tcW w:type="dxa" w:w="1893"/>
                  <w:tcBorders>
                    <w:top w:val="none" w:color="000000" w:sz="4"/>
                    <w:left w:val="none" w:color="000000" w:sz="4"/>
                    <w:bottom w:val="single" w:color="000000" w:sz="4"/>
                    <w:right w:val="single" w:color="000000" w:sz="4"/>
                  </w:tcBorders>
                  <w:shd w:fill="FFFFFF"/>
                  <w:tcMar>
                    <w:top w:type="dxa" w:w="0"/>
                    <w:left w:type="dxa" w:w="45"/>
                    <w:bottom w:type="dxa" w:w="0"/>
                    <w:right w:type="dxa" w:w="45"/>
                  </w:tcMar>
                  <w:vAlign w:val="top"/>
                </w:tcPr>
                <w:p>
                  <w:pPr>
                    <w:pStyle w:val="null3"/>
                    <w:jc w:val="center"/>
                  </w:pPr>
                  <w:r>
                    <w:rPr>
                      <w:rFonts w:ascii="仿宋_GB2312" w:hAnsi="仿宋_GB2312" w:cs="仿宋_GB2312" w:eastAsia="仿宋_GB2312"/>
                      <w:sz w:val="24"/>
                    </w:rPr>
                    <w:t>完成竣工图审核、工程竣工结算审核并出具报告后</w:t>
                  </w:r>
                  <w:r>
                    <w:rPr>
                      <w:rFonts w:ascii="仿宋_GB2312" w:hAnsi="仿宋_GB2312" w:cs="仿宋_GB2312" w:eastAsia="仿宋_GB2312"/>
                      <w:sz w:val="24"/>
                    </w:rPr>
                    <w:t>30个工作日内</w:t>
                  </w:r>
                </w:p>
              </w:tc>
              <w:tc>
                <w:tcPr>
                  <w:tcW w:type="dxa" w:w="1756"/>
                  <w:tcBorders>
                    <w:top w:val="none" w:color="000000" w:sz="4"/>
                    <w:left w:val="none" w:color="000000" w:sz="4"/>
                    <w:bottom w:val="single" w:color="000000" w:sz="4"/>
                    <w:right w:val="single" w:color="000000" w:sz="4"/>
                  </w:tcBorders>
                  <w:shd w:fill="FFFFFF"/>
                  <w:tcMar>
                    <w:top w:type="dxa" w:w="0"/>
                    <w:left w:type="dxa" w:w="45"/>
                    <w:bottom w:type="dxa" w:w="0"/>
                    <w:right w:type="dxa" w:w="45"/>
                  </w:tcMar>
                  <w:vAlign w:val="top"/>
                </w:tcPr>
                <w:p>
                  <w:pPr>
                    <w:pStyle w:val="null3"/>
                    <w:jc w:val="center"/>
                  </w:pPr>
                  <w:r>
                    <w:rPr>
                      <w:rFonts w:ascii="仿宋_GB2312" w:hAnsi="仿宋_GB2312" w:cs="仿宋_GB2312" w:eastAsia="仿宋_GB2312"/>
                      <w:sz w:val="24"/>
                    </w:rPr>
                    <w:t>以施工招标控制价（扣除暂列金额）为基数按实计算</w:t>
                  </w:r>
                </w:p>
              </w:tc>
            </w:tr>
          </w:tbl>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sz w:val="24"/>
              </w:rPr>
              <w:t>1、供应商应根据本项目采购需求，结合自身情况，制定项目服务方案，包括项目实施方案（内容包含：①工作目标及计划；②设计重点难点分析及解决方案；③设计机构设置和岗位职责；④设计工作实施方案及设计构思（包含设计依据、设计范围、设计思路）；⑤工作规划描述（包含工作整体进度安排、进度保证措施）；⑥服务质量保障方案；⑦保密制度；⑧资料移交和档案管理方案）和后续服务方案（内容包含：①设计交底方案、②处理有关设计问题方案、③参加竣工验收方案、④派驻人员方案。）</w:t>
            </w:r>
          </w:p>
          <w:p>
            <w:pPr>
              <w:pStyle w:val="null3"/>
              <w:jc w:val="left"/>
            </w:pPr>
            <w:r>
              <w:rPr>
                <w:rFonts w:ascii="仿宋_GB2312" w:hAnsi="仿宋_GB2312" w:cs="仿宋_GB2312" w:eastAsia="仿宋_GB2312"/>
                <w:sz w:val="24"/>
              </w:rPr>
              <w:t>2.供应商应具有类似项目履约经验。</w:t>
            </w:r>
          </w:p>
          <w:p>
            <w:pPr>
              <w:pStyle w:val="null3"/>
              <w:jc w:val="left"/>
            </w:pPr>
            <w:r>
              <w:rPr>
                <w:rFonts w:ascii="仿宋_GB2312" w:hAnsi="仿宋_GB2312" w:cs="仿宋_GB2312" w:eastAsia="仿宋_GB2312"/>
                <w:sz w:val="24"/>
              </w:rPr>
              <w:t>3.供应商⾃⾏配备其他更有利于项⽬实施的⼈员、设备等。</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自合同签订之日起至项目竣工验收完毕。</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四川省崇州市采购人指定地点。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严格按照《财政部关于进一步加强政府采购需求和履约验收管理的指导意见》财库（2016）205号、《政府采购需求管理办法》（财库〔2021〕22号）的要求、磋商文件规定的要求和响应文件及采购合同的内容进行验收。</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1、（以签订合同设计暂定价为计费依据）合同签订并开具合规发票，达到付款条件起30日内，支付合同总金额的40.00%</w:t>
            </w:r>
          </w:p>
          <w:p>
            <w:pPr>
              <w:pStyle w:val="null3"/>
              <w:jc w:val="left"/>
            </w:pPr>
            <w:r>
              <w:rPr>
                <w:rFonts w:ascii="仿宋_GB2312" w:hAnsi="仿宋_GB2312" w:cs="仿宋_GB2312" w:eastAsia="仿宋_GB2312"/>
              </w:rPr>
              <w:t>2、（以签订合同设计暂定价为计费依据）全部初步设计完成，并通过图纸审查单位审批合格后并开具合规发票，达到付款条件起30日内，支付合同总金额的30.00%</w:t>
            </w:r>
          </w:p>
          <w:p>
            <w:pPr>
              <w:pStyle w:val="null3"/>
              <w:jc w:val="left"/>
            </w:pPr>
            <w:r>
              <w:rPr>
                <w:rFonts w:ascii="仿宋_GB2312" w:hAnsi="仿宋_GB2312" w:cs="仿宋_GB2312" w:eastAsia="仿宋_GB2312"/>
              </w:rPr>
              <w:t>3、以施工招标控制价（扣除暂列金额）为基数按实计算。全部施工图完成，并开具合规发票，达到付款条件起30日内，支付合同总金额的15.00%</w:t>
            </w:r>
          </w:p>
          <w:p>
            <w:pPr>
              <w:pStyle w:val="null3"/>
              <w:jc w:val="left"/>
            </w:pPr>
            <w:r>
              <w:rPr>
                <w:rFonts w:ascii="仿宋_GB2312" w:hAnsi="仿宋_GB2312" w:cs="仿宋_GB2312" w:eastAsia="仿宋_GB2312"/>
              </w:rPr>
              <w:t>4、以施工招标控制价（扣除暂列金额）为基数按实计算。工程竣工验收报告出具并开具合规发票，达到付款条件起30日内，支付合同总金额的10.00%</w:t>
            </w:r>
          </w:p>
          <w:p>
            <w:pPr>
              <w:pStyle w:val="null3"/>
              <w:jc w:val="left"/>
            </w:pPr>
            <w:r>
              <w:rPr>
                <w:rFonts w:ascii="仿宋_GB2312" w:hAnsi="仿宋_GB2312" w:cs="仿宋_GB2312" w:eastAsia="仿宋_GB2312"/>
              </w:rPr>
              <w:t>5、以施工招标控制价（扣除暂列金额）为基数按实计算。完成竣工图审核、工程竣工结算审核并出具报告，且开具合规发票后，达到付款条件起30日内，支付合同总金额的5.00%</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违约责任：（1）采购人与供应商双方必须遵守并执行本项目中约定的各项规定，保证本项目的正常实施；（2）如因供应商工作人员在履行职务过程中的疏忽、失职、过错等故意或过失给采购人造成损失或侵害，包括但不限于采购人本身财产损失、由此而导致的采购人对任何第三方的法律责任等，供应商对此均应承担全部的赔偿责任；（3）如未经采购人同意，供应商不得将本项目成果移作他用，不得向第三方泄露本项目成果，违反本条规定，给采购人造成损失的，供应商应承担相关的法律责任；（4）投标人未在合同规定日期内提交全部符合项目合同要求的项目成果，每延迟一天，则采购人有权要求投标人支付合同总金额5‰的违约金，延迟累计超过15个日历日，采购人有权解除本合同并不向投标人支付任何费用，并要求投标人承担因合同解除而造成的相关损失。若因采购人或者客观因素造成无法在规定工期内完成任务的，双方应协商解决；2、解决争议的方法：当出现争议时，甲乙双方应进行友好协商解决，协商不成的应将矛盾提交项目所在地法院诉讼解决。</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1.本项目涉及企业资质、人员执业资格、国家及行业相关法律规范标准等描述与国家最新要求不一致时以最新要求为准。 2.为扶持不发达地区和少数民族地区，同等条件下，评审委员会优先推荐企业注册地在不发达地区和少数民族地区的供应商。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第三章“技术、服务及其他要求”中“3.2.技术要求”，“3.3.服务要求”全部内容</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第七章“拟签订采购合同文本”全部内容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提供具有独立承担民事责任能力的证明材料，根据实际情况提供以下材料之一：①企业法人：提供统一社会信用代码的营业执照（未换证的提供营业执照、组织机构代码证、税务登记证）复印件；②事业法人：提供统一社会信用代码法人登记证书（未换证的提供事业法人登记证书、组织机构代码证）复印件；③其他组织：提供对应主管部门颁发的准许执业证明文件或营业执照复印件；④自然人：提供自然人身份证明复印件。若以无独立法人资格的分支机构参加投标，需提供总公司授权其独立开展业务的证明材料。供应商需在项目电子化交易系统中按要求上传相应证明文件并加盖供应商公章。</w:t>
            </w:r>
          </w:p>
        </w:tc>
        <w:tc>
          <w:tcPr>
            <w:tcW w:type="dxa" w:w="1661"/>
          </w:tcPr>
          <w:p>
            <w:pPr>
              <w:pStyle w:val="null3"/>
              <w:jc w:val="left"/>
            </w:pPr>
            <w:r>
              <w:rPr>
                <w:rFonts w:ascii="仿宋_GB2312" w:hAnsi="仿宋_GB2312" w:cs="仿宋_GB2312" w:eastAsia="仿宋_GB2312"/>
              </w:rPr>
              <w:t>01供应商应提交的相关资格证明材料.docx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 xml:space="preserve"> 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属于专门面向中小企业采购。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应具备：1、建设行政主管部门颁发的工程设计电力行业（送电工程、变电工程）专业乙级及以上资质、或工程设计电力行业乙级及以上资质、或工程设计综合甲级资质；2、工程勘察专业类(工程测量)乙级及以上资质。</w:t>
            </w:r>
          </w:p>
        </w:tc>
        <w:tc>
          <w:tcPr>
            <w:tcW w:type="dxa" w:w="3322"/>
          </w:tcPr>
          <w:p>
            <w:pPr>
              <w:pStyle w:val="null3"/>
              <w:jc w:val="left"/>
            </w:pPr>
            <w:r>
              <w:rPr>
                <w:rFonts w:ascii="仿宋_GB2312" w:hAnsi="仿宋_GB2312" w:cs="仿宋_GB2312" w:eastAsia="仿宋_GB2312"/>
              </w:rPr>
              <w:t>投标人应具备：1、建设行政主管部门颁发的工程设计电力行业（送电工程、变电工程）专业乙级及以上资质、或工程设计电力行业乙级及以上资质、或工程设计综合甲级资质；2、工程勘察专业类(工程测量)乙级及以上资质。提供资质证书复印/扫描件加盖供应商公章。</w:t>
            </w:r>
          </w:p>
        </w:tc>
        <w:tc>
          <w:tcPr>
            <w:tcW w:type="dxa" w:w="1661"/>
          </w:tcPr>
          <w:p>
            <w:pPr>
              <w:pStyle w:val="null3"/>
              <w:jc w:val="left"/>
            </w:pPr>
            <w:r>
              <w:rPr>
                <w:rFonts w:ascii="仿宋_GB2312" w:hAnsi="仿宋_GB2312" w:cs="仿宋_GB2312" w:eastAsia="仿宋_GB2312"/>
              </w:rPr>
              <w:t>01供应商应提交的相关资格证明材料.docx</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采购文件规定的其他实质性内容。</w:t>
            </w:r>
          </w:p>
        </w:tc>
        <w:tc>
          <w:tcPr>
            <w:tcW w:type="dxa" w:w="3322"/>
          </w:tcPr>
          <w:p>
            <w:pPr>
              <w:pStyle w:val="null3"/>
              <w:jc w:val="left"/>
            </w:pPr>
            <w:r>
              <w:rPr>
                <w:rFonts w:ascii="仿宋_GB2312" w:hAnsi="仿宋_GB2312" w:cs="仿宋_GB2312" w:eastAsia="仿宋_GB2312"/>
              </w:rPr>
              <w:t>响应文件不满足采购文件规定的其他实质性内容要求作无效响应处理。</w:t>
            </w:r>
          </w:p>
        </w:tc>
        <w:tc>
          <w:tcPr>
            <w:tcW w:type="dxa" w:w="1661"/>
          </w:tcPr>
          <w:p>
            <w:pPr>
              <w:pStyle w:val="null3"/>
              <w:jc w:val="left"/>
            </w:pPr>
            <w:r>
              <w:rPr>
                <w:rFonts w:ascii="仿宋_GB2312" w:hAnsi="仿宋_GB2312" w:cs="仿宋_GB2312" w:eastAsia="仿宋_GB2312"/>
              </w:rPr>
              <w:t>02技术、服务及其他要求应答表.docx,报价表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1、项目实施方案（40分） 供应商针对本项目采购需求提供项目实施方案，内容包含：①工作目标及计划；②设计重点难点分析及解决方案；③设计机构设置和岗位职责；④设计工作实施方案及设计构思（包含设计依据、设计范围、设计思路）；⑤工作规划描述（包含工作整体进度安排、进度保证措施）；⑥服务质量保障方案；⑦保密制度；⑧资料移交和档案管理方案。上述每有一项完全符合项目实际需求的该项得5分，每有一项内容存在缺陷的该项得2.5分，每缺少一项的该项得0分。本项目最多得40分。 2、后续服务方案（20分） 供应商针对本项目提供项目后续服务方案，内容包含：①设计交底方案、②处理有关设计问题方案、③参加竣工验收方案、④派驻人员方案。上述每有一项完全符合项目实际需求的该项得5分，每有一项内容存在缺陷的该项得2.5分，每缺少一项的该项得0分。本项目最多得20分。 注：上述“缺陷”是指：存在项目名称错误、地点区域错误、内容与本项目需求无关或不适用、方案内容矛盾、仅有框架或标题、本项目提供的方案中引用的法律、法规、标准存在失效或错误、明显复制其他项目内容等任意一种情形。</w:t>
            </w:r>
          </w:p>
        </w:tc>
        <w:tc>
          <w:tcPr>
            <w:tcW w:type="dxa" w:w="831"/>
          </w:tcPr>
          <w:p>
            <w:pPr>
              <w:pStyle w:val="null3"/>
              <w:jc w:val="center"/>
            </w:pPr>
            <w:r>
              <w:rPr>
                <w:rFonts w:ascii="仿宋_GB2312" w:hAnsi="仿宋_GB2312" w:cs="仿宋_GB2312" w:eastAsia="仿宋_GB2312"/>
              </w:rPr>
              <w:t>60.0000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05项目服务方案.docx</w:t>
            </w:r>
          </w:p>
        </w:tc>
      </w:tr>
      <w:tr>
        <w:tc>
          <w:tcPr>
            <w:tcW w:type="dxa" w:w="831"/>
            <w:vMerge/>
          </w:tcPr>
          <w:p/>
        </w:tc>
        <w:tc>
          <w:tcPr>
            <w:tcW w:type="dxa" w:w="1661"/>
          </w:tcPr>
          <w:p>
            <w:pPr>
              <w:pStyle w:val="null3"/>
              <w:jc w:val="left"/>
            </w:pPr>
            <w:r>
              <w:rPr>
                <w:rFonts w:ascii="仿宋_GB2312" w:hAnsi="仿宋_GB2312" w:cs="仿宋_GB2312" w:eastAsia="仿宋_GB2312"/>
              </w:rPr>
              <w:t>人员配备</w:t>
            </w:r>
          </w:p>
        </w:tc>
        <w:tc>
          <w:tcPr>
            <w:tcW w:type="dxa" w:w="2575"/>
          </w:tcPr>
          <w:p>
            <w:pPr>
              <w:pStyle w:val="null3"/>
              <w:jc w:val="left"/>
            </w:pPr>
            <w:r>
              <w:rPr>
                <w:rFonts w:ascii="仿宋_GB2312" w:hAnsi="仿宋_GB2312" w:cs="仿宋_GB2312" w:eastAsia="仿宋_GB2312"/>
              </w:rPr>
              <w:t>1、项目负责人（设计负责人）（6分）：具有电气工程相关专业中级职称得3分，具有电气工程相关专业高级及以上职称得6分。本项最多得6分。 2、电气专业负责人（4分）：具有注册电气工程师注册证书或电气相关专业中级及以上职称得4分。本项最多得4分。 3、结构专业负责人（4分）：具有二级及以上注册结构工程师注册证书或结构相关专业中级及以上职称得4分。本项最多得4分。 4、造价专业负责人（4分）：具有二级及以上注册造价工程师注册证书或造价相关专业中级及以上职称得4分。本项最多得4分。 5、其他人员（6分）：具有中级及以上职称的，每有1人得2分，本项最多得6分。 注：以上人员不重复得分，提供相关人员有效期内身份证、职称证（或资格证）的复印/扫描件以及在职证明加盖供应商公章。</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03实施本项目的主要人员情况表.docx</w:t>
            </w:r>
          </w:p>
          <w:p>
            <w:pPr>
              <w:pStyle w:val="null3"/>
              <w:jc w:val="left"/>
            </w:pPr>
            <w:r>
              <w:rPr>
                <w:rFonts w:ascii="仿宋_GB2312" w:hAnsi="仿宋_GB2312" w:cs="仿宋_GB2312" w:eastAsia="仿宋_GB2312"/>
              </w:rPr>
              <w:t>06其他文件和资料.docx</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供应商2023年1月1日（含）以来每具有1个类似业绩得2分，最高得6分。 注：提供合同复印件或中标通知书加盖供应商公章，以合同签订时间或中标通知书落款时间为准。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04类似业绩一览表.docx</w:t>
            </w:r>
          </w:p>
          <w:p>
            <w:pPr>
              <w:pStyle w:val="null3"/>
              <w:jc w:val="left"/>
            </w:pPr>
            <w:r>
              <w:rPr>
                <w:rFonts w:ascii="仿宋_GB2312" w:hAnsi="仿宋_GB2312" w:cs="仿宋_GB2312" w:eastAsia="仿宋_GB2312"/>
              </w:rPr>
              <w:t>06其他文件和资料.docx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崇州市比亚迪新产品结构件项目110KV供电工程设计服务</w:t>
            </w:r>
          </w:p>
        </w:tc>
        <w:tc>
          <w:tcPr>
            <w:tcW w:type="dxa" w:w="2575"/>
          </w:tcPr>
          <w:p>
            <w:pPr>
              <w:pStyle w:val="null3"/>
              <w:jc w:val="left"/>
            </w:pPr>
            <w:r>
              <w:rPr>
                <w:rFonts w:ascii="仿宋_GB2312" w:hAnsi="仿宋_GB2312" w:cs="仿宋_GB2312" w:eastAsia="仿宋_GB2312"/>
              </w:rPr>
              <w:t>满足磋商文件要求且最后报价最低的供应商的价格为基准价，其价格分为满分。其他供应商的价格分统一按照下列公式计算：报价得分=(基准价／最后磋商报价）×10。</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详见附件：01供应商应提交的相关资格证明材料.docx</w:t>
      </w:r>
    </w:p>
    <w:p>
      <w:pPr>
        <w:pStyle w:val="null3"/>
        <w:ind w:firstLine="960"/>
        <w:jc w:val="left"/>
      </w:pPr>
      <w:r>
        <w:rPr>
          <w:rFonts w:ascii="仿宋_GB2312" w:hAnsi="仿宋_GB2312" w:cs="仿宋_GB2312" w:eastAsia="仿宋_GB2312"/>
        </w:rPr>
        <w:t>详见附件：02技术、服务及其他要求应答表.docx</w:t>
      </w:r>
    </w:p>
    <w:p>
      <w:pPr>
        <w:pStyle w:val="null3"/>
        <w:ind w:firstLine="960"/>
        <w:jc w:val="left"/>
      </w:pPr>
      <w:r>
        <w:rPr>
          <w:rFonts w:ascii="仿宋_GB2312" w:hAnsi="仿宋_GB2312" w:cs="仿宋_GB2312" w:eastAsia="仿宋_GB2312"/>
        </w:rPr>
        <w:t>详见附件：03实施本项目的主要人员情况表.docx</w:t>
      </w:r>
    </w:p>
    <w:p>
      <w:pPr>
        <w:pStyle w:val="null3"/>
        <w:ind w:firstLine="960"/>
        <w:jc w:val="left"/>
      </w:pPr>
      <w:r>
        <w:rPr>
          <w:rFonts w:ascii="仿宋_GB2312" w:hAnsi="仿宋_GB2312" w:cs="仿宋_GB2312" w:eastAsia="仿宋_GB2312"/>
        </w:rPr>
        <w:t>详见附件：04类似业绩一览表.docx</w:t>
      </w:r>
    </w:p>
    <w:p>
      <w:pPr>
        <w:pStyle w:val="null3"/>
        <w:ind w:firstLine="960"/>
        <w:jc w:val="left"/>
      </w:pPr>
      <w:r>
        <w:rPr>
          <w:rFonts w:ascii="仿宋_GB2312" w:hAnsi="仿宋_GB2312" w:cs="仿宋_GB2312" w:eastAsia="仿宋_GB2312"/>
        </w:rPr>
        <w:t>详见附件：05项目服务方案.docx</w:t>
      </w:r>
    </w:p>
    <w:p>
      <w:pPr>
        <w:pStyle w:val="null3"/>
        <w:ind w:firstLine="960"/>
        <w:jc w:val="left"/>
      </w:pPr>
      <w:r>
        <w:rPr>
          <w:rFonts w:ascii="仿宋_GB2312" w:hAnsi="仿宋_GB2312" w:cs="仿宋_GB2312" w:eastAsia="仿宋_GB2312"/>
        </w:rPr>
        <w:t>详见附件：06其他文件和资料.docx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