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ACBC3">
      <w:r>
        <w:rPr>
          <w:rFonts w:hint="eastAsia"/>
        </w:rPr>
        <w:t>投标货物属于《医疗器械监督管理条例》规定的第一类医疗器械产品须提供第一类医疗器械产品备案凭证 ，属于第二类、第三类医疗器械产品则须提供完整的医疗器械注册证；若所投产品非医疗器械的，须提供《非医疗器械说明函》。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8B6370"/>
    <w:rsid w:val="5BB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2026-04-22T02:28:00Z</dcterms:created>
  <dc:creator>hh</dc:creator>
  <cp:lastModifiedBy>HNCZ</cp:lastModifiedBy>
  <dcterms:modified xsi:type="dcterms:W3CDTF">2026-07-15T02:31:28Z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11B9B6971555492499F513812776F01F_12</vt:lpwstr>
  </property>
</Properties>
</file>