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版本号：N511025202600012020260826001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资中涉险楼盘后续建设工程项目竣工决算审计服务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N5110252026000120</w:t>
      </w:r>
    </w:p>
    <w:p>
      <w:pPr>
        <w:pStyle w:val="null3"/>
        <w:jc w:val="left"/>
        <w:outlineLvl w:val="2"/>
      </w:pPr>
      <w:r>
        <w:rPr>
          <w:rFonts w:ascii="仿宋_GB2312" w:hAnsi="仿宋_GB2312" w:cs="仿宋_GB2312" w:eastAsia="仿宋_GB2312"/>
          <w:sz w:val="28"/>
          <w:b/>
        </w:rPr>
        <w:t>资中县审计局</w:t>
      </w:r>
    </w:p>
    <w:p>
      <w:pPr>
        <w:pStyle w:val="null3"/>
        <w:jc w:val="center"/>
        <w:outlineLvl w:val="2"/>
      </w:pPr>
      <w:r>
        <w:rPr>
          <w:rFonts w:ascii="仿宋_GB2312" w:hAnsi="仿宋_GB2312" w:cs="仿宋_GB2312" w:eastAsia="仿宋_GB2312"/>
          <w:sz w:val="28"/>
          <w:b/>
        </w:rPr>
        <w:t>内江融汇招标代理有限公司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内江融汇招标代理有限公司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资中县审计局</w:t>
      </w:r>
      <w:r>
        <w:rPr>
          <w:rFonts w:ascii="仿宋_GB2312" w:hAnsi="仿宋_GB2312" w:cs="仿宋_GB2312" w:eastAsia="仿宋_GB2312"/>
        </w:rPr>
        <w:t xml:space="preserve"> 委托，拟对 </w:t>
      </w:r>
      <w:r>
        <w:rPr>
          <w:rFonts w:ascii="仿宋_GB2312" w:hAnsi="仿宋_GB2312" w:cs="仿宋_GB2312" w:eastAsia="仿宋_GB2312"/>
        </w:rPr>
        <w:t>资中涉险楼盘后续建设工程项目竣工决算审计服务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内江市资中县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N5110252026000120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资中涉险楼盘后续建设工程项目竣工决算审计服务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资中涉险楼盘后续建设工程项目竣工决算审计服务。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资中县审计局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资中县水南镇和鸣大道609号附301号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0832-5522597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内江融汇招标代理有限公司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四川省内江经济技术开发区甜城大道北段166号1栋附601号-644号 （嘉宏未来城营销中心六楼）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0832-8802008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是</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代理服务费收费标准：依据发改价格〔2015〕299号文件精神，本项目约定向成交供应商定额收取采购代理服务费，金额为人民币15,000.00元（大写：壹万伍仟元整），收取方式为现金或转账。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资中县审计局</w:t>
      </w:r>
      <w:r>
        <w:rPr>
          <w:rFonts w:ascii="仿宋_GB2312" w:hAnsi="仿宋_GB2312" w:cs="仿宋_GB2312" w:eastAsia="仿宋_GB2312"/>
        </w:rPr>
        <w:t xml:space="preserve"> 和 </w:t>
      </w:r>
      <w:r>
        <w:rPr>
          <w:rFonts w:ascii="仿宋_GB2312" w:hAnsi="仿宋_GB2312" w:cs="仿宋_GB2312" w:eastAsia="仿宋_GB2312"/>
        </w:rPr>
        <w:t>内江融汇招标代理有限公司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资中县审计局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内江融汇招标代理有限公司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1、审核项目中的要求与投标文件中的内容的一致性；2、审查项目中的服务是否达到了规定要求(符合性、可用性、稳定性)。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1、审核提供验收的各类文档的正确性、完整性和统一性,审查文件是否齐全、合理；2、审查项目实施进度情况,是否完成了预期全部工作。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 验收主体：采购人。 （2）验收标准：按国家有关规定以及招标文件的质量要求和技术指标、供应商的响应文件及承诺等进行验收。 （3）验收时间：供应商提出验收申请后10日内组织验收。 （4）项目验收结果合格的，供应商凭验收证明办理相关手续 。 （5）其他未尽事宜应严格按照政府采购相关法律法规以及《财政部关于进一步加强政府采购需求和履约验收管理的指导意见》（财库〔2016〕205号）的要求、招标文件的质量要求和技术指标、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资中县审计局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 0832-5522597</w:t>
      </w:r>
    </w:p>
    <w:p>
      <w:pPr>
        <w:pStyle w:val="null3"/>
        <w:jc w:val="left"/>
      </w:pPr>
      <w:r>
        <w:rPr>
          <w:rFonts w:ascii="仿宋_GB2312" w:hAnsi="仿宋_GB2312" w:cs="仿宋_GB2312" w:eastAsia="仿宋_GB2312"/>
        </w:rPr>
        <w:t>地址：资中县水南镇和鸣大道609号附301号</w:t>
      </w:r>
    </w:p>
    <w:p>
      <w:pPr>
        <w:pStyle w:val="null3"/>
        <w:jc w:val="left"/>
      </w:pPr>
      <w:r>
        <w:rPr>
          <w:rFonts w:ascii="仿宋_GB2312" w:hAnsi="仿宋_GB2312" w:cs="仿宋_GB2312" w:eastAsia="仿宋_GB2312"/>
        </w:rPr>
        <w:t>邮编：641200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联系电话：0832-8802005</w:t>
      </w:r>
    </w:p>
    <w:p>
      <w:pPr>
        <w:pStyle w:val="null3"/>
        <w:jc w:val="left"/>
      </w:pPr>
      <w:r>
        <w:rPr>
          <w:rFonts w:ascii="仿宋_GB2312" w:hAnsi="仿宋_GB2312" w:cs="仿宋_GB2312" w:eastAsia="仿宋_GB2312"/>
        </w:rPr>
        <w:t>地址：四川省内江经济技术开发区甜城大道北段166号1栋附601号-644号 （嘉宏未来城营销中心六楼）</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资中涉险楼盘后续建设工程项目竣工决算审计服务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资中涉险楼盘后续建设工程项目竣工决算审计服务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★报价要求：因效益审计费无法确定，本项目效益审计费暂估为35万元，供应商各报价轮次的总价报价=[35万元（效益审计费）+基本审计费]。 效益审计费在各报价轮次中的报价是固定不变的，不得增加或者减少，否则其报价无效。基本审计费报价部分应符合磋商文件“异常低价响应审查程序”的规定。报价超过最高限价作无效响应处理。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标的名称：资中涉险楼盘后续建设工程项目竣工决算审计服务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服务范围</w:t>
            </w:r>
          </w:p>
        </w:tc>
        <w:tc>
          <w:tcPr>
            <w:tcW w:type="dxa" w:w="5814"/>
          </w:tcPr>
          <w:p>
            <w:pPr>
              <w:pStyle w:val="null3"/>
              <w:jc w:val="left"/>
            </w:pPr>
            <w:r>
              <w:rPr>
                <w:rFonts w:ascii="仿宋_GB2312" w:hAnsi="仿宋_GB2312" w:cs="仿宋_GB2312" w:eastAsia="仿宋_GB2312"/>
                <w:b/>
              </w:rPr>
              <w:t>资中涉险楼盘后续建设工程项目竣工决算审计服务。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（一）总体服务要求</w:t>
            </w:r>
          </w:p>
          <w:p>
            <w:pPr>
              <w:pStyle w:val="null3"/>
              <w:jc w:val="left"/>
            </w:pPr>
            <w:r>
              <w:rPr>
                <w:rFonts w:ascii="仿宋_GB2312" w:hAnsi="仿宋_GB2312" w:cs="仿宋_GB2312" w:eastAsia="仿宋_GB2312"/>
              </w:rPr>
              <w:t>1.供应商应当认真履行以下职责</w:t>
            </w:r>
          </w:p>
          <w:p>
            <w:pPr>
              <w:pStyle w:val="null3"/>
              <w:jc w:val="left"/>
            </w:pPr>
            <w:r>
              <w:rPr>
                <w:rFonts w:ascii="仿宋_GB2312" w:hAnsi="仿宋_GB2312" w:cs="仿宋_GB2312" w:eastAsia="仿宋_GB2312"/>
              </w:rPr>
              <w:t>（1）严格执行国家审计法律、法规、规章，遵守行业执业准则、职业道德规范和廉洁审计纪律规定，不得将参审项目转包或分包给其他单位或个人。</w:t>
            </w:r>
          </w:p>
          <w:p>
            <w:pPr>
              <w:pStyle w:val="null3"/>
              <w:jc w:val="left"/>
            </w:pPr>
            <w:r>
              <w:rPr>
                <w:rFonts w:ascii="仿宋_GB2312" w:hAnsi="仿宋_GB2312" w:cs="仿宋_GB2312" w:eastAsia="仿宋_GB2312"/>
              </w:rPr>
              <w:t>（2）按照合同约定，拟制审核实施方案，组织参审人员进行审计，按时保质完成审计内容，对审计程序、审计结果的真实性、合法性、完整性负责，配合复核工作的开展，并承担相应法律责任。</w:t>
            </w:r>
          </w:p>
          <w:p>
            <w:pPr>
              <w:pStyle w:val="null3"/>
              <w:jc w:val="left"/>
            </w:pPr>
            <w:r>
              <w:rPr>
                <w:rFonts w:ascii="仿宋_GB2312" w:hAnsi="仿宋_GB2312" w:cs="仿宋_GB2312" w:eastAsia="仿宋_GB2312"/>
              </w:rPr>
              <w:t>（3）严格遵守国家保密规定，不向外泄露审计成果及相关信息，不利用审计获取的信息牟取利益或用于其他与审计无关的任何事项。</w:t>
            </w:r>
          </w:p>
          <w:p>
            <w:pPr>
              <w:pStyle w:val="null3"/>
              <w:jc w:val="left"/>
            </w:pPr>
            <w:r>
              <w:rPr>
                <w:rFonts w:ascii="仿宋_GB2312" w:hAnsi="仿宋_GB2312" w:cs="仿宋_GB2312" w:eastAsia="仿宋_GB2312"/>
              </w:rPr>
              <w:t>（4）在提供审计服务过程中，应及时报告重大事项或重要情况。</w:t>
            </w:r>
          </w:p>
          <w:p>
            <w:pPr>
              <w:pStyle w:val="null3"/>
              <w:jc w:val="left"/>
            </w:pPr>
            <w:r>
              <w:rPr>
                <w:rFonts w:ascii="仿宋_GB2312" w:hAnsi="仿宋_GB2312" w:cs="仿宋_GB2312" w:eastAsia="仿宋_GB2312"/>
              </w:rPr>
              <w:t>2.供应商在项目合同约定期限内完成审计工作并出具工程结算审核报告、采购人要求的其他审核成果文件和审计工作资料。供应商因客观原因不能按期完成审计事项的，应于期满十日前向采购人提出延期的书面申请，由采购人确定是否延期以及具体延长期限。</w:t>
            </w:r>
          </w:p>
          <w:p>
            <w:pPr>
              <w:pStyle w:val="null3"/>
              <w:jc w:val="left"/>
            </w:pPr>
            <w:r>
              <w:rPr>
                <w:rFonts w:ascii="仿宋_GB2312" w:hAnsi="仿宋_GB2312" w:cs="仿宋_GB2312" w:eastAsia="仿宋_GB2312"/>
              </w:rPr>
              <w:t>3.供应商必须保证质量，严格控制风险，在出具审计成果前必须经过内部复核。采购人有权对供应商提交的审计成果进行复核，采购人复审发现质量不合要求的，有权责成供应商重新审核。</w:t>
            </w:r>
          </w:p>
          <w:p>
            <w:pPr>
              <w:pStyle w:val="null3"/>
              <w:jc w:val="left"/>
            </w:pPr>
            <w:r>
              <w:rPr>
                <w:rFonts w:ascii="仿宋_GB2312" w:hAnsi="仿宋_GB2312" w:cs="仿宋_GB2312" w:eastAsia="仿宋_GB2312"/>
              </w:rPr>
              <w:t>4.供应商根据采购人复核意见完善资料，完善审核结果，撰写审核报告。</w:t>
            </w:r>
          </w:p>
          <w:p>
            <w:pPr>
              <w:pStyle w:val="null3"/>
              <w:jc w:val="left"/>
            </w:pPr>
            <w:r>
              <w:rPr>
                <w:rFonts w:ascii="仿宋_GB2312" w:hAnsi="仿宋_GB2312" w:cs="仿宋_GB2312" w:eastAsia="仿宋_GB2312"/>
              </w:rPr>
              <w:t>5.供应商完成项目审计后除按本行业管理自行存档外，档案资料还应满足采购单位档案管理相关要求。</w:t>
            </w:r>
          </w:p>
          <w:p>
            <w:pPr>
              <w:pStyle w:val="null3"/>
              <w:jc w:val="left"/>
            </w:pPr>
            <w:r>
              <w:rPr>
                <w:rFonts w:ascii="仿宋_GB2312" w:hAnsi="仿宋_GB2312" w:cs="仿宋_GB2312" w:eastAsia="仿宋_GB2312"/>
              </w:rPr>
              <w:t>6.服务纪律要求</w:t>
            </w:r>
          </w:p>
          <w:p>
            <w:pPr>
              <w:pStyle w:val="null3"/>
              <w:jc w:val="left"/>
            </w:pPr>
            <w:r>
              <w:rPr>
                <w:rFonts w:ascii="仿宋_GB2312" w:hAnsi="仿宋_GB2312" w:cs="仿宋_GB2312" w:eastAsia="仿宋_GB2312"/>
              </w:rPr>
              <w:t>（1）供应商应遵守审计“八不准”工作纪律。</w:t>
            </w:r>
          </w:p>
          <w:p>
            <w:pPr>
              <w:pStyle w:val="null3"/>
              <w:jc w:val="left"/>
            </w:pPr>
            <w:r>
              <w:rPr>
                <w:rFonts w:ascii="仿宋_GB2312" w:hAnsi="仿宋_GB2312" w:cs="仿宋_GB2312" w:eastAsia="仿宋_GB2312"/>
              </w:rPr>
              <w:t>（2）供应商应严格遵守国家保密规定，不向外泄露审计成果及相关信息，不利用审计获取的信息牟取利益或用于其他与审计无关的任何事项。</w:t>
            </w:r>
          </w:p>
          <w:p>
            <w:pPr>
              <w:pStyle w:val="null3"/>
              <w:jc w:val="left"/>
            </w:pPr>
            <w:r>
              <w:rPr>
                <w:rFonts w:ascii="仿宋_GB2312" w:hAnsi="仿宋_GB2312" w:cs="仿宋_GB2312" w:eastAsia="仿宋_GB2312"/>
              </w:rPr>
              <w:t>（3）供应商应当遵循独立性、客观性、科学性、公正性原则，依法独立、公正执行业务，遵守职业道德。</w:t>
            </w:r>
          </w:p>
          <w:p>
            <w:pPr>
              <w:pStyle w:val="null3"/>
              <w:jc w:val="left"/>
            </w:pPr>
            <w:r>
              <w:rPr>
                <w:rFonts w:ascii="仿宋_GB2312" w:hAnsi="仿宋_GB2312" w:cs="仿宋_GB2312" w:eastAsia="仿宋_GB2312"/>
              </w:rPr>
              <w:t>（4）承接委托任务后，不得以任何形式将已接受的任务再委托给其他机构。</w:t>
            </w:r>
          </w:p>
          <w:p>
            <w:pPr>
              <w:pStyle w:val="null3"/>
              <w:jc w:val="left"/>
            </w:pPr>
            <w:r>
              <w:rPr>
                <w:rFonts w:ascii="仿宋_GB2312" w:hAnsi="仿宋_GB2312" w:cs="仿宋_GB2312" w:eastAsia="仿宋_GB2312"/>
              </w:rPr>
              <w:t>（5）在规定的时间内提交审计成果文件，并提供相应佐证资料。</w:t>
            </w:r>
          </w:p>
          <w:p>
            <w:pPr>
              <w:pStyle w:val="null3"/>
              <w:jc w:val="left"/>
            </w:pPr>
            <w:r>
              <w:rPr>
                <w:rFonts w:ascii="仿宋_GB2312" w:hAnsi="仿宋_GB2312" w:cs="仿宋_GB2312" w:eastAsia="仿宋_GB2312"/>
              </w:rPr>
              <w:t>（6）审计过程中发现重大问题要及时向采购人书面报告并提出建议意见，不得隐瞒、谎报。</w:t>
            </w:r>
          </w:p>
          <w:p>
            <w:pPr>
              <w:pStyle w:val="null3"/>
              <w:jc w:val="left"/>
            </w:pPr>
            <w:r>
              <w:rPr>
                <w:rFonts w:ascii="仿宋_GB2312" w:hAnsi="仿宋_GB2312" w:cs="仿宋_GB2312" w:eastAsia="仿宋_GB2312"/>
              </w:rPr>
              <w:t>（7）合同履行期间服从采购人的管理，遵守采购人的工作纪律和制度，拒不服从管理或违反相关纪律和制度的，采购人有权解除合同。</w:t>
            </w:r>
          </w:p>
          <w:p>
            <w:pPr>
              <w:pStyle w:val="null3"/>
              <w:jc w:val="left"/>
            </w:pPr>
            <w:r>
              <w:rPr>
                <w:rFonts w:ascii="仿宋_GB2312" w:hAnsi="仿宋_GB2312" w:cs="仿宋_GB2312" w:eastAsia="仿宋_GB2312"/>
              </w:rPr>
              <w:t>（8）未经采购人批准，不得以任何形式披露在相关工作中获悉的国家秘密、商业秘密和工作秘密，也不得对外提供与委托任务相关的工作成果文件。</w:t>
            </w:r>
          </w:p>
          <w:p>
            <w:pPr>
              <w:pStyle w:val="null3"/>
              <w:jc w:val="left"/>
            </w:pPr>
            <w:r>
              <w:rPr>
                <w:rFonts w:ascii="仿宋_GB2312" w:hAnsi="仿宋_GB2312" w:cs="仿宋_GB2312" w:eastAsia="仿宋_GB2312"/>
              </w:rPr>
              <w:t>（9）承接相关工作中违反法律法规及管理制度规定或提供的服务质量低劣，应承担相应的违约、违规、违法责任。</w:t>
            </w:r>
          </w:p>
          <w:p>
            <w:pPr>
              <w:pStyle w:val="null3"/>
              <w:jc w:val="left"/>
            </w:pPr>
            <w:r>
              <w:rPr>
                <w:rFonts w:ascii="仿宋_GB2312" w:hAnsi="仿宋_GB2312" w:cs="仿宋_GB2312" w:eastAsia="仿宋_GB2312"/>
              </w:rPr>
              <w:t>7.回避范围</w:t>
            </w:r>
          </w:p>
          <w:p>
            <w:pPr>
              <w:pStyle w:val="null3"/>
              <w:jc w:val="left"/>
            </w:pPr>
            <w:r>
              <w:rPr>
                <w:rFonts w:ascii="仿宋_GB2312" w:hAnsi="仿宋_GB2312" w:cs="仿宋_GB2312" w:eastAsia="仿宋_GB2312"/>
              </w:rPr>
              <w:t>供应商在投标时应主动回避需回避的项目，如果在中标后经发现该项目应回避而未回避，则取消该供应商服务资格，与其解除合同，供应商应全额返还采购人已付费用、赔偿因此造成的损失、并按照合同约定向采购人支付违约金。供应商应当回避的情形包括：①曾经管理或直接办理过参审项目相关业务的；②与被审计单位、项目相关参建单位或审计事项有利害关系的；③机构负责人或其近亲属与被审计单位、项目相关参建单位负责人或者有关主管人员是夫妻关系、近姻亲关系、三代以内直系血亲或旁系血亲关系的。</w:t>
            </w:r>
          </w:p>
          <w:p>
            <w:pPr>
              <w:pStyle w:val="null3"/>
              <w:jc w:val="left"/>
            </w:pPr>
            <w:r>
              <w:rPr>
                <w:rFonts w:ascii="仿宋_GB2312" w:hAnsi="仿宋_GB2312" w:cs="仿宋_GB2312" w:eastAsia="仿宋_GB2312"/>
              </w:rPr>
              <w:t>（二）服务内容及要求</w:t>
            </w:r>
          </w:p>
          <w:p>
            <w:pPr>
              <w:pStyle w:val="null3"/>
              <w:jc w:val="left"/>
            </w:pPr>
            <w:r>
              <w:rPr>
                <w:rFonts w:ascii="仿宋_GB2312" w:hAnsi="仿宋_GB2312" w:cs="仿宋_GB2312" w:eastAsia="仿宋_GB2312"/>
              </w:rPr>
              <w:t>1.审计内容</w:t>
            </w:r>
          </w:p>
          <w:p>
            <w:pPr>
              <w:pStyle w:val="null3"/>
              <w:jc w:val="left"/>
            </w:pPr>
            <w:r>
              <w:rPr>
                <w:rFonts w:ascii="仿宋_GB2312" w:hAnsi="仿宋_GB2312" w:cs="仿宋_GB2312" w:eastAsia="仿宋_GB2312"/>
              </w:rPr>
              <w:t>（1）审核竣工结算资料计量、计价的真实性、准确性、合规性；对工程进行现场踏勘；审查结算项目的内容、计量计价方式、取费及税金等是否符合招标文件、施工合同和计价规范。重点关注工程结算是否存在弄虚作假、损失浪费、高估冒算、营私舞弊等行为；分析工程价款审减原因和执行基本建设制度、内控制度存在的问题；揭示和查出项目建设管理中的重大违纪违法问题；</w:t>
            </w:r>
          </w:p>
          <w:p>
            <w:pPr>
              <w:pStyle w:val="null3"/>
              <w:jc w:val="left"/>
            </w:pPr>
            <w:r>
              <w:rPr>
                <w:rFonts w:ascii="仿宋_GB2312" w:hAnsi="仿宋_GB2312" w:cs="仿宋_GB2312" w:eastAsia="仿宋_GB2312"/>
              </w:rPr>
              <w:t>（2）审核工程基本建设程序履行情况，包括项目可研批复、立项文件、招投标、招标控制价编制、财政评审价、工程合同签订履行、工程验收等。</w:t>
            </w:r>
          </w:p>
          <w:p>
            <w:pPr>
              <w:pStyle w:val="null3"/>
              <w:jc w:val="left"/>
            </w:pPr>
            <w:r>
              <w:rPr>
                <w:rFonts w:ascii="仿宋_GB2312" w:hAnsi="仿宋_GB2312" w:cs="仿宋_GB2312" w:eastAsia="仿宋_GB2312"/>
              </w:rPr>
              <w:t>（3）审核施工过程中的造价管理情况，包括工程变更、签证是否符合合同约定及相关管理办法约定，现场实际、工程使用的材料和设备等是否符合合同约定的质量标准和品牌，竣工结算报告是否存在重复多计，隐藏工程、工程变更、现场签订、验收记录等的真实性、关联性。重点审查设计变更、签证的提出和审批程序是否真实、合规，变更、签证原因是否合理，工程量计量是否准确，相关取费是否符合规定，价格是否合理，有无提高建设标准、损失浪费等方面问题；</w:t>
            </w:r>
          </w:p>
          <w:p>
            <w:pPr>
              <w:pStyle w:val="null3"/>
              <w:jc w:val="left"/>
            </w:pPr>
            <w:r>
              <w:rPr>
                <w:rFonts w:ascii="仿宋_GB2312" w:hAnsi="仿宋_GB2312" w:cs="仿宋_GB2312" w:eastAsia="仿宋_GB2312"/>
              </w:rPr>
              <w:t>（4）工程计划、工程在建情况、工程核算、物资保管和工程实际完成情况等专项工程进行审核。</w:t>
            </w:r>
          </w:p>
          <w:p>
            <w:pPr>
              <w:pStyle w:val="null3"/>
              <w:jc w:val="left"/>
            </w:pPr>
            <w:r>
              <w:rPr>
                <w:rFonts w:ascii="仿宋_GB2312" w:hAnsi="仿宋_GB2312" w:cs="仿宋_GB2312" w:eastAsia="仿宋_GB2312"/>
              </w:rPr>
              <w:t>2.审计服务质量标准</w:t>
            </w:r>
          </w:p>
          <w:p>
            <w:pPr>
              <w:pStyle w:val="null3"/>
              <w:jc w:val="left"/>
            </w:pPr>
            <w:r>
              <w:rPr>
                <w:rFonts w:ascii="仿宋_GB2312" w:hAnsi="仿宋_GB2312" w:cs="仿宋_GB2312" w:eastAsia="仿宋_GB2312"/>
              </w:rPr>
              <w:t>成果文件符合包括但不限于以下法律法规、行业标准、规程及相关规范、依据：</w:t>
            </w:r>
          </w:p>
          <w:p>
            <w:pPr>
              <w:pStyle w:val="null3"/>
              <w:jc w:val="left"/>
            </w:pPr>
            <w:r>
              <w:rPr>
                <w:rFonts w:ascii="仿宋_GB2312" w:hAnsi="仿宋_GB2312" w:cs="仿宋_GB2312" w:eastAsia="仿宋_GB2312"/>
              </w:rPr>
              <w:t>（1）《中华人民共和国审计法》。</w:t>
            </w:r>
          </w:p>
          <w:p>
            <w:pPr>
              <w:pStyle w:val="null3"/>
              <w:jc w:val="left"/>
            </w:pPr>
            <w:r>
              <w:rPr>
                <w:rFonts w:ascii="仿宋_GB2312" w:hAnsi="仿宋_GB2312" w:cs="仿宋_GB2312" w:eastAsia="仿宋_GB2312"/>
              </w:rPr>
              <w:t>（2）国家主管部门及地方有关部门颁布的标准、定额和工程技术经济规范。</w:t>
            </w:r>
          </w:p>
          <w:p>
            <w:pPr>
              <w:pStyle w:val="null3"/>
              <w:jc w:val="left"/>
            </w:pPr>
            <w:r>
              <w:rPr>
                <w:rFonts w:ascii="仿宋_GB2312" w:hAnsi="仿宋_GB2312" w:cs="仿宋_GB2312" w:eastAsia="仿宋_GB2312"/>
              </w:rPr>
              <w:t>（3）工程招标文件、标底、招标书、评标报告、中标通知。</w:t>
            </w:r>
          </w:p>
          <w:p>
            <w:pPr>
              <w:pStyle w:val="null3"/>
              <w:jc w:val="left"/>
            </w:pPr>
            <w:r>
              <w:rPr>
                <w:rFonts w:ascii="仿宋_GB2312" w:hAnsi="仿宋_GB2312" w:cs="仿宋_GB2312" w:eastAsia="仿宋_GB2312"/>
              </w:rPr>
              <w:t>（4）工程施工合同、设计合同、监理合同、质监合同及其他有关合同、工程设计变更通知单；</w:t>
            </w:r>
          </w:p>
          <w:p>
            <w:pPr>
              <w:pStyle w:val="null3"/>
              <w:jc w:val="left"/>
            </w:pPr>
            <w:r>
              <w:rPr>
                <w:rFonts w:ascii="仿宋_GB2312" w:hAnsi="仿宋_GB2312" w:cs="仿宋_GB2312" w:eastAsia="仿宋_GB2312"/>
              </w:rPr>
              <w:t>（5）工程施工图纸。</w:t>
            </w:r>
          </w:p>
          <w:p>
            <w:pPr>
              <w:pStyle w:val="null3"/>
              <w:jc w:val="left"/>
            </w:pPr>
            <w:r>
              <w:rPr>
                <w:rFonts w:ascii="仿宋_GB2312" w:hAnsi="仿宋_GB2312" w:cs="仿宋_GB2312" w:eastAsia="仿宋_GB2312"/>
              </w:rPr>
              <w:t>（6）项目立项有关批复文件、批准的设计概算书和修编概算书。</w:t>
            </w:r>
          </w:p>
          <w:p>
            <w:pPr>
              <w:pStyle w:val="null3"/>
              <w:jc w:val="left"/>
            </w:pPr>
            <w:r>
              <w:rPr>
                <w:rFonts w:ascii="仿宋_GB2312" w:hAnsi="仿宋_GB2312" w:cs="仿宋_GB2312" w:eastAsia="仿宋_GB2312"/>
              </w:rPr>
              <w:t>（7）与工程项目相关的市场价格信息、同类项目的造价及其他有关的市场信息。</w:t>
            </w:r>
          </w:p>
          <w:p>
            <w:pPr>
              <w:pStyle w:val="null3"/>
              <w:jc w:val="left"/>
            </w:pPr>
            <w:r>
              <w:rPr>
                <w:rFonts w:ascii="仿宋_GB2312" w:hAnsi="仿宋_GB2312" w:cs="仿宋_GB2312" w:eastAsia="仿宋_GB2312"/>
              </w:rPr>
              <w:t>（8）其他法律法规、规章、政策及采购人单位要求等。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自合同签订之日起120日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资中县水南镇和鸣大道609号附301号（资中县审计局）</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 验收主体：采购人。 （2）验收标准：按国家有关规定以及招标文件的质量要求和技术指标、供应商的响应文件及承诺等进行验收。 （3）验收时间：供应商提出验收申请后10日内组织验收。 （4）项目验收结果合格的，供应商凭验收证明办理相关手续 。 （5）其他未尽事宜应严格按照政府采购相关法律法规以及《财政部关于进一步加强政府采购需求和履约验收管理的指导意见》（财库〔2016〕205号）的要求、招标文件的质量要求和技术指标、供应商的响应文件及承诺以及合同约定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进度款付款条件：提交初审成果后。达到该付款条件起5个工作日内，据实情况为采购人支付基本审计费的20%</w:t>
            </w:r>
            <w:r>
              <w:br/>
            </w:r>
            <w:r>
              <w:rPr>
                <w:rFonts w:ascii="仿宋_GB2312" w:hAnsi="仿宋_GB2312" w:cs="仿宋_GB2312" w:eastAsia="仿宋_GB2312"/>
              </w:rPr>
              <w:t>2、</w:t>
            </w:r>
            <w:r>
              <w:rPr>
                <w:rFonts w:ascii="仿宋_GB2312" w:hAnsi="仿宋_GB2312" w:cs="仿宋_GB2312" w:eastAsia="仿宋_GB2312"/>
              </w:rPr>
              <w:t>尾款付款条件：提交正式审计成果经采购人验收合格后。达到该付款条件起5个工作日内，据实情况为支付基本审计费的80%和效益审计费，基本审计费和效益审计费之和最高不得超过成交金额</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（1）甲乙双方必须遵守合同并执行合同中的各项规定，保证合同的正常履行。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（3）如因甲方原因导致变更、中止或者终止合同的，甲方应当依照合同约定对乙方受到的损失予以赔偿或者补偿。 2、争议解决办法： （1）在执行合同中发生的或与本合同有关的争端，双方应通过友好协商解决，经协商在60天内不能达成协议时，任何一方可向采购方所在地人民法院提起民事诉讼。 （2）诉讼裁决应为最终决定，并对双方具有约束力。 （3）除另有裁决外，诉讼费应由败诉方负担。 （4）在诉讼期间，除正在进行诉讼部分外，合同其他部分继续执行。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合同价款：供应商报价为包干费用，包括完成本项目所涉及的资料费、办公费、人工劳务费、物耗、管理费、差旅、食宿、交通费用、现场踏勘、保险、风险、税费等费用及与供应商履约本项目所需要的其他所有费用。 ★2、结算方式：结算审计服务费=基本审计费+效益审计费 ；其中基本审计费：最高限价为65万元；效益审计费：审减金额（审增审减品跌后）*1%（效益审计费控制在35万元之内，即未超过35万元的据实计算费用，超过35万元的按35万元上限确定费用）。 最终基本审计费与效益审计费之和不得超过供应商的最终报价金额，超过的按供应商的最终报价金额支付，没超过的以实际计算结果支付。 ★3、报价要求：因效益审计费无法确定，本项目效益审计费暂估为35万元，供应商各报价轮次的总价报价=[35万元（效益审计费）+基本审计费]。 效益审计费在各报价轮次中的报价是固定不变的，不得增加或者减少，否则其报价无效。基本审计费报价部分应符合磋商文件“异常低价响应审查程序”的规定。 4、供应商提供针对本项目制定的竣工结算审计实施方案，方案内容包含：①项目审前调查方案；②审计重点及难点；③审计进度安排及控制措施；④组织协调及处理问题建议措施；⑤应急预案；⑥廉洁纪律措施。 5、供应商提供针对本项目制定的内控质量管理制度，方案内容包含：①人员管理制度（包含：项目人员岗位职责划分、业务操作规范、项目人员考核办法及考核内容）；②质量管理制度（包含：复核制度、审核回避制度、质量控制管理制度、风险管理制度）；③工程资料档案管理制度；④保密制度；⑤廉洁管理制度。 6、供应商需提供相关业绩履约能力的证明材料。 7、供应商需针对本项目提供人员配置相关信息。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-2025年度（任意一年度）供应商经审计的完整有效的财务报告复印件；②也可提供2023-2025年度（任意一年度）供应商内部的财务报表复印件（至少应包含资产负债表、现金流量表、利润表）；③也可提供距文件递交截止日一年内银行出具的资信证明（复印件）；④供应商注册时间至文件递交截止日不足一年的，也可提供在相关主管部门备案的公司章程（复印件）；⑤非营利性单位或者社会团体或者其他机关事业单位提供的证明材料以符合财务会计制度为准。供应商需按上述要求上传相应证明材料并进行电子签章。</w:t>
            </w:r>
          </w:p>
        </w:tc>
        <w:tc>
          <w:tcPr>
            <w:tcW w:type="dxa" w:w="1661"/>
          </w:tcPr>
          <w:p>
            <w:pPr>
              <w:pStyle w:val="null3"/>
              <w:jc w:val="left"/>
            </w:pPr>
            <w:r>
              <w:rPr>
                <w:rFonts w:ascii="仿宋_GB2312" w:hAnsi="仿宋_GB2312" w:cs="仿宋_GB2312" w:eastAsia="仿宋_GB2312"/>
              </w:rPr>
              <w:t>体现健全的财务制度的证明材料.docx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是否满足采购文件的实质性要求。</w:t>
            </w:r>
          </w:p>
        </w:tc>
        <w:tc>
          <w:tcPr>
            <w:tcW w:type="dxa" w:w="3322"/>
          </w:tcPr>
          <w:p>
            <w:pPr>
              <w:pStyle w:val="null3"/>
              <w:jc w:val="left"/>
            </w:pPr>
            <w:r>
              <w:rPr>
                <w:rFonts w:ascii="仿宋_GB2312" w:hAnsi="仿宋_GB2312" w:cs="仿宋_GB2312" w:eastAsia="仿宋_GB2312"/>
              </w:rPr>
              <w:t>报价不符合采购文件规定的采购预算金额或限价或其他报价规定的，作无效响应处理；技术、服务，商务应答内容没有完全响应采购文件的实质性要求的，作无效响应处理；不满足采购文件规定的其他实质性内容的，作无效响应处理。</w:t>
            </w:r>
          </w:p>
        </w:tc>
        <w:tc>
          <w:tcPr>
            <w:tcW w:type="dxa" w:w="1661"/>
          </w:tcPr>
          <w:p>
            <w:pPr>
              <w:pStyle w:val="null3"/>
              <w:jc w:val="left"/>
            </w:pPr>
            <w:r>
              <w:rPr>
                <w:rFonts w:ascii="仿宋_GB2312" w:hAnsi="仿宋_GB2312" w:cs="仿宋_GB2312" w:eastAsia="仿宋_GB2312"/>
              </w:rPr>
              <w:t>技术、服务要求应答表.docx,报价表,商务应答表.docx,供应商应提交的其他评审相关证明材料.docx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竣工结算审计实施方案、内控质量管理制度</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竣工结算审计实施方案</w:t>
            </w:r>
          </w:p>
        </w:tc>
        <w:tc>
          <w:tcPr>
            <w:tcW w:type="dxa" w:w="2575"/>
          </w:tcPr>
          <w:p>
            <w:pPr>
              <w:pStyle w:val="null3"/>
              <w:jc w:val="left"/>
            </w:pPr>
            <w:r>
              <w:rPr>
                <w:rFonts w:ascii="仿宋_GB2312" w:hAnsi="仿宋_GB2312" w:cs="仿宋_GB2312" w:eastAsia="仿宋_GB2312"/>
              </w:rPr>
              <w:t>供应商针对本项目提供的竣工结算审计实施方案：①项目审前调查方案；②审计重点及难点；③审计进度安排及控制措施；④组织协调及处理问题建议措施；⑤应急预案；⑥廉洁纪律措施。上述6项内容：每具有一项得6分，未提供或仅有标题无正文内容不得分。前述方案①-⑥项中：每存在一处缺陷的扣3分，每项最多扣6分。此项满分为36分。 注：缺陷是指：1.存在项目名称错误、2.地点区域错误、3.内容与本项目需求无关、4.方案中引用的标准错误或失效等任一一种情形。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供应商应提交的其他评审相关证明材料.docx</w:t>
            </w:r>
          </w:p>
        </w:tc>
      </w:tr>
      <w:tr>
        <w:tc>
          <w:tcPr>
            <w:tcW w:type="dxa" w:w="831"/>
            <w:vMerge/>
          </w:tcPr>
          <w:p/>
        </w:tc>
        <w:tc>
          <w:tcPr>
            <w:tcW w:type="dxa" w:w="1661"/>
          </w:tcPr>
          <w:p>
            <w:pPr>
              <w:pStyle w:val="null3"/>
              <w:jc w:val="left"/>
            </w:pPr>
            <w:r>
              <w:rPr>
                <w:rFonts w:ascii="仿宋_GB2312" w:hAnsi="仿宋_GB2312" w:cs="仿宋_GB2312" w:eastAsia="仿宋_GB2312"/>
              </w:rPr>
              <w:t>内控质量管理制度</w:t>
            </w:r>
          </w:p>
        </w:tc>
        <w:tc>
          <w:tcPr>
            <w:tcW w:type="dxa" w:w="2575"/>
          </w:tcPr>
          <w:p>
            <w:pPr>
              <w:pStyle w:val="null3"/>
              <w:jc w:val="left"/>
            </w:pPr>
            <w:r>
              <w:rPr>
                <w:rFonts w:ascii="仿宋_GB2312" w:hAnsi="仿宋_GB2312" w:cs="仿宋_GB2312" w:eastAsia="仿宋_GB2312"/>
              </w:rPr>
              <w:t>供应商针对本项目提供的内控质量管理制度：①人员管理制度（包含：项目人员岗位职责划分、业务操作规范、项目人员考核办法及考核内容）；②质量管理制度（包含：复核制度、审核回避制度、质量控制管理制度、风险管理制度）；③工程资料档案管理制度；④保密制度；⑤廉洁管理制度。上述5项内容：每具有一项得2分，未提供或仅有标题无正文内容不得分。前述方案①-⑤项中：每存在一处缺陷的扣1分，每项最多扣2分。此项满分为10分。 注：缺陷是指：1.存在项目名称错误、2.地点区域错误、3.内容与本项目需求无关、4.方案中引用的标准错误或失效等任一一种情形。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供应商应提交的其他评审相关证明材料.docx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拟投入本项目的项目负责人：具有全国一级注册造价工程师证书（土建专业）得2分，在此基础上：具有工程类高级职称的加2分；2023年1月1日（含）以来，担任过房屋建筑工程结算审核（审计）造价咨询项目负责人的加2分；本项最多加4分；本项最多得6分。 2、供应商拟投入本项目的土建负责人：具有全国注册一级造价工程师证书（土建专业）的得2分，在此基础上：具有工程类高级职称的加2分；本项最多加2分；本项最多得4分。 3、供应商拟投入本项目的安装负责人：具有全国注册一级造价工程师证书（安装专业）的得2分，在此基础上：具有工程类高级职称的加2分；本项最多加2分；本项最多得4分。 4、供应商拟投入本项目的团队其他专业人员：每具有一名全国注册一级造价工程师得2分；本项最多得14分。 注： 1、以上人员不得重复任职，若重复任职将不予计分，注册证书须在本单位注册。 2、项目负责人相关证书需提供证书复印件并加盖供应商公章予以佐证，业绩需提供合同复印件或者项目成果报告复印件予以佐证（提供的证明材料中需体现拟投入的人员为该项目的负责人）。 3、第2-4项人员需提供相关证书复印件并加盖供应商公章予以佐证。</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供应商应提交的其他评审相关证明材料.docx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 2023年1月1日（含）以来，每具有一个房屋建筑工程造价咨询类项目业绩得2分，本项最高得6分。 注： 1、工程造价咨询类项目是指竣工结算审核或结算复核或结算审计类业绩。 2、需提供合同复印件并加盖供应商公章予以佐证。</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供应商应提交的其他评审相关证明材料.docx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详见附件：供应商应提交的其他评审相关证明材料.docx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详见附件：体现健全的财务制度的证明材料.docx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