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福州市第二总医院卫生应急队伍装备采购项目(二次)</w:t>
      </w:r>
    </w:p>
    <w:p>
      <w:pPr>
        <w:pStyle w:val="null3"/>
        <w:jc w:val="center"/>
        <w:outlineLvl w:val="2"/>
      </w:pPr>
      <w:r>
        <w:rPr>
          <w:sz w:val="28"/>
          <w:b/>
        </w:rPr>
        <w:t>备案编号：</w:t>
      </w:r>
      <w:r>
        <w:rPr>
          <w:sz w:val="28"/>
          <w:b/>
        </w:rPr>
        <w:t>CGXM-2024-350101-02834[2024]01492</w:t>
      </w:r>
    </w:p>
    <w:p>
      <w:pPr>
        <w:pStyle w:val="null3"/>
        <w:jc w:val="center"/>
        <w:outlineLvl w:val="2"/>
      </w:pPr>
      <w:r>
        <w:rPr>
          <w:sz w:val="28"/>
          <w:b/>
        </w:rPr>
        <w:t>项目编号：</w:t>
      </w:r>
      <w:r>
        <w:rPr>
          <w:sz w:val="28"/>
          <w:b/>
        </w:rPr>
        <w:t>[350101]FJXFZB[GK]2024003-1</w:t>
      </w:r>
    </w:p>
    <w:p>
      <w:pPr>
        <w:pStyle w:val="null3"/>
        <w:jc w:val="center"/>
        <w:outlineLvl w:val="2"/>
      </w:pPr>
      <w:r>
        <w:rPr>
          <w:sz w:val="28"/>
          <w:b/>
        </w:rPr>
        <w:t>采购人：</w:t>
      </w:r>
      <w:r>
        <w:rPr>
          <w:sz w:val="28"/>
          <w:b/>
        </w:rPr>
        <w:t>福州市第二总医院</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福州市第二总医院卫生应急队伍装备采购项目(二次)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CGXM-2024-350101-02834[2024]01492</w:t>
      </w:r>
    </w:p>
    <w:p>
      <w:pPr>
        <w:pStyle w:val="null3"/>
        <w:ind w:firstLine="480"/>
        <w:jc w:val="left"/>
        <w:outlineLvl w:val="2"/>
      </w:pPr>
      <w:r>
        <w:rPr>
          <w:sz w:val="28"/>
          <w:b/>
        </w:rPr>
        <w:t>2、项目编号</w:t>
      </w:r>
      <w:r>
        <w:rPr>
          <w:sz w:val="28"/>
          <w:b/>
        </w:rPr>
        <w:t>：</w:t>
      </w:r>
      <w:r>
        <w:rPr>
          <w:sz w:val="28"/>
          <w:b/>
        </w:rPr>
        <w:t>[350101]FJXFZB[GK]2024003-1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不适用于采购包1；</w:t>
      </w:r>
    </w:p>
    <w:p>
      <w:pPr>
        <w:pStyle w:val="null3"/>
        <w:ind w:firstLine="960"/>
        <w:jc w:val="left"/>
      </w:pPr>
      <w:r>
        <w:rPr/>
        <w:t>节能产品：</w:t>
      </w:r>
      <w:r>
        <w:rPr/>
        <w:t>适用于采购包1；</w:t>
      </w:r>
    </w:p>
    <w:p>
      <w:pPr>
        <w:pStyle w:val="null3"/>
        <w:ind w:firstLine="960"/>
        <w:jc w:val="left"/>
      </w:pPr>
      <w:r>
        <w:rPr/>
        <w:t>环境标志产品：</w:t>
      </w:r>
      <w:r>
        <w:rPr/>
        <w:t>适用于采购包1；</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财务状况报告、依法缴纳税收和依法缴纳社会保障资金的相关材料要求（若有）</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福州市第二总医院</w:t>
      </w:r>
    </w:p>
    <w:p>
      <w:pPr>
        <w:pStyle w:val="null3"/>
        <w:ind w:firstLine="960"/>
        <w:jc w:val="left"/>
      </w:pPr>
      <w:r>
        <w:rPr/>
        <w:t xml:space="preserve"> 地址： </w:t>
      </w:r>
      <w:r>
        <w:rPr/>
        <w:t>福州市仓山区上藤路47号</w:t>
      </w:r>
    </w:p>
    <w:p>
      <w:pPr>
        <w:pStyle w:val="null3"/>
        <w:jc w:val="left"/>
      </w:pPr>
      <w:r>
        <w:rPr/>
        <w:t xml:space="preserve"> 邮编： </w:t>
      </w:r>
      <w:r>
        <w:rPr/>
        <w:t>350007</w:t>
      </w:r>
    </w:p>
    <w:p>
      <w:pPr>
        <w:pStyle w:val="null3"/>
        <w:jc w:val="left"/>
      </w:pPr>
      <w:r>
        <w:rPr/>
        <w:t xml:space="preserve"> 联系人： </w:t>
      </w:r>
      <w:r>
        <w:rPr/>
        <w:t>陈女士</w:t>
      </w:r>
    </w:p>
    <w:p>
      <w:pPr>
        <w:pStyle w:val="null3"/>
        <w:jc w:val="left"/>
      </w:pPr>
      <w:r>
        <w:rPr/>
        <w:t xml:space="preserve"> 联系电话： </w:t>
      </w:r>
      <w:r>
        <w:rPr/>
        <w:t>0591-22169031</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350002</w:t>
      </w:r>
    </w:p>
    <w:p>
      <w:pPr>
        <w:pStyle w:val="null3"/>
        <w:jc w:val="both"/>
      </w:pPr>
      <w:r>
        <w:rPr/>
        <w:t xml:space="preserve"> 联系人： </w:t>
      </w:r>
      <w:r>
        <w:rPr/>
        <w:t>林娜、陈爱光</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681,400.00</w:t>
      </w:r>
    </w:p>
    <w:p>
      <w:pPr>
        <w:pStyle w:val="null3"/>
        <w:jc w:val="left"/>
      </w:pPr>
      <w:r>
        <w:rPr/>
        <w:t>采购包最高限价（元）: 681,400.00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仓储管理系统</w:t>
            </w:r>
          </w:p>
        </w:tc>
        <w:tc>
          <w:tcPr>
            <w:tcW w:type="dxa" w:w="1187"/>
          </w:tcPr>
          <w:p>
            <w:pPr>
              <w:pStyle w:val="null3"/>
              <w:jc w:val="right"/>
            </w:pPr>
            <w:r>
              <w:rPr/>
              <w:t>1.00</w:t>
            </w:r>
          </w:p>
        </w:tc>
        <w:tc>
          <w:tcPr>
            <w:tcW w:type="dxa" w:w="1187"/>
          </w:tcPr>
          <w:p>
            <w:pPr>
              <w:pStyle w:val="null3"/>
              <w:jc w:val="right"/>
            </w:pPr>
            <w:r>
              <w:rPr/>
              <w:t>150,000.00</w:t>
            </w:r>
          </w:p>
        </w:tc>
        <w:tc>
          <w:tcPr>
            <w:tcW w:type="dxa" w:w="1187"/>
          </w:tcPr>
          <w:p>
            <w:pPr>
              <w:pStyle w:val="null3"/>
              <w:jc w:val="left"/>
            </w:pPr>
            <w:r>
              <w:rPr/>
              <w:t>套</w:t>
            </w:r>
          </w:p>
        </w:tc>
        <w:tc>
          <w:tcPr>
            <w:tcW w:type="dxa" w:w="1187"/>
          </w:tcPr>
          <w:p>
            <w:pPr>
              <w:pStyle w:val="null3"/>
              <w:jc w:val="left"/>
            </w:pPr>
            <w:r>
              <w:rPr/>
              <w:t>软件和信息技术服务业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单兵侦测仪</w:t>
            </w:r>
          </w:p>
        </w:tc>
        <w:tc>
          <w:tcPr>
            <w:tcW w:type="dxa" w:w="1187"/>
          </w:tcPr>
          <w:p>
            <w:pPr>
              <w:pStyle w:val="null3"/>
              <w:jc w:val="right"/>
            </w:pPr>
            <w:r>
              <w:rPr/>
              <w:t>1.00</w:t>
            </w:r>
          </w:p>
        </w:tc>
        <w:tc>
          <w:tcPr>
            <w:tcW w:type="dxa" w:w="1187"/>
          </w:tcPr>
          <w:p>
            <w:pPr>
              <w:pStyle w:val="null3"/>
              <w:jc w:val="right"/>
            </w:pPr>
            <w:r>
              <w:rPr/>
              <w:t>11,000.00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w:t>
            </w:r>
          </w:p>
        </w:tc>
        <w:tc>
          <w:tcPr>
            <w:tcW w:type="dxa" w:w="1187"/>
          </w:tcPr>
          <w:p>
            <w:pPr>
              <w:pStyle w:val="null3"/>
              <w:jc w:val="left"/>
            </w:pPr>
            <w:r>
              <w:rPr/>
              <w:t>空投箱</w:t>
            </w:r>
          </w:p>
        </w:tc>
        <w:tc>
          <w:tcPr>
            <w:tcW w:type="dxa" w:w="1187"/>
          </w:tcPr>
          <w:p>
            <w:pPr>
              <w:pStyle w:val="null3"/>
              <w:jc w:val="right"/>
            </w:pPr>
            <w:r>
              <w:rPr/>
              <w:t>20.00</w:t>
            </w:r>
          </w:p>
        </w:tc>
        <w:tc>
          <w:tcPr>
            <w:tcW w:type="dxa" w:w="1187"/>
          </w:tcPr>
          <w:p>
            <w:pPr>
              <w:pStyle w:val="null3"/>
              <w:jc w:val="right"/>
            </w:pPr>
            <w:r>
              <w:rPr/>
              <w:t>18,000.00</w:t>
            </w:r>
          </w:p>
        </w:tc>
        <w:tc>
          <w:tcPr>
            <w:tcW w:type="dxa" w:w="1187"/>
          </w:tcPr>
          <w:p>
            <w:pPr>
              <w:pStyle w:val="null3"/>
              <w:jc w:val="left"/>
            </w:pPr>
            <w:r>
              <w:rPr/>
              <w:t>个</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4</w:t>
            </w:r>
          </w:p>
        </w:tc>
        <w:tc>
          <w:tcPr>
            <w:tcW w:type="dxa" w:w="1187"/>
          </w:tcPr>
          <w:p>
            <w:pPr>
              <w:pStyle w:val="null3"/>
              <w:jc w:val="left"/>
            </w:pPr>
            <w:r>
              <w:rPr/>
              <w:t>户外大型移动电源</w:t>
            </w:r>
          </w:p>
        </w:tc>
        <w:tc>
          <w:tcPr>
            <w:tcW w:type="dxa" w:w="1187"/>
          </w:tcPr>
          <w:p>
            <w:pPr>
              <w:pStyle w:val="null3"/>
              <w:jc w:val="right"/>
            </w:pPr>
            <w:r>
              <w:rPr/>
              <w:t>5.00</w:t>
            </w:r>
          </w:p>
        </w:tc>
        <w:tc>
          <w:tcPr>
            <w:tcW w:type="dxa" w:w="1187"/>
          </w:tcPr>
          <w:p>
            <w:pPr>
              <w:pStyle w:val="null3"/>
              <w:jc w:val="right"/>
            </w:pPr>
            <w:r>
              <w:rPr/>
              <w:t>128,500.00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5</w:t>
            </w:r>
          </w:p>
        </w:tc>
        <w:tc>
          <w:tcPr>
            <w:tcW w:type="dxa" w:w="1187"/>
          </w:tcPr>
          <w:p>
            <w:pPr>
              <w:pStyle w:val="null3"/>
              <w:jc w:val="left"/>
            </w:pPr>
            <w:r>
              <w:rPr/>
              <w:t>简易电动叉车</w:t>
            </w:r>
          </w:p>
        </w:tc>
        <w:tc>
          <w:tcPr>
            <w:tcW w:type="dxa" w:w="1187"/>
          </w:tcPr>
          <w:p>
            <w:pPr>
              <w:pStyle w:val="null3"/>
              <w:jc w:val="right"/>
            </w:pPr>
            <w:r>
              <w:rPr/>
              <w:t>2.00</w:t>
            </w:r>
          </w:p>
        </w:tc>
        <w:tc>
          <w:tcPr>
            <w:tcW w:type="dxa" w:w="1187"/>
          </w:tcPr>
          <w:p>
            <w:pPr>
              <w:pStyle w:val="null3"/>
              <w:jc w:val="right"/>
            </w:pPr>
            <w:r>
              <w:rPr/>
              <w:t>39,000.00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6</w:t>
            </w:r>
          </w:p>
        </w:tc>
        <w:tc>
          <w:tcPr>
            <w:tcW w:type="dxa" w:w="1187"/>
          </w:tcPr>
          <w:p>
            <w:pPr>
              <w:pStyle w:val="null3"/>
              <w:jc w:val="left"/>
            </w:pPr>
            <w:r>
              <w:rPr/>
              <w:t>便携式携行床</w:t>
            </w:r>
          </w:p>
        </w:tc>
        <w:tc>
          <w:tcPr>
            <w:tcW w:type="dxa" w:w="1187"/>
          </w:tcPr>
          <w:p>
            <w:pPr>
              <w:pStyle w:val="null3"/>
              <w:jc w:val="right"/>
            </w:pPr>
            <w:r>
              <w:rPr/>
              <w:t>60.00</w:t>
            </w:r>
          </w:p>
        </w:tc>
        <w:tc>
          <w:tcPr>
            <w:tcW w:type="dxa" w:w="1187"/>
          </w:tcPr>
          <w:p>
            <w:pPr>
              <w:pStyle w:val="null3"/>
              <w:jc w:val="right"/>
            </w:pPr>
            <w:r>
              <w:rPr/>
              <w:t>12,000.00</w:t>
            </w:r>
          </w:p>
        </w:tc>
        <w:tc>
          <w:tcPr>
            <w:tcW w:type="dxa" w:w="1187"/>
          </w:tcPr>
          <w:p>
            <w:pPr>
              <w:pStyle w:val="null3"/>
              <w:jc w:val="left"/>
            </w:pPr>
            <w:r>
              <w:rPr/>
              <w:t>张</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7</w:t>
            </w:r>
          </w:p>
        </w:tc>
        <w:tc>
          <w:tcPr>
            <w:tcW w:type="dxa" w:w="1187"/>
          </w:tcPr>
          <w:p>
            <w:pPr>
              <w:pStyle w:val="null3"/>
              <w:jc w:val="left"/>
            </w:pPr>
            <w:r>
              <w:rPr/>
              <w:t>超轻型救灾帐篷</w:t>
            </w:r>
          </w:p>
        </w:tc>
        <w:tc>
          <w:tcPr>
            <w:tcW w:type="dxa" w:w="1187"/>
          </w:tcPr>
          <w:p>
            <w:pPr>
              <w:pStyle w:val="null3"/>
              <w:jc w:val="right"/>
            </w:pPr>
            <w:r>
              <w:rPr/>
              <w:t>2.00</w:t>
            </w:r>
          </w:p>
        </w:tc>
        <w:tc>
          <w:tcPr>
            <w:tcW w:type="dxa" w:w="1187"/>
          </w:tcPr>
          <w:p>
            <w:pPr>
              <w:pStyle w:val="null3"/>
              <w:jc w:val="right"/>
            </w:pPr>
            <w:r>
              <w:rPr/>
              <w:t>300,000.00</w:t>
            </w:r>
          </w:p>
        </w:tc>
        <w:tc>
          <w:tcPr>
            <w:tcW w:type="dxa" w:w="1187"/>
          </w:tcPr>
          <w:p>
            <w:pPr>
              <w:pStyle w:val="null3"/>
              <w:jc w:val="left"/>
            </w:pPr>
            <w:r>
              <w:rPr/>
              <w:t>顶</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8</w:t>
            </w:r>
          </w:p>
        </w:tc>
        <w:tc>
          <w:tcPr>
            <w:tcW w:type="dxa" w:w="1187"/>
          </w:tcPr>
          <w:p>
            <w:pPr>
              <w:pStyle w:val="null3"/>
              <w:jc w:val="left"/>
            </w:pPr>
            <w:r>
              <w:rPr/>
              <w:t>卫星电话服务费</w:t>
            </w:r>
          </w:p>
        </w:tc>
        <w:tc>
          <w:tcPr>
            <w:tcW w:type="dxa" w:w="1187"/>
          </w:tcPr>
          <w:p>
            <w:pPr>
              <w:pStyle w:val="null3"/>
              <w:jc w:val="right"/>
            </w:pPr>
            <w:r>
              <w:rPr/>
              <w:t>2.00</w:t>
            </w:r>
          </w:p>
        </w:tc>
        <w:tc>
          <w:tcPr>
            <w:tcW w:type="dxa" w:w="1187"/>
          </w:tcPr>
          <w:p>
            <w:pPr>
              <w:pStyle w:val="null3"/>
              <w:jc w:val="right"/>
            </w:pPr>
            <w:r>
              <w:rPr/>
              <w:t>4,000.00</w:t>
            </w:r>
          </w:p>
        </w:tc>
        <w:tc>
          <w:tcPr>
            <w:tcW w:type="dxa" w:w="1187"/>
          </w:tcPr>
          <w:p>
            <w:pPr>
              <w:pStyle w:val="null3"/>
              <w:jc w:val="left"/>
            </w:pPr>
            <w:r>
              <w:rPr/>
              <w:t>部</w:t>
            </w:r>
          </w:p>
        </w:tc>
        <w:tc>
          <w:tcPr>
            <w:tcW w:type="dxa" w:w="1187"/>
          </w:tcPr>
          <w:p>
            <w:pPr>
              <w:pStyle w:val="null3"/>
              <w:jc w:val="left"/>
            </w:pPr>
            <w:r>
              <w:rPr/>
              <w:t>信息传输业</w:t>
            </w:r>
          </w:p>
        </w:tc>
        <w:tc>
          <w:tcPr>
            <w:tcW w:type="dxa" w:w="1187"/>
          </w:tcPr>
          <w:p>
            <w:pPr>
              <w:pStyle w:val="null3"/>
              <w:jc w:val="left"/>
            </w:pPr>
            <w:r>
              <w:rPr/>
              <w:t>否</w:t>
            </w:r>
          </w:p>
        </w:tc>
      </w:tr>
      <w:tr>
        <w:tc>
          <w:tcPr>
            <w:tcW w:type="dxa" w:w="1187"/>
          </w:tcPr>
          <w:p>
            <w:pPr>
              <w:pStyle w:val="null3"/>
              <w:jc w:val="left"/>
            </w:pPr>
            <w:r>
              <w:rPr/>
              <w:t>9</w:t>
            </w:r>
          </w:p>
        </w:tc>
        <w:tc>
          <w:tcPr>
            <w:tcW w:type="dxa" w:w="1187"/>
          </w:tcPr>
          <w:p>
            <w:pPr>
              <w:pStyle w:val="null3"/>
              <w:jc w:val="left"/>
            </w:pPr>
            <w:r>
              <w:rPr/>
              <w:t>人身意外险</w:t>
            </w:r>
          </w:p>
        </w:tc>
        <w:tc>
          <w:tcPr>
            <w:tcW w:type="dxa" w:w="1187"/>
          </w:tcPr>
          <w:p>
            <w:pPr>
              <w:pStyle w:val="null3"/>
              <w:jc w:val="right"/>
            </w:pPr>
            <w:r>
              <w:rPr/>
              <w:t>42.00</w:t>
            </w:r>
          </w:p>
        </w:tc>
        <w:tc>
          <w:tcPr>
            <w:tcW w:type="dxa" w:w="1187"/>
          </w:tcPr>
          <w:p>
            <w:pPr>
              <w:pStyle w:val="null3"/>
              <w:jc w:val="right"/>
            </w:pPr>
            <w:r>
              <w:rPr/>
              <w:t>18,900.00</w:t>
            </w:r>
          </w:p>
        </w:tc>
        <w:tc>
          <w:tcPr>
            <w:tcW w:type="dxa" w:w="1187"/>
          </w:tcPr>
          <w:p>
            <w:pPr>
              <w:pStyle w:val="null3"/>
              <w:jc w:val="left"/>
            </w:pPr>
            <w:r>
              <w:rPr/>
              <w:t>份</w:t>
            </w:r>
          </w:p>
        </w:tc>
        <w:tc>
          <w:tcPr>
            <w:tcW w:type="dxa" w:w="1187"/>
          </w:tcPr>
          <w:p>
            <w:pPr>
              <w:pStyle w:val="null3"/>
              <w:jc w:val="left"/>
            </w:pPr>
            <w:r>
              <w:rPr/>
              <w:t>租赁和商务服务业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规定的中标金额作为收费的计算基数，100万元(含)以下按1.5%。2）代理服务费的缴纳方式：a.中标人应在领取中标通知书的同时按规定的标准一次性向采购代理机构缴清代理服务费；b.代理服务费以银行转账、电汇、汇票或现金等付款方式缴纳；3）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投标人必须对其投标文件中提供各种资料、说明的真实性负责。在评标过程中，如有发现投标人有为谋取中标而提供虚假资料欺骗采购人和评委的行为，将取消其中标资格。若在中标后和执行合同过程中发现其提供虚假资料的将取消其中标资格，给采购人造成损失的，还必须进行赔偿并负相关责任。评标过程中无论是否有对原件进行核实，投标人都必须对其提供各种资料、说明的真实性负责。 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3、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4、关于“成立年限满1年及以上的投标人，提供经审计的上一年度的年度财务报告”补充说明：经审计的上一年度的年度财务报告是指经审计的2023年度财务报告复印件。 5、投标人出现 《福建省财政厅关于电子化政府采购项目中视为串标情形认定与处理的指导意见》（闽财购〔2018〕30号）文中规定的视为串标情形的，其投标无效。 6、 因疫情影响享受缓缴或免缴社保、税款的企业，无法提供招标文件要求的相关社保、税收缴纳证明材料的，须提供有关情况说明视同社保、税收缴纳证明材料提交完整。 7、因疫情原因造成各类资格资质证书到期无法及时年审的，投标人可以提供相关管理部门政策，在投标时提交书面说明，若投标人提供了证据证明符合上述情形的，不影响其投标（或评审得分），否则，评标委员会可作出对其不利的评审。</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财务状况报告、依法缴纳税收和依法缴纳社会保障资金的相关材料要求（若有）</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投标人所投产品属于国家有强制性要求的(如3C认证、信息安全产品等)，投标文件中未提供相关的证明文件或证书复印件。</w:t>
            </w:r>
          </w:p>
        </w:tc>
      </w:tr>
      <w:tr>
        <w:tc>
          <w:tcPr>
            <w:tcW w:type="dxa" w:w="4153"/>
          </w:tcPr>
          <w:p>
            <w:pPr>
              <w:pStyle w:val="null3"/>
              <w:jc w:val="left"/>
            </w:pPr>
            <w:r>
              <w:rPr/>
              <w:t>其他情形</w:t>
            </w:r>
          </w:p>
        </w:tc>
        <w:tc>
          <w:tcPr>
            <w:tcW w:type="dxa" w:w="4153"/>
          </w:tcPr>
          <w:p>
            <w:pPr>
              <w:pStyle w:val="null3"/>
              <w:jc w:val="left"/>
            </w:pPr>
            <w:r>
              <w:rPr/>
              <w:t>投标人技术项得分少于技术项总分50%的。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经采购人确认，本采购包为非专门面向中小企业采购项目。（1）《政府采购促进中小企业发展管理办法》、《关于进一步加大政府采购支持中小企业力度的通知》、《福建省财政厅关于进一步加大政府采购支持中小企业力度的通知》价格扣除： 根据《关于印发≤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投标人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投标人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2%）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 （3）根据《财政部 民政部 中国残疾人联合会关于促进残疾人就业政府采购政策的通知》（财库〔2017〕141号）规定，符合规定的残疾人福利性单位参加政府采购活动视同小型、微型企业，提供《残疾人福利性单位声明函》并对声明的真实性负责，其报价享受15%（工程项目为5%）的评审价格扣除优惠。对残疾人福利性单位与其他组织组成联合体参与政府采购活动的，残疾人福利性单位的协议合同金额占总合同金额30%以上的，给予联合体合同金额5%（工程项目为2%）的价格扣除。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 注：1、本采购包为货物类采购项目，采购标的对应的中小企业划分标准所属行业详见“采购标的一览表”。2、依据本办法规定享受扶持政策获得政府采购合同的，小微企业不得将合同分包给大中型企业，中型企业不得将合同分包给大型企业。3、投标人提供声明函内容不实的或提供虚假证明文件的，均属于提供虚假材料谋取中标、成交，一经发现将依照《中华人民共和国政府采购法》等国家有关规定追究相应责任。</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1、技术规格及配置要求符合情况</w:t>
            </w:r>
          </w:p>
        </w:tc>
        <w:tc>
          <w:tcPr>
            <w:tcW w:type="dxa" w:w="831"/>
          </w:tcPr>
          <w:p>
            <w:pPr>
              <w:pStyle w:val="null3"/>
              <w:jc w:val="right"/>
            </w:pPr>
            <w:r>
              <w:rPr/>
              <w:t>57.0000</w:t>
            </w:r>
          </w:p>
        </w:tc>
        <w:tc>
          <w:tcPr>
            <w:tcW w:type="dxa" w:w="4153"/>
          </w:tcPr>
          <w:p>
            <w:pPr>
              <w:pStyle w:val="null3"/>
              <w:jc w:val="both"/>
            </w:pPr>
            <w:r>
              <w:rPr/>
              <w:t>根据投标人所投设备对《第五章招标内容及要求》“二、技术服务要求”中技术参数的响应、承诺情况，由评委进行评议并评分, 完全满足招标文件技术参数要求的得57分。（1）标注“★”符号的技术参数（共1项）为不允许负偏离的实质性要求，有出现负偏离的其投标无效；（2)标注“▲”符号的技术参数（共4项，合计12分）每负偏离一项扣3分；（3）未标注“★”“▲”符号的技术参数（共75项，合计45分）每负偏离一项扣0.6分，扣完为止，正偏离不加分。</w:t>
            </w:r>
          </w:p>
        </w:tc>
      </w:tr>
      <w:tr>
        <w:tc>
          <w:tcPr>
            <w:tcW w:type="dxa" w:w="3322"/>
          </w:tcPr>
          <w:p>
            <w:pPr>
              <w:pStyle w:val="null3"/>
              <w:jc w:val="both"/>
            </w:pPr>
            <w:r>
              <w:rPr/>
              <w:t>2、应急处理方案</w:t>
            </w:r>
          </w:p>
        </w:tc>
        <w:tc>
          <w:tcPr>
            <w:tcW w:type="dxa" w:w="831"/>
          </w:tcPr>
          <w:p>
            <w:pPr>
              <w:pStyle w:val="null3"/>
              <w:jc w:val="right"/>
            </w:pPr>
            <w:r>
              <w:rPr/>
              <w:t>3.0000</w:t>
            </w:r>
          </w:p>
        </w:tc>
        <w:tc>
          <w:tcPr>
            <w:tcW w:type="dxa" w:w="4153"/>
          </w:tcPr>
          <w:p>
            <w:pPr>
              <w:pStyle w:val="null3"/>
              <w:jc w:val="both"/>
            </w:pPr>
            <w:r>
              <w:rPr/>
              <w:t>根据投标人针对本项目提供的应急处理方案进行评分，内容至少包含：①运输计划安排、②备品备件库存、③可能的突发事件等；由评委进行评议，方案包含的要点齐全无缺漏项、内容与要点相符、内容完善且能够适用于本项目的得3分；方案包含的要点齐全、内容与要点相符，但仅有纲要内容简略，未展开阐述的得2分；方案所包含的要点有缺漏或内容存在错误的得1分，未提供的本项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1、业绩</w:t>
            </w:r>
          </w:p>
        </w:tc>
        <w:tc>
          <w:tcPr>
            <w:tcW w:type="dxa" w:w="831"/>
          </w:tcPr>
          <w:p>
            <w:pPr>
              <w:pStyle w:val="null3"/>
              <w:jc w:val="right"/>
            </w:pPr>
            <w:r>
              <w:rPr/>
              <w:t>3.0000</w:t>
            </w:r>
          </w:p>
        </w:tc>
        <w:tc>
          <w:tcPr>
            <w:tcW w:type="dxa" w:w="4153"/>
          </w:tcPr>
          <w:p>
            <w:pPr>
              <w:pStyle w:val="null3"/>
              <w:jc w:val="both"/>
            </w:pPr>
            <w:r>
              <w:rPr/>
              <w:t>根据投标人所提供自2021年1月1日至本次投标截止日期（日期以验收报告为准）由投标人在国内所完成的与本次投标同类业绩情况进行打分，每提供一份完整合格的业绩项目的得1分,满分3分。（业绩项目中须含中标公告（提供相关网站中标公告的下载网页并注明网址）、中标通知书复印件、采购合同文本复印件，以及能够证明该业绩项目已经采购人验收合格的相关证明文件复印件，未同时提供以上各项证明材料的，该项业绩不给予计分）。</w:t>
            </w:r>
          </w:p>
        </w:tc>
      </w:tr>
      <w:tr>
        <w:tc>
          <w:tcPr>
            <w:tcW w:type="dxa" w:w="3322"/>
          </w:tcPr>
          <w:p>
            <w:pPr>
              <w:pStyle w:val="null3"/>
              <w:jc w:val="both"/>
            </w:pPr>
            <w:r>
              <w:rPr/>
              <w:t>2、维护响应计划</w:t>
            </w:r>
          </w:p>
        </w:tc>
        <w:tc>
          <w:tcPr>
            <w:tcW w:type="dxa" w:w="831"/>
          </w:tcPr>
          <w:p>
            <w:pPr>
              <w:pStyle w:val="null3"/>
              <w:jc w:val="right"/>
            </w:pPr>
            <w:r>
              <w:rPr/>
              <w:t>3.0000</w:t>
            </w:r>
          </w:p>
        </w:tc>
        <w:tc>
          <w:tcPr>
            <w:tcW w:type="dxa" w:w="4153"/>
          </w:tcPr>
          <w:p>
            <w:pPr>
              <w:pStyle w:val="null3"/>
              <w:jc w:val="both"/>
            </w:pPr>
            <w:r>
              <w:rPr/>
              <w:t>根据投标人的售后服务承诺、维修响应计划及维修服务能力进行评分，包括①具体的售后内容、②故障响应时间，响应方式、③维修服务能力等方面，由评委进行评议，方案包含的要点齐全无缺漏项、内容与要点相符、内容完善且能够适用于本项目的得3分；方案包含的要点齐全、内容与要点相符，但仅有纲要内容简略，未展开阐述的得2分；方案所包含的要点有缺漏或内容存在错误的得1分，未提供的本项不得分。</w:t>
            </w:r>
          </w:p>
        </w:tc>
      </w:tr>
      <w:tr>
        <w:tc>
          <w:tcPr>
            <w:tcW w:type="dxa" w:w="3322"/>
          </w:tcPr>
          <w:p>
            <w:pPr>
              <w:pStyle w:val="null3"/>
              <w:jc w:val="both"/>
            </w:pPr>
            <w:r>
              <w:rPr/>
              <w:t>3、技术培训</w:t>
            </w:r>
          </w:p>
        </w:tc>
        <w:tc>
          <w:tcPr>
            <w:tcW w:type="dxa" w:w="831"/>
          </w:tcPr>
          <w:p>
            <w:pPr>
              <w:pStyle w:val="null3"/>
              <w:jc w:val="right"/>
            </w:pPr>
            <w:r>
              <w:rPr/>
              <w:t>3.0000</w:t>
            </w:r>
          </w:p>
        </w:tc>
        <w:tc>
          <w:tcPr>
            <w:tcW w:type="dxa" w:w="4153"/>
          </w:tcPr>
          <w:p>
            <w:pPr>
              <w:pStyle w:val="null3"/>
              <w:jc w:val="both"/>
            </w:pPr>
            <w:r>
              <w:rPr/>
              <w:t>根据投标人针对本项目提供的培训方案（包括但不限于：具体培训内容、方式、时间、对象以及培训目标并配备专业培训队伍），由评委进行评分：由评委进行评议，方案包含的要点齐全无缺漏项、内容与要点相符、内容完善且能够适用于本项目的得3分；方案包含的要点齐全、内容与要点相符，但仅有纲要内容简略，未展开阐述的得2分；方案所包含的要点有缺漏或内容存在错误的得1分，未提供的本项不得分。</w:t>
            </w:r>
          </w:p>
        </w:tc>
      </w:tr>
      <w:tr>
        <w:tc>
          <w:tcPr>
            <w:tcW w:type="dxa" w:w="3322"/>
          </w:tcPr>
          <w:p>
            <w:pPr>
              <w:pStyle w:val="null3"/>
              <w:jc w:val="both"/>
            </w:pPr>
            <w:r>
              <w:rPr/>
              <w:t>4、免费质保期</w:t>
            </w:r>
          </w:p>
        </w:tc>
        <w:tc>
          <w:tcPr>
            <w:tcW w:type="dxa" w:w="831"/>
          </w:tcPr>
          <w:p>
            <w:pPr>
              <w:pStyle w:val="null3"/>
              <w:jc w:val="right"/>
            </w:pPr>
            <w:r>
              <w:rPr/>
              <w:t>1.0000</w:t>
            </w:r>
          </w:p>
        </w:tc>
        <w:tc>
          <w:tcPr>
            <w:tcW w:type="dxa" w:w="4153"/>
          </w:tcPr>
          <w:p>
            <w:pPr>
              <w:pStyle w:val="null3"/>
              <w:jc w:val="both"/>
            </w:pPr>
            <w:r>
              <w:rPr/>
              <w:t>投标人所承诺的免费质保期在满足招标文件要求的基础上每增加一年得1分，满分1分。未承诺的本项不得分。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1、本次招标采购的产品和服务主要用于福州市第二总医院使用。投标人提供的所有产品必须通过合法渠道获得，为全新原装品 牌货物。设备技术参数必须符合或优于国家及行业相关标准。</w:t>
      </w:r>
    </w:p>
    <w:p>
      <w:pPr>
        <w:pStyle w:val="null3"/>
        <w:ind w:firstLine="480"/>
        <w:jc w:val="both"/>
      </w:pPr>
      <w:r>
        <w:rPr>
          <w:rFonts w:ascii="宋体" w:hAnsi="宋体" w:cs="宋体" w:eastAsia="宋体"/>
          <w:sz w:val="24"/>
          <w:color w:val="333333"/>
          <w:shd w:fill="FFFFFF" w:val="clear"/>
        </w:rPr>
        <w:t>2、投标人的报价应以包含货物所涉及的有关项目的所有费用，包括：产品制造、运输、保险、安装、调试、搬运及设备就位、培训、保修、备品备件、专用工具、外贸代 理费（若有）、关税（若有）等一切相关费用。</w:t>
      </w:r>
    </w:p>
    <w:p>
      <w:pPr>
        <w:pStyle w:val="null3"/>
        <w:ind w:firstLine="480"/>
        <w:jc w:val="both"/>
      </w:pPr>
      <w:r>
        <w:rPr>
          <w:rFonts w:ascii="宋体" w:hAnsi="宋体" w:cs="宋体" w:eastAsia="宋体"/>
          <w:sz w:val="24"/>
          <w:color w:val="333333"/>
          <w:shd w:fill="FFFFFF" w:val="clear"/>
        </w:rPr>
        <w:t>3、投标人务必仔细阅读招标文件中所规定的，其中包括技术规格在内的所有细则。</w:t>
      </w:r>
    </w:p>
    <w:p>
      <w:pPr>
        <w:pStyle w:val="null3"/>
        <w:ind w:firstLine="480"/>
        <w:jc w:val="both"/>
      </w:pPr>
      <w:r>
        <w:rPr>
          <w:rFonts w:ascii="宋体" w:hAnsi="宋体" w:cs="宋体" w:eastAsia="宋体"/>
          <w:sz w:val="24"/>
          <w:color w:val="333333"/>
          <w:shd w:fill="FFFFFF" w:val="clear"/>
        </w:rPr>
        <w:t>4、本项目为非单一产品货物类采购项目，采购包1的核心产品为：</w:t>
      </w:r>
      <w:r>
        <w:rPr>
          <w:rFonts w:ascii="宋体" w:hAnsi="宋体" w:cs="宋体" w:eastAsia="宋体"/>
          <w:sz w:val="24"/>
          <w:b/>
          <w:color w:val="333333"/>
          <w:shd w:fill="FFFFFF" w:val="clear"/>
        </w:rPr>
        <w:t>品目号1-</w:t>
      </w:r>
      <w:r>
        <w:rPr>
          <w:rFonts w:ascii="宋体" w:hAnsi="宋体" w:cs="宋体" w:eastAsia="宋体"/>
          <w:sz w:val="24"/>
          <w:b/>
          <w:color w:val="333333"/>
          <w:shd w:fill="FFFFFF" w:val="clear"/>
        </w:rPr>
        <w:t>7</w:t>
      </w:r>
      <w:r>
        <w:rPr>
          <w:rFonts w:ascii="宋体" w:hAnsi="宋体" w:cs="宋体" w:eastAsia="宋体"/>
          <w:sz w:val="24"/>
          <w:color w:val="333333"/>
          <w:shd w:fill="FFFFFF" w:val="clear"/>
        </w:rPr>
        <w:t>◆超轻型救灾帐篷。</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color w:val="000000"/>
          <w:shd w:fill="FFFFFF" w:val="clear"/>
        </w:rPr>
        <w:t>注：以下参数所涉及的尺寸、体积、重量等规格要求未设置偏离范围的，在不影响产品正常使用的情况下，允许</w:t>
      </w:r>
      <w:r>
        <w:rPr>
          <w:rFonts w:ascii="宋体" w:hAnsi="宋体" w:cs="宋体" w:eastAsia="宋体"/>
          <w:sz w:val="24"/>
          <w:color w:val="000000"/>
          <w:shd w:fill="FFFFFF" w:val="clear"/>
        </w:rPr>
        <w:t>±1%范围内偏离。</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1-1</w:t>
      </w:r>
      <w:r>
        <w:rPr>
          <w:rFonts w:ascii="宋体" w:hAnsi="宋体" w:cs="宋体" w:eastAsia="宋体"/>
          <w:sz w:val="20"/>
          <w:b/>
          <w:shd w:fill="FFFFFF" w:val="clear"/>
        </w:rPr>
        <w:t xml:space="preserve"> </w:t>
      </w:r>
      <w:r>
        <w:rPr>
          <w:rFonts w:ascii="宋体" w:hAnsi="宋体" w:cs="宋体" w:eastAsia="宋体"/>
          <w:sz w:val="24"/>
          <w:b/>
          <w:shd w:fill="FFFFFF" w:val="clear"/>
        </w:rPr>
        <w:t>仓储管理系统</w:t>
      </w:r>
      <w:r>
        <w:rPr>
          <w:rFonts w:ascii="宋体" w:hAnsi="宋体" w:cs="宋体" w:eastAsia="宋体"/>
          <w:sz w:val="24"/>
          <w:b/>
          <w:shd w:fill="FFFFFF" w:val="clear"/>
        </w:rPr>
        <w:t xml:space="preserve">                  </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w:t>
      </w:r>
      <w:r>
        <w:rPr>
          <w:rFonts w:ascii="宋体" w:hAnsi="宋体" w:cs="宋体" w:eastAsia="宋体"/>
          <w:sz w:val="24"/>
          <w:shd w:fill="FFFFFF" w:val="clear"/>
        </w:rPr>
        <w:t>1.1、系统平台采用高性能RPC框架。</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2）1.2、</w:t>
      </w:r>
      <w:r>
        <w:rPr>
          <w:rFonts w:ascii="宋体" w:hAnsi="宋体" w:cs="宋体" w:eastAsia="宋体"/>
          <w:sz w:val="24"/>
          <w:shd w:fill="FFFFFF" w:val="clear"/>
        </w:rPr>
        <w:t>系统同时支持</w:t>
      </w:r>
      <w:r>
        <w:rPr>
          <w:rFonts w:ascii="宋体" w:hAnsi="宋体" w:cs="宋体" w:eastAsia="宋体"/>
          <w:sz w:val="24"/>
          <w:shd w:fill="FFFFFF" w:val="clear"/>
        </w:rPr>
        <w:t xml:space="preserve"> HTTP 和 WebSocket传输协议无关的架构，轻松扩展至任意信道，保证平台的先进性和可扩展性。</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3）1.3、</w:t>
      </w:r>
      <w:r>
        <w:rPr>
          <w:rFonts w:ascii="宋体" w:hAnsi="宋体" w:cs="宋体" w:eastAsia="宋体"/>
          <w:sz w:val="24"/>
          <w:shd w:fill="FFFFFF" w:val="clear"/>
        </w:rPr>
        <w:t>平台系统采用二进制数据传输，确保平台数据传输速度和安全性。</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w:t>
      </w:r>
      <w:r>
        <w:rPr>
          <w:rFonts w:ascii="宋体" w:hAnsi="宋体" w:cs="宋体" w:eastAsia="宋体"/>
          <w:sz w:val="24"/>
          <w:shd w:fill="FFFFFF" w:val="clear"/>
        </w:rPr>
        <w:t>▲1.4、仓库基础管理：对救援物资仓库的基础信息管理，包括仓库布局、存储物资信息等。(投标人需提供能体现功能模块的软件界面截图并加盖投标人公章)</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w:t>
      </w:r>
      <w:r>
        <w:rPr>
          <w:rFonts w:ascii="宋体" w:hAnsi="宋体" w:cs="宋体" w:eastAsia="宋体"/>
          <w:sz w:val="24"/>
          <w:shd w:fill="FFFFFF" w:val="clear"/>
        </w:rPr>
        <w:t>▲1.5、出入库管理：对物资的出入库操作进行管理和记录，实现物资的动态追踪。（投标人需提供能体现功能模块的软件界面截图并加盖投标人公章）</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w:t>
      </w:r>
      <w:r>
        <w:rPr>
          <w:rFonts w:ascii="宋体" w:hAnsi="宋体" w:cs="宋体" w:eastAsia="宋体"/>
          <w:sz w:val="24"/>
          <w:shd w:fill="FFFFFF" w:val="clear"/>
        </w:rPr>
        <w:t>▲1.6、货架货物定位：支持对仓库内货架上物资的定位和管理。（投标人需提供能体现功能模块的软件界面截图并加盖投标人公章）</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w:t>
      </w:r>
      <w:r>
        <w:rPr>
          <w:rFonts w:ascii="宋体" w:hAnsi="宋体" w:cs="宋体" w:eastAsia="宋体"/>
          <w:sz w:val="24"/>
          <w:shd w:fill="FFFFFF" w:val="clear"/>
        </w:rPr>
        <w:t>1.7、失效物资提醒：对即将失效或已经失效的物资进行提醒和处理。</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8）</w:t>
      </w:r>
      <w:r>
        <w:rPr>
          <w:rFonts w:ascii="宋体" w:hAnsi="宋体" w:cs="宋体" w:eastAsia="宋体"/>
          <w:sz w:val="24"/>
          <w:shd w:fill="FFFFFF" w:val="clear"/>
        </w:rPr>
        <w:t>1.8、角色管理：管理不同角色的用户权限和操作范围。</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9）</w:t>
      </w:r>
      <w:r>
        <w:rPr>
          <w:rFonts w:ascii="宋体" w:hAnsi="宋体" w:cs="宋体" w:eastAsia="宋体"/>
          <w:sz w:val="24"/>
          <w:shd w:fill="FFFFFF" w:val="clear"/>
        </w:rPr>
        <w:t>1.9、支持与多种现代化设备的连接和管理：可通过整合扫描枪、打印机和智能货架等设备，实现对物资流动的实时监控和自动化处理，从而优化库存管理流程。</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10）</w:t>
      </w:r>
      <w:r>
        <w:rPr>
          <w:rFonts w:ascii="宋体" w:hAnsi="宋体" w:cs="宋体" w:eastAsia="宋体"/>
          <w:sz w:val="24"/>
          <w:shd w:fill="FFFFFF" w:val="clear"/>
        </w:rPr>
        <w:t>1.10、信息提醒应用：方便人员进行物资管理和查询。</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11）</w:t>
      </w:r>
      <w:r>
        <w:rPr>
          <w:rFonts w:ascii="宋体" w:hAnsi="宋体" w:cs="宋体" w:eastAsia="宋体"/>
          <w:sz w:val="24"/>
          <w:shd w:fill="FFFFFF" w:val="clear"/>
        </w:rPr>
        <w:t>1.11、自定义项目包一件出入库管理：对自定义项目包的出入库管理。</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1-2</w:t>
      </w:r>
      <w:r>
        <w:rPr>
          <w:rFonts w:ascii="宋体" w:hAnsi="宋体" w:cs="宋体" w:eastAsia="宋体"/>
          <w:sz w:val="20"/>
          <w:b/>
          <w:shd w:fill="FFFFFF" w:val="clear"/>
        </w:rPr>
        <w:t xml:space="preserve"> </w:t>
      </w:r>
      <w:r>
        <w:rPr>
          <w:rFonts w:ascii="宋体" w:hAnsi="宋体" w:cs="宋体" w:eastAsia="宋体"/>
          <w:sz w:val="24"/>
          <w:b/>
        </w:rPr>
        <w:t>单兵侦测仪</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12）2.1、</w:t>
      </w:r>
      <w:r>
        <w:rPr>
          <w:rFonts w:ascii="宋体" w:hAnsi="宋体" w:cs="宋体" w:eastAsia="宋体"/>
          <w:sz w:val="24"/>
          <w:shd w:fill="FFFFFF" w:val="clear"/>
        </w:rPr>
        <w:t>支持传感器类型：</w:t>
      </w:r>
      <w:r>
        <w:rPr>
          <w:rFonts w:ascii="宋体" w:hAnsi="宋体" w:cs="宋体" w:eastAsia="宋体"/>
          <w:sz w:val="24"/>
          <w:shd w:fill="FFFFFF" w:val="clear"/>
        </w:rPr>
        <w:t>CMOS 。</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13）2.2、</w:t>
      </w:r>
      <w:r>
        <w:rPr>
          <w:rFonts w:ascii="宋体" w:hAnsi="宋体" w:cs="宋体" w:eastAsia="宋体"/>
          <w:sz w:val="24"/>
          <w:shd w:fill="FFFFFF" w:val="clear"/>
        </w:rPr>
        <w:t>支持分辨率支持：</w:t>
      </w:r>
      <w:r>
        <w:rPr>
          <w:rFonts w:ascii="宋体" w:hAnsi="宋体" w:cs="宋体" w:eastAsia="宋体"/>
          <w:sz w:val="24"/>
          <w:shd w:fill="FFFFFF" w:val="clear"/>
        </w:rPr>
        <w:t>1080p。</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14）2.3、</w:t>
      </w:r>
      <w:r>
        <w:rPr>
          <w:rFonts w:ascii="宋体" w:hAnsi="宋体" w:cs="宋体" w:eastAsia="宋体"/>
          <w:sz w:val="24"/>
          <w:shd w:fill="FFFFFF" w:val="clear"/>
        </w:rPr>
        <w:t>支持液晶屏尺寸：</w:t>
      </w:r>
      <w:r>
        <w:rPr>
          <w:rFonts w:ascii="宋体" w:hAnsi="宋体" w:cs="宋体" w:eastAsia="宋体"/>
          <w:sz w:val="24"/>
          <w:shd w:fill="FFFFFF" w:val="clear"/>
        </w:rPr>
        <w:t>2.0英寸（英寸）非触摸屏。</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15）2.4、</w:t>
      </w:r>
      <w:r>
        <w:rPr>
          <w:rFonts w:ascii="宋体" w:hAnsi="宋体" w:cs="宋体" w:eastAsia="宋体"/>
          <w:sz w:val="24"/>
          <w:shd w:fill="FFFFFF" w:val="clear"/>
        </w:rPr>
        <w:t>镜头：单镜头。</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16）2.5、</w:t>
      </w:r>
      <w:r>
        <w:rPr>
          <w:rFonts w:ascii="宋体" w:hAnsi="宋体" w:cs="宋体" w:eastAsia="宋体"/>
          <w:sz w:val="24"/>
          <w:shd w:fill="FFFFFF" w:val="clear"/>
        </w:rPr>
        <w:t>支持储存介质：</w:t>
      </w:r>
      <w:r>
        <w:rPr>
          <w:rFonts w:ascii="宋体" w:hAnsi="宋体" w:cs="宋体" w:eastAsia="宋体"/>
          <w:sz w:val="24"/>
          <w:shd w:fill="FFFFFF" w:val="clear"/>
        </w:rPr>
        <w:t>Microsd(TF)卡。</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17）2.6、</w:t>
      </w:r>
      <w:r>
        <w:rPr>
          <w:rFonts w:ascii="宋体" w:hAnsi="宋体" w:cs="宋体" w:eastAsia="宋体"/>
          <w:sz w:val="24"/>
          <w:shd w:fill="FFFFFF" w:val="clear"/>
        </w:rPr>
        <w:t>支持</w:t>
      </w:r>
      <w:r>
        <w:rPr>
          <w:rFonts w:ascii="宋体" w:hAnsi="宋体" w:cs="宋体" w:eastAsia="宋体"/>
          <w:sz w:val="24"/>
          <w:shd w:fill="FFFFFF" w:val="clear"/>
        </w:rPr>
        <w:t>USB接口：Typec。</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18）2.7、</w:t>
      </w:r>
      <w:r>
        <w:rPr>
          <w:rFonts w:ascii="宋体" w:hAnsi="宋体" w:cs="宋体" w:eastAsia="宋体"/>
          <w:sz w:val="24"/>
          <w:shd w:fill="FFFFFF" w:val="clear"/>
        </w:rPr>
        <w:t>支持麦克风：单声道。</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19）2.8、</w:t>
      </w:r>
      <w:r>
        <w:rPr>
          <w:rFonts w:ascii="宋体" w:hAnsi="宋体" w:cs="宋体" w:eastAsia="宋体"/>
          <w:sz w:val="24"/>
          <w:shd w:fill="FFFFFF" w:val="clear"/>
        </w:rPr>
        <w:t>尺寸要求：</w:t>
      </w:r>
      <w:r>
        <w:rPr>
          <w:rFonts w:ascii="宋体" w:hAnsi="宋体" w:cs="宋体" w:eastAsia="宋体"/>
          <w:sz w:val="24"/>
          <w:shd w:fill="FFFFFF" w:val="clear"/>
        </w:rPr>
        <w:t>80*56*29±5mm。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20）2.9、</w:t>
      </w:r>
      <w:r>
        <w:rPr>
          <w:rFonts w:ascii="宋体" w:hAnsi="宋体" w:cs="宋体" w:eastAsia="宋体"/>
          <w:sz w:val="24"/>
          <w:shd w:fill="FFFFFF" w:val="clear"/>
        </w:rPr>
        <w:t>重量：</w:t>
      </w:r>
      <w:r>
        <w:rPr>
          <w:rFonts w:ascii="宋体" w:hAnsi="宋体" w:cs="宋体" w:eastAsia="宋体"/>
          <w:sz w:val="24"/>
          <w:shd w:fill="FFFFFF" w:val="clear"/>
        </w:rPr>
        <w:t>95±10g。</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1-3空投箱</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21）4.1、</w:t>
      </w:r>
      <w:r>
        <w:rPr>
          <w:rFonts w:ascii="宋体" w:hAnsi="宋体" w:cs="宋体" w:eastAsia="宋体"/>
          <w:sz w:val="24"/>
          <w:shd w:fill="FFFFFF" w:val="clear"/>
        </w:rPr>
        <w:t>内部具有数据传输单元。</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22）4.2、</w:t>
      </w:r>
      <w:r>
        <w:rPr>
          <w:rFonts w:ascii="宋体" w:hAnsi="宋体" w:cs="宋体" w:eastAsia="宋体"/>
          <w:sz w:val="24"/>
          <w:shd w:fill="FFFFFF" w:val="clear"/>
        </w:rPr>
        <w:t>支持：</w:t>
      </w:r>
      <w:r>
        <w:rPr>
          <w:rFonts w:ascii="宋体" w:hAnsi="宋体" w:cs="宋体" w:eastAsia="宋体"/>
          <w:sz w:val="24"/>
          <w:shd w:fill="FFFFFF" w:val="clear"/>
        </w:rPr>
        <w:t>USB 3.0、Type-C。</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23）4.3、</w:t>
      </w:r>
      <w:r>
        <w:rPr>
          <w:rFonts w:ascii="宋体" w:hAnsi="宋体" w:cs="宋体" w:eastAsia="宋体"/>
          <w:sz w:val="24"/>
          <w:shd w:fill="FFFFFF" w:val="clear"/>
        </w:rPr>
        <w:t>支持</w:t>
      </w:r>
      <w:r>
        <w:rPr>
          <w:rFonts w:ascii="宋体" w:hAnsi="宋体" w:cs="宋体" w:eastAsia="宋体"/>
          <w:sz w:val="24"/>
          <w:shd w:fill="FFFFFF" w:val="clear"/>
        </w:rPr>
        <w:t>Windows 10/8/7/XP/Vista，macOS 10.X，Linux 2.4.2。</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24）4.4、</w:t>
      </w:r>
      <w:r>
        <w:rPr>
          <w:rFonts w:ascii="宋体" w:hAnsi="宋体" w:cs="宋体" w:eastAsia="宋体"/>
          <w:sz w:val="24"/>
          <w:shd w:fill="FFFFFF" w:val="clear"/>
        </w:rPr>
        <w:t>采用滚塑工艺一体成型，拉伸断裂强度</w:t>
      </w:r>
      <w:r>
        <w:rPr>
          <w:rFonts w:ascii="宋体" w:hAnsi="宋体" w:cs="宋体" w:eastAsia="宋体"/>
          <w:sz w:val="24"/>
          <w:shd w:fill="FFFFFF" w:val="clear"/>
        </w:rPr>
        <w:t>≥16Mpa，邵氏硬度≥60D，UV等级8000h。IP防护等级：ASTM IP65。</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25）4.5、尺寸要求：</w:t>
      </w:r>
      <w:r>
        <w:rPr>
          <w:rFonts w:ascii="宋体" w:hAnsi="宋体" w:cs="宋体" w:eastAsia="宋体"/>
          <w:sz w:val="24"/>
          <w:shd w:fill="FFFFFF" w:val="clear"/>
        </w:rPr>
        <w:t>外围尺寸</w:t>
      </w:r>
      <w:r>
        <w:rPr>
          <w:rFonts w:ascii="宋体" w:hAnsi="宋体" w:cs="宋体" w:eastAsia="宋体"/>
          <w:sz w:val="24"/>
          <w:shd w:fill="FFFFFF" w:val="clear"/>
        </w:rPr>
        <w:t>800*600*500（mm）；内尺寸730*530*690（mm）；箱深375（mm）；盖深：115±10（mm）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26）4.6、</w:t>
      </w:r>
      <w:r>
        <w:rPr>
          <w:rFonts w:ascii="宋体" w:hAnsi="宋体" w:cs="宋体" w:eastAsia="宋体"/>
          <w:sz w:val="24"/>
          <w:shd w:fill="FFFFFF" w:val="clear"/>
        </w:rPr>
        <w:t>箱重：</w:t>
      </w:r>
      <w:r>
        <w:rPr>
          <w:rFonts w:ascii="宋体" w:hAnsi="宋体" w:cs="宋体" w:eastAsia="宋体"/>
          <w:sz w:val="24"/>
          <w:shd w:fill="FFFFFF" w:val="clear"/>
        </w:rPr>
        <w:t>3（kg）。</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27）4.7、</w:t>
      </w:r>
      <w:r>
        <w:rPr>
          <w:rFonts w:ascii="宋体" w:hAnsi="宋体" w:cs="宋体" w:eastAsia="宋体"/>
          <w:sz w:val="24"/>
          <w:shd w:fill="FFFFFF" w:val="clear"/>
        </w:rPr>
        <w:t>颜色：白色。</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28）</w:t>
      </w:r>
      <w:r>
        <w:rPr>
          <w:rFonts w:ascii="宋体" w:hAnsi="宋体" w:cs="宋体" w:eastAsia="宋体"/>
          <w:sz w:val="24"/>
          <w:shd w:fill="FFFFFF" w:val="clear"/>
        </w:rPr>
        <w:t>▲</w:t>
      </w:r>
      <w:r>
        <w:rPr>
          <w:rFonts w:ascii="宋体" w:hAnsi="宋体" w:cs="宋体" w:eastAsia="宋体"/>
          <w:sz w:val="24"/>
          <w:color w:val="000000"/>
          <w:shd w:fill="FFFFFF" w:val="clear"/>
        </w:rPr>
        <w:t>4.8、</w:t>
      </w:r>
      <w:r>
        <w:rPr>
          <w:rFonts w:ascii="宋体" w:hAnsi="宋体" w:cs="宋体" w:eastAsia="宋体"/>
          <w:sz w:val="24"/>
          <w:shd w:fill="FFFFFF" w:val="clear"/>
        </w:rPr>
        <w:t>产品通过高低温存储试验、压力试验、淋雨试验、震动试验。（需提供国家认可第三方检测机构的有效检测报告复印件并加盖投标人公章。）</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1-4</w:t>
      </w:r>
      <w:r>
        <w:rPr>
          <w:rFonts w:ascii="宋体" w:hAnsi="宋体" w:cs="宋体" w:eastAsia="宋体"/>
          <w:sz w:val="20"/>
          <w:b/>
          <w:shd w:fill="FFFFFF" w:val="clear"/>
        </w:rPr>
        <w:t xml:space="preserve"> </w:t>
      </w:r>
      <w:r>
        <w:rPr>
          <w:rFonts w:ascii="宋体" w:hAnsi="宋体" w:cs="宋体" w:eastAsia="宋体"/>
          <w:sz w:val="24"/>
          <w:b/>
        </w:rPr>
        <w:t>户外大型移动电源</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29）5.1、</w:t>
      </w:r>
      <w:r>
        <w:rPr>
          <w:rFonts w:ascii="宋体" w:hAnsi="宋体" w:cs="宋体" w:eastAsia="宋体"/>
          <w:sz w:val="24"/>
          <w:shd w:fill="FFFFFF" w:val="clear"/>
        </w:rPr>
        <w:t>逆变器功率：</w:t>
      </w:r>
      <w:r>
        <w:rPr>
          <w:rFonts w:ascii="宋体" w:hAnsi="宋体" w:cs="宋体" w:eastAsia="宋体"/>
          <w:sz w:val="24"/>
          <w:shd w:fill="FFFFFF" w:val="clear"/>
        </w:rPr>
        <w:t>3000W 双向逆变器 自带充电器。</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30）5.2、</w:t>
      </w:r>
      <w:r>
        <w:rPr>
          <w:rFonts w:ascii="宋体" w:hAnsi="宋体" w:cs="宋体" w:eastAsia="宋体"/>
          <w:sz w:val="24"/>
          <w:shd w:fill="FFFFFF" w:val="clear"/>
        </w:rPr>
        <w:t>输入电压</w:t>
      </w:r>
      <w:r>
        <w:rPr>
          <w:rFonts w:ascii="宋体" w:hAnsi="宋体" w:cs="宋体" w:eastAsia="宋体"/>
          <w:sz w:val="24"/>
          <w:shd w:fill="FFFFFF" w:val="clear"/>
        </w:rPr>
        <w:t>/频率： AC220V±20V 50-60HZ。</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31）5.3、</w:t>
      </w:r>
      <w:r>
        <w:rPr>
          <w:rFonts w:ascii="宋体" w:hAnsi="宋体" w:cs="宋体" w:eastAsia="宋体"/>
          <w:sz w:val="24"/>
          <w:shd w:fill="FFFFFF" w:val="clear"/>
        </w:rPr>
        <w:t>交流电</w:t>
      </w:r>
      <w:r>
        <w:rPr>
          <w:rFonts w:ascii="宋体" w:hAnsi="宋体" w:cs="宋体" w:eastAsia="宋体"/>
          <w:sz w:val="24"/>
          <w:shd w:fill="FFFFFF" w:val="clear"/>
        </w:rPr>
        <w:t>AC充电参数： 58.5V 15A 接进快充口。</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32）5.4、</w:t>
      </w:r>
      <w:r>
        <w:rPr>
          <w:rFonts w:ascii="宋体" w:hAnsi="宋体" w:cs="宋体" w:eastAsia="宋体"/>
          <w:sz w:val="24"/>
          <w:shd w:fill="FFFFFF" w:val="clear"/>
        </w:rPr>
        <w:t>太阳能充电参数：</w:t>
      </w:r>
      <w:r>
        <w:rPr>
          <w:rFonts w:ascii="宋体" w:hAnsi="宋体" w:cs="宋体" w:eastAsia="宋体"/>
          <w:sz w:val="24"/>
          <w:shd w:fill="FFFFFF" w:val="clear"/>
        </w:rPr>
        <w:t>DC96V-120V（选配） 200-800W(用户选配)。</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33）5.5、</w:t>
      </w:r>
      <w:r>
        <w:rPr>
          <w:rFonts w:ascii="宋体" w:hAnsi="宋体" w:cs="宋体" w:eastAsia="宋体"/>
          <w:sz w:val="24"/>
          <w:shd w:fill="FFFFFF" w:val="clear"/>
        </w:rPr>
        <w:t>电池种类</w:t>
      </w:r>
      <w:r>
        <w:rPr>
          <w:rFonts w:ascii="宋体" w:hAnsi="宋体" w:cs="宋体" w:eastAsia="宋体"/>
          <w:sz w:val="24"/>
          <w:shd w:fill="FFFFFF" w:val="clear"/>
        </w:rPr>
        <w:t>:磷酸铁锂蓄电池 LiFePO4 51.2V。</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34）5.6、</w:t>
      </w:r>
      <w:r>
        <w:rPr>
          <w:rFonts w:ascii="宋体" w:hAnsi="宋体" w:cs="宋体" w:eastAsia="宋体"/>
          <w:sz w:val="24"/>
          <w:shd w:fill="FFFFFF" w:val="clear"/>
        </w:rPr>
        <w:t>电池容量</w:t>
      </w:r>
      <w:r>
        <w:rPr>
          <w:rFonts w:ascii="宋体" w:hAnsi="宋体" w:cs="宋体" w:eastAsia="宋体"/>
          <w:sz w:val="24"/>
          <w:shd w:fill="FFFFFF" w:val="clear"/>
        </w:rPr>
        <w:t>:5120Wh：51.2V 100Ah。</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35）5.7、</w:t>
      </w:r>
      <w:r>
        <w:rPr>
          <w:rFonts w:ascii="宋体" w:hAnsi="宋体" w:cs="宋体" w:eastAsia="宋体"/>
          <w:sz w:val="24"/>
          <w:shd w:fill="FFFFFF" w:val="clear"/>
        </w:rPr>
        <w:t>AC电网充电时间：持续充电大于7小时。</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36）5.8、</w:t>
      </w:r>
      <w:r>
        <w:rPr>
          <w:rFonts w:ascii="宋体" w:hAnsi="宋体" w:cs="宋体" w:eastAsia="宋体"/>
          <w:sz w:val="24"/>
          <w:shd w:fill="FFFFFF" w:val="clear"/>
        </w:rPr>
        <w:t>输出波形</w:t>
      </w:r>
      <w:r>
        <w:rPr>
          <w:rFonts w:ascii="宋体" w:hAnsi="宋体" w:cs="宋体" w:eastAsia="宋体"/>
          <w:sz w:val="24"/>
          <w:shd w:fill="FFFFFF" w:val="clear"/>
        </w:rPr>
        <w:t>:正弦波。</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37）5.9、</w:t>
      </w:r>
      <w:r>
        <w:rPr>
          <w:rFonts w:ascii="宋体" w:hAnsi="宋体" w:cs="宋体" w:eastAsia="宋体"/>
          <w:sz w:val="24"/>
          <w:shd w:fill="FFFFFF" w:val="clear"/>
        </w:rPr>
        <w:t>负载类型：容性负载</w:t>
      </w:r>
      <w:r>
        <w:rPr>
          <w:rFonts w:ascii="宋体" w:hAnsi="宋体" w:cs="宋体" w:eastAsia="宋体"/>
          <w:sz w:val="24"/>
          <w:shd w:fill="FFFFFF" w:val="clear"/>
        </w:rPr>
        <w:t>/容性负载。</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38）5.10、</w:t>
      </w:r>
      <w:r>
        <w:rPr>
          <w:rFonts w:ascii="宋体" w:hAnsi="宋体" w:cs="宋体" w:eastAsia="宋体"/>
          <w:sz w:val="24"/>
          <w:shd w:fill="FFFFFF" w:val="clear"/>
        </w:rPr>
        <w:t>交流电压输出：</w:t>
      </w:r>
      <w:r>
        <w:rPr>
          <w:rFonts w:ascii="宋体" w:hAnsi="宋体" w:cs="宋体" w:eastAsia="宋体"/>
          <w:sz w:val="24"/>
          <w:shd w:fill="FFFFFF" w:val="clear"/>
        </w:rPr>
        <w:t>AC220V±20V 50-60HZ。</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39）5.11、</w:t>
      </w:r>
      <w:r>
        <w:rPr>
          <w:rFonts w:ascii="宋体" w:hAnsi="宋体" w:cs="宋体" w:eastAsia="宋体"/>
          <w:sz w:val="24"/>
          <w:shd w:fill="FFFFFF" w:val="clear"/>
        </w:rPr>
        <w:t>直流电压输出：</w:t>
      </w:r>
      <w:r>
        <w:rPr>
          <w:rFonts w:ascii="宋体" w:hAnsi="宋体" w:cs="宋体" w:eastAsia="宋体"/>
          <w:sz w:val="24"/>
          <w:shd w:fill="FFFFFF" w:val="clear"/>
        </w:rPr>
        <w:t>DC12V DC5V-20V  USB:QC3.0 TYPE-C。</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40）5.12、</w:t>
      </w:r>
      <w:r>
        <w:rPr>
          <w:rFonts w:ascii="宋体" w:hAnsi="宋体" w:cs="宋体" w:eastAsia="宋体"/>
          <w:sz w:val="24"/>
          <w:shd w:fill="FFFFFF" w:val="clear"/>
        </w:rPr>
        <w:t>可外接移动式应急灯。</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41）5.13、</w:t>
      </w:r>
      <w:r>
        <w:rPr>
          <w:rFonts w:ascii="宋体" w:hAnsi="宋体" w:cs="宋体" w:eastAsia="宋体"/>
          <w:sz w:val="24"/>
          <w:shd w:fill="FFFFFF" w:val="clear"/>
        </w:rPr>
        <w:t>充电模式：电网充电</w:t>
      </w:r>
      <w:r>
        <w:rPr>
          <w:rFonts w:ascii="宋体" w:hAnsi="宋体" w:cs="宋体" w:eastAsia="宋体"/>
          <w:sz w:val="24"/>
          <w:shd w:fill="FFFFFF" w:val="clear"/>
        </w:rPr>
        <w:t>58.5V（标配 ）光伏充电 DC96V-120V（选配）。</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42）5.14、</w:t>
      </w:r>
      <w:r>
        <w:rPr>
          <w:rFonts w:ascii="宋体" w:hAnsi="宋体" w:cs="宋体" w:eastAsia="宋体"/>
          <w:sz w:val="24"/>
          <w:shd w:fill="FFFFFF" w:val="clear"/>
        </w:rPr>
        <w:t>其它配置：非标可定制：低压输出</w:t>
      </w:r>
      <w:r>
        <w:rPr>
          <w:rFonts w:ascii="宋体" w:hAnsi="宋体" w:cs="宋体" w:eastAsia="宋体"/>
          <w:sz w:val="24"/>
          <w:shd w:fill="FFFFFF" w:val="clear"/>
        </w:rPr>
        <w:t>DC60V/48V/24V/12V/5V,品牌LOGO等，规格参数等。</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43）5.15、</w:t>
      </w:r>
      <w:r>
        <w:rPr>
          <w:rFonts w:ascii="宋体" w:hAnsi="宋体" w:cs="宋体" w:eastAsia="宋体"/>
          <w:sz w:val="24"/>
          <w:shd w:fill="FFFFFF" w:val="clear"/>
        </w:rPr>
        <w:t>充电温度：</w:t>
      </w:r>
      <w:r>
        <w:rPr>
          <w:rFonts w:ascii="宋体" w:hAnsi="宋体" w:cs="宋体" w:eastAsia="宋体"/>
          <w:sz w:val="24"/>
          <w:shd w:fill="FFFFFF" w:val="clear"/>
        </w:rPr>
        <w:t>0-45℃。</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44）</w:t>
      </w:r>
      <w:r>
        <w:rPr>
          <w:rFonts w:ascii="宋体" w:hAnsi="宋体" w:cs="宋体" w:eastAsia="宋体"/>
          <w:sz w:val="24"/>
          <w:b/>
          <w:shd w:fill="FFFFFF" w:val="clear"/>
        </w:rPr>
        <w:t>5.16、</w:t>
      </w:r>
      <w:r>
        <w:rPr>
          <w:rFonts w:ascii="宋体" w:hAnsi="宋体" w:cs="宋体" w:eastAsia="宋体"/>
          <w:sz w:val="24"/>
          <w:shd w:fill="FFFFFF" w:val="clear"/>
        </w:rPr>
        <w:t>放电温度：</w:t>
      </w:r>
      <w:r>
        <w:rPr>
          <w:rFonts w:ascii="宋体" w:hAnsi="宋体" w:cs="宋体" w:eastAsia="宋体"/>
          <w:sz w:val="24"/>
          <w:shd w:fill="FFFFFF" w:val="clear"/>
        </w:rPr>
        <w:t>-10-60℃。</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45）</w:t>
      </w:r>
      <w:r>
        <w:rPr>
          <w:rFonts w:ascii="宋体" w:hAnsi="宋体" w:cs="宋体" w:eastAsia="宋体"/>
          <w:sz w:val="24"/>
          <w:b/>
          <w:shd w:fill="FFFFFF" w:val="clear"/>
        </w:rPr>
        <w:t>5.17、</w:t>
      </w:r>
      <w:r>
        <w:rPr>
          <w:rFonts w:ascii="宋体" w:hAnsi="宋体" w:cs="宋体" w:eastAsia="宋体"/>
          <w:sz w:val="24"/>
          <w:shd w:fill="FFFFFF" w:val="clear"/>
        </w:rPr>
        <w:t>储存温度：</w:t>
      </w:r>
      <w:r>
        <w:rPr>
          <w:rFonts w:ascii="宋体" w:hAnsi="宋体" w:cs="宋体" w:eastAsia="宋体"/>
          <w:sz w:val="24"/>
          <w:shd w:fill="FFFFFF" w:val="clear"/>
        </w:rPr>
        <w:t>-10-25℃。</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46）5.18、尺寸要求：61*47*30CM</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1-5</w:t>
      </w:r>
      <w:r>
        <w:rPr>
          <w:rFonts w:ascii="宋体" w:hAnsi="宋体" w:cs="宋体" w:eastAsia="宋体"/>
          <w:sz w:val="20"/>
          <w:b/>
          <w:shd w:fill="FFFFFF" w:val="clear"/>
        </w:rPr>
        <w:t xml:space="preserve"> </w:t>
      </w:r>
      <w:r>
        <w:rPr>
          <w:rFonts w:ascii="宋体" w:hAnsi="宋体" w:cs="宋体" w:eastAsia="宋体"/>
          <w:sz w:val="24"/>
          <w:b/>
          <w:shd w:fill="FFFFFF" w:val="clear"/>
        </w:rPr>
        <w:t>简易电动叉车</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47）6.1、</w:t>
      </w:r>
      <w:r>
        <w:rPr>
          <w:rFonts w:ascii="宋体" w:hAnsi="宋体" w:cs="宋体" w:eastAsia="宋体"/>
          <w:sz w:val="24"/>
          <w:shd w:fill="FFFFFF" w:val="clear"/>
        </w:rPr>
        <w:t>支持操作者可步行驾驶也可站踏板驾驶叉车。</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48）6.2、</w:t>
      </w:r>
      <w:r>
        <w:rPr>
          <w:rFonts w:ascii="宋体" w:hAnsi="宋体" w:cs="宋体" w:eastAsia="宋体"/>
          <w:sz w:val="24"/>
          <w:shd w:fill="FFFFFF" w:val="clear"/>
        </w:rPr>
        <w:t>自重</w:t>
      </w:r>
      <w:r>
        <w:rPr>
          <w:rFonts w:ascii="宋体" w:hAnsi="宋体" w:cs="宋体" w:eastAsia="宋体"/>
          <w:sz w:val="24"/>
          <w:shd w:fill="FFFFFF" w:val="clear"/>
        </w:rPr>
        <w:t>:790kg；载重: 1000/1500kg。</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49）6.3、</w:t>
      </w:r>
      <w:r>
        <w:rPr>
          <w:rFonts w:ascii="宋体" w:hAnsi="宋体" w:cs="宋体" w:eastAsia="宋体"/>
          <w:sz w:val="24"/>
          <w:shd w:fill="FFFFFF" w:val="clear"/>
        </w:rPr>
        <w:t>升高</w:t>
      </w:r>
      <w:r>
        <w:rPr>
          <w:rFonts w:ascii="宋体" w:hAnsi="宋体" w:cs="宋体" w:eastAsia="宋体"/>
          <w:sz w:val="24"/>
          <w:shd w:fill="FFFFFF" w:val="clear"/>
        </w:rPr>
        <w:t>: 1600/2000/2500mm。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50）6.4、尺寸要求：</w:t>
      </w:r>
      <w:r>
        <w:rPr>
          <w:rFonts w:ascii="宋体" w:hAnsi="宋体" w:cs="宋体" w:eastAsia="宋体"/>
          <w:sz w:val="24"/>
          <w:shd w:fill="FFFFFF" w:val="clear"/>
        </w:rPr>
        <w:t>整车长度</w:t>
      </w:r>
      <w:r>
        <w:rPr>
          <w:rFonts w:ascii="宋体" w:hAnsi="宋体" w:cs="宋体" w:eastAsia="宋体"/>
          <w:sz w:val="24"/>
          <w:shd w:fill="FFFFFF" w:val="clear"/>
        </w:rPr>
        <w:t>:2010/2060mm；整车宽度:850mm；货叉长度:1150mm；货叉厚度: 65mm。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51）6.5、</w:t>
      </w:r>
      <w:r>
        <w:rPr>
          <w:rFonts w:ascii="宋体" w:hAnsi="宋体" w:cs="宋体" w:eastAsia="宋体"/>
          <w:sz w:val="24"/>
          <w:shd w:fill="FFFFFF" w:val="clear"/>
        </w:rPr>
        <w:t>最小转弯半径</w:t>
      </w:r>
      <w:r>
        <w:rPr>
          <w:rFonts w:ascii="宋体" w:hAnsi="宋体" w:cs="宋体" w:eastAsia="宋体"/>
          <w:sz w:val="24"/>
          <w:shd w:fill="FFFFFF" w:val="clear"/>
        </w:rPr>
        <w:t>:1675mm。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52）6.6、</w:t>
      </w:r>
      <w:r>
        <w:rPr>
          <w:rFonts w:ascii="宋体" w:hAnsi="宋体" w:cs="宋体" w:eastAsia="宋体"/>
          <w:sz w:val="24"/>
          <w:shd w:fill="FFFFFF" w:val="clear"/>
        </w:rPr>
        <w:t>驱动电机功率</w:t>
      </w:r>
      <w:r>
        <w:rPr>
          <w:rFonts w:ascii="宋体" w:hAnsi="宋体" w:cs="宋体" w:eastAsia="宋体"/>
          <w:sz w:val="24"/>
          <w:shd w:fill="FFFFFF" w:val="clear"/>
        </w:rPr>
        <w:t>:0.75kw。</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53）6.7、</w:t>
      </w:r>
      <w:r>
        <w:rPr>
          <w:rFonts w:ascii="宋体" w:hAnsi="宋体" w:cs="宋体" w:eastAsia="宋体"/>
          <w:sz w:val="24"/>
          <w:shd w:fill="FFFFFF" w:val="clear"/>
        </w:rPr>
        <w:t>电池容量</w:t>
      </w:r>
      <w:r>
        <w:rPr>
          <w:rFonts w:ascii="宋体" w:hAnsi="宋体" w:cs="宋体" w:eastAsia="宋体"/>
          <w:sz w:val="24"/>
          <w:shd w:fill="FFFFFF" w:val="clear"/>
        </w:rPr>
        <w:t>:80ah。</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1-6</w:t>
      </w:r>
      <w:r>
        <w:rPr>
          <w:rFonts w:ascii="宋体" w:hAnsi="宋体" w:cs="宋体" w:eastAsia="宋体"/>
          <w:sz w:val="20"/>
          <w:b/>
          <w:shd w:fill="FFFFFF" w:val="clear"/>
        </w:rPr>
        <w:t xml:space="preserve"> </w:t>
      </w:r>
      <w:r>
        <w:rPr>
          <w:rFonts w:ascii="宋体" w:hAnsi="宋体" w:cs="宋体" w:eastAsia="宋体"/>
          <w:sz w:val="24"/>
          <w:b/>
          <w:shd w:fill="FFFFFF" w:val="clear"/>
        </w:rPr>
        <w:t>便携式携行床</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54）7.1、尺寸要求：</w:t>
      </w:r>
      <w:r>
        <w:rPr>
          <w:rFonts w:ascii="宋体" w:hAnsi="宋体" w:cs="宋体" w:eastAsia="宋体"/>
          <w:sz w:val="24"/>
          <w:shd w:fill="FFFFFF" w:val="clear"/>
        </w:rPr>
        <w:t>展开尺寸</w:t>
      </w:r>
      <w:r>
        <w:rPr>
          <w:rFonts w:ascii="宋体" w:hAnsi="宋体" w:cs="宋体" w:eastAsia="宋体"/>
          <w:sz w:val="24"/>
          <w:shd w:fill="FFFFFF" w:val="clear"/>
        </w:rPr>
        <w:t>:190*80*38(尾部)CM；折叠尺寸:24*17*101CM。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55）7.2、主体</w:t>
      </w:r>
      <w:r>
        <w:rPr>
          <w:rFonts w:ascii="宋体" w:hAnsi="宋体" w:cs="宋体" w:eastAsia="宋体"/>
          <w:sz w:val="24"/>
          <w:shd w:fill="FFFFFF" w:val="clear"/>
        </w:rPr>
        <w:t>材质</w:t>
      </w:r>
      <w:r>
        <w:rPr>
          <w:rFonts w:ascii="宋体" w:hAnsi="宋体" w:cs="宋体" w:eastAsia="宋体"/>
          <w:sz w:val="24"/>
          <w:shd w:fill="FFFFFF" w:val="clear"/>
        </w:rPr>
        <w:t>:钢管+600D牛津布+PP塑料圆管；吊床面材质：牛津布。</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56）7.3、</w:t>
      </w:r>
      <w:r>
        <w:rPr>
          <w:rFonts w:ascii="宋体" w:hAnsi="宋体" w:cs="宋体" w:eastAsia="宋体"/>
          <w:sz w:val="24"/>
          <w:shd w:fill="FFFFFF" w:val="clear"/>
        </w:rPr>
        <w:t>重量：</w:t>
      </w:r>
      <w:r>
        <w:rPr>
          <w:rFonts w:ascii="宋体" w:hAnsi="宋体" w:cs="宋体" w:eastAsia="宋体"/>
          <w:sz w:val="24"/>
          <w:shd w:fill="FFFFFF" w:val="clear"/>
        </w:rPr>
        <w:t>6KG。最大承重：200KG。</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57）7.4、</w:t>
      </w:r>
      <w:r>
        <w:rPr>
          <w:rFonts w:ascii="宋体" w:hAnsi="宋体" w:cs="宋体" w:eastAsia="宋体"/>
          <w:sz w:val="24"/>
          <w:shd w:fill="FFFFFF" w:val="clear"/>
        </w:rPr>
        <w:t>椭方管直径：</w:t>
      </w:r>
      <w:r>
        <w:rPr>
          <w:rFonts w:ascii="宋体" w:hAnsi="宋体" w:cs="宋体" w:eastAsia="宋体"/>
          <w:sz w:val="24"/>
          <w:shd w:fill="FFFFFF" w:val="clear"/>
        </w:rPr>
        <w:t>25mm。</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58）7.5、</w:t>
      </w:r>
      <w:r>
        <w:rPr>
          <w:rFonts w:ascii="宋体" w:hAnsi="宋体" w:cs="宋体" w:eastAsia="宋体"/>
          <w:sz w:val="24"/>
          <w:shd w:fill="FFFFFF" w:val="clear"/>
        </w:rPr>
        <w:t>圆管直径：</w:t>
      </w:r>
      <w:r>
        <w:rPr>
          <w:rFonts w:ascii="宋体" w:hAnsi="宋体" w:cs="宋体" w:eastAsia="宋体"/>
          <w:sz w:val="24"/>
          <w:shd w:fill="FFFFFF" w:val="clear"/>
        </w:rPr>
        <w:t>16mm。</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1-7</w:t>
      </w:r>
      <w:r>
        <w:rPr>
          <w:rFonts w:ascii="宋体" w:hAnsi="宋体" w:cs="宋体" w:eastAsia="宋体"/>
          <w:sz w:val="20"/>
          <w:b/>
          <w:shd w:fill="FFFFFF" w:val="clear"/>
        </w:rPr>
        <w:t xml:space="preserve"> </w:t>
      </w:r>
      <w:r>
        <w:rPr>
          <w:rFonts w:ascii="宋体" w:hAnsi="宋体" w:cs="宋体" w:eastAsia="宋体"/>
          <w:sz w:val="24"/>
          <w:b/>
          <w:shd w:fill="FFFFFF" w:val="clear"/>
        </w:rPr>
        <w:t>◆超轻型救灾帐篷</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59）</w:t>
      </w:r>
      <w:r>
        <w:rPr>
          <w:rFonts w:ascii="宋体" w:hAnsi="宋体" w:cs="宋体" w:eastAsia="宋体"/>
          <w:sz w:val="24"/>
          <w:shd w:fill="FFFFFF" w:val="clear"/>
        </w:rPr>
        <w:t>8.1、满足不少于10人办公或住宿需求。</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60）</w:t>
      </w:r>
      <w:r>
        <w:rPr>
          <w:rFonts w:ascii="宋体" w:hAnsi="宋体" w:cs="宋体" w:eastAsia="宋体"/>
          <w:sz w:val="24"/>
          <w:shd w:fill="FFFFFF" w:val="clear"/>
        </w:rPr>
        <w:t>8.2、帐篷展开后，应可实现整体快速移动、锚定需求，快速支撑搭建、省时省力。</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61）</w:t>
      </w:r>
      <w:r>
        <w:rPr>
          <w:rFonts w:ascii="宋体" w:hAnsi="宋体" w:cs="宋体" w:eastAsia="宋体"/>
          <w:sz w:val="24"/>
          <w:shd w:fill="FFFFFF" w:val="clear"/>
        </w:rPr>
        <w:t>8.3、采用模块化设计，应可根据需要适当组合；纵深方向为多个拓展单元连接，可按照要求长度进行续接，组合灵活，无限无缝连接延伸，可以做到十里连营，多功能使用。</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62）</w:t>
      </w:r>
      <w:r>
        <w:rPr>
          <w:rFonts w:ascii="宋体" w:hAnsi="宋体" w:cs="宋体" w:eastAsia="宋体"/>
          <w:sz w:val="24"/>
          <w:shd w:fill="FFFFFF" w:val="clear"/>
        </w:rPr>
        <w:t>8.4、主体棚体双层设计，篷布与棚体骨架为一体化，可同时展开与收拢。采用模块化设计，快速支撑搭建，预留连接处，应可根据需要适当组合；纵深方向为多个拓展单元连接，可按照要求长度进行续接，组合灵活。可根据用户实际使用面积需求，实现无缝无限延伸链接，各模块能够实现无缝对接，内部空间互通，实现功能区隔断划分。</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63）</w:t>
      </w:r>
      <w:r>
        <w:rPr>
          <w:rFonts w:ascii="宋体" w:hAnsi="宋体" w:cs="宋体" w:eastAsia="宋体"/>
          <w:sz w:val="24"/>
          <w:shd w:fill="FFFFFF" w:val="clear"/>
        </w:rPr>
        <w:t>8.5、指挥帐篷：由每根金属圆管通过三角支撑连接装置链接，每个连接装置中间部位有加固稳固支撑点，帐篷的整体稳固，利用三角支撑稳固力学原理搭建支撑，所有圆管支撑杆与帐篷主体篷布都已连接组合成为整体；在使用安装、拆卸时无需单独再组装帐篷支撑杆，更无需借助任何辅助工具、充气工具进行充气支撑搭建，快速搭建展开使用。撑杆连接装置两端留有端口，可增加帐篷面积扩容；帐篷主体两端为敞口开放模式，两端开口使用魔术贴与帐篷门帘横墙连接；实现帐篷与帐篷之间扩展延伸。</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64）</w:t>
      </w:r>
      <w:r>
        <w:rPr>
          <w:rFonts w:ascii="宋体" w:hAnsi="宋体" w:cs="宋体" w:eastAsia="宋体"/>
          <w:sz w:val="24"/>
          <w:shd w:fill="FFFFFF" w:val="clear"/>
        </w:rPr>
        <w:t>8.6、快速架设、撤收：≤50秒/≤30秒，人力：2人，完成主体架设/撤收。</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65）★8.7需提供满足项目8.3~8.6上述全部要求的承诺函并加盖投标人公章，并同时提供产品三视图。</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66）</w:t>
      </w:r>
      <w:r>
        <w:rPr>
          <w:rFonts w:ascii="宋体" w:hAnsi="宋体" w:cs="宋体" w:eastAsia="宋体"/>
          <w:sz w:val="24"/>
          <w:shd w:fill="FFFFFF" w:val="clear"/>
        </w:rPr>
        <w:t>8.8、面积≥ 27㎡，主体重量≤75kg；两端移动门可随意粘贴移除；肩高支架为三角支撑，高度≥ 170cm，顶端到地面高度：≥250cm，整体尺寸符合民航局客运机运输要求。</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67）</w:t>
      </w:r>
      <w:r>
        <w:rPr>
          <w:rFonts w:ascii="宋体" w:hAnsi="宋体" w:cs="宋体" w:eastAsia="宋体"/>
          <w:sz w:val="24"/>
          <w:shd w:fill="FFFFFF" w:val="clear"/>
        </w:rPr>
        <w:t>8.9、窗户：窗户6个，尺寸：140cm×100cm，纱网材质具有破断力强、耐老化、防蚊虫，帐篷设有通风口不少于2个。</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68）</w:t>
      </w:r>
      <w:r>
        <w:rPr>
          <w:rFonts w:ascii="宋体" w:hAnsi="宋体" w:cs="宋体" w:eastAsia="宋体"/>
          <w:sz w:val="24"/>
          <w:shd w:fill="FFFFFF" w:val="clear"/>
        </w:rPr>
        <w:t>8.10、整体抗风等级：持续风≥7级，阵风≥90km/h，抗压能力≥20kg/㎡。</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69）</w:t>
      </w:r>
      <w:r>
        <w:rPr>
          <w:rFonts w:ascii="宋体" w:hAnsi="宋体" w:cs="宋体" w:eastAsia="宋体"/>
          <w:sz w:val="24"/>
          <w:shd w:fill="FFFFFF" w:val="clear"/>
        </w:rPr>
        <w:t>8.11、篷布：具有阻燃、防霉、防潮、防静电功能。</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70）8.12、隔空隔热层： 具有隔热、保温、保湿、耐洗功能，有效的保持帐篷内温度、湿度。</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71）</w:t>
      </w:r>
      <w:r>
        <w:rPr>
          <w:rFonts w:ascii="宋体" w:hAnsi="宋体" w:cs="宋体" w:eastAsia="宋体"/>
          <w:sz w:val="24"/>
          <w:shd w:fill="FFFFFF" w:val="clear"/>
        </w:rPr>
        <w:t>8.13、</w:t>
      </w:r>
      <w:r>
        <w:rPr>
          <w:rFonts w:ascii="宋体" w:hAnsi="宋体" w:cs="宋体" w:eastAsia="宋体"/>
          <w:sz w:val="24"/>
          <w:color w:val="000000"/>
          <w:shd w:fill="FFFFFF" w:val="clear"/>
        </w:rPr>
        <w:t>面料抗拉强度：径向</w:t>
      </w:r>
      <w:r>
        <w:rPr>
          <w:rFonts w:ascii="宋体" w:hAnsi="宋体" w:cs="宋体" w:eastAsia="宋体"/>
          <w:sz w:val="24"/>
          <w:color w:val="000000"/>
          <w:shd w:fill="FFFFFF" w:val="clear"/>
        </w:rPr>
        <w:t>2375N/50mm，纬向：1590 N/50mm；断裂伸长率：径向20/%，纬向22/%；抗透水性：2min在25kPa压力下无任何渗透点和水痕；抗UV：经UV（不小于160h）老化实验后，颜色无明显变化。</w:t>
      </w:r>
      <w:r>
        <w:rPr>
          <w:rFonts w:ascii="calibri" w:hAnsi="calibri" w:cs="calibri" w:eastAsia="calibri"/>
          <w:sz w:val="24"/>
        </w:rPr>
        <w:t xml:space="preserve"> </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72）</w:t>
      </w:r>
      <w:r>
        <w:rPr>
          <w:rFonts w:ascii="宋体" w:hAnsi="宋体" w:cs="宋体" w:eastAsia="宋体"/>
          <w:sz w:val="24"/>
          <w:shd w:fill="FFFFFF" w:val="clear"/>
        </w:rPr>
        <w:t>8.14、篷布有焰燃烧时间≤10S。</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73）</w:t>
      </w:r>
      <w:r>
        <w:rPr>
          <w:rFonts w:ascii="宋体" w:hAnsi="宋体" w:cs="宋体" w:eastAsia="宋体"/>
          <w:sz w:val="24"/>
          <w:shd w:fill="FFFFFF" w:val="clear"/>
        </w:rPr>
        <w:t>8.15、帐篷连接装置抗拉强度：939.4N。</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74）</w:t>
      </w:r>
      <w:r>
        <w:rPr>
          <w:rFonts w:ascii="宋体" w:hAnsi="宋体" w:cs="宋体" w:eastAsia="宋体"/>
          <w:sz w:val="24"/>
          <w:shd w:fill="FFFFFF" w:val="clear"/>
        </w:rPr>
        <w:t>8.16、帐篷主体骨架选用金属骨架，抗拉强度134.1N/mm²满足承载要求。</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75）8.17、整套配置包含：帐篷1顶、隔空隔热保温层1套、</w:t>
      </w:r>
      <w:r>
        <w:rPr>
          <w:rFonts w:ascii="宋体" w:hAnsi="宋体" w:cs="宋体" w:eastAsia="宋体"/>
          <w:sz w:val="24"/>
          <w:shd w:fill="FFFFFF" w:val="clear"/>
        </w:rPr>
        <w:t>加厚保暖层</w:t>
      </w:r>
      <w:r>
        <w:rPr>
          <w:rFonts w:ascii="宋体" w:hAnsi="宋体" w:cs="宋体" w:eastAsia="宋体"/>
          <w:sz w:val="24"/>
          <w:shd w:fill="FFFFFF" w:val="clear"/>
        </w:rPr>
        <w:t>1套、</w:t>
      </w:r>
      <w:r>
        <w:rPr>
          <w:rFonts w:ascii="宋体" w:hAnsi="宋体" w:cs="宋体" w:eastAsia="宋体"/>
          <w:sz w:val="24"/>
          <w:color w:val="000000"/>
          <w:shd w:fill="FFFFFF" w:val="clear"/>
        </w:rPr>
        <w:t>地布</w:t>
      </w:r>
      <w:r>
        <w:rPr>
          <w:rFonts w:ascii="宋体" w:hAnsi="宋体" w:cs="宋体" w:eastAsia="宋体"/>
          <w:sz w:val="24"/>
          <w:color w:val="000000"/>
          <w:shd w:fill="FFFFFF" w:val="clear"/>
        </w:rPr>
        <w:t>1个、</w:t>
      </w:r>
      <w:r>
        <w:rPr>
          <w:rFonts w:ascii="宋体" w:hAnsi="宋体" w:cs="宋体" w:eastAsia="宋体"/>
          <w:sz w:val="24"/>
          <w:shd w:fill="FFFFFF" w:val="clear"/>
        </w:rPr>
        <w:t>太阳能供电照明系统</w:t>
      </w:r>
      <w:r>
        <w:rPr>
          <w:rFonts w:ascii="宋体" w:hAnsi="宋体" w:cs="宋体" w:eastAsia="宋体"/>
          <w:sz w:val="24"/>
          <w:shd w:fill="FFFFFF" w:val="clear"/>
        </w:rPr>
        <w:t>1套、运输箱1组、附件工具组1套、固定套装1组。</w:t>
      </w:r>
    </w:p>
    <w:p>
      <w:pPr>
        <w:pStyle w:val="null3"/>
        <w:ind w:firstLine="420"/>
        <w:jc w:val="left"/>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76）8.18、太阳供电照明系统：电池组耐磨、耐摔、耐冲击，AC端输出≥500W；晶硅太阳能板额定功率：100W；LED灯组，亮度≥500流明；</w:t>
      </w:r>
    </w:p>
    <w:p>
      <w:pPr>
        <w:pStyle w:val="null3"/>
        <w:ind w:firstLine="420"/>
        <w:jc w:val="left"/>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77）8.19、运输箱：材质PE，滚塑工艺，高抗冲击，箱体防尘防水并安装有搬运扶手，尺寸</w:t>
      </w:r>
      <w:r>
        <w:rPr>
          <w:rFonts w:ascii="宋体" w:hAnsi="宋体" w:cs="宋体" w:eastAsia="宋体"/>
          <w:sz w:val="24"/>
          <w:shd w:fill="FFFFFF" w:val="clear"/>
        </w:rPr>
        <w:t>≥</w:t>
      </w:r>
      <w:r>
        <w:rPr>
          <w:rFonts w:ascii="宋体" w:hAnsi="宋体" w:cs="宋体" w:eastAsia="宋体"/>
          <w:sz w:val="24"/>
          <w:color w:val="000000"/>
          <w:shd w:fill="FFFFFF" w:val="clear"/>
        </w:rPr>
        <w:t>1950*630*715mm。</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1-8卫星电话服务费</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78）9.1、</w:t>
      </w:r>
      <w:r>
        <w:rPr>
          <w:rFonts w:ascii="宋体" w:hAnsi="宋体" w:cs="宋体" w:eastAsia="宋体"/>
          <w:sz w:val="24"/>
          <w:shd w:fill="FFFFFF" w:val="clear"/>
        </w:rPr>
        <w:t>海事卫星电话年费，有效时长：</w:t>
      </w:r>
      <w:r>
        <w:rPr>
          <w:rFonts w:ascii="宋体" w:hAnsi="宋体" w:cs="宋体" w:eastAsia="宋体"/>
          <w:sz w:val="24"/>
          <w:shd w:fill="FFFFFF" w:val="clear"/>
        </w:rPr>
        <w:t>12个月，包含不少于500分钟的通话时长。</w:t>
      </w:r>
    </w:p>
    <w:p>
      <w:pPr>
        <w:pStyle w:val="null3"/>
        <w:jc w:val="both"/>
        <w:outlineLvl w:val="4"/>
      </w:pPr>
      <w:r>
        <w:rPr>
          <w:rFonts w:ascii="宋体" w:hAnsi="宋体" w:cs="宋体" w:eastAsia="宋体"/>
          <w:sz w:val="24"/>
          <w:b/>
          <w:shd w:fill="FFFFFF" w:val="clear"/>
        </w:rPr>
        <w:t>品目号</w:t>
      </w:r>
      <w:r>
        <w:rPr>
          <w:rFonts w:ascii="宋体" w:hAnsi="宋体" w:cs="宋体" w:eastAsia="宋体"/>
          <w:sz w:val="24"/>
          <w:b/>
          <w:shd w:fill="FFFFFF" w:val="clear"/>
        </w:rPr>
        <w:t>1-9人身意外险</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79）10.1、</w:t>
      </w:r>
      <w:r>
        <w:rPr>
          <w:rFonts w:ascii="宋体" w:hAnsi="宋体" w:cs="宋体" w:eastAsia="宋体"/>
          <w:sz w:val="24"/>
          <w:shd w:fill="FFFFFF" w:val="clear"/>
        </w:rPr>
        <w:t>保险类型：人身意外险</w:t>
      </w:r>
    </w:p>
    <w:p>
      <w:pPr>
        <w:pStyle w:val="null3"/>
        <w:ind w:firstLine="420"/>
        <w:jc w:val="both"/>
      </w:pPr>
      <w:r>
        <w:rPr>
          <w:rFonts w:ascii="宋体" w:hAnsi="宋体" w:cs="宋体" w:eastAsia="宋体"/>
          <w:sz w:val="24"/>
          <w:color w:val="000000"/>
          <w:shd w:fill="FFFFFF" w:val="clear"/>
        </w:rPr>
        <w:t>（指标项</w:t>
      </w:r>
      <w:r>
        <w:rPr>
          <w:rFonts w:ascii="宋体" w:hAnsi="宋体" w:cs="宋体" w:eastAsia="宋体"/>
          <w:sz w:val="24"/>
          <w:color w:val="000000"/>
          <w:shd w:fill="FFFFFF" w:val="clear"/>
        </w:rPr>
        <w:t>80）10.2、</w:t>
      </w:r>
      <w:r>
        <w:rPr>
          <w:rFonts w:ascii="宋体" w:hAnsi="宋体" w:cs="宋体" w:eastAsia="宋体"/>
          <w:sz w:val="24"/>
          <w:shd w:fill="FFFFFF" w:val="clear"/>
        </w:rPr>
        <w:t>保障内容：</w:t>
      </w:r>
    </w:p>
    <w:p>
      <w:pPr>
        <w:pStyle w:val="null3"/>
        <w:ind w:firstLine="420"/>
        <w:jc w:val="both"/>
      </w:pPr>
      <w:r>
        <w:rPr>
          <w:rFonts w:ascii="宋体" w:hAnsi="宋体" w:cs="宋体" w:eastAsia="宋体"/>
          <w:sz w:val="24"/>
          <w:shd w:fill="FFFFFF" w:val="clear"/>
        </w:rPr>
        <w:t>（</w:t>
      </w:r>
      <w:r>
        <w:rPr>
          <w:rFonts w:ascii="宋体" w:hAnsi="宋体" w:cs="宋体" w:eastAsia="宋体"/>
          <w:sz w:val="24"/>
          <w:shd w:fill="FFFFFF" w:val="clear"/>
        </w:rPr>
        <w:t>1）死亡伤残30万；意外医疗3万；附加住院津贴100元/天；（2）免赔条款：医疗免赔扣除200元后100%赔付；津贴免赔3天，最多赔付180天。（3）投保年龄：16-60周岁。</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自合同签订之日起30日内交货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福州市第二总医院指定地点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1、期次1，说明：按招标文件要求，具体详见本章三、商务要求中“其他商务要求第2点验收标准和验收程序”相关条款的规定。</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1、货物安装调试完毕，并经验收合格后，达到付款条件起30日内，支付合同总金额的100.00%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“序号6:★合同支付方式”为系统模板，具体内容按以下描述为准:货物安装调试完毕，并经验收合格后，达到付款条件起30个工作日内，支付合同总金额的100.00%。</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本采购包履约保证金为合同金额的5.0%</w:t>
            </w:r>
          </w:p>
          <w:p>
            <w:pPr>
              <w:pStyle w:val="null3"/>
              <w:jc w:val="both"/>
            </w:pPr>
            <w:r>
              <w:rPr/>
              <w:t>说明：中标人在签订采购合同前应向采购人缴纳合同总金额的5%作为履约保证金，该履约保证金于验收合格后满1年且无违约的前提下，中标人书面提出申请后30日内一次性无息退还。[本项目为非专门面向中小企业的政府采购项目，若中标人所投产品的制造商均符合中小企业认定标准且按招标文件规定提供有效证明文件的，履约保证金收取比例为合同总金额的3%]，履约保证金以转账等非现金形式提交。</w:t>
            </w:r>
          </w:p>
        </w:tc>
      </w:tr>
    </w:tbl>
    <w:p>
      <w:pPr>
        <w:pStyle w:val="null3"/>
        <w:jc w:val="left"/>
      </w:pPr>
      <w:r>
        <w:rPr/>
        <w:t>其他商务要求</w:t>
      </w:r>
    </w:p>
    <w:p>
      <w:pPr>
        <w:pStyle w:val="null3"/>
        <w:ind w:firstLine="480"/>
        <w:jc w:val="left"/>
      </w:pPr>
      <w:r>
        <w:rPr>
          <w:rFonts w:ascii="宋体" w:hAnsi="宋体" w:cs="宋体" w:eastAsia="宋体"/>
          <w:sz w:val="24"/>
          <w:color w:val="333333"/>
          <w:shd w:fill="FFFFFF" w:val="clear"/>
        </w:rPr>
        <w:t>★其他商务要求如下：</w:t>
      </w:r>
    </w:p>
    <w:p>
      <w:pPr>
        <w:pStyle w:val="null3"/>
        <w:spacing w:after="150"/>
        <w:ind w:firstLine="480"/>
        <w:jc w:val="left"/>
      </w:pPr>
      <w:r>
        <w:rPr>
          <w:rFonts w:ascii="宋体" w:hAnsi="宋体" w:cs="宋体" w:eastAsia="宋体"/>
          <w:sz w:val="24"/>
          <w:color w:val="333333"/>
          <w:shd w:fill="FFFFFF" w:val="clear"/>
        </w:rPr>
        <w:t>1、安装和调试</w:t>
      </w:r>
    </w:p>
    <w:p>
      <w:pPr>
        <w:pStyle w:val="null3"/>
        <w:spacing w:after="150"/>
        <w:ind w:firstLine="480"/>
        <w:jc w:val="left"/>
      </w:pPr>
      <w:r>
        <w:rPr>
          <w:rFonts w:ascii="宋体" w:hAnsi="宋体" w:cs="宋体" w:eastAsia="宋体"/>
          <w:sz w:val="24"/>
          <w:color w:val="333333"/>
          <w:shd w:fill="FFFFFF" w:val="clear"/>
        </w:rPr>
        <w:t>1.1中标人应指派专业技术人员在规定的时间内完成货物的安装和调试，如由于中标人的原因不能完成安装和调试，采购人应承担由此给用户造成的损失。</w:t>
      </w:r>
    </w:p>
    <w:p>
      <w:pPr>
        <w:pStyle w:val="null3"/>
        <w:spacing w:after="150"/>
        <w:ind w:firstLine="480"/>
        <w:jc w:val="left"/>
      </w:pPr>
      <w:r>
        <w:rPr>
          <w:rFonts w:ascii="宋体" w:hAnsi="宋体" w:cs="宋体" w:eastAsia="宋体"/>
          <w:sz w:val="24"/>
          <w:color w:val="333333"/>
          <w:shd w:fill="FFFFFF" w:val="clear"/>
        </w:rPr>
        <w:t>1.2安装标准：符合我国国家有关技术规范要求和技术标准。</w:t>
      </w:r>
    </w:p>
    <w:p>
      <w:pPr>
        <w:pStyle w:val="null3"/>
        <w:spacing w:after="150"/>
        <w:ind w:firstLine="480"/>
        <w:jc w:val="left"/>
      </w:pPr>
      <w:r>
        <w:rPr>
          <w:rFonts w:ascii="宋体" w:hAnsi="宋体" w:cs="宋体" w:eastAsia="宋体"/>
          <w:sz w:val="24"/>
          <w:color w:val="333333"/>
          <w:shd w:fill="FFFFFF" w:val="clear"/>
        </w:rPr>
        <w:t>1.3安装过程中发生的费用由中标人负责。</w:t>
      </w:r>
    </w:p>
    <w:p>
      <w:pPr>
        <w:pStyle w:val="null3"/>
        <w:spacing w:after="150"/>
        <w:ind w:firstLine="480"/>
        <w:jc w:val="left"/>
      </w:pPr>
      <w:r>
        <w:rPr>
          <w:rFonts w:ascii="宋体" w:hAnsi="宋体" w:cs="宋体" w:eastAsia="宋体"/>
          <w:sz w:val="24"/>
          <w:color w:val="333333"/>
          <w:shd w:fill="FFFFFF" w:val="clear"/>
        </w:rPr>
        <w:t>1.4投标人应在投标文件中提供其安装调试过程中医院需配合的内容。</w:t>
      </w:r>
    </w:p>
    <w:p>
      <w:pPr>
        <w:pStyle w:val="null3"/>
        <w:spacing w:after="150"/>
        <w:ind w:firstLine="480"/>
        <w:jc w:val="left"/>
      </w:pPr>
      <w:r>
        <w:rPr>
          <w:rFonts w:ascii="宋体" w:hAnsi="宋体" w:cs="宋体" w:eastAsia="宋体"/>
          <w:sz w:val="24"/>
          <w:color w:val="333333"/>
          <w:shd w:fill="FFFFFF" w:val="clear"/>
        </w:rPr>
        <w:t>2、验收标准和验收程序</w:t>
      </w:r>
    </w:p>
    <w:p>
      <w:pPr>
        <w:pStyle w:val="null3"/>
        <w:spacing w:after="150"/>
        <w:ind w:firstLine="480"/>
        <w:jc w:val="left"/>
      </w:pPr>
      <w:r>
        <w:rPr>
          <w:rFonts w:ascii="宋体" w:hAnsi="宋体" w:cs="宋体" w:eastAsia="宋体"/>
          <w:sz w:val="24"/>
          <w:color w:val="333333"/>
          <w:shd w:fill="FFFFFF" w:val="clear"/>
        </w:rPr>
        <w:t>2.1验收标准：本项目材料质量标准以及检验、检测、调试、验收等事宜必须符合国家现行有关技术规范和质量检验标准、行业标准以及合同规定的验收评定标准。货物质量达到设 计要求，安装调试各项指标符合技术参数要求。</w:t>
      </w:r>
    </w:p>
    <w:p>
      <w:pPr>
        <w:pStyle w:val="null3"/>
        <w:spacing w:after="150"/>
        <w:ind w:firstLine="480"/>
        <w:jc w:val="left"/>
      </w:pPr>
      <w:r>
        <w:rPr>
          <w:rFonts w:ascii="宋体" w:hAnsi="宋体" w:cs="宋体" w:eastAsia="宋体"/>
          <w:sz w:val="24"/>
          <w:color w:val="333333"/>
          <w:shd w:fill="FFFFFF" w:val="clear"/>
        </w:rPr>
        <w:t>2.2验收程序：货物验收分中标人出厂检验、安装调试检验及最终验收三个阶段。实行现场验收，由中标人负责并会同</w:t>
      </w:r>
      <w:r>
        <w:rPr>
          <w:rFonts w:ascii="宋体" w:hAnsi="宋体" w:cs="宋体" w:eastAsia="宋体"/>
          <w:sz w:val="24"/>
          <w:color w:val="333333"/>
          <w:shd w:fill="FFFFFF" w:val="clear"/>
        </w:rPr>
        <w:t>采购人</w:t>
      </w:r>
      <w:r>
        <w:rPr>
          <w:rFonts w:ascii="宋体" w:hAnsi="宋体" w:cs="宋体" w:eastAsia="宋体"/>
          <w:sz w:val="24"/>
          <w:color w:val="333333"/>
          <w:shd w:fill="FFFFFF" w:val="clear"/>
        </w:rPr>
        <w:t>及有关专家</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进行验收，专家费用</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由中标人支付。如属于计量器具的，经过计量部门计量检定或校准，合格后才能投入使用。检测费用由中标人承担。</w:t>
      </w:r>
    </w:p>
    <w:p>
      <w:pPr>
        <w:pStyle w:val="null3"/>
        <w:spacing w:after="150"/>
        <w:ind w:firstLine="480"/>
        <w:jc w:val="left"/>
      </w:pPr>
      <w:r>
        <w:rPr>
          <w:rFonts w:ascii="宋体" w:hAnsi="宋体" w:cs="宋体" w:eastAsia="宋体"/>
          <w:sz w:val="24"/>
          <w:color w:val="333333"/>
          <w:shd w:fill="FFFFFF" w:val="clear"/>
        </w:rPr>
        <w:t>a.出厂检验</w:t>
      </w:r>
    </w:p>
    <w:p>
      <w:pPr>
        <w:pStyle w:val="null3"/>
        <w:spacing w:after="150"/>
        <w:ind w:firstLine="480"/>
        <w:jc w:val="left"/>
      </w:pPr>
      <w:r>
        <w:rPr>
          <w:rFonts w:ascii="宋体" w:hAnsi="宋体" w:cs="宋体" w:eastAsia="宋体"/>
          <w:sz w:val="24"/>
          <w:color w:val="333333"/>
          <w:shd w:fill="FFFFFF" w:val="clear"/>
        </w:rPr>
        <w:t>中标人在货物出厂前，应按产品技术标准规定的检验项目和试验方法进行全面检验，中标人应随同货物提供出厂检验报告、产品质量合格证。</w:t>
      </w:r>
    </w:p>
    <w:p>
      <w:pPr>
        <w:pStyle w:val="null3"/>
        <w:spacing w:after="150"/>
        <w:ind w:firstLine="480"/>
        <w:jc w:val="left"/>
      </w:pPr>
      <w:r>
        <w:rPr>
          <w:rFonts w:ascii="宋体" w:hAnsi="宋体" w:cs="宋体" w:eastAsia="宋体"/>
          <w:sz w:val="24"/>
          <w:color w:val="333333"/>
          <w:shd w:fill="FFFFFF" w:val="clear"/>
        </w:rPr>
        <w:t>b.安装调试检验：设备、安装、调试过程，中标人应作详细检验记录。安装调试检验结果应符合制造厂产品标准和招标文件规定。检验记录应真实并提供给采购人。</w:t>
      </w:r>
    </w:p>
    <w:p>
      <w:pPr>
        <w:pStyle w:val="null3"/>
        <w:spacing w:after="150"/>
        <w:ind w:firstLine="480"/>
        <w:jc w:val="left"/>
      </w:pPr>
      <w:r>
        <w:rPr>
          <w:rFonts w:ascii="宋体" w:hAnsi="宋体" w:cs="宋体" w:eastAsia="宋体"/>
          <w:sz w:val="24"/>
          <w:color w:val="333333"/>
          <w:shd w:fill="FFFFFF" w:val="clear"/>
        </w:rPr>
        <w:t>c.最终验收：设备安装、调试结束后，由中标人负责并会同采购人及有关部门</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或专家</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按本项第</w:t>
      </w:r>
      <w:r>
        <w:rPr>
          <w:rFonts w:ascii="宋体" w:hAnsi="宋体" w:cs="宋体" w:eastAsia="宋体"/>
          <w:sz w:val="24"/>
          <w:color w:val="333333"/>
          <w:shd w:fill="FFFFFF" w:val="clear"/>
        </w:rPr>
        <w:t>(1)款规定的验收标准要求进行最终验收。</w:t>
      </w:r>
    </w:p>
    <w:p>
      <w:pPr>
        <w:pStyle w:val="null3"/>
        <w:spacing w:after="150"/>
        <w:ind w:firstLine="480"/>
        <w:jc w:val="left"/>
      </w:pPr>
      <w:r>
        <w:rPr>
          <w:rFonts w:ascii="宋体" w:hAnsi="宋体" w:cs="宋体" w:eastAsia="宋体"/>
          <w:sz w:val="24"/>
          <w:color w:val="333333"/>
          <w:shd w:fill="FFFFFF" w:val="clear"/>
        </w:rPr>
        <w:t>2.3中标人在供货的全过程及采购人指 定安装现场进行验收所产生的一切费用由中标人承担（并入投标报价内）。</w:t>
      </w:r>
    </w:p>
    <w:p>
      <w:pPr>
        <w:pStyle w:val="null3"/>
        <w:spacing w:after="150"/>
        <w:ind w:firstLine="480"/>
        <w:jc w:val="left"/>
      </w:pPr>
      <w:r>
        <w:rPr>
          <w:rFonts w:ascii="宋体" w:hAnsi="宋体" w:cs="宋体" w:eastAsia="宋体"/>
          <w:sz w:val="24"/>
          <w:color w:val="333333"/>
          <w:shd w:fill="FFFFFF" w:val="clear"/>
        </w:rPr>
        <w:t>3、技术培训</w:t>
      </w:r>
    </w:p>
    <w:p>
      <w:pPr>
        <w:pStyle w:val="null3"/>
        <w:spacing w:after="150"/>
        <w:ind w:firstLine="480"/>
        <w:jc w:val="left"/>
      </w:pPr>
      <w:r>
        <w:rPr>
          <w:rFonts w:ascii="宋体" w:hAnsi="宋体" w:cs="宋体" w:eastAsia="宋体"/>
          <w:sz w:val="24"/>
          <w:color w:val="333333"/>
          <w:shd w:fill="FFFFFF" w:val="clear"/>
        </w:rPr>
        <w:t>3.1中标人应对采购人的维修人员提供专项培训，使其能对系统进行日常的维护保养及能对一般故障进行维护。</w:t>
      </w:r>
    </w:p>
    <w:p>
      <w:pPr>
        <w:pStyle w:val="null3"/>
        <w:spacing w:after="150"/>
        <w:ind w:firstLine="480"/>
        <w:jc w:val="left"/>
      </w:pPr>
      <w:r>
        <w:rPr>
          <w:rFonts w:ascii="宋体" w:hAnsi="宋体" w:cs="宋体" w:eastAsia="宋体"/>
          <w:sz w:val="24"/>
          <w:color w:val="333333"/>
          <w:shd w:fill="FFFFFF" w:val="clear"/>
        </w:rPr>
        <w:t>3.2中标人应对采购人的操作人员提供多场次的操作培训，并使其能熟练应用系统。</w:t>
      </w:r>
    </w:p>
    <w:p>
      <w:pPr>
        <w:pStyle w:val="null3"/>
        <w:spacing w:after="150"/>
        <w:ind w:firstLine="480"/>
        <w:jc w:val="left"/>
      </w:pPr>
      <w:r>
        <w:rPr>
          <w:rFonts w:ascii="宋体" w:hAnsi="宋体" w:cs="宋体" w:eastAsia="宋体"/>
          <w:sz w:val="24"/>
          <w:color w:val="333333"/>
          <w:shd w:fill="FFFFFF" w:val="clear"/>
        </w:rPr>
        <w:t>3.3上述二种培训的培训方式、地点、人员，投标人应在投标文件中详细说明（费用包含在投标总价中）。</w:t>
      </w:r>
    </w:p>
    <w:p>
      <w:pPr>
        <w:pStyle w:val="null3"/>
        <w:spacing w:after="150"/>
        <w:ind w:firstLine="480"/>
        <w:jc w:val="left"/>
      </w:pPr>
      <w:r>
        <w:rPr>
          <w:rFonts w:ascii="宋体" w:hAnsi="宋体" w:cs="宋体" w:eastAsia="宋体"/>
          <w:sz w:val="24"/>
          <w:color w:val="333333"/>
          <w:shd w:fill="FFFFFF" w:val="clear"/>
        </w:rPr>
        <w:t>4、技术资料要求:中标人需提供本项目全套设备配置清单（详列名 称、品 牌型号、数量、原 产地等）。中标人应向采购人提供以下目录的技术资料壹套（各项指标和参数应符合验收标准，采购人有权委托中国 有资格单位或机构对设备性能、精度进行校核）。</w:t>
      </w:r>
    </w:p>
    <w:p>
      <w:pPr>
        <w:pStyle w:val="null3"/>
        <w:spacing w:after="150"/>
        <w:ind w:firstLine="480"/>
        <w:jc w:val="left"/>
      </w:pPr>
      <w:r>
        <w:rPr>
          <w:rFonts w:ascii="宋体" w:hAnsi="宋体" w:cs="宋体" w:eastAsia="宋体"/>
          <w:sz w:val="24"/>
          <w:color w:val="333333"/>
          <w:shd w:fill="FFFFFF" w:val="clear"/>
        </w:rPr>
        <w:t>4.1出厂明细表(装箱单)；</w:t>
      </w:r>
    </w:p>
    <w:p>
      <w:pPr>
        <w:pStyle w:val="null3"/>
        <w:spacing w:after="150"/>
        <w:ind w:firstLine="480"/>
        <w:jc w:val="left"/>
      </w:pPr>
      <w:r>
        <w:rPr>
          <w:rFonts w:ascii="宋体" w:hAnsi="宋体" w:cs="宋体" w:eastAsia="宋体"/>
          <w:sz w:val="24"/>
          <w:color w:val="333333"/>
          <w:shd w:fill="FFFFFF" w:val="clear"/>
        </w:rPr>
        <w:t>4.2出厂检验报告和合格证书</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w:t>
      </w:r>
    </w:p>
    <w:p>
      <w:pPr>
        <w:pStyle w:val="null3"/>
        <w:spacing w:after="150"/>
        <w:ind w:firstLine="480"/>
        <w:jc w:val="left"/>
      </w:pPr>
      <w:r>
        <w:rPr>
          <w:rFonts w:ascii="宋体" w:hAnsi="宋体" w:cs="宋体" w:eastAsia="宋体"/>
          <w:sz w:val="24"/>
          <w:color w:val="333333"/>
          <w:shd w:fill="FFFFFF" w:val="clear"/>
        </w:rPr>
        <w:t>4.3使用说明书；</w:t>
      </w:r>
    </w:p>
    <w:p>
      <w:pPr>
        <w:pStyle w:val="null3"/>
        <w:spacing w:after="150"/>
        <w:ind w:firstLine="480"/>
        <w:jc w:val="left"/>
      </w:pPr>
      <w:r>
        <w:rPr>
          <w:rFonts w:ascii="宋体" w:hAnsi="宋体" w:cs="宋体" w:eastAsia="宋体"/>
          <w:sz w:val="24"/>
          <w:color w:val="333333"/>
          <w:shd w:fill="FFFFFF" w:val="clear"/>
        </w:rPr>
        <w:t>4.4安装手册、操作手册、维修手册；</w:t>
      </w:r>
    </w:p>
    <w:p>
      <w:pPr>
        <w:pStyle w:val="null3"/>
        <w:spacing w:after="150"/>
        <w:ind w:firstLine="480"/>
        <w:jc w:val="left"/>
      </w:pPr>
      <w:r>
        <w:rPr>
          <w:rFonts w:ascii="宋体" w:hAnsi="宋体" w:cs="宋体" w:eastAsia="宋体"/>
          <w:sz w:val="24"/>
          <w:color w:val="333333"/>
          <w:shd w:fill="FFFFFF" w:val="clear"/>
        </w:rPr>
        <w:t>4.5零部件目录；</w:t>
      </w:r>
    </w:p>
    <w:p>
      <w:pPr>
        <w:pStyle w:val="null3"/>
        <w:spacing w:after="150"/>
        <w:ind w:firstLine="480"/>
        <w:jc w:val="left"/>
      </w:pPr>
      <w:r>
        <w:rPr>
          <w:rFonts w:ascii="宋体" w:hAnsi="宋体" w:cs="宋体" w:eastAsia="宋体"/>
          <w:sz w:val="24"/>
          <w:color w:val="333333"/>
          <w:shd w:fill="FFFFFF" w:val="clear"/>
        </w:rPr>
        <w:t>4.6相关文件、支持程序软盘或光盘</w:t>
      </w:r>
      <w:r>
        <w:rPr>
          <w:rFonts w:ascii="宋体" w:hAnsi="宋体" w:cs="宋体" w:eastAsia="宋体"/>
          <w:sz w:val="24"/>
          <w:color w:val="333333"/>
          <w:shd w:fill="FFFFFF" w:val="clear"/>
        </w:rPr>
        <w:t>（若有）</w:t>
      </w:r>
      <w:r>
        <w:rPr>
          <w:rFonts w:ascii="宋体" w:hAnsi="宋体" w:cs="宋体" w:eastAsia="宋体"/>
          <w:sz w:val="24"/>
          <w:color w:val="333333"/>
          <w:shd w:fill="FFFFFF" w:val="clear"/>
        </w:rPr>
        <w:t>；</w:t>
      </w:r>
    </w:p>
    <w:p>
      <w:pPr>
        <w:pStyle w:val="null3"/>
        <w:spacing w:after="150"/>
        <w:ind w:firstLine="480"/>
        <w:jc w:val="left"/>
      </w:pPr>
      <w:r>
        <w:rPr>
          <w:rFonts w:ascii="宋体" w:hAnsi="宋体" w:cs="宋体" w:eastAsia="宋体"/>
          <w:sz w:val="24"/>
          <w:color w:val="333333"/>
          <w:shd w:fill="FFFFFF" w:val="clear"/>
        </w:rPr>
        <w:t>4.7提供原 产地制造商的产品证明；</w:t>
      </w:r>
    </w:p>
    <w:p>
      <w:pPr>
        <w:pStyle w:val="null3"/>
        <w:spacing w:after="150"/>
        <w:ind w:firstLine="480"/>
        <w:jc w:val="left"/>
      </w:pPr>
      <w:r>
        <w:rPr>
          <w:rFonts w:ascii="宋体" w:hAnsi="宋体" w:cs="宋体" w:eastAsia="宋体"/>
          <w:sz w:val="24"/>
          <w:color w:val="333333"/>
          <w:shd w:fill="FFFFFF" w:val="clear"/>
        </w:rPr>
        <w:t>4.8合同中要求的其它文件资料。</w:t>
      </w:r>
    </w:p>
    <w:p>
      <w:pPr>
        <w:pStyle w:val="null3"/>
        <w:spacing w:after="150"/>
        <w:ind w:firstLine="480"/>
        <w:jc w:val="left"/>
      </w:pPr>
      <w:r>
        <w:rPr>
          <w:rFonts w:ascii="宋体" w:hAnsi="宋体" w:cs="宋体" w:eastAsia="宋体"/>
          <w:sz w:val="24"/>
          <w:color w:val="333333"/>
          <w:shd w:fill="FFFFFF" w:val="clear"/>
        </w:rPr>
        <w:t>4.9专用工具：中标人应向采购人提供一套维修所需的专用工具及清单(如有)。</w:t>
      </w:r>
    </w:p>
    <w:p>
      <w:pPr>
        <w:pStyle w:val="null3"/>
        <w:spacing w:after="150"/>
        <w:ind w:firstLine="480"/>
        <w:jc w:val="left"/>
      </w:pPr>
      <w:r>
        <w:rPr>
          <w:rFonts w:ascii="宋体" w:hAnsi="宋体" w:cs="宋体" w:eastAsia="宋体"/>
          <w:sz w:val="24"/>
          <w:color w:val="333333"/>
          <w:shd w:fill="FFFFFF" w:val="clear"/>
        </w:rPr>
        <w:t>4.10特殊工具：中标人应向采购人提供货物安装和维修所需的特殊工具及清单和中文说明书，其费用包括在投标总价内（如有）。</w:t>
      </w:r>
    </w:p>
    <w:p>
      <w:pPr>
        <w:pStyle w:val="null3"/>
        <w:spacing w:after="150"/>
        <w:ind w:firstLine="480"/>
        <w:jc w:val="left"/>
      </w:pPr>
      <w:r>
        <w:rPr>
          <w:rFonts w:ascii="宋体" w:hAnsi="宋体" w:cs="宋体" w:eastAsia="宋体"/>
          <w:sz w:val="24"/>
          <w:color w:val="333333"/>
          <w:shd w:fill="FFFFFF" w:val="clear"/>
        </w:rPr>
        <w:t>5、质保期及售后服务</w:t>
      </w:r>
    </w:p>
    <w:p>
      <w:pPr>
        <w:pStyle w:val="null3"/>
        <w:spacing w:after="150"/>
        <w:ind w:firstLine="480"/>
        <w:jc w:val="left"/>
      </w:pPr>
      <w:r>
        <w:rPr>
          <w:rFonts w:ascii="宋体" w:hAnsi="宋体" w:cs="宋体" w:eastAsia="宋体"/>
          <w:sz w:val="24"/>
          <w:color w:val="333333"/>
          <w:shd w:fill="FFFFFF" w:val="clear"/>
        </w:rPr>
        <w:t>5.1投标人须提供1年的质保服务，费用包含在投标总价中。质保期自货物验收合格之日起计算；质保期内实行三包（厂家或国家有更长质量保证期限的从其规定），其他质量要求应符合国家或行业规定。非因操作不当造成需要更换的零配件及货物由中标人负责包修、包换；。</w:t>
      </w:r>
    </w:p>
    <w:p>
      <w:pPr>
        <w:pStyle w:val="null3"/>
        <w:spacing w:after="150"/>
        <w:ind w:firstLine="480"/>
        <w:jc w:val="left"/>
      </w:pPr>
      <w:r>
        <w:rPr>
          <w:rFonts w:ascii="宋体" w:hAnsi="宋体" w:cs="宋体" w:eastAsia="宋体"/>
          <w:sz w:val="24"/>
          <w:color w:val="333333"/>
          <w:shd w:fill="FFFFFF" w:val="clear"/>
        </w:rPr>
        <w:t>5.2质保期内如出现因设 计、制造、运输、装卸等原因造成的质量问题，中标人应无偿负责维修、更换，免费提供维修保养和咨询。质保期后出现故障，并只能收取配件成本费，不收取维修费及差旅费。所需配件应为生产厂家原装配件，其价格应低于市场价。。</w:t>
      </w:r>
    </w:p>
    <w:p>
      <w:pPr>
        <w:pStyle w:val="null3"/>
        <w:spacing w:after="150"/>
        <w:ind w:firstLine="480"/>
        <w:jc w:val="left"/>
      </w:pPr>
      <w:r>
        <w:rPr>
          <w:rFonts w:ascii="宋体" w:hAnsi="宋体" w:cs="宋体" w:eastAsia="宋体"/>
          <w:sz w:val="24"/>
          <w:color w:val="333333"/>
          <w:shd w:fill="FFFFFF" w:val="clear"/>
        </w:rPr>
        <w:t>5.3投标人应设立7×24小时热线服务电话，对于产品在使用过程中出现的问题，在30分钟内响应。如遇与所供产品有关的问题无法远程解决的，在接用户通知后4小时赶到现场并完成修复工作。若无法解决的，相关技术专家应12小时内到达现场，尽快加以修复故障。质量保证期内投标人因维修及设备故障所发生的一切费用，包括工时费、交通费、住宿费、通讯费等均由中标人承担。</w:t>
      </w:r>
    </w:p>
    <w:p>
      <w:pPr>
        <w:pStyle w:val="null3"/>
        <w:ind w:firstLine="420"/>
        <w:jc w:val="both"/>
      </w:pPr>
      <w:r>
        <w:rPr>
          <w:rFonts w:ascii="宋体" w:hAnsi="宋体" w:cs="宋体" w:eastAsia="宋体"/>
          <w:sz w:val="24"/>
          <w:color w:val="333333"/>
          <w:shd w:fill="FFFFFF" w:val="clear"/>
        </w:rPr>
        <w:t>6、违约责任</w:t>
      </w:r>
    </w:p>
    <w:p>
      <w:pPr>
        <w:pStyle w:val="null3"/>
        <w:ind w:firstLine="480"/>
        <w:jc w:val="both"/>
      </w:pPr>
      <w:r>
        <w:rPr>
          <w:rFonts w:ascii="宋体" w:hAnsi="宋体" w:cs="宋体" w:eastAsia="宋体"/>
          <w:sz w:val="24"/>
          <w:color w:val="333333"/>
          <w:shd w:fill="FFFFFF" w:val="clear"/>
        </w:rPr>
        <w:t>6.1若中标人未能按合同规定的时间或双方另行确定的延期交货期按时足额交货的（不可抗力除外），每逾期1天，中标人应按迟交货物金额的1％向采购人支付逾期交货的违约金。逾期交货违约金的支付采购人有权从未付的合同货款中予以扣除。若中标人逾期交货达15天（含15天）以上的，采购人有权单方解除本合同，中标人仍应按上述约定支付延期交货违约金。若因此给采购人造成损失的，还应赔偿采购人所受的损失。。</w:t>
      </w:r>
    </w:p>
    <w:p>
      <w:pPr>
        <w:pStyle w:val="null3"/>
        <w:ind w:firstLine="480"/>
        <w:jc w:val="both"/>
      </w:pPr>
      <w:r>
        <w:rPr>
          <w:rFonts w:ascii="宋体" w:hAnsi="宋体" w:cs="宋体" w:eastAsia="宋体"/>
          <w:sz w:val="24"/>
          <w:color w:val="333333"/>
          <w:shd w:fill="FFFFFF" w:val="clear"/>
        </w:rPr>
        <w:t>6.2若中标人交货不合格从而影响采购人正常使用的，采购人有权不予支付不合格部分货款直至中标人整改完成并经采购人验收合格。同时中标人应按不合格部分货款的日1%向采购人支付违约金，直至中标人整改完成并经采购人验收合格。违约金不足以补偿损失的，采购人有权要求中标人赔偿损失。。</w:t>
      </w:r>
    </w:p>
    <w:p>
      <w:pPr>
        <w:pStyle w:val="null3"/>
        <w:ind w:firstLine="480"/>
        <w:jc w:val="both"/>
      </w:pPr>
      <w:r>
        <w:rPr>
          <w:rFonts w:ascii="宋体" w:hAnsi="宋体" w:cs="宋体" w:eastAsia="宋体"/>
          <w:sz w:val="24"/>
          <w:color w:val="333333"/>
          <w:shd w:fill="FFFFFF" w:val="clear"/>
        </w:rPr>
        <w:t>6.3 因中标人原因造成采购合同无法按时签订的，视为中标人违约，中标人应向采购人支付中标金额20%的违约金，对采购人造成的损失的，中标人还需另行支付相应的赔偿。</w:t>
      </w:r>
    </w:p>
    <w:p>
      <w:pPr>
        <w:pStyle w:val="null3"/>
        <w:ind w:firstLine="480"/>
        <w:jc w:val="both"/>
      </w:pPr>
      <w:r>
        <w:rPr>
          <w:rFonts w:ascii="宋体" w:hAnsi="宋体" w:cs="宋体" w:eastAsia="宋体"/>
          <w:sz w:val="24"/>
          <w:color w:val="333333"/>
          <w:shd w:fill="FFFFFF" w:val="clear"/>
        </w:rPr>
        <w:t>6.4在签定采购合同之后，中标人要求解除合同或因中标人原因导致合同无法履行的，中标人应向采购人支付合同总价款20%的违约金，对采购人造成损失的，中标人还需另行支付相应的赔偿。</w:t>
      </w:r>
    </w:p>
    <w:p>
      <w:pPr>
        <w:pStyle w:val="null3"/>
        <w:ind w:firstLine="480"/>
        <w:jc w:val="both"/>
      </w:pPr>
      <w:r>
        <w:rPr>
          <w:rFonts w:ascii="宋体" w:hAnsi="宋体" w:cs="宋体" w:eastAsia="宋体"/>
          <w:sz w:val="24"/>
          <w:color w:val="333333"/>
          <w:shd w:fill="FFFFFF" w:val="clear"/>
        </w:rPr>
        <w:t>6.5中标人履行义务不符合合同约定时，采购人有权扣减尾款。</w:t>
      </w:r>
    </w:p>
    <w:p>
      <w:pPr>
        <w:pStyle w:val="null3"/>
        <w:ind w:firstLine="480"/>
        <w:jc w:val="both"/>
      </w:pPr>
      <w:r>
        <w:rPr>
          <w:rFonts w:ascii="宋体" w:hAnsi="宋体" w:cs="宋体" w:eastAsia="宋体"/>
          <w:sz w:val="24"/>
          <w:color w:val="333333"/>
          <w:shd w:fill="FFFFFF" w:val="clear"/>
        </w:rPr>
        <w:t>6.6 因中标人原因发生质量事故、安全事故的，由中标人承担事故全部赔偿责任。同时，采购人有权终止合同，给采购人造成损失的，中标人还应承担赔偿责任。</w:t>
      </w:r>
    </w:p>
    <w:p>
      <w:pPr>
        <w:pStyle w:val="null3"/>
        <w:ind w:firstLine="480"/>
        <w:jc w:val="both"/>
      </w:pPr>
      <w:r>
        <w:rPr>
          <w:rFonts w:ascii="宋体" w:hAnsi="宋体" w:cs="宋体" w:eastAsia="宋体"/>
          <w:sz w:val="24"/>
          <w:color w:val="333333"/>
          <w:shd w:fill="FFFFFF" w:val="clear"/>
        </w:rPr>
        <w:t>6.7中标人未按照招标文件及投标文件规定提供售后服务的，每次应向采购人支付违约金2000元。</w:t>
      </w:r>
    </w:p>
    <w:p>
      <w:pPr>
        <w:pStyle w:val="null3"/>
        <w:ind w:firstLine="480"/>
        <w:jc w:val="both"/>
      </w:pPr>
      <w:r>
        <w:rPr>
          <w:rFonts w:ascii="宋体" w:hAnsi="宋体" w:cs="宋体" w:eastAsia="宋体"/>
          <w:sz w:val="24"/>
          <w:color w:val="333333"/>
          <w:shd w:fill="FFFFFF" w:val="clear"/>
        </w:rPr>
        <w:t>6.8在明确违约责任后，中标人应在接到书面通知书起七天内支付违约金、赔偿金等。</w:t>
      </w:r>
    </w:p>
    <w:p>
      <w:pPr>
        <w:pStyle w:val="null3"/>
        <w:ind w:firstLine="480"/>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（1）、本项目不允许中标人以任何名义和理由进行转包，如有发现，采购人有权单方终止合同，视为中标人违约；中标人违约对采购人造成的损失的，需另行支付相应的赔偿。 （2）、本招标文件未明确的其它约定事项或条款，待采购人与中标人签订合同时，由双方协商订立。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