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FF8E6C7">
      <w:pPr>
        <w:pageBreakBefore w:val="0"/>
        <w:overflowPunct/>
        <w:topLinePunct w:val="0"/>
        <w:bidi w:val="0"/>
        <w:spacing w:line="360" w:lineRule="auto"/>
        <w:jc w:val="center"/>
        <w:rPr>
          <w:rFonts w:hint="eastAsia" w:ascii="仿宋" w:hAnsi="仿宋" w:eastAsia="仿宋" w:cs="仿宋"/>
          <w:b/>
          <w:bCs/>
          <w:color w:val="auto"/>
          <w:sz w:val="48"/>
          <w:szCs w:val="52"/>
          <w:highlight w:val="none"/>
          <w:lang w:eastAsia="zh-CN"/>
        </w:rPr>
      </w:pPr>
    </w:p>
    <w:p w14:paraId="11556B27">
      <w:pPr>
        <w:pageBreakBefore w:val="0"/>
        <w:overflowPunct/>
        <w:topLinePunct w:val="0"/>
        <w:bidi w:val="0"/>
        <w:spacing w:line="360" w:lineRule="auto"/>
        <w:jc w:val="center"/>
        <w:rPr>
          <w:rFonts w:hint="eastAsia" w:ascii="仿宋" w:hAnsi="仿宋" w:eastAsia="仿宋" w:cs="仿宋"/>
          <w:color w:val="auto"/>
          <w:sz w:val="24"/>
          <w:szCs w:val="28"/>
          <w:highlight w:val="none"/>
          <w:lang w:eastAsia="zh-CN"/>
        </w:rPr>
      </w:pPr>
      <w:r>
        <w:rPr>
          <w:rFonts w:hint="eastAsia" w:ascii="仿宋" w:hAnsi="仿宋" w:eastAsia="仿宋" w:cs="仿宋"/>
          <w:b/>
          <w:bCs/>
          <w:color w:val="auto"/>
          <w:sz w:val="56"/>
          <w:szCs w:val="60"/>
          <w:highlight w:val="none"/>
          <w:lang w:eastAsia="zh-CN"/>
        </w:rPr>
        <w:t>昆明市第一人民医院布草洗涤服务项目</w:t>
      </w:r>
    </w:p>
    <w:p w14:paraId="6B89ACD2">
      <w:pPr>
        <w:pageBreakBefore w:val="0"/>
        <w:overflowPunct/>
        <w:topLinePunct w:val="0"/>
        <w:bidi w:val="0"/>
        <w:spacing w:line="360" w:lineRule="auto"/>
        <w:rPr>
          <w:rFonts w:hint="eastAsia" w:ascii="仿宋" w:hAnsi="仿宋" w:eastAsia="仿宋" w:cs="仿宋"/>
          <w:color w:val="auto"/>
          <w:highlight w:val="none"/>
        </w:rPr>
      </w:pPr>
    </w:p>
    <w:p w14:paraId="4405A6C1">
      <w:pPr>
        <w:pStyle w:val="16"/>
        <w:pageBreakBefore w:val="0"/>
        <w:overflowPunct/>
        <w:topLinePunct w:val="0"/>
        <w:bidi w:val="0"/>
        <w:spacing w:line="360" w:lineRule="auto"/>
        <w:rPr>
          <w:rFonts w:hint="eastAsia" w:ascii="仿宋" w:hAnsi="仿宋" w:eastAsia="仿宋" w:cs="仿宋"/>
          <w:color w:val="auto"/>
          <w:highlight w:val="none"/>
          <w:lang w:val="en-US" w:bidi="ar-SA"/>
        </w:rPr>
      </w:pPr>
    </w:p>
    <w:p w14:paraId="0F7FDCB9">
      <w:pPr>
        <w:pageBreakBefore w:val="0"/>
        <w:overflowPunct/>
        <w:topLinePunct w:val="0"/>
        <w:bidi w:val="0"/>
        <w:spacing w:line="360" w:lineRule="auto"/>
        <w:rPr>
          <w:rFonts w:hint="eastAsia" w:ascii="仿宋" w:hAnsi="仿宋" w:eastAsia="仿宋" w:cs="仿宋"/>
          <w:color w:val="auto"/>
          <w:highlight w:val="none"/>
        </w:rPr>
      </w:pPr>
    </w:p>
    <w:p w14:paraId="5B16C841">
      <w:pPr>
        <w:pStyle w:val="16"/>
        <w:pageBreakBefore w:val="0"/>
        <w:overflowPunct/>
        <w:topLinePunct w:val="0"/>
        <w:bidi w:val="0"/>
        <w:spacing w:line="360" w:lineRule="auto"/>
        <w:rPr>
          <w:rFonts w:hint="eastAsia" w:ascii="仿宋" w:hAnsi="仿宋" w:eastAsia="仿宋" w:cs="仿宋"/>
          <w:color w:val="auto"/>
          <w:highlight w:val="none"/>
        </w:rPr>
      </w:pPr>
    </w:p>
    <w:p w14:paraId="7A11D556">
      <w:pPr>
        <w:pageBreakBefore w:val="0"/>
        <w:overflowPunct/>
        <w:topLinePunct w:val="0"/>
        <w:bidi w:val="0"/>
        <w:spacing w:line="360" w:lineRule="auto"/>
        <w:rPr>
          <w:rFonts w:hint="eastAsia" w:ascii="仿宋" w:hAnsi="仿宋" w:eastAsia="仿宋" w:cs="仿宋"/>
          <w:color w:val="auto"/>
          <w:highlight w:val="none"/>
        </w:rPr>
      </w:pPr>
    </w:p>
    <w:p w14:paraId="69BBEC6D">
      <w:pPr>
        <w:pageBreakBefore w:val="0"/>
        <w:overflowPunct/>
        <w:topLinePunct w:val="0"/>
        <w:bidi w:val="0"/>
        <w:spacing w:line="360" w:lineRule="auto"/>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招标文件</w:t>
      </w:r>
    </w:p>
    <w:p w14:paraId="6D971097">
      <w:pPr>
        <w:pageBreakBefore w:val="0"/>
        <w:overflowPunct/>
        <w:topLinePunct w:val="0"/>
        <w:bidi w:val="0"/>
        <w:spacing w:line="360" w:lineRule="auto"/>
        <w:rPr>
          <w:rFonts w:hint="eastAsia" w:ascii="仿宋" w:hAnsi="仿宋" w:eastAsia="仿宋" w:cs="仿宋"/>
          <w:color w:val="auto"/>
          <w:highlight w:val="none"/>
        </w:rPr>
      </w:pPr>
    </w:p>
    <w:p w14:paraId="5F1255E7">
      <w:pPr>
        <w:pageBreakBefore w:val="0"/>
        <w:overflowPunct/>
        <w:topLinePunct w:val="0"/>
        <w:bidi w:val="0"/>
        <w:spacing w:line="360" w:lineRule="auto"/>
        <w:rPr>
          <w:rFonts w:hint="eastAsia" w:ascii="仿宋" w:hAnsi="仿宋" w:eastAsia="仿宋" w:cs="仿宋"/>
          <w:color w:val="auto"/>
          <w:highlight w:val="none"/>
        </w:rPr>
      </w:pPr>
    </w:p>
    <w:p w14:paraId="46BD51BB">
      <w:pPr>
        <w:pageBreakBefore w:val="0"/>
        <w:overflowPunct/>
        <w:topLinePunct w:val="0"/>
        <w:bidi w:val="0"/>
        <w:spacing w:line="360" w:lineRule="auto"/>
        <w:rPr>
          <w:rFonts w:hint="eastAsia" w:ascii="仿宋" w:hAnsi="仿宋" w:eastAsia="仿宋" w:cs="仿宋"/>
          <w:b/>
          <w:color w:val="auto"/>
          <w:sz w:val="30"/>
          <w:szCs w:val="30"/>
          <w:highlight w:val="none"/>
        </w:rPr>
      </w:pPr>
    </w:p>
    <w:p w14:paraId="5343EB2F">
      <w:pPr>
        <w:pageBreakBefore w:val="0"/>
        <w:overflowPunct/>
        <w:topLinePunct w:val="0"/>
        <w:bidi w:val="0"/>
        <w:spacing w:line="360" w:lineRule="auto"/>
        <w:rPr>
          <w:rFonts w:hint="eastAsia" w:ascii="仿宋" w:hAnsi="仿宋" w:eastAsia="仿宋" w:cs="仿宋"/>
          <w:b/>
          <w:color w:val="auto"/>
          <w:sz w:val="30"/>
          <w:szCs w:val="30"/>
          <w:highlight w:val="none"/>
        </w:rPr>
      </w:pPr>
    </w:p>
    <w:p w14:paraId="6CC275CA">
      <w:pPr>
        <w:pageBreakBefore w:val="0"/>
        <w:overflowPunct/>
        <w:topLinePunct w:val="0"/>
        <w:bidi w:val="0"/>
        <w:spacing w:line="360" w:lineRule="auto"/>
        <w:rPr>
          <w:rFonts w:hint="eastAsia" w:ascii="仿宋" w:hAnsi="仿宋" w:eastAsia="仿宋" w:cs="仿宋"/>
          <w:b/>
          <w:color w:val="auto"/>
          <w:sz w:val="30"/>
          <w:szCs w:val="30"/>
          <w:highlight w:val="none"/>
        </w:rPr>
      </w:pPr>
    </w:p>
    <w:p w14:paraId="1410F312">
      <w:pPr>
        <w:pageBreakBefore w:val="0"/>
        <w:overflowPunct/>
        <w:topLinePunct w:val="0"/>
        <w:bidi w:val="0"/>
        <w:spacing w:line="360" w:lineRule="auto"/>
        <w:ind w:left="1506" w:hanging="1506" w:hangingChars="5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项目名称：</w:t>
      </w:r>
      <w:bookmarkStart w:id="0" w:name="_Hlk93322051"/>
      <w:r>
        <w:rPr>
          <w:rFonts w:hint="eastAsia" w:ascii="仿宋" w:hAnsi="仿宋" w:eastAsia="仿宋" w:cs="仿宋"/>
          <w:b/>
          <w:color w:val="auto"/>
          <w:sz w:val="30"/>
          <w:szCs w:val="30"/>
          <w:highlight w:val="none"/>
          <w:u w:val="single"/>
          <w:lang w:eastAsia="zh-CN"/>
        </w:rPr>
        <w:t>昆明市第一人民医院布草洗涤服务项目</w:t>
      </w:r>
    </w:p>
    <w:bookmarkEnd w:id="0"/>
    <w:p w14:paraId="6F3339CC">
      <w:pPr>
        <w:pageBreakBefore w:val="0"/>
        <w:overflowPunct/>
        <w:topLinePunct w:val="0"/>
        <w:bidi w:val="0"/>
        <w:spacing w:line="360" w:lineRule="auto"/>
        <w:ind w:left="1506" w:hanging="1506" w:hangingChars="500"/>
        <w:rPr>
          <w:rFonts w:hint="eastAsia" w:ascii="仿宋" w:hAnsi="仿宋" w:eastAsia="仿宋" w:cs="仿宋"/>
          <w:b/>
          <w:color w:val="auto"/>
          <w:sz w:val="30"/>
          <w:szCs w:val="30"/>
          <w:highlight w:val="none"/>
          <w:u w:val="single"/>
          <w:lang w:eastAsia="zh-CN"/>
        </w:rPr>
      </w:pPr>
      <w:r>
        <w:rPr>
          <w:rFonts w:hint="eastAsia" w:ascii="仿宋" w:hAnsi="仿宋" w:eastAsia="仿宋" w:cs="仿宋"/>
          <w:b/>
          <w:color w:val="auto"/>
          <w:sz w:val="30"/>
          <w:szCs w:val="30"/>
          <w:highlight w:val="none"/>
        </w:rPr>
        <w:t>项目编号：</w:t>
      </w:r>
      <w:bookmarkStart w:id="1" w:name="_Hlk17740916"/>
      <w:r>
        <w:rPr>
          <w:rFonts w:hint="eastAsia" w:ascii="仿宋" w:hAnsi="仿宋" w:eastAsia="仿宋" w:cs="仿宋"/>
          <w:b/>
          <w:color w:val="auto"/>
          <w:sz w:val="30"/>
          <w:szCs w:val="30"/>
          <w:highlight w:val="none"/>
          <w:u w:val="single"/>
          <w:lang w:eastAsia="zh-CN"/>
        </w:rPr>
        <w:t>YNZZ202503-80</w:t>
      </w:r>
    </w:p>
    <w:bookmarkEnd w:id="1"/>
    <w:p w14:paraId="2AD4023A">
      <w:pPr>
        <w:pStyle w:val="16"/>
        <w:pageBreakBefore w:val="0"/>
        <w:overflowPunct/>
        <w:topLinePunct w:val="0"/>
        <w:bidi w:val="0"/>
        <w:spacing w:line="360" w:lineRule="auto"/>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rPr>
        <w:t>采</w:t>
      </w:r>
      <w:r>
        <w:rPr>
          <w:rFonts w:hint="eastAsia" w:ascii="仿宋" w:hAnsi="仿宋" w:eastAsia="仿宋" w:cs="仿宋"/>
          <w:b/>
          <w:color w:val="auto"/>
          <w:sz w:val="30"/>
          <w:szCs w:val="30"/>
          <w:highlight w:val="none"/>
          <w:lang w:val="en-US" w:eastAsia="zh-CN"/>
        </w:rPr>
        <w:t xml:space="preserve"> </w:t>
      </w:r>
      <w:r>
        <w:rPr>
          <w:rFonts w:hint="eastAsia" w:ascii="仿宋" w:hAnsi="仿宋" w:eastAsia="仿宋" w:cs="仿宋"/>
          <w:b/>
          <w:color w:val="auto"/>
          <w:sz w:val="30"/>
          <w:szCs w:val="30"/>
          <w:highlight w:val="none"/>
        </w:rPr>
        <w:t>购</w:t>
      </w:r>
      <w:r>
        <w:rPr>
          <w:rFonts w:hint="eastAsia" w:ascii="仿宋" w:hAnsi="仿宋" w:eastAsia="仿宋" w:cs="仿宋"/>
          <w:b/>
          <w:color w:val="auto"/>
          <w:sz w:val="30"/>
          <w:szCs w:val="30"/>
          <w:highlight w:val="none"/>
          <w:lang w:val="en-US" w:eastAsia="zh-CN"/>
        </w:rPr>
        <w:t xml:space="preserve"> </w:t>
      </w:r>
      <w:r>
        <w:rPr>
          <w:rFonts w:hint="eastAsia" w:ascii="仿宋" w:hAnsi="仿宋" w:eastAsia="仿宋" w:cs="仿宋"/>
          <w:b/>
          <w:color w:val="auto"/>
          <w:sz w:val="30"/>
          <w:szCs w:val="30"/>
          <w:highlight w:val="none"/>
        </w:rPr>
        <w:t>人：</w:t>
      </w:r>
      <w:r>
        <w:rPr>
          <w:rFonts w:hint="eastAsia" w:ascii="仿宋" w:hAnsi="仿宋" w:eastAsia="仿宋" w:cs="仿宋"/>
          <w:b/>
          <w:color w:val="auto"/>
          <w:sz w:val="30"/>
          <w:szCs w:val="30"/>
          <w:highlight w:val="none"/>
          <w:u w:val="single"/>
          <w:lang w:eastAsia="zh-CN"/>
        </w:rPr>
        <w:t>昆明市第一人民医院</w:t>
      </w:r>
    </w:p>
    <w:p w14:paraId="3D2EFC64">
      <w:pPr>
        <w:pageBreakBefore w:val="0"/>
        <w:overflowPunct/>
        <w:topLinePunct w:val="0"/>
        <w:bidi w:val="0"/>
        <w:spacing w:line="360" w:lineRule="auto"/>
        <w:rPr>
          <w:rFonts w:hint="eastAsia" w:ascii="仿宋" w:hAnsi="仿宋" w:eastAsia="仿宋" w:cs="仿宋"/>
          <w:b/>
          <w:color w:val="auto"/>
          <w:sz w:val="30"/>
          <w:szCs w:val="30"/>
          <w:highlight w:val="none"/>
          <w:u w:val="single"/>
        </w:rPr>
      </w:pPr>
      <w:r>
        <w:rPr>
          <w:rFonts w:hint="eastAsia" w:ascii="仿宋" w:hAnsi="仿宋" w:eastAsia="仿宋" w:cs="仿宋"/>
          <w:b/>
          <w:color w:val="auto"/>
          <w:sz w:val="30"/>
          <w:szCs w:val="30"/>
          <w:highlight w:val="none"/>
        </w:rPr>
        <w:t>采购代理机构：</w:t>
      </w:r>
      <w:r>
        <w:rPr>
          <w:rFonts w:hint="eastAsia" w:ascii="仿宋" w:hAnsi="仿宋" w:eastAsia="仿宋" w:cs="仿宋"/>
          <w:b/>
          <w:color w:val="auto"/>
          <w:sz w:val="30"/>
          <w:szCs w:val="30"/>
          <w:highlight w:val="none"/>
          <w:u w:val="single"/>
        </w:rPr>
        <w:t>云南中招招标有限公司</w:t>
      </w:r>
    </w:p>
    <w:p w14:paraId="6E8394C8">
      <w:pPr>
        <w:pageBreakBefore w:val="0"/>
        <w:overflowPunct/>
        <w:topLinePunct w:val="0"/>
        <w:bidi w:val="0"/>
        <w:spacing w:line="360" w:lineRule="auto"/>
        <w:rPr>
          <w:rFonts w:hint="eastAsia" w:ascii="仿宋" w:hAnsi="仿宋" w:eastAsia="仿宋" w:cs="仿宋"/>
          <w:color w:val="auto"/>
          <w:highlight w:val="none"/>
        </w:rPr>
      </w:pPr>
    </w:p>
    <w:p w14:paraId="1B72DE6A">
      <w:pPr>
        <w:pStyle w:val="16"/>
        <w:pageBreakBefore w:val="0"/>
        <w:overflowPunct/>
        <w:topLinePunct w:val="0"/>
        <w:bidi w:val="0"/>
        <w:spacing w:line="360" w:lineRule="auto"/>
        <w:rPr>
          <w:rFonts w:hint="eastAsia" w:ascii="仿宋" w:hAnsi="仿宋" w:eastAsia="仿宋" w:cs="仿宋"/>
          <w:color w:val="auto"/>
          <w:highlight w:val="none"/>
        </w:rPr>
      </w:pPr>
    </w:p>
    <w:p w14:paraId="680D541D">
      <w:pPr>
        <w:pageBreakBefore w:val="0"/>
        <w:overflowPunct/>
        <w:topLinePunct w:val="0"/>
        <w:bidi w:val="0"/>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202</w:t>
      </w:r>
      <w:r>
        <w:rPr>
          <w:rFonts w:hint="eastAsia" w:ascii="仿宋" w:hAnsi="仿宋" w:eastAsia="仿宋" w:cs="仿宋"/>
          <w:b/>
          <w:color w:val="auto"/>
          <w:sz w:val="30"/>
          <w:szCs w:val="30"/>
          <w:highlight w:val="none"/>
          <w:lang w:val="en-US" w:eastAsia="zh-CN"/>
        </w:rPr>
        <w:t>5</w:t>
      </w:r>
      <w:r>
        <w:rPr>
          <w:rFonts w:hint="eastAsia" w:ascii="仿宋" w:hAnsi="仿宋" w:eastAsia="仿宋" w:cs="仿宋"/>
          <w:b/>
          <w:color w:val="auto"/>
          <w:sz w:val="30"/>
          <w:szCs w:val="30"/>
          <w:highlight w:val="none"/>
        </w:rPr>
        <w:t>年</w:t>
      </w:r>
      <w:r>
        <w:rPr>
          <w:rFonts w:hint="eastAsia" w:ascii="仿宋" w:hAnsi="仿宋" w:eastAsia="仿宋" w:cs="仿宋"/>
          <w:b/>
          <w:color w:val="auto"/>
          <w:sz w:val="30"/>
          <w:szCs w:val="30"/>
          <w:highlight w:val="none"/>
          <w:lang w:val="en-US" w:eastAsia="zh-CN"/>
        </w:rPr>
        <w:t>04</w:t>
      </w:r>
      <w:r>
        <w:rPr>
          <w:rFonts w:hint="eastAsia" w:ascii="仿宋" w:hAnsi="仿宋" w:eastAsia="仿宋" w:cs="仿宋"/>
          <w:b/>
          <w:color w:val="auto"/>
          <w:sz w:val="30"/>
          <w:szCs w:val="30"/>
          <w:highlight w:val="none"/>
        </w:rPr>
        <w:t>月</w:t>
      </w:r>
    </w:p>
    <w:p w14:paraId="3CC93D73">
      <w:pPr>
        <w:pStyle w:val="26"/>
        <w:pageBreakBefore w:val="0"/>
        <w:tabs>
          <w:tab w:val="right" w:leader="dot" w:pos="8296"/>
        </w:tabs>
        <w:overflowPunct/>
        <w:topLinePunct w:val="0"/>
        <w:bidi w:val="0"/>
        <w:spacing w:line="360" w:lineRule="auto"/>
        <w:jc w:val="center"/>
        <w:rPr>
          <w:rFonts w:hint="eastAsia" w:ascii="仿宋" w:hAnsi="仿宋" w:eastAsia="仿宋" w:cs="仿宋"/>
          <w:color w:val="auto"/>
          <w:sz w:val="28"/>
          <w:szCs w:val="28"/>
          <w:highlight w:val="none"/>
        </w:rPr>
        <w:sectPr>
          <w:footerReference r:id="rId5" w:type="first"/>
          <w:headerReference r:id="rId3" w:type="default"/>
          <w:footerReference r:id="rId4" w:type="default"/>
          <w:pgSz w:w="11905" w:h="16838"/>
          <w:pgMar w:top="1440" w:right="1800" w:bottom="1440" w:left="1800" w:header="1145" w:footer="709" w:gutter="0"/>
          <w:pgNumType w:fmt="decimal" w:start="0" w:chapStyle="1" w:chapSep="hyphen"/>
          <w:cols w:space="0" w:num="1"/>
          <w:titlePg/>
          <w:rtlGutter w:val="0"/>
          <w:docGrid w:linePitch="312" w:charSpace="0"/>
        </w:sectPr>
      </w:pPr>
      <w:bookmarkStart w:id="2" w:name="_Toc26876"/>
    </w:p>
    <w:p w14:paraId="20DCE7F4">
      <w:pPr>
        <w:pStyle w:val="26"/>
        <w:pageBreakBefore w:val="0"/>
        <w:tabs>
          <w:tab w:val="right" w:leader="dot" w:pos="8296"/>
        </w:tabs>
        <w:overflowPunct/>
        <w:topLinePunct w:val="0"/>
        <w:bidi w:val="0"/>
        <w:spacing w:line="36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目   录</w:t>
      </w:r>
    </w:p>
    <w:p w14:paraId="0A1CEA2E">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"1-2"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_Toc14748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_Toc14748 \h </w:instrText>
      </w:r>
      <w:r>
        <w:rPr>
          <w:color w:val="auto"/>
          <w:highlight w:val="none"/>
        </w:rPr>
        <w:fldChar w:fldCharType="separate"/>
      </w:r>
      <w:r>
        <w:rPr>
          <w:color w:val="auto"/>
          <w:highlight w:val="none"/>
        </w:rPr>
        <w:t>2</w:t>
      </w:r>
      <w:r>
        <w:rPr>
          <w:color w:val="auto"/>
          <w:highlight w:val="none"/>
        </w:rPr>
        <w:fldChar w:fldCharType="end"/>
      </w:r>
      <w:r>
        <w:rPr>
          <w:rFonts w:hint="eastAsia" w:ascii="仿宋" w:hAnsi="仿宋" w:eastAsia="仿宋" w:cs="仿宋"/>
          <w:color w:val="auto"/>
          <w:szCs w:val="24"/>
          <w:highlight w:val="none"/>
        </w:rPr>
        <w:fldChar w:fldCharType="end"/>
      </w:r>
    </w:p>
    <w:p w14:paraId="6B1F00CB">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_Toc13814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_Toc13814 \h </w:instrText>
      </w:r>
      <w:r>
        <w:rPr>
          <w:color w:val="auto"/>
          <w:highlight w:val="none"/>
        </w:rPr>
        <w:fldChar w:fldCharType="separate"/>
      </w:r>
      <w:r>
        <w:rPr>
          <w:color w:val="auto"/>
          <w:highlight w:val="none"/>
        </w:rPr>
        <w:t>2</w:t>
      </w:r>
      <w:r>
        <w:rPr>
          <w:color w:val="auto"/>
          <w:highlight w:val="none"/>
        </w:rPr>
        <w:fldChar w:fldCharType="end"/>
      </w:r>
      <w:r>
        <w:rPr>
          <w:rFonts w:hint="eastAsia" w:ascii="仿宋" w:hAnsi="仿宋" w:eastAsia="仿宋" w:cs="仿宋"/>
          <w:color w:val="auto"/>
          <w:szCs w:val="24"/>
          <w:highlight w:val="none"/>
        </w:rPr>
        <w:fldChar w:fldCharType="end"/>
      </w:r>
    </w:p>
    <w:p w14:paraId="5115CC8B">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_Toc29819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_Toc29819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color w:val="auto"/>
          <w:szCs w:val="24"/>
          <w:highlight w:val="none"/>
        </w:rPr>
        <w:fldChar w:fldCharType="end"/>
      </w:r>
    </w:p>
    <w:p w14:paraId="09A6E2B1">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_Toc18847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三、获取招标文件</w:t>
      </w:r>
      <w:r>
        <w:rPr>
          <w:color w:val="auto"/>
          <w:highlight w:val="none"/>
        </w:rPr>
        <w:tab/>
      </w:r>
      <w:r>
        <w:rPr>
          <w:color w:val="auto"/>
          <w:highlight w:val="none"/>
        </w:rPr>
        <w:fldChar w:fldCharType="begin"/>
      </w:r>
      <w:r>
        <w:rPr>
          <w:color w:val="auto"/>
          <w:highlight w:val="none"/>
        </w:rPr>
        <w:instrText xml:space="preserve"> PAGEREF _Toc18847 \h </w:instrText>
      </w:r>
      <w:r>
        <w:rPr>
          <w:color w:val="auto"/>
          <w:highlight w:val="none"/>
        </w:rPr>
        <w:fldChar w:fldCharType="separate"/>
      </w:r>
      <w:r>
        <w:rPr>
          <w:color w:val="auto"/>
          <w:highlight w:val="none"/>
        </w:rPr>
        <w:t>4</w:t>
      </w:r>
      <w:r>
        <w:rPr>
          <w:color w:val="auto"/>
          <w:highlight w:val="none"/>
        </w:rPr>
        <w:fldChar w:fldCharType="end"/>
      </w:r>
      <w:r>
        <w:rPr>
          <w:rFonts w:hint="eastAsia" w:ascii="仿宋" w:hAnsi="仿宋" w:eastAsia="仿宋" w:cs="仿宋"/>
          <w:color w:val="auto"/>
          <w:szCs w:val="24"/>
          <w:highlight w:val="none"/>
        </w:rPr>
        <w:fldChar w:fldCharType="end"/>
      </w:r>
    </w:p>
    <w:p w14:paraId="5E6395CF">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_Toc21961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_Toc21961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szCs w:val="24"/>
          <w:highlight w:val="none"/>
        </w:rPr>
        <w:fldChar w:fldCharType="end"/>
      </w:r>
    </w:p>
    <w:p w14:paraId="6D8FE226">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_Toc5499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五、公告期限</w:t>
      </w:r>
      <w:r>
        <w:rPr>
          <w:color w:val="auto"/>
          <w:highlight w:val="none"/>
        </w:rPr>
        <w:tab/>
      </w:r>
      <w:r>
        <w:rPr>
          <w:color w:val="auto"/>
          <w:highlight w:val="none"/>
        </w:rPr>
        <w:fldChar w:fldCharType="begin"/>
      </w:r>
      <w:r>
        <w:rPr>
          <w:color w:val="auto"/>
          <w:highlight w:val="none"/>
        </w:rPr>
        <w:instrText xml:space="preserve"> PAGEREF _Toc5499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szCs w:val="24"/>
          <w:highlight w:val="none"/>
        </w:rPr>
        <w:fldChar w:fldCharType="end"/>
      </w:r>
    </w:p>
    <w:p w14:paraId="7C168BB3">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_Toc21762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六、其他补充事宜</w:t>
      </w:r>
      <w:r>
        <w:rPr>
          <w:color w:val="auto"/>
          <w:highlight w:val="none"/>
        </w:rPr>
        <w:tab/>
      </w:r>
      <w:r>
        <w:rPr>
          <w:color w:val="auto"/>
          <w:highlight w:val="none"/>
        </w:rPr>
        <w:fldChar w:fldCharType="begin"/>
      </w:r>
      <w:r>
        <w:rPr>
          <w:color w:val="auto"/>
          <w:highlight w:val="none"/>
        </w:rPr>
        <w:instrText xml:space="preserve"> PAGEREF _Toc21762 \h </w:instrText>
      </w:r>
      <w:r>
        <w:rPr>
          <w:color w:val="auto"/>
          <w:highlight w:val="none"/>
        </w:rPr>
        <w:fldChar w:fldCharType="separate"/>
      </w:r>
      <w:r>
        <w:rPr>
          <w:color w:val="auto"/>
          <w:highlight w:val="none"/>
        </w:rPr>
        <w:t>5</w:t>
      </w:r>
      <w:r>
        <w:rPr>
          <w:color w:val="auto"/>
          <w:highlight w:val="none"/>
        </w:rPr>
        <w:fldChar w:fldCharType="end"/>
      </w:r>
      <w:r>
        <w:rPr>
          <w:rFonts w:hint="eastAsia" w:ascii="仿宋" w:hAnsi="仿宋" w:eastAsia="仿宋" w:cs="仿宋"/>
          <w:color w:val="auto"/>
          <w:szCs w:val="24"/>
          <w:highlight w:val="none"/>
        </w:rPr>
        <w:fldChar w:fldCharType="end"/>
      </w:r>
    </w:p>
    <w:p w14:paraId="41A0D51E">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_Toc22790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七、对本次招标提出询问，请按以下方式联系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_Toc22790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szCs w:val="24"/>
          <w:highlight w:val="none"/>
        </w:rPr>
        <w:fldChar w:fldCharType="end"/>
      </w:r>
    </w:p>
    <w:p w14:paraId="5EF19203">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_Toc2526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 xml:space="preserve">第二章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w:t>
      </w:r>
      <w:r>
        <w:rPr>
          <w:color w:val="auto"/>
          <w:highlight w:val="none"/>
        </w:rPr>
        <w:tab/>
      </w:r>
      <w:r>
        <w:rPr>
          <w:color w:val="auto"/>
          <w:highlight w:val="none"/>
        </w:rPr>
        <w:fldChar w:fldCharType="begin"/>
      </w:r>
      <w:r>
        <w:rPr>
          <w:color w:val="auto"/>
          <w:highlight w:val="none"/>
        </w:rPr>
        <w:instrText xml:space="preserve"> PAGEREF _Toc2526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color w:val="auto"/>
          <w:szCs w:val="24"/>
          <w:highlight w:val="none"/>
        </w:rPr>
        <w:fldChar w:fldCharType="end"/>
      </w:r>
    </w:p>
    <w:p w14:paraId="0E871C57">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_Toc29340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lang w:eastAsia="zh-CN"/>
        </w:rPr>
        <w:t>投标人</w:t>
      </w:r>
      <w:r>
        <w:rPr>
          <w:rFonts w:hint="eastAsia" w:ascii="仿宋" w:hAnsi="仿宋" w:eastAsia="仿宋" w:cs="仿宋"/>
          <w:color w:val="auto"/>
          <w:szCs w:val="28"/>
          <w:highlight w:val="none"/>
        </w:rPr>
        <w:t>须知前附表</w:t>
      </w:r>
      <w:r>
        <w:rPr>
          <w:color w:val="auto"/>
          <w:highlight w:val="none"/>
        </w:rPr>
        <w:tab/>
      </w:r>
      <w:r>
        <w:rPr>
          <w:color w:val="auto"/>
          <w:highlight w:val="none"/>
        </w:rPr>
        <w:fldChar w:fldCharType="begin"/>
      </w:r>
      <w:r>
        <w:rPr>
          <w:color w:val="auto"/>
          <w:highlight w:val="none"/>
        </w:rPr>
        <w:instrText xml:space="preserve"> PAGEREF _Toc29340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color w:val="auto"/>
          <w:szCs w:val="24"/>
          <w:highlight w:val="none"/>
        </w:rPr>
        <w:fldChar w:fldCharType="end"/>
      </w:r>
    </w:p>
    <w:p w14:paraId="7BA40C41">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_Toc28867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lang w:eastAsia="zh-CN"/>
        </w:rPr>
        <w:t>投标人</w:t>
      </w:r>
      <w:r>
        <w:rPr>
          <w:rFonts w:hint="eastAsia" w:ascii="仿宋" w:hAnsi="仿宋" w:eastAsia="仿宋" w:cs="仿宋"/>
          <w:color w:val="auto"/>
          <w:szCs w:val="28"/>
          <w:highlight w:val="none"/>
        </w:rPr>
        <w:t>须知正文</w:t>
      </w:r>
      <w:r>
        <w:rPr>
          <w:color w:val="auto"/>
          <w:highlight w:val="none"/>
        </w:rPr>
        <w:tab/>
      </w:r>
      <w:r>
        <w:rPr>
          <w:color w:val="auto"/>
          <w:highlight w:val="none"/>
        </w:rPr>
        <w:fldChar w:fldCharType="begin"/>
      </w:r>
      <w:r>
        <w:rPr>
          <w:color w:val="auto"/>
          <w:highlight w:val="none"/>
        </w:rPr>
        <w:instrText xml:space="preserve"> PAGEREF _Toc28867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szCs w:val="24"/>
          <w:highlight w:val="none"/>
        </w:rPr>
        <w:fldChar w:fldCharType="end"/>
      </w:r>
    </w:p>
    <w:p w14:paraId="3647B6A3">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_Toc3736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1、总则</w:t>
      </w:r>
      <w:r>
        <w:rPr>
          <w:color w:val="auto"/>
          <w:highlight w:val="none"/>
        </w:rPr>
        <w:tab/>
      </w:r>
      <w:r>
        <w:rPr>
          <w:color w:val="auto"/>
          <w:highlight w:val="none"/>
        </w:rPr>
        <w:fldChar w:fldCharType="begin"/>
      </w:r>
      <w:r>
        <w:rPr>
          <w:color w:val="auto"/>
          <w:highlight w:val="none"/>
        </w:rPr>
        <w:instrText xml:space="preserve"> PAGEREF _Toc3736 \h </w:instrText>
      </w:r>
      <w:r>
        <w:rPr>
          <w:color w:val="auto"/>
          <w:highlight w:val="none"/>
        </w:rPr>
        <w:fldChar w:fldCharType="separate"/>
      </w:r>
      <w:r>
        <w:rPr>
          <w:color w:val="auto"/>
          <w:highlight w:val="none"/>
        </w:rPr>
        <w:t>20</w:t>
      </w:r>
      <w:r>
        <w:rPr>
          <w:color w:val="auto"/>
          <w:highlight w:val="none"/>
        </w:rPr>
        <w:fldChar w:fldCharType="end"/>
      </w:r>
      <w:r>
        <w:rPr>
          <w:rFonts w:hint="eastAsia" w:ascii="仿宋" w:hAnsi="仿宋" w:eastAsia="仿宋" w:cs="仿宋"/>
          <w:color w:val="auto"/>
          <w:szCs w:val="24"/>
          <w:highlight w:val="none"/>
        </w:rPr>
        <w:fldChar w:fldCharType="end"/>
      </w:r>
    </w:p>
    <w:p w14:paraId="12C4512B">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_Toc26600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2、招标文件</w:t>
      </w:r>
      <w:r>
        <w:rPr>
          <w:color w:val="auto"/>
          <w:highlight w:val="none"/>
        </w:rPr>
        <w:tab/>
      </w:r>
      <w:r>
        <w:rPr>
          <w:color w:val="auto"/>
          <w:highlight w:val="none"/>
        </w:rPr>
        <w:fldChar w:fldCharType="begin"/>
      </w:r>
      <w:r>
        <w:rPr>
          <w:color w:val="auto"/>
          <w:highlight w:val="none"/>
        </w:rPr>
        <w:instrText xml:space="preserve"> PAGEREF _Toc26600 \h </w:instrText>
      </w:r>
      <w:r>
        <w:rPr>
          <w:color w:val="auto"/>
          <w:highlight w:val="none"/>
        </w:rPr>
        <w:fldChar w:fldCharType="separate"/>
      </w:r>
      <w:r>
        <w:rPr>
          <w:color w:val="auto"/>
          <w:highlight w:val="none"/>
        </w:rPr>
        <w:t>22</w:t>
      </w:r>
      <w:r>
        <w:rPr>
          <w:color w:val="auto"/>
          <w:highlight w:val="none"/>
        </w:rPr>
        <w:fldChar w:fldCharType="end"/>
      </w:r>
      <w:r>
        <w:rPr>
          <w:rFonts w:hint="eastAsia" w:ascii="仿宋" w:hAnsi="仿宋" w:eastAsia="仿宋" w:cs="仿宋"/>
          <w:color w:val="auto"/>
          <w:szCs w:val="24"/>
          <w:highlight w:val="none"/>
        </w:rPr>
        <w:fldChar w:fldCharType="end"/>
      </w:r>
    </w:p>
    <w:p w14:paraId="6073CACF">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_Toc4222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3、投标文件</w:t>
      </w:r>
      <w:r>
        <w:rPr>
          <w:color w:val="auto"/>
          <w:highlight w:val="none"/>
        </w:rPr>
        <w:tab/>
      </w:r>
      <w:r>
        <w:rPr>
          <w:color w:val="auto"/>
          <w:highlight w:val="none"/>
        </w:rPr>
        <w:fldChar w:fldCharType="begin"/>
      </w:r>
      <w:r>
        <w:rPr>
          <w:color w:val="auto"/>
          <w:highlight w:val="none"/>
        </w:rPr>
        <w:instrText xml:space="preserve"> PAGEREF _Toc4222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szCs w:val="24"/>
          <w:highlight w:val="none"/>
        </w:rPr>
        <w:fldChar w:fldCharType="end"/>
      </w:r>
    </w:p>
    <w:p w14:paraId="23A5D251">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_Toc21085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4、投标</w:t>
      </w:r>
      <w:r>
        <w:rPr>
          <w:color w:val="auto"/>
          <w:highlight w:val="none"/>
        </w:rPr>
        <w:tab/>
      </w:r>
      <w:r>
        <w:rPr>
          <w:color w:val="auto"/>
          <w:highlight w:val="none"/>
        </w:rPr>
        <w:fldChar w:fldCharType="begin"/>
      </w:r>
      <w:r>
        <w:rPr>
          <w:color w:val="auto"/>
          <w:highlight w:val="none"/>
        </w:rPr>
        <w:instrText xml:space="preserve"> PAGEREF _Toc21085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仿宋"/>
          <w:color w:val="auto"/>
          <w:szCs w:val="24"/>
          <w:highlight w:val="none"/>
        </w:rPr>
        <w:fldChar w:fldCharType="end"/>
      </w:r>
    </w:p>
    <w:p w14:paraId="2084D850">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_Toc3657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5、开标</w:t>
      </w:r>
      <w:r>
        <w:rPr>
          <w:color w:val="auto"/>
          <w:highlight w:val="none"/>
        </w:rPr>
        <w:tab/>
      </w:r>
      <w:r>
        <w:rPr>
          <w:color w:val="auto"/>
          <w:highlight w:val="none"/>
        </w:rPr>
        <w:fldChar w:fldCharType="begin"/>
      </w:r>
      <w:r>
        <w:rPr>
          <w:color w:val="auto"/>
          <w:highlight w:val="none"/>
        </w:rPr>
        <w:instrText xml:space="preserve"> PAGEREF _Toc3657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仿宋"/>
          <w:color w:val="auto"/>
          <w:szCs w:val="24"/>
          <w:highlight w:val="none"/>
        </w:rPr>
        <w:fldChar w:fldCharType="end"/>
      </w:r>
    </w:p>
    <w:p w14:paraId="7E2D2424">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_Toc30875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6、资格审查</w:t>
      </w:r>
      <w:r>
        <w:rPr>
          <w:color w:val="auto"/>
          <w:highlight w:val="none"/>
        </w:rPr>
        <w:tab/>
      </w:r>
      <w:r>
        <w:rPr>
          <w:color w:val="auto"/>
          <w:highlight w:val="none"/>
        </w:rPr>
        <w:fldChar w:fldCharType="begin"/>
      </w:r>
      <w:r>
        <w:rPr>
          <w:color w:val="auto"/>
          <w:highlight w:val="none"/>
        </w:rPr>
        <w:instrText xml:space="preserve"> PAGEREF _Toc30875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仿宋"/>
          <w:color w:val="auto"/>
          <w:szCs w:val="24"/>
          <w:highlight w:val="none"/>
        </w:rPr>
        <w:fldChar w:fldCharType="end"/>
      </w:r>
    </w:p>
    <w:p w14:paraId="2726EF08">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_Toc14165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7、评标</w:t>
      </w:r>
      <w:r>
        <w:rPr>
          <w:color w:val="auto"/>
          <w:highlight w:val="none"/>
        </w:rPr>
        <w:tab/>
      </w:r>
      <w:r>
        <w:rPr>
          <w:color w:val="auto"/>
          <w:highlight w:val="none"/>
        </w:rPr>
        <w:fldChar w:fldCharType="begin"/>
      </w:r>
      <w:r>
        <w:rPr>
          <w:color w:val="auto"/>
          <w:highlight w:val="none"/>
        </w:rPr>
        <w:instrText xml:space="preserve"> PAGEREF _Toc14165 \h </w:instrText>
      </w:r>
      <w:r>
        <w:rPr>
          <w:color w:val="auto"/>
          <w:highlight w:val="none"/>
        </w:rPr>
        <w:fldChar w:fldCharType="separate"/>
      </w:r>
      <w:r>
        <w:rPr>
          <w:color w:val="auto"/>
          <w:highlight w:val="none"/>
        </w:rPr>
        <w:t>26</w:t>
      </w:r>
      <w:r>
        <w:rPr>
          <w:color w:val="auto"/>
          <w:highlight w:val="none"/>
        </w:rPr>
        <w:fldChar w:fldCharType="end"/>
      </w:r>
      <w:r>
        <w:rPr>
          <w:rFonts w:hint="eastAsia" w:ascii="仿宋" w:hAnsi="仿宋" w:eastAsia="仿宋" w:cs="仿宋"/>
          <w:color w:val="auto"/>
          <w:szCs w:val="24"/>
          <w:highlight w:val="none"/>
        </w:rPr>
        <w:fldChar w:fldCharType="end"/>
      </w:r>
    </w:p>
    <w:p w14:paraId="438CCE75">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_Toc14919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8、中标和合同</w:t>
      </w:r>
      <w:r>
        <w:rPr>
          <w:color w:val="auto"/>
          <w:highlight w:val="none"/>
        </w:rPr>
        <w:tab/>
      </w:r>
      <w:r>
        <w:rPr>
          <w:color w:val="auto"/>
          <w:highlight w:val="none"/>
        </w:rPr>
        <w:fldChar w:fldCharType="begin"/>
      </w:r>
      <w:r>
        <w:rPr>
          <w:color w:val="auto"/>
          <w:highlight w:val="none"/>
        </w:rPr>
        <w:instrText xml:space="preserve"> PAGEREF _Toc14919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color w:val="auto"/>
          <w:szCs w:val="24"/>
          <w:highlight w:val="none"/>
        </w:rPr>
        <w:fldChar w:fldCharType="end"/>
      </w:r>
    </w:p>
    <w:p w14:paraId="59699E20">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_Toc2947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9、纪律和监督</w:t>
      </w:r>
      <w:r>
        <w:rPr>
          <w:color w:val="auto"/>
          <w:highlight w:val="none"/>
        </w:rPr>
        <w:tab/>
      </w:r>
      <w:r>
        <w:rPr>
          <w:color w:val="auto"/>
          <w:highlight w:val="none"/>
        </w:rPr>
        <w:fldChar w:fldCharType="begin"/>
      </w:r>
      <w:r>
        <w:rPr>
          <w:color w:val="auto"/>
          <w:highlight w:val="none"/>
        </w:rPr>
        <w:instrText xml:space="preserve"> PAGEREF _Toc2947 \h </w:instrText>
      </w:r>
      <w:r>
        <w:rPr>
          <w:color w:val="auto"/>
          <w:highlight w:val="none"/>
        </w:rPr>
        <w:fldChar w:fldCharType="separate"/>
      </w:r>
      <w:r>
        <w:rPr>
          <w:color w:val="auto"/>
          <w:highlight w:val="none"/>
        </w:rPr>
        <w:t>28</w:t>
      </w:r>
      <w:r>
        <w:rPr>
          <w:color w:val="auto"/>
          <w:highlight w:val="none"/>
        </w:rPr>
        <w:fldChar w:fldCharType="end"/>
      </w:r>
      <w:r>
        <w:rPr>
          <w:rFonts w:hint="eastAsia" w:ascii="仿宋" w:hAnsi="仿宋" w:eastAsia="仿宋" w:cs="仿宋"/>
          <w:color w:val="auto"/>
          <w:szCs w:val="24"/>
          <w:highlight w:val="none"/>
        </w:rPr>
        <w:fldChar w:fldCharType="end"/>
      </w:r>
    </w:p>
    <w:p w14:paraId="6CF00982">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_Toc839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10、质疑与投诉</w:t>
      </w:r>
      <w:r>
        <w:rPr>
          <w:color w:val="auto"/>
          <w:highlight w:val="none"/>
        </w:rPr>
        <w:tab/>
      </w:r>
      <w:r>
        <w:rPr>
          <w:color w:val="auto"/>
          <w:highlight w:val="none"/>
        </w:rPr>
        <w:fldChar w:fldCharType="begin"/>
      </w:r>
      <w:r>
        <w:rPr>
          <w:color w:val="auto"/>
          <w:highlight w:val="none"/>
        </w:rPr>
        <w:instrText xml:space="preserve"> PAGEREF _Toc839 \h </w:instrText>
      </w:r>
      <w:r>
        <w:rPr>
          <w:color w:val="auto"/>
          <w:highlight w:val="none"/>
        </w:rPr>
        <w:fldChar w:fldCharType="separate"/>
      </w:r>
      <w:r>
        <w:rPr>
          <w:color w:val="auto"/>
          <w:highlight w:val="none"/>
        </w:rPr>
        <w:t>29</w:t>
      </w:r>
      <w:r>
        <w:rPr>
          <w:color w:val="auto"/>
          <w:highlight w:val="none"/>
        </w:rPr>
        <w:fldChar w:fldCharType="end"/>
      </w:r>
      <w:r>
        <w:rPr>
          <w:rFonts w:hint="eastAsia" w:ascii="仿宋" w:hAnsi="仿宋" w:eastAsia="仿宋" w:cs="仿宋"/>
          <w:color w:val="auto"/>
          <w:szCs w:val="24"/>
          <w:highlight w:val="none"/>
        </w:rPr>
        <w:fldChar w:fldCharType="end"/>
      </w:r>
    </w:p>
    <w:p w14:paraId="2087E790">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_Toc11396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11、是否采用电子化招标投标</w:t>
      </w:r>
      <w:r>
        <w:rPr>
          <w:color w:val="auto"/>
          <w:highlight w:val="none"/>
        </w:rPr>
        <w:tab/>
      </w:r>
      <w:r>
        <w:rPr>
          <w:color w:val="auto"/>
          <w:highlight w:val="none"/>
        </w:rPr>
        <w:fldChar w:fldCharType="begin"/>
      </w:r>
      <w:r>
        <w:rPr>
          <w:color w:val="auto"/>
          <w:highlight w:val="none"/>
        </w:rPr>
        <w:instrText xml:space="preserve"> PAGEREF _Toc11396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color w:val="auto"/>
          <w:szCs w:val="24"/>
          <w:highlight w:val="none"/>
        </w:rPr>
        <w:fldChar w:fldCharType="end"/>
      </w:r>
    </w:p>
    <w:p w14:paraId="7B91897E">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_Toc18020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12.法律责任</w:t>
      </w:r>
      <w:r>
        <w:rPr>
          <w:color w:val="auto"/>
          <w:highlight w:val="none"/>
        </w:rPr>
        <w:tab/>
      </w:r>
      <w:r>
        <w:rPr>
          <w:color w:val="auto"/>
          <w:highlight w:val="none"/>
        </w:rPr>
        <w:fldChar w:fldCharType="begin"/>
      </w:r>
      <w:r>
        <w:rPr>
          <w:color w:val="auto"/>
          <w:highlight w:val="none"/>
        </w:rPr>
        <w:instrText xml:space="preserve"> PAGEREF _Toc18020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color w:val="auto"/>
          <w:szCs w:val="24"/>
          <w:highlight w:val="none"/>
        </w:rPr>
        <w:fldChar w:fldCharType="end"/>
      </w:r>
    </w:p>
    <w:p w14:paraId="314D57CC">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_Toc8813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13.需要补充的其他内容</w:t>
      </w:r>
      <w:r>
        <w:rPr>
          <w:color w:val="auto"/>
          <w:highlight w:val="none"/>
        </w:rPr>
        <w:tab/>
      </w:r>
      <w:r>
        <w:rPr>
          <w:color w:val="auto"/>
          <w:highlight w:val="none"/>
        </w:rPr>
        <w:fldChar w:fldCharType="begin"/>
      </w:r>
      <w:r>
        <w:rPr>
          <w:color w:val="auto"/>
          <w:highlight w:val="none"/>
        </w:rPr>
        <w:instrText xml:space="preserve"> PAGEREF _Toc8813 \h </w:instrText>
      </w:r>
      <w:r>
        <w:rPr>
          <w:color w:val="auto"/>
          <w:highlight w:val="none"/>
        </w:rPr>
        <w:fldChar w:fldCharType="separate"/>
      </w:r>
      <w:r>
        <w:rPr>
          <w:color w:val="auto"/>
          <w:highlight w:val="none"/>
        </w:rPr>
        <w:t>31</w:t>
      </w:r>
      <w:r>
        <w:rPr>
          <w:color w:val="auto"/>
          <w:highlight w:val="none"/>
        </w:rPr>
        <w:fldChar w:fldCharType="end"/>
      </w:r>
      <w:r>
        <w:rPr>
          <w:rFonts w:hint="eastAsia" w:ascii="仿宋" w:hAnsi="仿宋" w:eastAsia="仿宋" w:cs="仿宋"/>
          <w:color w:val="auto"/>
          <w:szCs w:val="24"/>
          <w:highlight w:val="none"/>
        </w:rPr>
        <w:fldChar w:fldCharType="end"/>
      </w:r>
    </w:p>
    <w:p w14:paraId="16E06E0A">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_Toc4615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第三章 评标办法</w:t>
      </w:r>
      <w:r>
        <w:rPr>
          <w:color w:val="auto"/>
          <w:highlight w:val="none"/>
        </w:rPr>
        <w:tab/>
      </w:r>
      <w:r>
        <w:rPr>
          <w:color w:val="auto"/>
          <w:highlight w:val="none"/>
        </w:rPr>
        <w:fldChar w:fldCharType="begin"/>
      </w:r>
      <w:r>
        <w:rPr>
          <w:color w:val="auto"/>
          <w:highlight w:val="none"/>
        </w:rPr>
        <w:instrText xml:space="preserve"> PAGEREF _Toc4615 \h </w:instrText>
      </w:r>
      <w:r>
        <w:rPr>
          <w:color w:val="auto"/>
          <w:highlight w:val="none"/>
        </w:rPr>
        <w:fldChar w:fldCharType="separate"/>
      </w:r>
      <w:r>
        <w:rPr>
          <w:color w:val="auto"/>
          <w:highlight w:val="none"/>
        </w:rPr>
        <w:t>32</w:t>
      </w:r>
      <w:r>
        <w:rPr>
          <w:color w:val="auto"/>
          <w:highlight w:val="none"/>
        </w:rPr>
        <w:fldChar w:fldCharType="end"/>
      </w:r>
      <w:r>
        <w:rPr>
          <w:rFonts w:hint="eastAsia" w:ascii="仿宋" w:hAnsi="仿宋" w:eastAsia="仿宋" w:cs="仿宋"/>
          <w:color w:val="auto"/>
          <w:szCs w:val="24"/>
          <w:highlight w:val="none"/>
        </w:rPr>
        <w:fldChar w:fldCharType="end"/>
      </w:r>
    </w:p>
    <w:p w14:paraId="6F33F4F8">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_Toc30214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1、评标机构</w:t>
      </w:r>
      <w:r>
        <w:rPr>
          <w:color w:val="auto"/>
          <w:highlight w:val="none"/>
        </w:rPr>
        <w:tab/>
      </w:r>
      <w:r>
        <w:rPr>
          <w:color w:val="auto"/>
          <w:highlight w:val="none"/>
        </w:rPr>
        <w:fldChar w:fldCharType="begin"/>
      </w:r>
      <w:r>
        <w:rPr>
          <w:color w:val="auto"/>
          <w:highlight w:val="none"/>
        </w:rPr>
        <w:instrText xml:space="preserve"> PAGEREF _Toc30214 \h </w:instrText>
      </w:r>
      <w:r>
        <w:rPr>
          <w:color w:val="auto"/>
          <w:highlight w:val="none"/>
        </w:rPr>
        <w:fldChar w:fldCharType="separate"/>
      </w:r>
      <w:r>
        <w:rPr>
          <w:color w:val="auto"/>
          <w:highlight w:val="none"/>
        </w:rPr>
        <w:t>32</w:t>
      </w:r>
      <w:r>
        <w:rPr>
          <w:color w:val="auto"/>
          <w:highlight w:val="none"/>
        </w:rPr>
        <w:fldChar w:fldCharType="end"/>
      </w:r>
      <w:r>
        <w:rPr>
          <w:rFonts w:hint="eastAsia" w:ascii="仿宋" w:hAnsi="仿宋" w:eastAsia="仿宋" w:cs="仿宋"/>
          <w:color w:val="auto"/>
          <w:szCs w:val="24"/>
          <w:highlight w:val="none"/>
        </w:rPr>
        <w:fldChar w:fldCharType="end"/>
      </w:r>
    </w:p>
    <w:p w14:paraId="3479BBDE">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_Toc14295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2、采购人或者采购代理机构职责</w:t>
      </w:r>
      <w:r>
        <w:rPr>
          <w:color w:val="auto"/>
          <w:highlight w:val="none"/>
        </w:rPr>
        <w:tab/>
      </w:r>
      <w:r>
        <w:rPr>
          <w:color w:val="auto"/>
          <w:highlight w:val="none"/>
        </w:rPr>
        <w:fldChar w:fldCharType="begin"/>
      </w:r>
      <w:r>
        <w:rPr>
          <w:color w:val="auto"/>
          <w:highlight w:val="none"/>
        </w:rPr>
        <w:instrText xml:space="preserve"> PAGEREF _Toc14295 \h </w:instrText>
      </w:r>
      <w:r>
        <w:rPr>
          <w:color w:val="auto"/>
          <w:highlight w:val="none"/>
        </w:rPr>
        <w:fldChar w:fldCharType="separate"/>
      </w:r>
      <w:r>
        <w:rPr>
          <w:color w:val="auto"/>
          <w:highlight w:val="none"/>
        </w:rPr>
        <w:t>32</w:t>
      </w:r>
      <w:r>
        <w:rPr>
          <w:color w:val="auto"/>
          <w:highlight w:val="none"/>
        </w:rPr>
        <w:fldChar w:fldCharType="end"/>
      </w:r>
      <w:r>
        <w:rPr>
          <w:rFonts w:hint="eastAsia" w:ascii="仿宋" w:hAnsi="仿宋" w:eastAsia="仿宋" w:cs="仿宋"/>
          <w:color w:val="auto"/>
          <w:szCs w:val="24"/>
          <w:highlight w:val="none"/>
        </w:rPr>
        <w:fldChar w:fldCharType="end"/>
      </w:r>
    </w:p>
    <w:p w14:paraId="3CC299A1">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_Toc22125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3、评标委员会职责</w:t>
      </w:r>
      <w:r>
        <w:rPr>
          <w:color w:val="auto"/>
          <w:highlight w:val="none"/>
        </w:rPr>
        <w:tab/>
      </w:r>
      <w:r>
        <w:rPr>
          <w:color w:val="auto"/>
          <w:highlight w:val="none"/>
        </w:rPr>
        <w:fldChar w:fldCharType="begin"/>
      </w:r>
      <w:r>
        <w:rPr>
          <w:color w:val="auto"/>
          <w:highlight w:val="none"/>
        </w:rPr>
        <w:instrText xml:space="preserve"> PAGEREF _Toc22125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color w:val="auto"/>
          <w:szCs w:val="24"/>
          <w:highlight w:val="none"/>
        </w:rPr>
        <w:fldChar w:fldCharType="end"/>
      </w:r>
    </w:p>
    <w:p w14:paraId="3EFA2E5F">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_Toc1596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4、评标纪律</w:t>
      </w:r>
      <w:r>
        <w:rPr>
          <w:color w:val="auto"/>
          <w:highlight w:val="none"/>
        </w:rPr>
        <w:tab/>
      </w:r>
      <w:r>
        <w:rPr>
          <w:color w:val="auto"/>
          <w:highlight w:val="none"/>
        </w:rPr>
        <w:fldChar w:fldCharType="begin"/>
      </w:r>
      <w:r>
        <w:rPr>
          <w:color w:val="auto"/>
          <w:highlight w:val="none"/>
        </w:rPr>
        <w:instrText xml:space="preserve"> PAGEREF _Toc1596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color w:val="auto"/>
          <w:szCs w:val="24"/>
          <w:highlight w:val="none"/>
        </w:rPr>
        <w:fldChar w:fldCharType="end"/>
      </w:r>
    </w:p>
    <w:p w14:paraId="6B532D4D">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_Toc27916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5、评标原则</w:t>
      </w:r>
      <w:r>
        <w:rPr>
          <w:color w:val="auto"/>
          <w:highlight w:val="none"/>
        </w:rPr>
        <w:tab/>
      </w:r>
      <w:r>
        <w:rPr>
          <w:color w:val="auto"/>
          <w:highlight w:val="none"/>
        </w:rPr>
        <w:fldChar w:fldCharType="begin"/>
      </w:r>
      <w:r>
        <w:rPr>
          <w:color w:val="auto"/>
          <w:highlight w:val="none"/>
        </w:rPr>
        <w:instrText xml:space="preserve"> PAGEREF _Toc27916 \h </w:instrText>
      </w:r>
      <w:r>
        <w:rPr>
          <w:color w:val="auto"/>
          <w:highlight w:val="none"/>
        </w:rPr>
        <w:fldChar w:fldCharType="separate"/>
      </w:r>
      <w:r>
        <w:rPr>
          <w:color w:val="auto"/>
          <w:highlight w:val="none"/>
        </w:rPr>
        <w:t>33</w:t>
      </w:r>
      <w:r>
        <w:rPr>
          <w:color w:val="auto"/>
          <w:highlight w:val="none"/>
        </w:rPr>
        <w:fldChar w:fldCharType="end"/>
      </w:r>
      <w:r>
        <w:rPr>
          <w:rFonts w:hint="eastAsia" w:ascii="仿宋" w:hAnsi="仿宋" w:eastAsia="仿宋" w:cs="仿宋"/>
          <w:color w:val="auto"/>
          <w:szCs w:val="24"/>
          <w:highlight w:val="none"/>
        </w:rPr>
        <w:fldChar w:fldCharType="end"/>
      </w:r>
    </w:p>
    <w:p w14:paraId="13338053">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_Toc19224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6、评标程序</w:t>
      </w:r>
      <w:r>
        <w:rPr>
          <w:color w:val="auto"/>
          <w:highlight w:val="none"/>
        </w:rPr>
        <w:tab/>
      </w:r>
      <w:r>
        <w:rPr>
          <w:color w:val="auto"/>
          <w:highlight w:val="none"/>
        </w:rPr>
        <w:fldChar w:fldCharType="begin"/>
      </w:r>
      <w:r>
        <w:rPr>
          <w:color w:val="auto"/>
          <w:highlight w:val="none"/>
        </w:rPr>
        <w:instrText xml:space="preserve"> PAGEREF _Toc19224 \h </w:instrText>
      </w:r>
      <w:r>
        <w:rPr>
          <w:color w:val="auto"/>
          <w:highlight w:val="none"/>
        </w:rPr>
        <w:fldChar w:fldCharType="separate"/>
      </w:r>
      <w:r>
        <w:rPr>
          <w:color w:val="auto"/>
          <w:highlight w:val="none"/>
        </w:rPr>
        <w:t>34</w:t>
      </w:r>
      <w:r>
        <w:rPr>
          <w:color w:val="auto"/>
          <w:highlight w:val="none"/>
        </w:rPr>
        <w:fldChar w:fldCharType="end"/>
      </w:r>
      <w:r>
        <w:rPr>
          <w:rFonts w:hint="eastAsia" w:ascii="仿宋" w:hAnsi="仿宋" w:eastAsia="仿宋" w:cs="仿宋"/>
          <w:color w:val="auto"/>
          <w:szCs w:val="24"/>
          <w:highlight w:val="none"/>
        </w:rPr>
        <w:fldChar w:fldCharType="end"/>
      </w:r>
    </w:p>
    <w:p w14:paraId="2FECF77E">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_Toc23020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第四章 合同基本条款及格式</w:t>
      </w:r>
      <w:r>
        <w:rPr>
          <w:color w:val="auto"/>
          <w:highlight w:val="none"/>
        </w:rPr>
        <w:tab/>
      </w:r>
      <w:r>
        <w:rPr>
          <w:color w:val="auto"/>
          <w:highlight w:val="none"/>
        </w:rPr>
        <w:fldChar w:fldCharType="begin"/>
      </w:r>
      <w:r>
        <w:rPr>
          <w:color w:val="auto"/>
          <w:highlight w:val="none"/>
        </w:rPr>
        <w:instrText xml:space="preserve"> PAGEREF _Toc23020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szCs w:val="24"/>
          <w:highlight w:val="none"/>
        </w:rPr>
        <w:fldChar w:fldCharType="end"/>
      </w:r>
    </w:p>
    <w:p w14:paraId="7E2AC8D0">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_Toc20793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_Toc20793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szCs w:val="24"/>
          <w:highlight w:val="none"/>
        </w:rPr>
        <w:fldChar w:fldCharType="end"/>
      </w:r>
    </w:p>
    <w:p w14:paraId="18BD5F40">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_Toc25575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投标文件格式说明</w:t>
      </w:r>
      <w:r>
        <w:rPr>
          <w:color w:val="auto"/>
          <w:highlight w:val="none"/>
        </w:rPr>
        <w:tab/>
      </w:r>
      <w:r>
        <w:rPr>
          <w:color w:val="auto"/>
          <w:highlight w:val="none"/>
        </w:rPr>
        <w:fldChar w:fldCharType="begin"/>
      </w:r>
      <w:r>
        <w:rPr>
          <w:color w:val="auto"/>
          <w:highlight w:val="none"/>
        </w:rPr>
        <w:instrText xml:space="preserve"> PAGEREF _Toc25575 \h </w:instrText>
      </w:r>
      <w:r>
        <w:rPr>
          <w:color w:val="auto"/>
          <w:highlight w:val="none"/>
        </w:rPr>
        <w:fldChar w:fldCharType="separate"/>
      </w:r>
      <w:r>
        <w:rPr>
          <w:color w:val="auto"/>
          <w:highlight w:val="none"/>
        </w:rPr>
        <w:t>51</w:t>
      </w:r>
      <w:r>
        <w:rPr>
          <w:color w:val="auto"/>
          <w:highlight w:val="none"/>
        </w:rPr>
        <w:fldChar w:fldCharType="end"/>
      </w:r>
      <w:r>
        <w:rPr>
          <w:rFonts w:hint="eastAsia" w:ascii="仿宋" w:hAnsi="仿宋" w:eastAsia="仿宋" w:cs="仿宋"/>
          <w:color w:val="auto"/>
          <w:szCs w:val="24"/>
          <w:highlight w:val="none"/>
        </w:rPr>
        <w:fldChar w:fldCharType="end"/>
      </w:r>
    </w:p>
    <w:p w14:paraId="0092A2E4">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_Toc22087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一、资格审查部分</w:t>
      </w:r>
      <w:r>
        <w:rPr>
          <w:color w:val="auto"/>
          <w:highlight w:val="none"/>
        </w:rPr>
        <w:tab/>
      </w:r>
      <w:r>
        <w:rPr>
          <w:color w:val="auto"/>
          <w:highlight w:val="none"/>
        </w:rPr>
        <w:fldChar w:fldCharType="begin"/>
      </w:r>
      <w:r>
        <w:rPr>
          <w:color w:val="auto"/>
          <w:highlight w:val="none"/>
        </w:rPr>
        <w:instrText xml:space="preserve"> PAGEREF _Toc22087 \h </w:instrText>
      </w:r>
      <w:r>
        <w:rPr>
          <w:color w:val="auto"/>
          <w:highlight w:val="none"/>
        </w:rPr>
        <w:fldChar w:fldCharType="separate"/>
      </w:r>
      <w:r>
        <w:rPr>
          <w:color w:val="auto"/>
          <w:highlight w:val="none"/>
        </w:rPr>
        <w:t>52</w:t>
      </w:r>
      <w:r>
        <w:rPr>
          <w:color w:val="auto"/>
          <w:highlight w:val="none"/>
        </w:rPr>
        <w:fldChar w:fldCharType="end"/>
      </w:r>
      <w:r>
        <w:rPr>
          <w:rFonts w:hint="eastAsia" w:ascii="仿宋" w:hAnsi="仿宋" w:eastAsia="仿宋" w:cs="仿宋"/>
          <w:color w:val="auto"/>
          <w:szCs w:val="24"/>
          <w:highlight w:val="none"/>
        </w:rPr>
        <w:fldChar w:fldCharType="end"/>
      </w:r>
    </w:p>
    <w:p w14:paraId="0141696C">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_Toc857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二、</w:t>
      </w:r>
      <w:r>
        <w:rPr>
          <w:rFonts w:hint="eastAsia" w:ascii="仿宋" w:hAnsi="仿宋" w:eastAsia="仿宋" w:cs="仿宋"/>
          <w:color w:val="auto"/>
          <w:szCs w:val="28"/>
          <w:highlight w:val="none"/>
          <w:lang w:val="en-US" w:eastAsia="zh-CN"/>
        </w:rPr>
        <w:t>技术</w:t>
      </w:r>
      <w:r>
        <w:rPr>
          <w:rFonts w:hint="eastAsia" w:ascii="仿宋" w:hAnsi="仿宋" w:eastAsia="仿宋" w:cs="仿宋"/>
          <w:color w:val="auto"/>
          <w:szCs w:val="28"/>
          <w:highlight w:val="none"/>
        </w:rPr>
        <w:t>部分</w:t>
      </w:r>
      <w:r>
        <w:rPr>
          <w:color w:val="auto"/>
          <w:highlight w:val="none"/>
        </w:rPr>
        <w:tab/>
      </w:r>
      <w:r>
        <w:rPr>
          <w:color w:val="auto"/>
          <w:highlight w:val="none"/>
        </w:rPr>
        <w:fldChar w:fldCharType="begin"/>
      </w:r>
      <w:r>
        <w:rPr>
          <w:color w:val="auto"/>
          <w:highlight w:val="none"/>
        </w:rPr>
        <w:instrText xml:space="preserve"> PAGEREF _Toc857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color w:val="auto"/>
          <w:szCs w:val="24"/>
          <w:highlight w:val="none"/>
        </w:rPr>
        <w:fldChar w:fldCharType="end"/>
      </w:r>
    </w:p>
    <w:p w14:paraId="200619EF">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_Toc9536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三、商务部分</w:t>
      </w:r>
      <w:r>
        <w:rPr>
          <w:color w:val="auto"/>
          <w:highlight w:val="none"/>
        </w:rPr>
        <w:tab/>
      </w:r>
      <w:r>
        <w:rPr>
          <w:color w:val="auto"/>
          <w:highlight w:val="none"/>
        </w:rPr>
        <w:fldChar w:fldCharType="begin"/>
      </w:r>
      <w:r>
        <w:rPr>
          <w:color w:val="auto"/>
          <w:highlight w:val="none"/>
        </w:rPr>
        <w:instrText xml:space="preserve"> PAGEREF _Toc9536 \h </w:instrText>
      </w:r>
      <w:r>
        <w:rPr>
          <w:color w:val="auto"/>
          <w:highlight w:val="none"/>
        </w:rPr>
        <w:fldChar w:fldCharType="separate"/>
      </w:r>
      <w:r>
        <w:rPr>
          <w:color w:val="auto"/>
          <w:highlight w:val="none"/>
        </w:rPr>
        <w:t>65</w:t>
      </w:r>
      <w:r>
        <w:rPr>
          <w:color w:val="auto"/>
          <w:highlight w:val="none"/>
        </w:rPr>
        <w:fldChar w:fldCharType="end"/>
      </w:r>
      <w:r>
        <w:rPr>
          <w:rFonts w:hint="eastAsia" w:ascii="仿宋" w:hAnsi="仿宋" w:eastAsia="仿宋" w:cs="仿宋"/>
          <w:color w:val="auto"/>
          <w:szCs w:val="24"/>
          <w:highlight w:val="none"/>
        </w:rPr>
        <w:fldChar w:fldCharType="end"/>
      </w:r>
    </w:p>
    <w:p w14:paraId="3F87FB72">
      <w:pPr>
        <w:pStyle w:val="30"/>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_Toc25385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szCs w:val="28"/>
          <w:highlight w:val="none"/>
        </w:rPr>
        <w:t>四、招标文件要求或</w:t>
      </w:r>
      <w:r>
        <w:rPr>
          <w:rFonts w:hint="eastAsia" w:ascii="仿宋" w:hAnsi="仿宋" w:eastAsia="仿宋" w:cs="仿宋"/>
          <w:color w:val="auto"/>
          <w:szCs w:val="28"/>
          <w:highlight w:val="none"/>
          <w:lang w:eastAsia="zh-CN"/>
        </w:rPr>
        <w:t>投标人</w:t>
      </w:r>
      <w:r>
        <w:rPr>
          <w:rFonts w:hint="eastAsia" w:ascii="仿宋" w:hAnsi="仿宋" w:eastAsia="仿宋" w:cs="仿宋"/>
          <w:color w:val="auto"/>
          <w:szCs w:val="28"/>
          <w:highlight w:val="none"/>
        </w:rPr>
        <w:t>认为需要提交的其他资料</w:t>
      </w:r>
      <w:r>
        <w:rPr>
          <w:color w:val="auto"/>
          <w:highlight w:val="none"/>
        </w:rPr>
        <w:tab/>
      </w:r>
      <w:r>
        <w:rPr>
          <w:color w:val="auto"/>
          <w:highlight w:val="none"/>
        </w:rPr>
        <w:fldChar w:fldCharType="begin"/>
      </w:r>
      <w:r>
        <w:rPr>
          <w:color w:val="auto"/>
          <w:highlight w:val="none"/>
        </w:rPr>
        <w:instrText xml:space="preserve"> PAGEREF _Toc25385 \h </w:instrText>
      </w:r>
      <w:r>
        <w:rPr>
          <w:color w:val="auto"/>
          <w:highlight w:val="none"/>
        </w:rPr>
        <w:fldChar w:fldCharType="separate"/>
      </w:r>
      <w:r>
        <w:rPr>
          <w:color w:val="auto"/>
          <w:highlight w:val="none"/>
        </w:rPr>
        <w:t>83</w:t>
      </w:r>
      <w:r>
        <w:rPr>
          <w:color w:val="auto"/>
          <w:highlight w:val="none"/>
        </w:rPr>
        <w:fldChar w:fldCharType="end"/>
      </w:r>
      <w:r>
        <w:rPr>
          <w:rFonts w:hint="eastAsia" w:ascii="仿宋" w:hAnsi="仿宋" w:eastAsia="仿宋" w:cs="仿宋"/>
          <w:color w:val="auto"/>
          <w:szCs w:val="24"/>
          <w:highlight w:val="none"/>
        </w:rPr>
        <w:fldChar w:fldCharType="end"/>
      </w:r>
    </w:p>
    <w:p w14:paraId="19BED33E">
      <w:pPr>
        <w:pStyle w:val="26"/>
        <w:pageBreakBefore w:val="0"/>
        <w:tabs>
          <w:tab w:val="right" w:leader="dot" w:pos="8306"/>
        </w:tabs>
        <w:overflowPunct/>
        <w:topLinePunct w:val="0"/>
        <w:bidi w:val="0"/>
        <w:spacing w:line="360" w:lineRule="auto"/>
        <w:rPr>
          <w:color w:val="auto"/>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_Toc8641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highlight w:val="none"/>
        </w:rPr>
        <w:t>第六章 采购需求及要求</w:t>
      </w:r>
      <w:r>
        <w:rPr>
          <w:color w:val="auto"/>
          <w:highlight w:val="none"/>
        </w:rPr>
        <w:tab/>
      </w:r>
      <w:r>
        <w:rPr>
          <w:color w:val="auto"/>
          <w:highlight w:val="none"/>
        </w:rPr>
        <w:fldChar w:fldCharType="begin"/>
      </w:r>
      <w:r>
        <w:rPr>
          <w:color w:val="auto"/>
          <w:highlight w:val="none"/>
        </w:rPr>
        <w:instrText xml:space="preserve"> PAGEREF _Toc8641 \h </w:instrText>
      </w:r>
      <w:r>
        <w:rPr>
          <w:color w:val="auto"/>
          <w:highlight w:val="none"/>
        </w:rPr>
        <w:fldChar w:fldCharType="separate"/>
      </w:r>
      <w:r>
        <w:rPr>
          <w:color w:val="auto"/>
          <w:highlight w:val="none"/>
        </w:rPr>
        <w:t>84</w:t>
      </w:r>
      <w:r>
        <w:rPr>
          <w:color w:val="auto"/>
          <w:highlight w:val="none"/>
        </w:rPr>
        <w:fldChar w:fldCharType="end"/>
      </w:r>
      <w:r>
        <w:rPr>
          <w:rFonts w:hint="eastAsia" w:ascii="仿宋" w:hAnsi="仿宋" w:eastAsia="仿宋" w:cs="仿宋"/>
          <w:color w:val="auto"/>
          <w:szCs w:val="24"/>
          <w:highlight w:val="none"/>
        </w:rPr>
        <w:fldChar w:fldCharType="end"/>
      </w:r>
    </w:p>
    <w:p w14:paraId="500927F0">
      <w:pPr>
        <w:pStyle w:val="2"/>
        <w:pageBreakBefore w:val="0"/>
        <w:overflowPunct/>
        <w:topLinePunct w:val="0"/>
        <w:bidi w:val="0"/>
        <w:spacing w:line="360" w:lineRule="auto"/>
        <w:jc w:val="center"/>
        <w:rPr>
          <w:rFonts w:hint="eastAsia" w:ascii="仿宋" w:hAnsi="仿宋" w:eastAsia="仿宋" w:cs="仿宋"/>
          <w:color w:val="auto"/>
          <w:sz w:val="40"/>
          <w:szCs w:val="40"/>
          <w:highlight w:val="none"/>
        </w:rPr>
      </w:pPr>
      <w:r>
        <w:rPr>
          <w:rFonts w:hint="eastAsia" w:ascii="仿宋" w:hAnsi="仿宋" w:eastAsia="仿宋" w:cs="仿宋"/>
          <w:color w:val="auto"/>
          <w:szCs w:val="24"/>
          <w:highlight w:val="none"/>
        </w:rPr>
        <w:fldChar w:fldCharType="end"/>
      </w:r>
      <w:bookmarkStart w:id="3" w:name="_Toc14748"/>
      <w:r>
        <w:rPr>
          <w:rFonts w:hint="eastAsia" w:ascii="仿宋" w:hAnsi="仿宋" w:eastAsia="仿宋" w:cs="仿宋"/>
          <w:color w:val="auto"/>
          <w:highlight w:val="none"/>
        </w:rPr>
        <w:br w:type="page"/>
      </w:r>
      <w:bookmarkStart w:id="4" w:name="_Toc140564988"/>
      <w:bookmarkStart w:id="5" w:name="_Toc140565210"/>
      <w:r>
        <w:rPr>
          <w:rFonts w:hint="eastAsia" w:ascii="仿宋" w:hAnsi="仿宋" w:eastAsia="仿宋" w:cs="仿宋"/>
          <w:color w:val="auto"/>
          <w:highlight w:val="none"/>
        </w:rPr>
        <w:t>第一章 招标公告</w:t>
      </w:r>
      <w:bookmarkEnd w:id="2"/>
      <w:bookmarkEnd w:id="3"/>
      <w:bookmarkEnd w:id="4"/>
      <w:bookmarkEnd w:id="5"/>
    </w:p>
    <w:p w14:paraId="10506C20">
      <w:pPr>
        <w:pageBreakBefore w:val="0"/>
        <w:overflowPunct/>
        <w:topLinePunct w:val="0"/>
        <w:bidi w:val="0"/>
        <w:spacing w:before="156" w:beforeLines="50" w:line="360" w:lineRule="auto"/>
        <w:jc w:val="center"/>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lang w:eastAsia="zh-CN"/>
        </w:rPr>
        <w:t>昆明市第一人民医院布草洗涤服务项目</w:t>
      </w:r>
      <w:r>
        <w:rPr>
          <w:rFonts w:hint="eastAsia" w:ascii="仿宋" w:hAnsi="仿宋" w:eastAsia="仿宋" w:cs="仿宋"/>
          <w:b/>
          <w:bCs/>
          <w:color w:val="auto"/>
          <w:sz w:val="36"/>
          <w:szCs w:val="24"/>
          <w:highlight w:val="none"/>
        </w:rPr>
        <w:t>公开招标公告</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2DD3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5000" w:type="pct"/>
          </w:tcPr>
          <w:p w14:paraId="18441881">
            <w:pPr>
              <w:keepNext w:val="0"/>
              <w:keepLines w:val="0"/>
              <w:pageBreakBefore w:val="0"/>
              <w:suppressLineNumbers w:val="0"/>
              <w:overflowPunct/>
              <w:topLinePunct w:val="0"/>
              <w:bidi w:val="0"/>
              <w:spacing w:before="0" w:beforeAutospacing="0" w:after="0" w:afterAutospacing="0" w:line="360" w:lineRule="auto"/>
              <w:ind w:left="0" w:right="0" w:firstLine="480" w:firstLineChars="200"/>
              <w:rPr>
                <w:rFonts w:hint="eastAsia" w:ascii="仿宋" w:hAnsi="仿宋" w:eastAsia="仿宋" w:cs="仿宋"/>
                <w:color w:val="auto"/>
                <w:sz w:val="24"/>
                <w:szCs w:val="24"/>
                <w:highlight w:val="none"/>
              </w:rPr>
            </w:pPr>
            <w:bookmarkStart w:id="6" w:name="_Hlk20135437"/>
            <w:r>
              <w:rPr>
                <w:rFonts w:hint="eastAsia" w:ascii="仿宋" w:hAnsi="仿宋" w:eastAsia="仿宋" w:cs="仿宋"/>
                <w:color w:val="auto"/>
                <w:sz w:val="24"/>
                <w:szCs w:val="24"/>
                <w:highlight w:val="none"/>
              </w:rPr>
              <w:t>项目概况</w:t>
            </w:r>
          </w:p>
          <w:p w14:paraId="18D7D4C1">
            <w:pPr>
              <w:keepNext w:val="0"/>
              <w:keepLines w:val="0"/>
              <w:pageBreakBefore w:val="0"/>
              <w:suppressLineNumbers w:val="0"/>
              <w:overflowPunct/>
              <w:topLinePunct w:val="0"/>
              <w:bidi w:val="0"/>
              <w:spacing w:before="0" w:beforeAutospacing="0" w:after="0" w:afterAutospacing="0" w:line="360" w:lineRule="auto"/>
              <w:ind w:left="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昆明市第一人民医院布草洗涤服务项目</w:t>
            </w:r>
            <w:r>
              <w:rPr>
                <w:rFonts w:hint="eastAsia" w:ascii="仿宋" w:hAnsi="仿宋" w:eastAsia="仿宋" w:cs="仿宋"/>
                <w:color w:val="auto"/>
                <w:sz w:val="24"/>
                <w:szCs w:val="24"/>
                <w:highlight w:val="none"/>
              </w:rPr>
              <w:t>招标项目的潜在投标人在</w:t>
            </w:r>
            <w:r>
              <w:rPr>
                <w:rFonts w:hint="eastAsia" w:ascii="仿宋" w:hAnsi="仿宋" w:eastAsia="仿宋" w:cs="仿宋"/>
                <w:color w:val="auto"/>
                <w:sz w:val="24"/>
                <w:szCs w:val="24"/>
                <w:highlight w:val="none"/>
                <w:u w:val="single"/>
              </w:rPr>
              <w:t>政采云平台（http：//www.zcygov.cn）</w:t>
            </w:r>
            <w:r>
              <w:rPr>
                <w:rFonts w:hint="eastAsia" w:ascii="仿宋" w:hAnsi="仿宋" w:eastAsia="仿宋" w:cs="仿宋"/>
                <w:color w:val="auto"/>
                <w:sz w:val="24"/>
                <w:szCs w:val="24"/>
                <w:highlight w:val="none"/>
              </w:rPr>
              <w:t>获取招标文件，并于</w:t>
            </w:r>
            <w:r>
              <w:rPr>
                <w:rFonts w:hint="eastAsia" w:ascii="仿宋" w:hAnsi="仿宋" w:eastAsia="仿宋" w:cs="仿宋"/>
                <w:color w:val="auto"/>
                <w:sz w:val="24"/>
                <w:szCs w:val="24"/>
                <w:highlight w:val="none"/>
                <w:u w:val="single"/>
              </w:rPr>
              <w:t>202</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bCs/>
                <w:color w:val="auto"/>
                <w:sz w:val="24"/>
                <w:szCs w:val="24"/>
                <w:highlight w:val="none"/>
                <w:u w:val="single"/>
              </w:rPr>
              <w:t>年</w:t>
            </w:r>
            <w:r>
              <w:rPr>
                <w:rFonts w:hint="eastAsia" w:ascii="仿宋" w:hAnsi="仿宋" w:eastAsia="仿宋" w:cs="仿宋"/>
                <w:bCs/>
                <w:color w:val="auto"/>
                <w:sz w:val="24"/>
                <w:szCs w:val="24"/>
                <w:highlight w:val="none"/>
                <w:u w:val="single"/>
                <w:lang w:val="en-US" w:eastAsia="zh-CN"/>
              </w:rPr>
              <w:t>05</w:t>
            </w:r>
            <w:r>
              <w:rPr>
                <w:rFonts w:hint="eastAsia" w:ascii="仿宋" w:hAnsi="仿宋" w:eastAsia="仿宋" w:cs="仿宋"/>
                <w:bCs/>
                <w:color w:val="auto"/>
                <w:sz w:val="24"/>
                <w:szCs w:val="24"/>
                <w:highlight w:val="none"/>
                <w:u w:val="single"/>
              </w:rPr>
              <w:t>月</w:t>
            </w:r>
            <w:r>
              <w:rPr>
                <w:rFonts w:hint="eastAsia" w:ascii="仿宋" w:hAnsi="仿宋" w:eastAsia="仿宋" w:cs="仿宋"/>
                <w:bCs/>
                <w:color w:val="auto"/>
                <w:sz w:val="24"/>
                <w:szCs w:val="24"/>
                <w:highlight w:val="none"/>
                <w:u w:val="single"/>
                <w:lang w:val="en-US" w:eastAsia="zh-CN"/>
              </w:rPr>
              <w:t>09</w:t>
            </w:r>
            <w:r>
              <w:rPr>
                <w:rFonts w:hint="eastAsia" w:ascii="仿宋" w:hAnsi="仿宋" w:eastAsia="仿宋" w:cs="仿宋"/>
                <w:bCs/>
                <w:color w:val="auto"/>
                <w:sz w:val="24"/>
                <w:szCs w:val="24"/>
                <w:highlight w:val="none"/>
                <w:u w:val="single"/>
              </w:rPr>
              <w:t>日</w:t>
            </w:r>
            <w:r>
              <w:rPr>
                <w:rFonts w:hint="eastAsia" w:ascii="仿宋" w:hAnsi="仿宋" w:eastAsia="仿宋" w:cs="仿宋"/>
                <w:bCs/>
                <w:color w:val="auto"/>
                <w:sz w:val="24"/>
                <w:szCs w:val="24"/>
                <w:highlight w:val="none"/>
                <w:u w:val="single"/>
                <w:lang w:val="en-US" w:eastAsia="zh-CN"/>
              </w:rPr>
              <w:t>09</w:t>
            </w:r>
            <w:r>
              <w:rPr>
                <w:rFonts w:hint="eastAsia" w:ascii="仿宋" w:hAnsi="仿宋" w:eastAsia="仿宋" w:cs="仿宋"/>
                <w:bCs/>
                <w:color w:val="auto"/>
                <w:sz w:val="24"/>
                <w:szCs w:val="24"/>
                <w:highlight w:val="none"/>
                <w:u w:val="single"/>
              </w:rPr>
              <w:t>时</w:t>
            </w:r>
            <w:r>
              <w:rPr>
                <w:rFonts w:hint="eastAsia" w:ascii="仿宋" w:hAnsi="仿宋" w:eastAsia="仿宋" w:cs="仿宋"/>
                <w:bCs/>
                <w:color w:val="auto"/>
                <w:sz w:val="24"/>
                <w:szCs w:val="24"/>
                <w:highlight w:val="none"/>
                <w:u w:val="single"/>
                <w:lang w:val="en-US" w:eastAsia="zh-CN"/>
              </w:rPr>
              <w:t>30</w:t>
            </w:r>
            <w:r>
              <w:rPr>
                <w:rFonts w:hint="eastAsia" w:ascii="仿宋" w:hAnsi="仿宋" w:eastAsia="仿宋" w:cs="仿宋"/>
                <w:bCs/>
                <w:color w:val="auto"/>
                <w:sz w:val="24"/>
                <w:szCs w:val="24"/>
                <w:highlight w:val="none"/>
                <w:u w:val="single"/>
              </w:rPr>
              <w:t>分（</w:t>
            </w:r>
            <w:r>
              <w:rPr>
                <w:rFonts w:hint="eastAsia" w:ascii="仿宋" w:hAnsi="仿宋" w:eastAsia="仿宋" w:cs="仿宋"/>
                <w:bCs/>
                <w:color w:val="auto"/>
                <w:sz w:val="24"/>
                <w:szCs w:val="24"/>
                <w:highlight w:val="none"/>
              </w:rPr>
              <w:t>北京时间）前递交投标文件</w:t>
            </w:r>
            <w:r>
              <w:rPr>
                <w:rFonts w:hint="eastAsia" w:ascii="仿宋" w:hAnsi="仿宋" w:eastAsia="仿宋" w:cs="仿宋"/>
                <w:color w:val="auto"/>
                <w:sz w:val="24"/>
                <w:szCs w:val="24"/>
                <w:highlight w:val="none"/>
              </w:rPr>
              <w:t>。</w:t>
            </w:r>
          </w:p>
        </w:tc>
      </w:tr>
      <w:bookmarkEnd w:id="6"/>
    </w:tbl>
    <w:p w14:paraId="2006E608">
      <w:pPr>
        <w:pStyle w:val="3"/>
        <w:keepNext/>
        <w:keepLines/>
        <w:pageBreakBefore w:val="0"/>
        <w:widowControl w:val="0"/>
        <w:kinsoku/>
        <w:wordWrap/>
        <w:overflowPunct/>
        <w:topLinePunct w:val="0"/>
        <w:autoSpaceDE/>
        <w:autoSpaceDN/>
        <w:bidi w:val="0"/>
        <w:adjustRightInd/>
        <w:snapToGrid/>
        <w:spacing w:before="313" w:beforeLines="100" w:after="0" w:line="360" w:lineRule="auto"/>
        <w:textAlignment w:val="auto"/>
        <w:rPr>
          <w:rFonts w:hint="eastAsia" w:ascii="仿宋" w:hAnsi="仿宋" w:eastAsia="仿宋" w:cs="仿宋"/>
          <w:color w:val="auto"/>
          <w:sz w:val="28"/>
          <w:szCs w:val="28"/>
          <w:highlight w:val="none"/>
        </w:rPr>
      </w:pPr>
      <w:bookmarkStart w:id="7" w:name="_Toc15808"/>
      <w:bookmarkStart w:id="8" w:name="_Toc140564989"/>
      <w:bookmarkStart w:id="9" w:name="_Toc7664"/>
      <w:bookmarkStart w:id="10" w:name="_Toc13814"/>
      <w:bookmarkStart w:id="11" w:name="_Toc140565211"/>
      <w:r>
        <w:rPr>
          <w:rFonts w:hint="eastAsia" w:ascii="仿宋" w:hAnsi="仿宋" w:eastAsia="仿宋" w:cs="仿宋"/>
          <w:color w:val="auto"/>
          <w:sz w:val="28"/>
          <w:szCs w:val="28"/>
          <w:highlight w:val="none"/>
        </w:rPr>
        <w:t>一、项目基本情况</w:t>
      </w:r>
      <w:bookmarkEnd w:id="7"/>
      <w:bookmarkEnd w:id="8"/>
      <w:bookmarkEnd w:id="9"/>
      <w:bookmarkEnd w:id="10"/>
      <w:bookmarkEnd w:id="11"/>
    </w:p>
    <w:p w14:paraId="1162C36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YNZZ202503-80</w:t>
      </w:r>
    </w:p>
    <w:p w14:paraId="7AA4084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昆明市第一人民医院布草洗涤服务项目</w:t>
      </w:r>
    </w:p>
    <w:p w14:paraId="100B936D">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3.预算金额：287.26万元</w:t>
      </w:r>
    </w:p>
    <w:p w14:paraId="60C0553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4.最高限价：287.26万元</w:t>
      </w:r>
    </w:p>
    <w:p w14:paraId="7362E80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5.采购需求：医院所有布草类（包括：开腹巾、小中单、托盘套、小枕套、手术衣、大毛巾、中单、小毛巾、治疗巾、婴儿服、洗手衣裤、大包布、被套、小包布、床单、小洞巾、枕套、工作服、病人衣裤、窗帘、隔帘、小被套等60余种）的洗涤、消毒、灭菌、烘干（晾晒）、熨烫、缝补、折叠、打包、配送等服务。</w:t>
      </w:r>
    </w:p>
    <w:p w14:paraId="16F0542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6.服务地点：昆明市第一人民医院南、北院区（昆明市青年路504号、486号；昆明市盘龙区北京路1228号）。</w:t>
      </w:r>
    </w:p>
    <w:p w14:paraId="7224B3E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7.合同履行期限：服务期限二年，合同生效后，服务一年一评价，考评合格继续履行下一年合同。对年度合同履约、考评不合格的，</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有权终止合同。</w:t>
      </w:r>
    </w:p>
    <w:p w14:paraId="0E4FF0C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8.项目范围：采购人的南、北院区（即：青年路504号、青年路486号、北京路1228号）</w:t>
      </w:r>
    </w:p>
    <w:p w14:paraId="3A4B598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本项目</w:t>
      </w:r>
      <w:r>
        <w:rPr>
          <w:rFonts w:hint="eastAsia" w:ascii="仿宋" w:hAnsi="仿宋" w:eastAsia="仿宋" w:cs="仿宋"/>
          <w:b/>
          <w:bCs/>
          <w:color w:val="auto"/>
          <w:sz w:val="24"/>
          <w:szCs w:val="24"/>
          <w:highlight w:val="none"/>
        </w:rPr>
        <w:t>不接受</w:t>
      </w:r>
      <w:r>
        <w:rPr>
          <w:rFonts w:hint="eastAsia" w:ascii="仿宋" w:hAnsi="仿宋" w:eastAsia="仿宋" w:cs="仿宋"/>
          <w:color w:val="auto"/>
          <w:sz w:val="24"/>
          <w:szCs w:val="24"/>
          <w:highlight w:val="none"/>
        </w:rPr>
        <w:t>联合体投标。</w:t>
      </w:r>
    </w:p>
    <w:p w14:paraId="21BE0F0F">
      <w:pPr>
        <w:pStyle w:val="3"/>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2" w:name="_Toc29819"/>
      <w:bookmarkStart w:id="13" w:name="_Toc140564990"/>
      <w:bookmarkStart w:id="14" w:name="_Toc140565212"/>
      <w:bookmarkStart w:id="15" w:name="_Toc25277"/>
      <w:r>
        <w:rPr>
          <w:rFonts w:hint="eastAsia" w:ascii="仿宋" w:hAnsi="仿宋" w:eastAsia="仿宋" w:cs="仿宋"/>
          <w:color w:val="auto"/>
          <w:sz w:val="28"/>
          <w:szCs w:val="28"/>
          <w:highlight w:val="none"/>
        </w:rPr>
        <w:t>二、申请人的资格要求</w:t>
      </w:r>
      <w:bookmarkEnd w:id="12"/>
      <w:bookmarkEnd w:id="13"/>
      <w:bookmarkEnd w:id="14"/>
      <w:bookmarkEnd w:id="15"/>
    </w:p>
    <w:p w14:paraId="06FC4565">
      <w:pPr>
        <w:pageBreakBefore w:val="0"/>
        <w:overflowPunct/>
        <w:topLinePunct w:val="0"/>
        <w:bidi w:val="0"/>
        <w:spacing w:line="360" w:lineRule="auto"/>
        <w:ind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1.满足《中华人民共和国政府采购法》第二十二条规定：</w:t>
      </w:r>
    </w:p>
    <w:p w14:paraId="7790EC9D">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须具有独立承担民事责任的能力：</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须在中华人民共和国境内注册、提供法人或者其他组织的营业执照等证明文件，若为自然人的，提供自然人的身份证明（复印件加盖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2F9DC80E">
      <w:pPr>
        <w:pageBreakBefore w:val="0"/>
        <w:overflowPunct/>
        <w:topLinePunct w:val="0"/>
        <w:bidi w:val="0"/>
        <w:adjustRightInd w:val="0"/>
        <w:snapToGrid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须具有良好的商业信誉和健全的财务会计制度：</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须提供证明材料，内容可为以下三者之一：①提供2022年度至今任意1年度经第三方审计的财务报告及报表（报表至少应包括资产负债表、利润表（损益表）、现金流量表），如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执行的财政部门印发的会计制度或准则有其他要求的，以其要求为准；新成立不满一年的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提供自成立至今的财务报表；②提供自响应文件提交截止时间前三个月内基本开户银行出具的资信证明；③提供财政部门认可的政府采购专业担保机构出具的担保函。</w:t>
      </w:r>
    </w:p>
    <w:p w14:paraId="3D48090F">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注：上述材料应提供原件或复印件并加盖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2F201637">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.3具有履行合同所必需的设备和专业技术能力：</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须提供具有履行合同所必需的设备和专业技术能力证明材料（复印件加盖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公章）或书面声明（原件加盖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445361E3">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须具有依法缴纳税收和社会保障资金的良好记录：①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须提供缴税所属时间在202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年1月至本项目响应文件提交截止时间前任意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个月的税务局税收通用缴款书或银行电子缴税（费）凭证或税务局出具纳税情况的相关证明，依法免税的，应提供依法免税的相关证明文件;②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须提供缴费所属时间在202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年1月至本项目响应文件提交截止时间前任意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个月的社会保险费缴款书或银行电子缴税（费）凭证或社保管理部门出具的有效的缴款证明，依法免缴的，应提供依法免缴的相关证明文件，新成立未满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个月的，提供成立以来的税收和社会保障资金缴纳凭证或相关情况说明；</w:t>
      </w:r>
    </w:p>
    <w:p w14:paraId="52392D44">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注：上述材料应提供复印件并加盖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752982C1">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.5参加</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活动前三年内，在经营活动中没有重大违法记录：</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活动前三年内，在经营活动中没有重大违法记录（重大违法记录，是指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因违法经营受到刑事处罚或者责令停产停业、吊销许可证或者执照、较大数额罚款等行政处罚）的书面声明（复印件加盖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436C63D9">
      <w:pPr>
        <w:pageBreakBefore w:val="0"/>
        <w:wordWrap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.6法律、行政法规规定的其他条件：①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信用中国”网站（www.creditchina.gov.cn）中未被列入政府采购严重违法失信行为记录名单、严重失信主体名单和重大税收违法失信主体（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人、代理机构查询结果为准，并将查询记录和证据留存）；②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本项目响应文件提交截止时间前在中国政府采购网（www.ccgp.gov.cn）政府采购严重违法失信行为记录名单中无不良信息记录（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代理机构查询结果为准，并将查询记录和证据留存）；③单位负责人为同一人或者存在直接控股、管理关系的不同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，不得参加同一合同项下的</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rPr>
        <w:t>为本项目提供整体设计、规范编制或者项目管理、监理、检测等服务的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不得</w:t>
      </w:r>
      <w:r>
        <w:rPr>
          <w:rFonts w:hint="eastAsia" w:ascii="仿宋" w:hAnsi="仿宋" w:eastAsia="仿宋" w:cs="仿宋"/>
          <w:color w:val="auto"/>
          <w:sz w:val="24"/>
          <w:szCs w:val="24"/>
          <w:highlight w:val="none"/>
        </w:rPr>
        <w:t>参加本项目投标的承诺（原件加盖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70A2F633">
      <w:pPr>
        <w:pageBreakBefore w:val="0"/>
        <w:overflowPunct/>
        <w:topLinePunct w:val="0"/>
        <w:bidi w:val="0"/>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2.落实政府采购政策需满足的资格要求：</w:t>
      </w:r>
      <w:r>
        <w:rPr>
          <w:rFonts w:hint="eastAsia" w:ascii="仿宋" w:hAnsi="仿宋" w:eastAsia="仿宋" w:cs="仿宋"/>
          <w:b/>
          <w:bCs/>
          <w:color w:val="auto"/>
          <w:sz w:val="24"/>
          <w:szCs w:val="24"/>
          <w:highlight w:val="none"/>
          <w:lang w:val="en-US" w:eastAsia="zh-CN"/>
        </w:rPr>
        <w:t>无。</w:t>
      </w:r>
    </w:p>
    <w:p w14:paraId="1E14B369">
      <w:pPr>
        <w:pageBreakBefore w:val="0"/>
        <w:overflowPunct/>
        <w:topLinePunct w:val="0"/>
        <w:bidi w:val="0"/>
        <w:spacing w:line="360" w:lineRule="auto"/>
        <w:ind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3.本项目的特定资格要求：</w:t>
      </w:r>
      <w:r>
        <w:rPr>
          <w:rFonts w:hint="eastAsia" w:ascii="仿宋" w:hAnsi="仿宋" w:eastAsia="仿宋" w:cs="仿宋"/>
          <w:b/>
          <w:bCs/>
          <w:color w:val="auto"/>
          <w:sz w:val="24"/>
          <w:szCs w:val="24"/>
          <w:highlight w:val="none"/>
          <w:lang w:val="en-US" w:eastAsia="zh-CN"/>
        </w:rPr>
        <w:t>无。</w:t>
      </w:r>
    </w:p>
    <w:p w14:paraId="2B4B67D8">
      <w:pPr>
        <w:pStyle w:val="3"/>
        <w:pageBreakBefore w:val="0"/>
        <w:overflowPunct/>
        <w:topLinePunct w:val="0"/>
        <w:bidi w:val="0"/>
        <w:spacing w:before="0" w:after="0" w:line="360" w:lineRule="auto"/>
        <w:rPr>
          <w:rFonts w:hint="eastAsia" w:ascii="仿宋" w:hAnsi="仿宋" w:eastAsia="仿宋" w:cs="仿宋"/>
          <w:color w:val="auto"/>
          <w:sz w:val="28"/>
          <w:szCs w:val="28"/>
          <w:highlight w:val="none"/>
        </w:rPr>
      </w:pPr>
      <w:bookmarkStart w:id="16" w:name="_Toc18847"/>
      <w:bookmarkStart w:id="17" w:name="_Toc6101"/>
      <w:bookmarkStart w:id="18" w:name="_Toc140564991"/>
      <w:bookmarkStart w:id="19" w:name="_Toc140565213"/>
      <w:r>
        <w:rPr>
          <w:rFonts w:hint="eastAsia" w:ascii="仿宋" w:hAnsi="仿宋" w:eastAsia="仿宋" w:cs="仿宋"/>
          <w:color w:val="auto"/>
          <w:sz w:val="28"/>
          <w:szCs w:val="28"/>
          <w:highlight w:val="none"/>
        </w:rPr>
        <w:t>三、获取招标文件</w:t>
      </w:r>
      <w:bookmarkEnd w:id="16"/>
      <w:bookmarkEnd w:id="17"/>
      <w:bookmarkEnd w:id="18"/>
      <w:bookmarkEnd w:id="19"/>
    </w:p>
    <w:p w14:paraId="60E8404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1.时间：</w:t>
      </w:r>
      <w:r>
        <w:rPr>
          <w:rFonts w:hint="eastAsia" w:ascii="仿宋" w:hAnsi="仿宋" w:eastAsia="仿宋" w:cs="仿宋"/>
          <w:color w:val="auto"/>
          <w:sz w:val="24"/>
          <w:szCs w:val="24"/>
          <w:highlight w:val="none"/>
          <w:u w:val="single"/>
        </w:rPr>
        <w:t>2025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04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17</w:t>
      </w:r>
      <w:r>
        <w:rPr>
          <w:rFonts w:hint="eastAsia" w:ascii="仿宋" w:hAnsi="仿宋" w:eastAsia="仿宋" w:cs="仿宋"/>
          <w:color w:val="auto"/>
          <w:sz w:val="24"/>
          <w:szCs w:val="24"/>
          <w:highlight w:val="none"/>
        </w:rPr>
        <w:t>日至2025年</w:t>
      </w:r>
      <w:r>
        <w:rPr>
          <w:rFonts w:hint="eastAsia" w:ascii="仿宋" w:hAnsi="仿宋" w:eastAsia="仿宋" w:cs="仿宋"/>
          <w:color w:val="auto"/>
          <w:sz w:val="24"/>
          <w:szCs w:val="24"/>
          <w:highlight w:val="none"/>
          <w:u w:val="single"/>
          <w:lang w:val="en-US" w:eastAsia="zh-CN"/>
        </w:rPr>
        <w:t>04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24</w:t>
      </w:r>
      <w:r>
        <w:rPr>
          <w:rFonts w:hint="eastAsia" w:ascii="仿宋" w:hAnsi="仿宋" w:eastAsia="仿宋" w:cs="仿宋"/>
          <w:color w:val="auto"/>
          <w:sz w:val="24"/>
          <w:szCs w:val="24"/>
          <w:highlight w:val="none"/>
        </w:rPr>
        <w:t>日（提供期限自本公告发布之日起不得少于5个工作日），每天上午06:00至12:00，下午12:00至23:59（北京时间，法定节假日除外）</w:t>
      </w:r>
    </w:p>
    <w:p w14:paraId="191C3DB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2.地点：政采云平台（http：//www.zcygov.cn）</w:t>
      </w:r>
    </w:p>
    <w:p w14:paraId="726D1061">
      <w:pPr>
        <w:pageBreakBefore w:val="0"/>
        <w:wordWrap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3.方式：（1）凡有意参加的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，须在政采云平台办理数字证书（CA)，CA申领链接http://yzt.ynsmartcert.cn/cms/yztynzz.html，数字证书（CA）办理完成后需在政采云平台绑定数字证书(CA)并在平台获取招标文件及其它采购资料。注：按上述要求获取文件的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视为合法获取了本项目招标文件，具备本项目的投标资格。各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应在开标前确保成为政采云平台</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，并完成CA数字证书申领。因未注册入库，未办理CA数字证书等原因造成无法投标或投标失败等由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自行承担,有意参加的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，须在政采云平办理数字证书(CA)，CA申领链接: http://yzt.ynsmartcert.cn/cms/yztynzz.html。如有问题可拨打政采云客户服务热线95763进一咨询，数字证书问题可咨询云南壹证通CA：0871-67276028（紧急可拨19988166369）。（2）按上述要求获取招标文件的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视为合法获取了本项目招标文件，具备本项目的投标资格。</w:t>
      </w:r>
    </w:p>
    <w:p w14:paraId="30EFF5F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4.售价：0元。</w:t>
      </w:r>
    </w:p>
    <w:p w14:paraId="7127EFB2">
      <w:pPr>
        <w:pStyle w:val="3"/>
        <w:pageBreakBefore w:val="0"/>
        <w:overflowPunct/>
        <w:topLinePunct w:val="0"/>
        <w:bidi w:val="0"/>
        <w:spacing w:before="0" w:after="0" w:line="360" w:lineRule="auto"/>
        <w:rPr>
          <w:rFonts w:hint="eastAsia" w:ascii="仿宋" w:hAnsi="仿宋" w:eastAsia="仿宋" w:cs="仿宋"/>
          <w:color w:val="auto"/>
          <w:sz w:val="28"/>
          <w:szCs w:val="28"/>
          <w:highlight w:val="none"/>
        </w:rPr>
      </w:pPr>
      <w:bookmarkStart w:id="20" w:name="_Toc140564992"/>
      <w:bookmarkStart w:id="21" w:name="_Toc8846"/>
      <w:bookmarkStart w:id="22" w:name="_Toc21961"/>
      <w:bookmarkStart w:id="23" w:name="_Toc140565214"/>
      <w:r>
        <w:rPr>
          <w:rFonts w:hint="eastAsia" w:ascii="仿宋" w:hAnsi="仿宋" w:eastAsia="仿宋" w:cs="仿宋"/>
          <w:color w:val="auto"/>
          <w:sz w:val="28"/>
          <w:szCs w:val="28"/>
          <w:highlight w:val="none"/>
        </w:rPr>
        <w:t>四、提交投标文件截止时间、开标时间和地点</w:t>
      </w:r>
      <w:bookmarkEnd w:id="20"/>
      <w:bookmarkEnd w:id="21"/>
      <w:bookmarkEnd w:id="22"/>
      <w:bookmarkEnd w:id="23"/>
    </w:p>
    <w:p w14:paraId="05B69BC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1.提交投标文件截止时间：</w:t>
      </w:r>
      <w:r>
        <w:rPr>
          <w:rFonts w:hint="eastAsia" w:ascii="仿宋" w:hAnsi="仿宋" w:eastAsia="仿宋" w:cs="仿宋"/>
          <w:color w:val="auto"/>
          <w:sz w:val="24"/>
          <w:szCs w:val="24"/>
          <w:highlight w:val="none"/>
          <w:u w:val="single"/>
        </w:rPr>
        <w:t>2025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09</w:t>
      </w:r>
      <w:r>
        <w:rPr>
          <w:rFonts w:hint="eastAsia" w:ascii="仿宋" w:hAnsi="仿宋" w:eastAsia="仿宋" w:cs="仿宋"/>
          <w:color w:val="auto"/>
          <w:sz w:val="24"/>
          <w:szCs w:val="24"/>
          <w:highlight w:val="none"/>
        </w:rPr>
        <w:t>日09点30分（北京时间）</w:t>
      </w:r>
    </w:p>
    <w:p w14:paraId="26A5FA7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2.开标时间：同投标文件截止时间。</w:t>
      </w:r>
    </w:p>
    <w:p w14:paraId="59C16C0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3.开标地点：政采云平台（http：//www.zcygov.cn）及云南中招招标有限公司会议室（云南省昆明市五华区王筇路绿地创海大厦21层）。</w:t>
      </w:r>
    </w:p>
    <w:p w14:paraId="727254C7">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注：投标人登录政采云平台（http：//www.zcygov.cn）无需到现场开标，开标结束前请勿退出系统。</w:t>
      </w:r>
    </w:p>
    <w:p w14:paraId="1B897C90">
      <w:pPr>
        <w:pStyle w:val="3"/>
        <w:pageBreakBefore w:val="0"/>
        <w:overflowPunct/>
        <w:topLinePunct w:val="0"/>
        <w:bidi w:val="0"/>
        <w:spacing w:before="0" w:after="0" w:line="360" w:lineRule="auto"/>
        <w:rPr>
          <w:rFonts w:hint="eastAsia" w:ascii="仿宋" w:hAnsi="仿宋" w:eastAsia="仿宋" w:cs="仿宋"/>
          <w:color w:val="auto"/>
          <w:sz w:val="28"/>
          <w:szCs w:val="28"/>
          <w:highlight w:val="none"/>
        </w:rPr>
      </w:pPr>
      <w:bookmarkStart w:id="24" w:name="_Toc140564993"/>
      <w:bookmarkStart w:id="25" w:name="_Toc466"/>
      <w:bookmarkStart w:id="26" w:name="_Toc140565215"/>
      <w:bookmarkStart w:id="27" w:name="_Toc5499"/>
      <w:r>
        <w:rPr>
          <w:rFonts w:hint="eastAsia" w:ascii="仿宋" w:hAnsi="仿宋" w:eastAsia="仿宋" w:cs="仿宋"/>
          <w:color w:val="auto"/>
          <w:sz w:val="28"/>
          <w:szCs w:val="28"/>
          <w:highlight w:val="none"/>
        </w:rPr>
        <w:t>五、公告期限</w:t>
      </w:r>
      <w:bookmarkEnd w:id="24"/>
      <w:bookmarkEnd w:id="25"/>
      <w:bookmarkEnd w:id="26"/>
      <w:bookmarkEnd w:id="27"/>
    </w:p>
    <w:p w14:paraId="14CF5A3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46869FD0">
      <w:pPr>
        <w:pStyle w:val="3"/>
        <w:pageBreakBefore w:val="0"/>
        <w:overflowPunct/>
        <w:topLinePunct w:val="0"/>
        <w:bidi w:val="0"/>
        <w:spacing w:before="0" w:after="0" w:line="360" w:lineRule="auto"/>
        <w:rPr>
          <w:rFonts w:hint="eastAsia" w:ascii="仿宋" w:hAnsi="仿宋" w:eastAsia="仿宋" w:cs="仿宋"/>
          <w:color w:val="auto"/>
          <w:sz w:val="28"/>
          <w:szCs w:val="28"/>
          <w:highlight w:val="none"/>
        </w:rPr>
      </w:pPr>
      <w:bookmarkStart w:id="28" w:name="_Toc140564994"/>
      <w:bookmarkStart w:id="29" w:name="_Toc11628"/>
      <w:bookmarkStart w:id="30" w:name="_Toc140565216"/>
      <w:bookmarkStart w:id="31" w:name="_Toc21762"/>
      <w:r>
        <w:rPr>
          <w:rFonts w:hint="eastAsia" w:ascii="仿宋" w:hAnsi="仿宋" w:eastAsia="仿宋" w:cs="仿宋"/>
          <w:color w:val="auto"/>
          <w:sz w:val="28"/>
          <w:szCs w:val="28"/>
          <w:highlight w:val="none"/>
        </w:rPr>
        <w:t>六、其他补充事宜</w:t>
      </w:r>
      <w:bookmarkEnd w:id="28"/>
      <w:bookmarkEnd w:id="29"/>
      <w:bookmarkEnd w:id="30"/>
      <w:bookmarkEnd w:id="31"/>
    </w:p>
    <w:p w14:paraId="3AE5CE33">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1.本次招标公告同时在“云南省政府采购网”（www.yngp.com）、“云南中招招标有限公司”（http://www.ynzz.ltd/）上发布，我公司对其它网站或媒体转载的公告及公告内容不承担任何责任。</w:t>
      </w:r>
    </w:p>
    <w:p w14:paraId="19192070">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2.投标文件递交注意事项：</w:t>
      </w:r>
    </w:p>
    <w:p w14:paraId="38E8FDD6">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在投标文件递交的截止时间前，需将投标文件递交至政采云平台（http：//www.zcygov.cn），投标人须在投标截止时间前完成所有电子投标文件的上传，网上确认电子签名，投标截止时间前未完成投标文件传输的，视为撤回投标文件。</w:t>
      </w:r>
    </w:p>
    <w:p w14:paraId="10157419">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3.开标注意事项：</w:t>
      </w:r>
    </w:p>
    <w:p w14:paraId="13F0B128">
      <w:pPr>
        <w:keepNext w:val="0"/>
        <w:keepLines w:val="0"/>
        <w:pageBreakBefore w:val="0"/>
        <w:widowControl w:val="0"/>
        <w:tabs>
          <w:tab w:val="left" w:pos="840"/>
        </w:tabs>
        <w:kinsoku/>
        <w:wordWrap w:val="0"/>
        <w:overflowPunct/>
        <w:topLinePunct w:val="0"/>
        <w:autoSpaceDE/>
        <w:autoSpaceDN/>
        <w:bidi w:val="0"/>
        <w:adjustRightInd/>
        <w:snapToGrid/>
        <w:spacing w:line="360" w:lineRule="auto"/>
        <w:ind w:firstLine="520" w:firstLineChars="200"/>
        <w:textAlignment w:val="auto"/>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3.1投标人登录政采云平台（http：//www.zcygov.cn），按《</w:t>
      </w:r>
      <w:r>
        <w:rPr>
          <w:rFonts w:hint="eastAsia" w:ascii="仿宋" w:hAnsi="仿宋" w:eastAsia="仿宋" w:cs="仿宋"/>
          <w:color w:val="auto"/>
          <w:spacing w:val="10"/>
          <w:sz w:val="24"/>
          <w:szCs w:val="24"/>
          <w:highlight w:val="none"/>
          <w:lang w:eastAsia="zh-CN"/>
        </w:rPr>
        <w:t>投标人</w:t>
      </w:r>
      <w:r>
        <w:rPr>
          <w:rFonts w:hint="eastAsia" w:ascii="仿宋" w:hAnsi="仿宋" w:eastAsia="仿宋" w:cs="仿宋"/>
          <w:color w:val="auto"/>
          <w:spacing w:val="10"/>
          <w:sz w:val="24"/>
          <w:szCs w:val="24"/>
          <w:highlight w:val="none"/>
        </w:rPr>
        <w:t>操作指南》（https://edu.zcygov.cn/luban/yunnan-dzjy-gys?utm=a0017.b3687.48.18.4b09ec80cbc911edb8a97356c5970511）完成远程投标文件解密等相关操作。本项目解密时间为60分钟，若投标人未在规定时间完成投标文件解密，则视为无效投标，不再进入评标阶段。</w:t>
      </w:r>
    </w:p>
    <w:p w14:paraId="1557AF48">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3.2因开标系统、开标现场网络、设备及其他特殊原因，导致不能正常解密投标文件的，经核实和上报相关部门同意后，可再次下达网上解密指令来延长解密时间；</w:t>
      </w:r>
    </w:p>
    <w:p w14:paraId="0CC51EEB">
      <w:pPr>
        <w:pageBreakBefore w:val="0"/>
        <w:tabs>
          <w:tab w:val="left" w:pos="840"/>
        </w:tabs>
        <w:overflowPunct/>
        <w:topLinePunct w:val="0"/>
        <w:bidi w:val="0"/>
        <w:spacing w:line="360" w:lineRule="auto"/>
        <w:ind w:firstLine="520" w:firstLineChars="200"/>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4.投标人务必认真阅读本公开招标文件全部内容，公开招标文件如有变更、补充等，将在招标公告发布平台发布。</w:t>
      </w:r>
    </w:p>
    <w:p w14:paraId="34C69EDB">
      <w:pPr>
        <w:pStyle w:val="3"/>
        <w:pageBreakBefore w:val="0"/>
        <w:overflowPunct/>
        <w:topLinePunct w:val="0"/>
        <w:bidi w:val="0"/>
        <w:spacing w:before="0" w:after="0" w:line="360" w:lineRule="auto"/>
        <w:rPr>
          <w:rFonts w:hint="eastAsia" w:ascii="仿宋" w:hAnsi="仿宋" w:eastAsia="仿宋" w:cs="仿宋"/>
          <w:color w:val="auto"/>
          <w:sz w:val="28"/>
          <w:szCs w:val="28"/>
          <w:highlight w:val="none"/>
        </w:rPr>
      </w:pPr>
      <w:bookmarkStart w:id="32" w:name="_Toc140565217"/>
      <w:bookmarkStart w:id="33" w:name="_Toc140564995"/>
      <w:bookmarkStart w:id="34" w:name="_Toc14173"/>
      <w:bookmarkStart w:id="35" w:name="_Toc22790"/>
      <w:bookmarkStart w:id="36" w:name="_Hlk20137286"/>
      <w:r>
        <w:rPr>
          <w:rFonts w:hint="eastAsia" w:ascii="仿宋" w:hAnsi="仿宋" w:eastAsia="仿宋" w:cs="仿宋"/>
          <w:color w:val="auto"/>
          <w:sz w:val="28"/>
          <w:szCs w:val="28"/>
          <w:highlight w:val="none"/>
        </w:rPr>
        <w:t>七、对本次招标提出询问，请按以下方式联系</w:t>
      </w:r>
      <w:bookmarkEnd w:id="32"/>
      <w:bookmarkEnd w:id="33"/>
      <w:bookmarkEnd w:id="34"/>
      <w:bookmarkEnd w:id="35"/>
    </w:p>
    <w:p w14:paraId="282A62AE">
      <w:pPr>
        <w:pageBreakBefore w:val="0"/>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1.采购人信息</w:t>
      </w:r>
    </w:p>
    <w:p w14:paraId="3CFA1538">
      <w:pPr>
        <w:pageBreakBefore w:val="0"/>
        <w:overflowPunct/>
        <w:topLinePunct w:val="0"/>
        <w:bidi w:val="0"/>
        <w:spacing w:line="360" w:lineRule="auto"/>
        <w:ind w:firstLine="470" w:firstLineChars="196"/>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 购 人：</w:t>
      </w:r>
      <w:r>
        <w:rPr>
          <w:rFonts w:hint="eastAsia" w:ascii="仿宋" w:hAnsi="仿宋" w:eastAsia="仿宋" w:cs="仿宋"/>
          <w:color w:val="auto"/>
          <w:sz w:val="24"/>
          <w:szCs w:val="24"/>
          <w:highlight w:val="none"/>
          <w:lang w:eastAsia="zh-CN"/>
        </w:rPr>
        <w:t>昆明市第一人民医院</w:t>
      </w:r>
    </w:p>
    <w:p w14:paraId="78624AA2">
      <w:pPr>
        <w:pageBreakBefore w:val="0"/>
        <w:overflowPunct/>
        <w:topLinePunct w:val="0"/>
        <w:bidi w:val="0"/>
        <w:spacing w:line="360" w:lineRule="auto"/>
        <w:ind w:firstLine="470" w:firstLineChars="196"/>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val="en-US" w:eastAsia="zh-CN"/>
        </w:rPr>
        <w:t>云南省昆明市北京路1228号</w:t>
      </w:r>
    </w:p>
    <w:p w14:paraId="7D545FBE">
      <w:pPr>
        <w:pageBreakBefore w:val="0"/>
        <w:overflowPunct/>
        <w:topLinePunct w:val="0"/>
        <w:bidi w:val="0"/>
        <w:spacing w:line="360" w:lineRule="auto"/>
        <w:ind w:firstLine="470" w:firstLineChars="196"/>
        <w:rPr>
          <w:rFonts w:hint="eastAsia" w:ascii="仿宋" w:hAnsi="仿宋" w:eastAsia="仿宋" w:cs="仿宋"/>
          <w:bCs/>
          <w:color w:val="auto"/>
          <w:spacing w:val="10"/>
          <w:sz w:val="24"/>
          <w:szCs w:val="20"/>
          <w:highlight w:val="none"/>
          <w:lang w:val="en-US" w:eastAsia="zh-CN"/>
        </w:rPr>
      </w:pPr>
      <w:r>
        <w:rPr>
          <w:rFonts w:hint="eastAsia" w:ascii="仿宋" w:hAnsi="仿宋" w:eastAsia="仿宋" w:cs="仿宋"/>
          <w:color w:val="auto"/>
          <w:sz w:val="24"/>
          <w:szCs w:val="24"/>
          <w:highlight w:val="none"/>
        </w:rPr>
        <w:t>联系电话：0871-67390661</w:t>
      </w:r>
    </w:p>
    <w:p w14:paraId="0F6C5A21">
      <w:pPr>
        <w:pageBreakBefore w:val="0"/>
        <w:overflowPunct/>
        <w:topLinePunct w:val="0"/>
        <w:bidi w:val="0"/>
        <w:spacing w:line="360" w:lineRule="auto"/>
        <w:ind w:firstLine="470" w:firstLineChars="196"/>
        <w:rPr>
          <w:rFonts w:hint="eastAsia" w:ascii="仿宋" w:hAnsi="仿宋" w:eastAsia="仿宋" w:cs="仿宋"/>
          <w:color w:val="auto"/>
          <w:sz w:val="24"/>
          <w:szCs w:val="24"/>
          <w:highlight w:val="none"/>
        </w:rPr>
      </w:pPr>
    </w:p>
    <w:p w14:paraId="23F5126D">
      <w:pPr>
        <w:pageBreakBefore w:val="0"/>
        <w:overflowPunct/>
        <w:topLinePunct w:val="0"/>
        <w:bidi w:val="0"/>
        <w:spacing w:line="360" w:lineRule="auto"/>
        <w:ind w:firstLine="240" w:firstLineChars="1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1F0D834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称：云南中招招标有限公司 </w:t>
      </w:r>
    </w:p>
    <w:p w14:paraId="38179507">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址：昆明市五华区王筇路176号绿地创海大厦21层</w:t>
      </w:r>
    </w:p>
    <w:p w14:paraId="7C1B5955">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联系方式：0871-68308282、68308030-633</w:t>
      </w:r>
    </w:p>
    <w:p w14:paraId="7AD60C2C">
      <w:pPr>
        <w:pageBreakBefore w:val="0"/>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p>
    <w:p w14:paraId="03B5818D">
      <w:pPr>
        <w:pageBreakBefore w:val="0"/>
        <w:overflowPunct/>
        <w:topLinePunct w:val="0"/>
        <w:bidi w:val="0"/>
        <w:spacing w:line="360" w:lineRule="auto"/>
        <w:ind w:firstLine="260" w:firstLineChars="10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3.项目联系方式</w:t>
      </w:r>
    </w:p>
    <w:p w14:paraId="04745D27">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w:t>
      </w:r>
      <w:bookmarkEnd w:id="36"/>
      <w:r>
        <w:rPr>
          <w:rFonts w:hint="eastAsia" w:ascii="仿宋" w:hAnsi="仿宋" w:eastAsia="仿宋" w:cs="仿宋"/>
          <w:color w:val="auto"/>
          <w:sz w:val="24"/>
          <w:szCs w:val="24"/>
          <w:highlight w:val="none"/>
        </w:rPr>
        <w:t>周金辉、温岚馨、张俊、张广闻、李庆梅、侯树西、果磊、张雪丽</w:t>
      </w:r>
    </w:p>
    <w:p w14:paraId="00FC4C1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话：0871-68308282、68308030-633</w:t>
      </w:r>
    </w:p>
    <w:p w14:paraId="334FAD34">
      <w:pPr>
        <w:pageBreakBefore w:val="0"/>
        <w:overflowPunct/>
        <w:topLinePunct w:val="0"/>
        <w:bidi w:val="0"/>
        <w:spacing w:line="360" w:lineRule="auto"/>
        <w:ind w:firstLine="509" w:firstLineChars="196"/>
        <w:rPr>
          <w:rFonts w:hint="eastAsia" w:ascii="仿宋" w:hAnsi="仿宋" w:eastAsia="仿宋" w:cs="仿宋"/>
          <w:bCs/>
          <w:color w:val="auto"/>
          <w:spacing w:val="10"/>
          <w:sz w:val="24"/>
          <w:szCs w:val="20"/>
          <w:highlight w:val="none"/>
        </w:rPr>
      </w:pPr>
    </w:p>
    <w:p w14:paraId="7A369924">
      <w:pPr>
        <w:pStyle w:val="2"/>
        <w:pageBreakBefore w:val="0"/>
        <w:overflowPunct/>
        <w:topLinePunct w:val="0"/>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37" w:name="_Toc30844"/>
      <w:bookmarkStart w:id="38" w:name="_Toc2526"/>
      <w:bookmarkStart w:id="39" w:name="_Toc140565218"/>
      <w:bookmarkStart w:id="40" w:name="_Toc140564996"/>
      <w:r>
        <w:rPr>
          <w:rFonts w:hint="eastAsia" w:ascii="仿宋" w:hAnsi="仿宋" w:eastAsia="仿宋" w:cs="仿宋"/>
          <w:color w:val="auto"/>
          <w:highlight w:val="none"/>
        </w:rPr>
        <w:t xml:space="preserve">第二章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w:t>
      </w:r>
      <w:bookmarkEnd w:id="37"/>
      <w:bookmarkEnd w:id="38"/>
      <w:bookmarkEnd w:id="39"/>
      <w:bookmarkEnd w:id="40"/>
    </w:p>
    <w:p w14:paraId="61642C30">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bookmarkStart w:id="41" w:name="_Toc140564997"/>
      <w:bookmarkStart w:id="42" w:name="_Toc140565219"/>
      <w:bookmarkStart w:id="43" w:name="_Toc18620"/>
      <w:bookmarkStart w:id="44" w:name="_Toc29340"/>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须知前附表</w:t>
      </w:r>
      <w:bookmarkEnd w:id="41"/>
      <w:bookmarkEnd w:id="42"/>
      <w:bookmarkEnd w:id="43"/>
      <w:bookmarkEnd w:id="44"/>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6"/>
        <w:gridCol w:w="1443"/>
        <w:gridCol w:w="5686"/>
      </w:tblGrid>
      <w:tr w14:paraId="0C0F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715E59C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549" w:type="pct"/>
            <w:vAlign w:val="center"/>
          </w:tcPr>
          <w:p w14:paraId="69D2882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847" w:type="pct"/>
            <w:vAlign w:val="center"/>
          </w:tcPr>
          <w:p w14:paraId="13868D9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条款内容</w:t>
            </w:r>
          </w:p>
        </w:tc>
        <w:tc>
          <w:tcPr>
            <w:tcW w:w="3334" w:type="pct"/>
            <w:vAlign w:val="center"/>
          </w:tcPr>
          <w:p w14:paraId="1751173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编列内容</w:t>
            </w:r>
          </w:p>
        </w:tc>
      </w:tr>
      <w:tr w14:paraId="4769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2EB069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49" w:type="pct"/>
            <w:vAlign w:val="center"/>
          </w:tcPr>
          <w:p w14:paraId="482EFD8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847" w:type="pct"/>
            <w:vAlign w:val="center"/>
          </w:tcPr>
          <w:p w14:paraId="54E5673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3334" w:type="pct"/>
            <w:vAlign w:val="center"/>
          </w:tcPr>
          <w:p w14:paraId="311259D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昆明市第一人民医院布草洗涤服务项目</w:t>
            </w:r>
          </w:p>
        </w:tc>
      </w:tr>
      <w:tr w14:paraId="0283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7913159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49" w:type="pct"/>
            <w:vAlign w:val="center"/>
          </w:tcPr>
          <w:p w14:paraId="6FFA5C6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847" w:type="pct"/>
            <w:vAlign w:val="center"/>
          </w:tcPr>
          <w:p w14:paraId="1E636FB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3334" w:type="pct"/>
            <w:vAlign w:val="center"/>
          </w:tcPr>
          <w:p w14:paraId="478660F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YNZZ202503-80</w:t>
            </w:r>
          </w:p>
        </w:tc>
      </w:tr>
      <w:tr w14:paraId="2692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559E5F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549" w:type="pct"/>
            <w:vAlign w:val="center"/>
          </w:tcPr>
          <w:p w14:paraId="18B4484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847" w:type="pct"/>
            <w:vAlign w:val="center"/>
          </w:tcPr>
          <w:p w14:paraId="77C0746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3334" w:type="pct"/>
            <w:vAlign w:val="center"/>
          </w:tcPr>
          <w:p w14:paraId="5E6D66F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Cs/>
                <w:color w:val="auto"/>
                <w:spacing w:val="10"/>
                <w:sz w:val="24"/>
                <w:szCs w:val="20"/>
                <w:highlight w:val="none"/>
                <w:lang w:eastAsia="zh-CN"/>
              </w:rPr>
            </w:pPr>
            <w:r>
              <w:rPr>
                <w:rFonts w:hint="eastAsia" w:ascii="仿宋" w:hAnsi="仿宋" w:eastAsia="仿宋" w:cs="仿宋"/>
                <w:bCs/>
                <w:color w:val="auto"/>
                <w:spacing w:val="10"/>
                <w:sz w:val="24"/>
                <w:szCs w:val="20"/>
                <w:highlight w:val="none"/>
              </w:rPr>
              <w:t>采 购 人：</w:t>
            </w:r>
            <w:r>
              <w:rPr>
                <w:rFonts w:hint="eastAsia" w:ascii="仿宋" w:hAnsi="仿宋" w:eastAsia="仿宋" w:cs="仿宋"/>
                <w:bCs/>
                <w:color w:val="auto"/>
                <w:spacing w:val="10"/>
                <w:sz w:val="24"/>
                <w:szCs w:val="20"/>
                <w:highlight w:val="none"/>
                <w:lang w:eastAsia="zh-CN"/>
              </w:rPr>
              <w:t>昆明市第一人民医院</w:t>
            </w:r>
          </w:p>
          <w:p w14:paraId="4F5C7A4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地    址：</w:t>
            </w:r>
            <w:r>
              <w:rPr>
                <w:rFonts w:hint="eastAsia" w:ascii="仿宋" w:hAnsi="仿宋" w:eastAsia="仿宋" w:cs="仿宋"/>
                <w:color w:val="auto"/>
                <w:sz w:val="24"/>
                <w:szCs w:val="24"/>
                <w:highlight w:val="none"/>
                <w:lang w:val="en-US" w:eastAsia="zh-CN"/>
              </w:rPr>
              <w:t>云南省昆明市北京路1228号</w:t>
            </w:r>
          </w:p>
          <w:p w14:paraId="24D95AB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Cs/>
                <w:color w:val="auto"/>
                <w:spacing w:val="10"/>
                <w:sz w:val="24"/>
                <w:szCs w:val="20"/>
                <w:highlight w:val="none"/>
              </w:rPr>
            </w:pPr>
            <w:r>
              <w:rPr>
                <w:rFonts w:hint="eastAsia" w:ascii="仿宋" w:hAnsi="仿宋" w:eastAsia="仿宋" w:cs="仿宋"/>
                <w:bCs/>
                <w:color w:val="auto"/>
                <w:spacing w:val="10"/>
                <w:sz w:val="24"/>
                <w:szCs w:val="20"/>
                <w:highlight w:val="none"/>
              </w:rPr>
              <w:t>联系电话：0871-67390661</w:t>
            </w:r>
          </w:p>
        </w:tc>
      </w:tr>
      <w:tr w14:paraId="535B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59B13C4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549" w:type="pct"/>
            <w:vAlign w:val="center"/>
          </w:tcPr>
          <w:p w14:paraId="5BABAFC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847" w:type="pct"/>
            <w:vAlign w:val="center"/>
          </w:tcPr>
          <w:p w14:paraId="34AEC37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3334" w:type="pct"/>
            <w:vAlign w:val="center"/>
          </w:tcPr>
          <w:p w14:paraId="6786F01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名称：云南中招招标有限公司</w:t>
            </w:r>
          </w:p>
          <w:p w14:paraId="15AC0E4C">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地址：昆明市五华区王筇路176号绿地创海大厦21层</w:t>
            </w:r>
          </w:p>
          <w:p w14:paraId="0855542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Cs/>
                <w:color w:val="auto"/>
                <w:spacing w:val="10"/>
                <w:sz w:val="24"/>
                <w:szCs w:val="20"/>
                <w:highlight w:val="none"/>
              </w:rPr>
            </w:pPr>
            <w:r>
              <w:rPr>
                <w:rFonts w:hint="eastAsia" w:ascii="仿宋" w:hAnsi="仿宋" w:eastAsia="仿宋" w:cs="仿宋"/>
                <w:color w:val="auto"/>
                <w:sz w:val="24"/>
                <w:szCs w:val="24"/>
                <w:highlight w:val="none"/>
              </w:rPr>
              <w:t>联系人：周金辉、温岚馨、张俊、张广闻、李庆梅、侯树西、果磊、张雪丽</w:t>
            </w:r>
          </w:p>
          <w:p w14:paraId="3AFF4D8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联系电话：0871-68308282、68308030-633</w:t>
            </w:r>
          </w:p>
          <w:p w14:paraId="2235DDE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账号：8719 0804 3810 101</w:t>
            </w:r>
          </w:p>
          <w:p w14:paraId="3A5F814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开户行：招商银行股份有限公司昆明科创园支行</w:t>
            </w:r>
          </w:p>
          <w:p w14:paraId="5CA060B3">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财务电话：0871-68308282、68308030-625</w:t>
            </w:r>
          </w:p>
        </w:tc>
      </w:tr>
      <w:tr w14:paraId="090F3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D62CBF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549" w:type="pct"/>
            <w:vAlign w:val="center"/>
          </w:tcPr>
          <w:p w14:paraId="0AF3CAB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847" w:type="pct"/>
            <w:vAlign w:val="center"/>
          </w:tcPr>
          <w:p w14:paraId="5C4F00F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3334" w:type="pct"/>
            <w:vAlign w:val="center"/>
          </w:tcPr>
          <w:p w14:paraId="77F80CF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院所有布草类（包括：开腹巾、小中单、托盘套、小枕套、手术衣、大毛巾、中单、小毛巾、治疗巾、婴儿服、洗手衣裤、大包布、被套、小包布、床单、小洞巾、枕套、工作服、病人衣裤、窗帘、隔帘、小被套等60余种）的洗涤、消毒、灭菌、烘干（晾晒）、熨烫、缝补、折叠、打包、配送等服务。</w:t>
            </w:r>
          </w:p>
          <w:p w14:paraId="13C4617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具体内容详见“第六章 采购需求及要求”。</w:t>
            </w:r>
          </w:p>
        </w:tc>
      </w:tr>
      <w:tr w14:paraId="7747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6D90C9D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549" w:type="pct"/>
            <w:vAlign w:val="center"/>
          </w:tcPr>
          <w:p w14:paraId="0CB6FD3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847" w:type="pct"/>
            <w:vAlign w:val="center"/>
          </w:tcPr>
          <w:p w14:paraId="1574487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3334" w:type="pct"/>
            <w:vAlign w:val="center"/>
          </w:tcPr>
          <w:p w14:paraId="59E0C646">
            <w:pPr>
              <w:keepNext w:val="0"/>
              <w:keepLines w:val="0"/>
              <w:pageBreakBefore w:val="0"/>
              <w:suppressLineNumbers w:val="0"/>
              <w:overflowPunct/>
              <w:topLinePunct w:val="0"/>
              <w:bidi w:val="0"/>
              <w:spacing w:before="0" w:beforeAutospacing="0" w:after="0" w:afterAutospacing="0" w:line="360" w:lineRule="auto"/>
              <w:ind w:left="0" w:right="0"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服务期限二年，合同生效后，服务一年一评价，考评合格继续履行下一年合同。对年度合同履约、考评不合格的，甲方有权终止合同。</w:t>
            </w:r>
          </w:p>
        </w:tc>
      </w:tr>
      <w:tr w14:paraId="577DB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7430EEA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549" w:type="pct"/>
            <w:vAlign w:val="center"/>
          </w:tcPr>
          <w:p w14:paraId="50E06EF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847" w:type="pct"/>
            <w:vAlign w:val="center"/>
          </w:tcPr>
          <w:p w14:paraId="1A22868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3334" w:type="pct"/>
            <w:vAlign w:val="center"/>
          </w:tcPr>
          <w:p w14:paraId="3C7D5893">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昆明市第一人民医院南、北院区（昆明市青年路504号、486号；昆明市盘龙区北京路1228号）。</w:t>
            </w:r>
          </w:p>
        </w:tc>
      </w:tr>
      <w:tr w14:paraId="524E1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8A0430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549" w:type="pct"/>
            <w:vAlign w:val="center"/>
          </w:tcPr>
          <w:p w14:paraId="2804541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847" w:type="pct"/>
            <w:vAlign w:val="center"/>
          </w:tcPr>
          <w:p w14:paraId="4B44181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项目范围</w:t>
            </w:r>
          </w:p>
        </w:tc>
        <w:tc>
          <w:tcPr>
            <w:tcW w:w="3334" w:type="pct"/>
            <w:vAlign w:val="center"/>
          </w:tcPr>
          <w:p w14:paraId="4C928F7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采购人的南、北院区（即：青年路504号、青年路486号、北京路1228号）。</w:t>
            </w:r>
          </w:p>
        </w:tc>
      </w:tr>
      <w:tr w14:paraId="4D4A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76A3801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549" w:type="pct"/>
            <w:vAlign w:val="center"/>
          </w:tcPr>
          <w:p w14:paraId="5EA06B4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847" w:type="pct"/>
            <w:vAlign w:val="center"/>
          </w:tcPr>
          <w:p w14:paraId="5AC9843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服务质量要求</w:t>
            </w:r>
          </w:p>
        </w:tc>
        <w:tc>
          <w:tcPr>
            <w:tcW w:w="3334" w:type="pct"/>
            <w:vAlign w:val="center"/>
          </w:tcPr>
          <w:p w14:paraId="5105EEE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符合最新《中华人民共和国卫生行业标准（医院医用织物洗涤消毒技术规范）》及行业、地方现行相关技术标准及验收规定，满足采购人服务质量要求及洗涤、配送服务流程。</w:t>
            </w:r>
          </w:p>
        </w:tc>
      </w:tr>
      <w:tr w14:paraId="3279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602EC0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549" w:type="pct"/>
            <w:vAlign w:val="center"/>
          </w:tcPr>
          <w:p w14:paraId="650B644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847" w:type="pct"/>
            <w:vAlign w:val="center"/>
          </w:tcPr>
          <w:p w14:paraId="70B0A77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3334" w:type="pct"/>
            <w:vAlign w:val="center"/>
          </w:tcPr>
          <w:p w14:paraId="18EA139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资金已落实。</w:t>
            </w:r>
          </w:p>
        </w:tc>
      </w:tr>
      <w:tr w14:paraId="477C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0C764A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549" w:type="pct"/>
            <w:vAlign w:val="center"/>
          </w:tcPr>
          <w:p w14:paraId="24A4024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847" w:type="pct"/>
            <w:vAlign w:val="center"/>
          </w:tcPr>
          <w:p w14:paraId="7C45C70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w:t>
            </w:r>
          </w:p>
        </w:tc>
        <w:tc>
          <w:tcPr>
            <w:tcW w:w="3334" w:type="pct"/>
            <w:vAlign w:val="center"/>
          </w:tcPr>
          <w:p w14:paraId="7126A17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287.26万元/年</w:t>
            </w:r>
          </w:p>
        </w:tc>
      </w:tr>
      <w:tr w14:paraId="4A15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ACDCD1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549" w:type="pct"/>
            <w:vAlign w:val="center"/>
          </w:tcPr>
          <w:p w14:paraId="0F4078D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847" w:type="pct"/>
            <w:vAlign w:val="center"/>
          </w:tcPr>
          <w:p w14:paraId="5B6FC33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3334" w:type="pct"/>
            <w:vAlign w:val="center"/>
          </w:tcPr>
          <w:p w14:paraId="7CFBB89F">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287.26万元/年</w:t>
            </w:r>
          </w:p>
        </w:tc>
      </w:tr>
      <w:tr w14:paraId="3877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26C7B8A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549" w:type="pct"/>
            <w:vAlign w:val="center"/>
          </w:tcPr>
          <w:p w14:paraId="613ABFF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847" w:type="pct"/>
            <w:vAlign w:val="center"/>
          </w:tcPr>
          <w:p w14:paraId="5AACF65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中标服务费</w:t>
            </w:r>
          </w:p>
        </w:tc>
        <w:tc>
          <w:tcPr>
            <w:tcW w:w="3334" w:type="pct"/>
            <w:vAlign w:val="center"/>
          </w:tcPr>
          <w:p w14:paraId="108A209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val="en-US" w:eastAsia="zh-CN"/>
              </w:rPr>
              <w:t>下表</w:t>
            </w:r>
            <w:r>
              <w:rPr>
                <w:rFonts w:hint="eastAsia" w:ascii="仿宋" w:hAnsi="仿宋" w:eastAsia="仿宋" w:cs="仿宋"/>
                <w:color w:val="auto"/>
                <w:sz w:val="24"/>
                <w:szCs w:val="24"/>
                <w:highlight w:val="none"/>
              </w:rPr>
              <w:t>1所列收费标准作为基准价下浮20％向中标人收取。</w:t>
            </w:r>
          </w:p>
          <w:tbl>
            <w:tblPr>
              <w:tblStyle w:val="3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501"/>
              <w:gridCol w:w="1318"/>
              <w:gridCol w:w="1318"/>
              <w:gridCol w:w="1318"/>
            </w:tblGrid>
            <w:tr w14:paraId="63A1F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5" w:hRule="atLeast"/>
                <w:jc w:val="center"/>
              </w:trPr>
              <w:tc>
                <w:tcPr>
                  <w:tcW w:w="0" w:type="auto"/>
                  <w:shd w:val="solid" w:color="FFFFFF" w:fill="auto"/>
                  <w:tcMar>
                    <w:top w:w="30" w:type="dxa"/>
                    <w:left w:w="150" w:type="dxa"/>
                    <w:bottom w:w="30" w:type="dxa"/>
                    <w:right w:w="150" w:type="dxa"/>
                  </w:tcMar>
                  <w:vAlign w:val="center"/>
                </w:tcPr>
                <w:p w14:paraId="1C0CED5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   费率</w:t>
                  </w:r>
                </w:p>
                <w:p w14:paraId="6E4826E4">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rPr>
                      <w:rFonts w:hint="eastAsia"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中标</w:t>
                  </w:r>
                </w:p>
                <w:p w14:paraId="7DADB2FC">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rPr>
                      <w:rFonts w:hint="eastAsia"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金额（元）</w:t>
                  </w:r>
                </w:p>
              </w:tc>
              <w:tc>
                <w:tcPr>
                  <w:tcW w:w="0" w:type="auto"/>
                  <w:shd w:val="solid" w:color="FFFFFF" w:fill="auto"/>
                  <w:tcMar>
                    <w:top w:w="30" w:type="dxa"/>
                    <w:left w:w="150" w:type="dxa"/>
                    <w:bottom w:w="30" w:type="dxa"/>
                    <w:right w:w="150" w:type="dxa"/>
                  </w:tcMar>
                  <w:vAlign w:val="center"/>
                </w:tcPr>
                <w:p w14:paraId="6C314FA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b/>
                      <w:color w:val="auto"/>
                      <w:sz w:val="24"/>
                      <w:highlight w:val="none"/>
                      <w:shd w:val="clear" w:color="auto" w:fill="FFFFFF"/>
                    </w:rPr>
                    <w:t>货物招标</w:t>
                  </w:r>
                </w:p>
              </w:tc>
              <w:tc>
                <w:tcPr>
                  <w:tcW w:w="0" w:type="auto"/>
                  <w:shd w:val="solid" w:color="FFFFFF" w:fill="auto"/>
                  <w:tcMar>
                    <w:top w:w="30" w:type="dxa"/>
                    <w:left w:w="150" w:type="dxa"/>
                    <w:bottom w:w="30" w:type="dxa"/>
                    <w:right w:w="150" w:type="dxa"/>
                  </w:tcMar>
                  <w:vAlign w:val="center"/>
                </w:tcPr>
                <w:p w14:paraId="1755C14F">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b/>
                      <w:color w:val="auto"/>
                      <w:sz w:val="24"/>
                      <w:highlight w:val="none"/>
                      <w:shd w:val="clear" w:color="auto" w:fill="FFFFFF"/>
                    </w:rPr>
                    <w:t>服务招标</w:t>
                  </w:r>
                </w:p>
              </w:tc>
              <w:tc>
                <w:tcPr>
                  <w:tcW w:w="0" w:type="auto"/>
                  <w:shd w:val="solid" w:color="FFFFFF" w:fill="auto"/>
                  <w:tcMar>
                    <w:top w:w="30" w:type="dxa"/>
                    <w:left w:w="150" w:type="dxa"/>
                    <w:bottom w:w="30" w:type="dxa"/>
                    <w:right w:w="150" w:type="dxa"/>
                  </w:tcMar>
                  <w:vAlign w:val="center"/>
                </w:tcPr>
                <w:p w14:paraId="3BE52C94">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b/>
                      <w:color w:val="auto"/>
                      <w:sz w:val="24"/>
                      <w:highlight w:val="none"/>
                      <w:shd w:val="clear" w:color="auto" w:fill="FFFFFF"/>
                    </w:rPr>
                    <w:t>工程招标</w:t>
                  </w:r>
                </w:p>
              </w:tc>
            </w:tr>
            <w:tr w14:paraId="18341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0" w:type="auto"/>
                  <w:shd w:val="solid" w:color="FFFFFF" w:fill="auto"/>
                  <w:tcMar>
                    <w:top w:w="30" w:type="dxa"/>
                    <w:left w:w="150" w:type="dxa"/>
                    <w:bottom w:w="30" w:type="dxa"/>
                    <w:right w:w="150" w:type="dxa"/>
                  </w:tcMar>
                  <w:vAlign w:val="center"/>
                </w:tcPr>
                <w:p w14:paraId="2347A338">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100万以下</w:t>
                  </w:r>
                </w:p>
              </w:tc>
              <w:tc>
                <w:tcPr>
                  <w:tcW w:w="0" w:type="auto"/>
                  <w:shd w:val="solid" w:color="FFFFFF" w:fill="auto"/>
                  <w:tcMar>
                    <w:top w:w="30" w:type="dxa"/>
                    <w:left w:w="150" w:type="dxa"/>
                    <w:bottom w:w="30" w:type="dxa"/>
                    <w:right w:w="150" w:type="dxa"/>
                  </w:tcMar>
                  <w:vAlign w:val="center"/>
                </w:tcPr>
                <w:p w14:paraId="45DBEBFC">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1.5%</w:t>
                  </w:r>
                </w:p>
              </w:tc>
              <w:tc>
                <w:tcPr>
                  <w:tcW w:w="0" w:type="auto"/>
                  <w:shd w:val="solid" w:color="FFFFFF" w:fill="auto"/>
                  <w:tcMar>
                    <w:top w:w="30" w:type="dxa"/>
                    <w:left w:w="150" w:type="dxa"/>
                    <w:bottom w:w="30" w:type="dxa"/>
                    <w:right w:w="150" w:type="dxa"/>
                  </w:tcMar>
                  <w:vAlign w:val="center"/>
                </w:tcPr>
                <w:p w14:paraId="6DFAC487">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1.5%</w:t>
                  </w:r>
                </w:p>
              </w:tc>
              <w:tc>
                <w:tcPr>
                  <w:tcW w:w="0" w:type="auto"/>
                  <w:shd w:val="solid" w:color="FFFFFF" w:fill="auto"/>
                  <w:tcMar>
                    <w:top w:w="30" w:type="dxa"/>
                    <w:left w:w="150" w:type="dxa"/>
                    <w:bottom w:w="30" w:type="dxa"/>
                    <w:right w:w="150" w:type="dxa"/>
                  </w:tcMar>
                  <w:vAlign w:val="center"/>
                </w:tcPr>
                <w:p w14:paraId="099C70C8">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w:t>
                  </w:r>
                </w:p>
              </w:tc>
            </w:tr>
            <w:tr w14:paraId="3173E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1635459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100万-500万</w:t>
                  </w:r>
                </w:p>
              </w:tc>
              <w:tc>
                <w:tcPr>
                  <w:tcW w:w="0" w:type="auto"/>
                  <w:shd w:val="solid" w:color="FFFFFF" w:fill="auto"/>
                  <w:tcMar>
                    <w:top w:w="30" w:type="dxa"/>
                    <w:left w:w="150" w:type="dxa"/>
                    <w:bottom w:w="30" w:type="dxa"/>
                    <w:right w:w="150" w:type="dxa"/>
                  </w:tcMar>
                  <w:vAlign w:val="center"/>
                </w:tcPr>
                <w:p w14:paraId="41E082CB">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1.1%</w:t>
                  </w:r>
                </w:p>
              </w:tc>
              <w:tc>
                <w:tcPr>
                  <w:tcW w:w="0" w:type="auto"/>
                  <w:shd w:val="solid" w:color="FFFFFF" w:fill="auto"/>
                  <w:tcMar>
                    <w:top w:w="30" w:type="dxa"/>
                    <w:left w:w="150" w:type="dxa"/>
                    <w:bottom w:w="30" w:type="dxa"/>
                    <w:right w:w="150" w:type="dxa"/>
                  </w:tcMar>
                  <w:vAlign w:val="center"/>
                </w:tcPr>
                <w:p w14:paraId="3E050429">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0.8%</w:t>
                  </w:r>
                </w:p>
              </w:tc>
              <w:tc>
                <w:tcPr>
                  <w:tcW w:w="0" w:type="auto"/>
                  <w:shd w:val="solid" w:color="FFFFFF" w:fill="auto"/>
                  <w:tcMar>
                    <w:top w:w="30" w:type="dxa"/>
                    <w:left w:w="150" w:type="dxa"/>
                    <w:bottom w:w="30" w:type="dxa"/>
                    <w:right w:w="150" w:type="dxa"/>
                  </w:tcMar>
                  <w:vAlign w:val="center"/>
                </w:tcPr>
                <w:p w14:paraId="5B005963">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0.7%</w:t>
                  </w:r>
                </w:p>
              </w:tc>
            </w:tr>
            <w:tr w14:paraId="1E608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612A12F0">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500万-1000万</w:t>
                  </w:r>
                </w:p>
              </w:tc>
              <w:tc>
                <w:tcPr>
                  <w:tcW w:w="0" w:type="auto"/>
                  <w:shd w:val="solid" w:color="FFFFFF" w:fill="auto"/>
                  <w:tcMar>
                    <w:top w:w="30" w:type="dxa"/>
                    <w:left w:w="150" w:type="dxa"/>
                    <w:bottom w:w="30" w:type="dxa"/>
                    <w:right w:w="150" w:type="dxa"/>
                  </w:tcMar>
                  <w:vAlign w:val="center"/>
                </w:tcPr>
                <w:p w14:paraId="0792C3FA">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0.8%</w:t>
                  </w:r>
                </w:p>
              </w:tc>
              <w:tc>
                <w:tcPr>
                  <w:tcW w:w="0" w:type="auto"/>
                  <w:shd w:val="solid" w:color="FFFFFF" w:fill="auto"/>
                  <w:tcMar>
                    <w:top w:w="30" w:type="dxa"/>
                    <w:left w:w="150" w:type="dxa"/>
                    <w:bottom w:w="30" w:type="dxa"/>
                    <w:right w:w="150" w:type="dxa"/>
                  </w:tcMar>
                  <w:vAlign w:val="center"/>
                </w:tcPr>
                <w:p w14:paraId="0F1E2706">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0.45%</w:t>
                  </w:r>
                </w:p>
              </w:tc>
              <w:tc>
                <w:tcPr>
                  <w:tcW w:w="0" w:type="auto"/>
                  <w:shd w:val="solid" w:color="FFFFFF" w:fill="auto"/>
                  <w:tcMar>
                    <w:top w:w="30" w:type="dxa"/>
                    <w:left w:w="150" w:type="dxa"/>
                    <w:bottom w:w="30" w:type="dxa"/>
                    <w:right w:w="150" w:type="dxa"/>
                  </w:tcMar>
                  <w:vAlign w:val="center"/>
                </w:tcPr>
                <w:p w14:paraId="19CB3B8A">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0.55%</w:t>
                  </w:r>
                </w:p>
              </w:tc>
            </w:tr>
            <w:tr w14:paraId="49218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1FFCD398">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1000万-5000万</w:t>
                  </w:r>
                </w:p>
              </w:tc>
              <w:tc>
                <w:tcPr>
                  <w:tcW w:w="0" w:type="auto"/>
                  <w:shd w:val="solid" w:color="FFFFFF" w:fill="auto"/>
                  <w:tcMar>
                    <w:top w:w="30" w:type="dxa"/>
                    <w:left w:w="150" w:type="dxa"/>
                    <w:bottom w:w="30" w:type="dxa"/>
                    <w:right w:w="150" w:type="dxa"/>
                  </w:tcMar>
                  <w:vAlign w:val="center"/>
                </w:tcPr>
                <w:p w14:paraId="1DFFB68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0.5%</w:t>
                  </w:r>
                </w:p>
              </w:tc>
              <w:tc>
                <w:tcPr>
                  <w:tcW w:w="0" w:type="auto"/>
                  <w:shd w:val="solid" w:color="FFFFFF" w:fill="auto"/>
                  <w:tcMar>
                    <w:top w:w="30" w:type="dxa"/>
                    <w:left w:w="150" w:type="dxa"/>
                    <w:bottom w:w="30" w:type="dxa"/>
                    <w:right w:w="150" w:type="dxa"/>
                  </w:tcMar>
                  <w:vAlign w:val="center"/>
                </w:tcPr>
                <w:p w14:paraId="05BD36D3">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0.25%</w:t>
                  </w:r>
                </w:p>
              </w:tc>
              <w:tc>
                <w:tcPr>
                  <w:tcW w:w="0" w:type="auto"/>
                  <w:shd w:val="solid" w:color="FFFFFF" w:fill="auto"/>
                  <w:tcMar>
                    <w:top w:w="30" w:type="dxa"/>
                    <w:left w:w="150" w:type="dxa"/>
                    <w:bottom w:w="30" w:type="dxa"/>
                    <w:right w:w="150" w:type="dxa"/>
                  </w:tcMar>
                  <w:vAlign w:val="center"/>
                </w:tcPr>
                <w:p w14:paraId="658A2700">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0.35%</w:t>
                  </w:r>
                </w:p>
              </w:tc>
            </w:tr>
            <w:tr w14:paraId="038C6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21849933">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5000万-1亿</w:t>
                  </w:r>
                </w:p>
              </w:tc>
              <w:tc>
                <w:tcPr>
                  <w:tcW w:w="0" w:type="auto"/>
                  <w:shd w:val="solid" w:color="FFFFFF" w:fill="auto"/>
                  <w:tcMar>
                    <w:top w:w="30" w:type="dxa"/>
                    <w:left w:w="150" w:type="dxa"/>
                    <w:bottom w:w="30" w:type="dxa"/>
                    <w:right w:w="150" w:type="dxa"/>
                  </w:tcMar>
                  <w:vAlign w:val="center"/>
                </w:tcPr>
                <w:p w14:paraId="7FD94AAF">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0.25%</w:t>
                  </w:r>
                </w:p>
              </w:tc>
              <w:tc>
                <w:tcPr>
                  <w:tcW w:w="0" w:type="auto"/>
                  <w:shd w:val="solid" w:color="FFFFFF" w:fill="auto"/>
                  <w:tcMar>
                    <w:top w:w="30" w:type="dxa"/>
                    <w:left w:w="150" w:type="dxa"/>
                    <w:bottom w:w="30" w:type="dxa"/>
                    <w:right w:w="150" w:type="dxa"/>
                  </w:tcMar>
                  <w:vAlign w:val="center"/>
                </w:tcPr>
                <w:p w14:paraId="3D415B7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0.1%</w:t>
                  </w:r>
                </w:p>
              </w:tc>
              <w:tc>
                <w:tcPr>
                  <w:tcW w:w="0" w:type="auto"/>
                  <w:shd w:val="solid" w:color="FFFFFF" w:fill="auto"/>
                  <w:tcMar>
                    <w:top w:w="30" w:type="dxa"/>
                    <w:left w:w="150" w:type="dxa"/>
                    <w:bottom w:w="30" w:type="dxa"/>
                    <w:right w:w="150" w:type="dxa"/>
                  </w:tcMar>
                  <w:vAlign w:val="center"/>
                </w:tcPr>
                <w:p w14:paraId="0208D385">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0.2%</w:t>
                  </w:r>
                </w:p>
              </w:tc>
            </w:tr>
            <w:tr w14:paraId="6FE55B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59DA4297">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1亿-5亿</w:t>
                  </w:r>
                </w:p>
              </w:tc>
              <w:tc>
                <w:tcPr>
                  <w:tcW w:w="0" w:type="auto"/>
                  <w:shd w:val="solid" w:color="FFFFFF" w:fill="auto"/>
                  <w:tcMar>
                    <w:top w:w="30" w:type="dxa"/>
                    <w:left w:w="150" w:type="dxa"/>
                    <w:bottom w:w="30" w:type="dxa"/>
                    <w:right w:w="150" w:type="dxa"/>
                  </w:tcMar>
                  <w:vAlign w:val="center"/>
                </w:tcPr>
                <w:p w14:paraId="218B9B1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0.05%</w:t>
                  </w:r>
                </w:p>
              </w:tc>
              <w:tc>
                <w:tcPr>
                  <w:tcW w:w="0" w:type="auto"/>
                  <w:shd w:val="solid" w:color="FFFFFF" w:fill="auto"/>
                  <w:tcMar>
                    <w:top w:w="30" w:type="dxa"/>
                    <w:left w:w="150" w:type="dxa"/>
                    <w:bottom w:w="30" w:type="dxa"/>
                    <w:right w:w="150" w:type="dxa"/>
                  </w:tcMar>
                  <w:vAlign w:val="center"/>
                </w:tcPr>
                <w:p w14:paraId="6BA6D32B">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0.05%</w:t>
                  </w:r>
                </w:p>
              </w:tc>
              <w:tc>
                <w:tcPr>
                  <w:tcW w:w="0" w:type="auto"/>
                  <w:shd w:val="solid" w:color="FFFFFF" w:fill="auto"/>
                  <w:tcMar>
                    <w:top w:w="30" w:type="dxa"/>
                    <w:left w:w="150" w:type="dxa"/>
                    <w:bottom w:w="30" w:type="dxa"/>
                    <w:right w:w="150" w:type="dxa"/>
                  </w:tcMar>
                  <w:vAlign w:val="center"/>
                </w:tcPr>
                <w:p w14:paraId="76E609D6">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0.05%</w:t>
                  </w:r>
                </w:p>
              </w:tc>
            </w:tr>
            <w:tr w14:paraId="51F26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6C91D85D">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5亿-10亿</w:t>
                  </w:r>
                </w:p>
              </w:tc>
              <w:tc>
                <w:tcPr>
                  <w:tcW w:w="0" w:type="auto"/>
                  <w:shd w:val="solid" w:color="FFFFFF" w:fill="auto"/>
                  <w:tcMar>
                    <w:top w:w="30" w:type="dxa"/>
                    <w:left w:w="150" w:type="dxa"/>
                    <w:bottom w:w="30" w:type="dxa"/>
                    <w:right w:w="150" w:type="dxa"/>
                  </w:tcMar>
                  <w:vAlign w:val="center"/>
                </w:tcPr>
                <w:p w14:paraId="13E8E674">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0.035%</w:t>
                  </w:r>
                </w:p>
              </w:tc>
              <w:tc>
                <w:tcPr>
                  <w:tcW w:w="0" w:type="auto"/>
                  <w:shd w:val="solid" w:color="FFFFFF" w:fill="auto"/>
                  <w:tcMar>
                    <w:top w:w="30" w:type="dxa"/>
                    <w:left w:w="150" w:type="dxa"/>
                    <w:bottom w:w="30" w:type="dxa"/>
                    <w:right w:w="150" w:type="dxa"/>
                  </w:tcMar>
                  <w:vAlign w:val="center"/>
                </w:tcPr>
                <w:p w14:paraId="6869FA7C">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0.035%</w:t>
                  </w:r>
                </w:p>
              </w:tc>
              <w:tc>
                <w:tcPr>
                  <w:tcW w:w="0" w:type="auto"/>
                  <w:shd w:val="solid" w:color="FFFFFF" w:fill="auto"/>
                  <w:tcMar>
                    <w:top w:w="30" w:type="dxa"/>
                    <w:left w:w="150" w:type="dxa"/>
                    <w:bottom w:w="30" w:type="dxa"/>
                    <w:right w:w="150" w:type="dxa"/>
                  </w:tcMar>
                  <w:vAlign w:val="center"/>
                </w:tcPr>
                <w:p w14:paraId="0DC38CAF">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0.035%</w:t>
                  </w:r>
                </w:p>
              </w:tc>
            </w:tr>
            <w:tr w14:paraId="5DF90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7E422574">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10亿-50亿</w:t>
                  </w:r>
                </w:p>
              </w:tc>
              <w:tc>
                <w:tcPr>
                  <w:tcW w:w="0" w:type="auto"/>
                  <w:shd w:val="solid" w:color="FFFFFF" w:fill="auto"/>
                  <w:tcMar>
                    <w:top w:w="30" w:type="dxa"/>
                    <w:left w:w="150" w:type="dxa"/>
                    <w:bottom w:w="30" w:type="dxa"/>
                    <w:right w:w="150" w:type="dxa"/>
                  </w:tcMar>
                  <w:vAlign w:val="center"/>
                </w:tcPr>
                <w:p w14:paraId="57FB1F61">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0.008%</w:t>
                  </w:r>
                </w:p>
              </w:tc>
              <w:tc>
                <w:tcPr>
                  <w:tcW w:w="0" w:type="auto"/>
                  <w:shd w:val="solid" w:color="FFFFFF" w:fill="auto"/>
                  <w:tcMar>
                    <w:top w:w="30" w:type="dxa"/>
                    <w:left w:w="150" w:type="dxa"/>
                    <w:bottom w:w="30" w:type="dxa"/>
                    <w:right w:w="150" w:type="dxa"/>
                  </w:tcMar>
                  <w:vAlign w:val="center"/>
                </w:tcPr>
                <w:p w14:paraId="56A3547B">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0.008%</w:t>
                  </w:r>
                </w:p>
              </w:tc>
              <w:tc>
                <w:tcPr>
                  <w:tcW w:w="0" w:type="auto"/>
                  <w:shd w:val="solid" w:color="FFFFFF" w:fill="auto"/>
                  <w:tcMar>
                    <w:top w:w="30" w:type="dxa"/>
                    <w:left w:w="150" w:type="dxa"/>
                    <w:bottom w:w="30" w:type="dxa"/>
                    <w:right w:w="150" w:type="dxa"/>
                  </w:tcMar>
                  <w:vAlign w:val="center"/>
                </w:tcPr>
                <w:p w14:paraId="523AD30A">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0.008%</w:t>
                  </w:r>
                </w:p>
              </w:tc>
            </w:tr>
            <w:tr w14:paraId="34FD8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68199FF7">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50亿-100亿</w:t>
                  </w:r>
                </w:p>
              </w:tc>
              <w:tc>
                <w:tcPr>
                  <w:tcW w:w="0" w:type="auto"/>
                  <w:shd w:val="solid" w:color="FFFFFF" w:fill="auto"/>
                  <w:tcMar>
                    <w:top w:w="30" w:type="dxa"/>
                    <w:left w:w="150" w:type="dxa"/>
                    <w:bottom w:w="30" w:type="dxa"/>
                    <w:right w:w="150" w:type="dxa"/>
                  </w:tcMar>
                  <w:vAlign w:val="center"/>
                </w:tcPr>
                <w:p w14:paraId="0D0F6D4F">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0.006%</w:t>
                  </w:r>
                </w:p>
              </w:tc>
              <w:tc>
                <w:tcPr>
                  <w:tcW w:w="0" w:type="auto"/>
                  <w:shd w:val="solid" w:color="FFFFFF" w:fill="auto"/>
                  <w:tcMar>
                    <w:top w:w="30" w:type="dxa"/>
                    <w:left w:w="150" w:type="dxa"/>
                    <w:bottom w:w="30" w:type="dxa"/>
                    <w:right w:w="150" w:type="dxa"/>
                  </w:tcMar>
                  <w:vAlign w:val="center"/>
                </w:tcPr>
                <w:p w14:paraId="0D9FF66D">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0.006%</w:t>
                  </w:r>
                </w:p>
              </w:tc>
              <w:tc>
                <w:tcPr>
                  <w:tcW w:w="0" w:type="auto"/>
                  <w:shd w:val="solid" w:color="FFFFFF" w:fill="auto"/>
                  <w:tcMar>
                    <w:top w:w="30" w:type="dxa"/>
                    <w:left w:w="150" w:type="dxa"/>
                    <w:bottom w:w="30" w:type="dxa"/>
                    <w:right w:w="150" w:type="dxa"/>
                  </w:tcMar>
                  <w:vAlign w:val="center"/>
                </w:tcPr>
                <w:p w14:paraId="6A1BCD26">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0.006%</w:t>
                  </w:r>
                </w:p>
              </w:tc>
            </w:tr>
            <w:tr w14:paraId="5487A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shd w:val="solid" w:color="FFFFFF" w:fill="auto"/>
                  <w:tcMar>
                    <w:top w:w="30" w:type="dxa"/>
                    <w:left w:w="150" w:type="dxa"/>
                    <w:bottom w:w="30" w:type="dxa"/>
                    <w:right w:w="150" w:type="dxa"/>
                  </w:tcMar>
                  <w:vAlign w:val="center"/>
                </w:tcPr>
                <w:p w14:paraId="2733D853">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100亿以上</w:t>
                  </w:r>
                </w:p>
              </w:tc>
              <w:tc>
                <w:tcPr>
                  <w:tcW w:w="0" w:type="auto"/>
                  <w:shd w:val="solid" w:color="FFFFFF" w:fill="auto"/>
                  <w:tcMar>
                    <w:top w:w="30" w:type="dxa"/>
                    <w:left w:w="150" w:type="dxa"/>
                    <w:bottom w:w="30" w:type="dxa"/>
                    <w:right w:w="150" w:type="dxa"/>
                  </w:tcMar>
                  <w:vAlign w:val="center"/>
                </w:tcPr>
                <w:p w14:paraId="73B73DA3">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0.004%</w:t>
                  </w:r>
                </w:p>
              </w:tc>
              <w:tc>
                <w:tcPr>
                  <w:tcW w:w="0" w:type="auto"/>
                  <w:shd w:val="solid" w:color="FFFFFF" w:fill="auto"/>
                  <w:tcMar>
                    <w:top w:w="30" w:type="dxa"/>
                    <w:left w:w="150" w:type="dxa"/>
                    <w:bottom w:w="30" w:type="dxa"/>
                    <w:right w:w="150" w:type="dxa"/>
                  </w:tcMar>
                  <w:vAlign w:val="center"/>
                </w:tcPr>
                <w:p w14:paraId="758591DD">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0.004%</w:t>
                  </w:r>
                </w:p>
              </w:tc>
              <w:tc>
                <w:tcPr>
                  <w:tcW w:w="0" w:type="auto"/>
                  <w:shd w:val="solid" w:color="FFFFFF" w:fill="auto"/>
                  <w:tcMar>
                    <w:top w:w="30" w:type="dxa"/>
                    <w:left w:w="150" w:type="dxa"/>
                    <w:bottom w:w="30" w:type="dxa"/>
                    <w:right w:w="150" w:type="dxa"/>
                  </w:tcMar>
                  <w:vAlign w:val="center"/>
                </w:tcPr>
                <w:p w14:paraId="6264D947">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jc w:val="center"/>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0.004%</w:t>
                  </w:r>
                </w:p>
              </w:tc>
            </w:tr>
            <w:tr w14:paraId="69D3C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0" w:type="auto"/>
                  <w:gridSpan w:val="4"/>
                  <w:shd w:val="solid" w:color="FFFFFF" w:fill="auto"/>
                  <w:tcMar>
                    <w:top w:w="30" w:type="dxa"/>
                    <w:left w:w="150" w:type="dxa"/>
                    <w:bottom w:w="30" w:type="dxa"/>
                    <w:right w:w="150" w:type="dxa"/>
                  </w:tcMar>
                  <w:vAlign w:val="center"/>
                </w:tcPr>
                <w:p w14:paraId="49BB3D62">
                  <w:pPr>
                    <w:keepNext w:val="0"/>
                    <w:keepLines w:val="0"/>
                    <w:pageBreakBefore w:val="0"/>
                    <w:suppressLineNumbers w:val="0"/>
                    <w:shd w:val="solid" w:color="FFFFFF" w:fill="auto"/>
                    <w:overflowPunct/>
                    <w:topLinePunct w:val="0"/>
                    <w:autoSpaceDN w:val="0"/>
                    <w:bidi w:val="0"/>
                    <w:spacing w:before="0" w:beforeAutospacing="0" w:after="100" w:afterAutospacing="1" w:line="360" w:lineRule="auto"/>
                    <w:ind w:left="0" w:right="0" w:firstLine="482" w:firstLineChars="200"/>
                    <w:jc w:val="left"/>
                    <w:rPr>
                      <w:rFonts w:hint="eastAsia" w:ascii="仿宋" w:hAnsi="仿宋" w:eastAsia="仿宋" w:cs="仿宋"/>
                      <w:color w:val="auto"/>
                      <w:highlight w:val="none"/>
                    </w:rPr>
                  </w:pPr>
                  <w:r>
                    <w:rPr>
                      <w:rFonts w:hint="eastAsia" w:ascii="仿宋" w:hAnsi="仿宋" w:eastAsia="仿宋" w:cs="仿宋"/>
                      <w:b/>
                      <w:bCs/>
                      <w:color w:val="auto"/>
                      <w:kern w:val="0"/>
                      <w:sz w:val="24"/>
                      <w:highlight w:val="none"/>
                    </w:rPr>
                    <w:t>完成一次招标投标全流程按各标段中标金额比例计算各标段招标代理服务费。一个项目（各标段累计）的代理费（或服务费）最高限额：货物为350万元、服务为300万元、工程为450万元。</w:t>
                  </w:r>
                </w:p>
              </w:tc>
            </w:tr>
          </w:tbl>
          <w:p w14:paraId="08C9F08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中标服务费缴费账户信息如下：</w:t>
            </w:r>
          </w:p>
          <w:p w14:paraId="79A9524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账户名称：云南中招招标有限公司</w:t>
            </w:r>
          </w:p>
          <w:p w14:paraId="19F47AD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行：招商银行昆明分行科创园支行</w:t>
            </w:r>
          </w:p>
          <w:p w14:paraId="06666E3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开户帐号：871908043810101</w:t>
            </w:r>
          </w:p>
        </w:tc>
      </w:tr>
      <w:tr w14:paraId="5717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6CDB13B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549" w:type="pct"/>
            <w:vAlign w:val="center"/>
          </w:tcPr>
          <w:p w14:paraId="0812AF7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847" w:type="pct"/>
            <w:vAlign w:val="center"/>
          </w:tcPr>
          <w:p w14:paraId="4514749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的资格要求</w:t>
            </w:r>
          </w:p>
        </w:tc>
        <w:tc>
          <w:tcPr>
            <w:tcW w:w="3334" w:type="pct"/>
            <w:vAlign w:val="center"/>
          </w:tcPr>
          <w:p w14:paraId="00E4598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须具有独立承担民事责任的能力：</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须在中华人民共和国境内注册、提供法人或者其他组织的营业执照等证明文件，若为自然人的，提供自然人的身份证明（复印件加盖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6862FD15">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须具有良好的商业信誉和健全的财务会计制度：</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须提供证明材料，内容可为以下三者之一：①提供2022年度至今任意1年度经第三方审计的财务报告及报表（报表至少应包括资产负债表、利润表（损益表）、现金流量表），如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执行的财政部门印发的会计制度或准则有其他要求的，以其要求为准；新成立不满一年的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提供自成立至今的财务报表；②提供自响应文件提交截止时间前三个月内基本开户银行出具的资信证明；③提供财政部门认可的政府采购专业担保机构出具的担保函;</w:t>
            </w:r>
          </w:p>
          <w:p w14:paraId="056D1F7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注：上述材料应提供原件或复印件并加盖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0C3D479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具有履行合同所必需的设备和专业技术能力：</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须提供具有履行合同所必需的设备和专业技术能力证明材料（复印件加盖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公章）或书面声明（原件加盖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0D085C64">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须具有依法缴纳税收和社会保障资金的良好记录：①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须提供缴税所属时间在202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年1月至本项目响应文件提交截止时间前任意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个月的税务局税收通用缴款书或银行电子缴税（费）凭证或税务局出具纳税情况的相关证明，依法免税的，应提供依法免税的相关证明文件;②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须提供缴费所属时间在202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年1月至本项目响应文件提交截止时间前任意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个月的社会保险费缴款书或银行电子缴税（费）凭证或社保管理部门出具的有效的缴款证明，依法免缴的，应提供依法免缴的相关证明文件，新成立未满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个月的，提供成立以来的税收和社会保障资金缴纳凭证或相关情况说明；</w:t>
            </w:r>
          </w:p>
          <w:p w14:paraId="626F7D8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注：上述材料应提供复印件并加盖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5800E54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参加采购活动前三年内，在经营活动中没有重大违法记录：</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活动前三年内，在经营活动中没有重大违法记录（重大违法记录，是指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因违法经营受到刑事处罚或者责令停产停业、吊销许可证或者执照、较大数额罚款等行政处罚）的书面声明（复印件加盖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34227F3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法律、行政法规规定的其他条件：①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信用中国”网站（www.creditchina.gov.cn）中未被列入政府采购严重违法失信行为记录名单、严重失信主体名单和重大税收违法失信主体（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代理机构查询结果为准，并将查询记录和证据留存）；②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本项目响应文件提交截止时间前在中国政府采购网（www.ccgp.gov.cn）政府采购严重违法失信行为记录名单中无不良信息记录（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代理机构查询结果为准，并将查询记录和证据留存）；③单位负责人为同一人或者存在直接控股、管理关系的不同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，不得参加同一合同项下的</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公章）；④为本项目提供整体设计、规范编制或者项目管理、监理、检测等服务的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，不得参加本项目投标的承诺（原件加盖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w:t>
            </w:r>
          </w:p>
          <w:p w14:paraId="0C25894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2.落实政府采购政策需满足的资格要求：</w:t>
            </w:r>
            <w:r>
              <w:rPr>
                <w:rFonts w:hint="eastAsia" w:ascii="仿宋" w:hAnsi="仿宋" w:eastAsia="仿宋" w:cs="仿宋"/>
                <w:color w:val="auto"/>
                <w:sz w:val="24"/>
                <w:szCs w:val="24"/>
                <w:highlight w:val="none"/>
                <w:lang w:val="en-US" w:eastAsia="zh-CN"/>
              </w:rPr>
              <w:t>无</w:t>
            </w:r>
          </w:p>
          <w:p w14:paraId="355333AE">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p>
        </w:tc>
      </w:tr>
      <w:tr w14:paraId="74BF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2D75B82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549" w:type="pct"/>
            <w:vAlign w:val="center"/>
          </w:tcPr>
          <w:p w14:paraId="066A05D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847" w:type="pct"/>
            <w:vAlign w:val="center"/>
          </w:tcPr>
          <w:p w14:paraId="5F03D37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是否接受联合体投标</w:t>
            </w:r>
          </w:p>
        </w:tc>
        <w:tc>
          <w:tcPr>
            <w:tcW w:w="3334" w:type="pct"/>
            <w:vAlign w:val="center"/>
          </w:tcPr>
          <w:p w14:paraId="2351A095">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p w14:paraId="75FB705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p>
        </w:tc>
      </w:tr>
      <w:tr w14:paraId="1EE5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3C6612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549" w:type="pct"/>
            <w:vAlign w:val="center"/>
          </w:tcPr>
          <w:p w14:paraId="0625CE1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847" w:type="pct"/>
            <w:vAlign w:val="center"/>
          </w:tcPr>
          <w:p w14:paraId="3EB152A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采购人是否组织现场踏勘</w:t>
            </w:r>
          </w:p>
        </w:tc>
        <w:tc>
          <w:tcPr>
            <w:tcW w:w="3334" w:type="pct"/>
            <w:vAlign w:val="center"/>
          </w:tcPr>
          <w:p w14:paraId="0D829878">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■不组织，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自行踏勘</w:t>
            </w:r>
          </w:p>
          <w:p w14:paraId="15F36B4E">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□组织</w:t>
            </w:r>
          </w:p>
          <w:p w14:paraId="5AF96BE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踏勘时间：</w:t>
            </w:r>
            <w:r>
              <w:rPr>
                <w:rFonts w:hint="eastAsia" w:ascii="仿宋" w:hAnsi="仿宋" w:eastAsia="仿宋" w:cs="仿宋"/>
                <w:color w:val="auto"/>
                <w:sz w:val="24"/>
                <w:szCs w:val="24"/>
                <w:highlight w:val="none"/>
                <w:u w:val="single"/>
              </w:rPr>
              <w:t xml:space="preserve">         </w:t>
            </w:r>
          </w:p>
          <w:p w14:paraId="09795685">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踏勘地点：</w:t>
            </w:r>
            <w:r>
              <w:rPr>
                <w:rFonts w:hint="eastAsia" w:ascii="仿宋" w:hAnsi="仿宋" w:eastAsia="仿宋" w:cs="仿宋"/>
                <w:color w:val="auto"/>
                <w:sz w:val="24"/>
                <w:szCs w:val="24"/>
                <w:highlight w:val="none"/>
                <w:u w:val="single"/>
              </w:rPr>
              <w:t xml:space="preserve">         </w:t>
            </w:r>
          </w:p>
          <w:p w14:paraId="263867D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u w:val="single"/>
              </w:rPr>
              <w:t xml:space="preserve">         </w:t>
            </w:r>
          </w:p>
          <w:p w14:paraId="69326FD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xml:space="preserve">         </w:t>
            </w:r>
          </w:p>
        </w:tc>
      </w:tr>
      <w:tr w14:paraId="6B678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E59B04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549" w:type="pct"/>
            <w:vAlign w:val="center"/>
          </w:tcPr>
          <w:p w14:paraId="117238A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847" w:type="pct"/>
            <w:vAlign w:val="center"/>
          </w:tcPr>
          <w:p w14:paraId="5F17542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采购人是否召开招标答疑会</w:t>
            </w:r>
          </w:p>
        </w:tc>
        <w:tc>
          <w:tcPr>
            <w:tcW w:w="3334" w:type="pct"/>
            <w:vAlign w:val="center"/>
          </w:tcPr>
          <w:p w14:paraId="2C2ED2F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■不召开</w:t>
            </w:r>
          </w:p>
          <w:p w14:paraId="656DEB1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□召开</w:t>
            </w:r>
          </w:p>
          <w:p w14:paraId="6CD269E5">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答疑会时间：</w:t>
            </w:r>
            <w:r>
              <w:rPr>
                <w:rFonts w:hint="eastAsia" w:ascii="仿宋" w:hAnsi="仿宋" w:eastAsia="仿宋" w:cs="仿宋"/>
                <w:color w:val="auto"/>
                <w:sz w:val="24"/>
                <w:szCs w:val="24"/>
                <w:highlight w:val="none"/>
                <w:u w:val="single"/>
              </w:rPr>
              <w:t xml:space="preserve">         </w:t>
            </w:r>
          </w:p>
          <w:p w14:paraId="56EAEF23">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答疑会地点：</w:t>
            </w:r>
            <w:r>
              <w:rPr>
                <w:rFonts w:hint="eastAsia" w:ascii="仿宋" w:hAnsi="仿宋" w:eastAsia="仿宋" w:cs="仿宋"/>
                <w:color w:val="auto"/>
                <w:sz w:val="24"/>
                <w:szCs w:val="24"/>
                <w:highlight w:val="none"/>
                <w:u w:val="single"/>
              </w:rPr>
              <w:t xml:space="preserve">         </w:t>
            </w:r>
          </w:p>
          <w:p w14:paraId="093B97B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提交问题的时间：</w:t>
            </w:r>
            <w:r>
              <w:rPr>
                <w:rFonts w:hint="eastAsia" w:ascii="仿宋" w:hAnsi="仿宋" w:eastAsia="仿宋" w:cs="仿宋"/>
                <w:color w:val="auto"/>
                <w:sz w:val="24"/>
                <w:szCs w:val="24"/>
                <w:highlight w:val="none"/>
                <w:u w:val="single"/>
              </w:rPr>
              <w:t>投标截止时间前15天</w:t>
            </w:r>
          </w:p>
          <w:p w14:paraId="4C67E07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提交问题的形式：</w:t>
            </w:r>
            <w:r>
              <w:rPr>
                <w:rFonts w:hint="eastAsia" w:ascii="仿宋" w:hAnsi="仿宋" w:eastAsia="仿宋" w:cs="仿宋"/>
                <w:color w:val="auto"/>
                <w:sz w:val="24"/>
                <w:szCs w:val="24"/>
                <w:highlight w:val="none"/>
                <w:u w:val="single"/>
              </w:rPr>
              <w:t>书面形式</w:t>
            </w:r>
          </w:p>
        </w:tc>
      </w:tr>
      <w:tr w14:paraId="76B98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7CE1A5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549" w:type="pct"/>
            <w:vAlign w:val="center"/>
          </w:tcPr>
          <w:p w14:paraId="061691E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w:t>
            </w:r>
          </w:p>
        </w:tc>
        <w:tc>
          <w:tcPr>
            <w:tcW w:w="847" w:type="pct"/>
            <w:vAlign w:val="center"/>
          </w:tcPr>
          <w:p w14:paraId="77BAED3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采购人是否允许分包</w:t>
            </w:r>
          </w:p>
        </w:tc>
        <w:tc>
          <w:tcPr>
            <w:tcW w:w="3334" w:type="pct"/>
            <w:vAlign w:val="center"/>
          </w:tcPr>
          <w:p w14:paraId="513F8BD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■不允许</w:t>
            </w:r>
          </w:p>
          <w:p w14:paraId="3784DF42">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w:t>
            </w:r>
          </w:p>
          <w:p w14:paraId="1E258B5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非主体、非关键性工作内容包括：</w:t>
            </w:r>
            <w:r>
              <w:rPr>
                <w:rFonts w:hint="eastAsia" w:ascii="仿宋" w:hAnsi="仿宋" w:eastAsia="仿宋" w:cs="仿宋"/>
                <w:color w:val="auto"/>
                <w:sz w:val="24"/>
                <w:szCs w:val="24"/>
                <w:highlight w:val="none"/>
                <w:u w:val="single"/>
              </w:rPr>
              <w:t xml:space="preserve">         </w:t>
            </w:r>
          </w:p>
        </w:tc>
      </w:tr>
      <w:tr w14:paraId="1084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62F285D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549" w:type="pct"/>
            <w:vAlign w:val="center"/>
          </w:tcPr>
          <w:p w14:paraId="780B4A1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847" w:type="pct"/>
            <w:vAlign w:val="center"/>
          </w:tcPr>
          <w:p w14:paraId="24A6D0F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样品要求</w:t>
            </w:r>
          </w:p>
        </w:tc>
        <w:tc>
          <w:tcPr>
            <w:tcW w:w="3334" w:type="pct"/>
            <w:vAlign w:val="center"/>
          </w:tcPr>
          <w:p w14:paraId="307915D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是否要求提交样品：</w:t>
            </w:r>
          </w:p>
          <w:p w14:paraId="631D3F6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■不要求</w:t>
            </w:r>
          </w:p>
          <w:p w14:paraId="7F83EA7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w:t>
            </w:r>
          </w:p>
          <w:p w14:paraId="714BA3A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是否要求随样品提交检测报告：</w:t>
            </w:r>
          </w:p>
          <w:p w14:paraId="0039D01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■不要求</w:t>
            </w:r>
          </w:p>
          <w:p w14:paraId="0A9E5BE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□要求：</w:t>
            </w:r>
          </w:p>
        </w:tc>
      </w:tr>
      <w:tr w14:paraId="5E05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2B9C5B5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549" w:type="pct"/>
            <w:vAlign w:val="center"/>
          </w:tcPr>
          <w:p w14:paraId="257B1AF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847" w:type="pct"/>
            <w:vAlign w:val="center"/>
          </w:tcPr>
          <w:p w14:paraId="6085DE9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构成招标文件的其他资料</w:t>
            </w:r>
          </w:p>
        </w:tc>
        <w:tc>
          <w:tcPr>
            <w:tcW w:w="3334" w:type="pct"/>
            <w:vAlign w:val="center"/>
          </w:tcPr>
          <w:p w14:paraId="377B13E2">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对招标文件作出的澄清、修改</w:t>
            </w:r>
          </w:p>
        </w:tc>
      </w:tr>
      <w:tr w14:paraId="11CFD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9F76DB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549" w:type="pct"/>
            <w:vAlign w:val="center"/>
          </w:tcPr>
          <w:p w14:paraId="3CC68F6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847" w:type="pct"/>
            <w:vAlign w:val="center"/>
          </w:tcPr>
          <w:p w14:paraId="66E1961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要求对招标文件的澄清</w:t>
            </w:r>
          </w:p>
        </w:tc>
        <w:tc>
          <w:tcPr>
            <w:tcW w:w="3334" w:type="pct"/>
            <w:vAlign w:val="center"/>
          </w:tcPr>
          <w:p w14:paraId="7CE79B7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时间：招标公告期限届满之日起七个工作日内</w:t>
            </w:r>
          </w:p>
          <w:p w14:paraId="0135684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形式：书面形式</w:t>
            </w:r>
          </w:p>
        </w:tc>
      </w:tr>
      <w:tr w14:paraId="768D9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058670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549" w:type="pct"/>
            <w:vAlign w:val="center"/>
          </w:tcPr>
          <w:p w14:paraId="6194CE27">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847" w:type="pct"/>
            <w:vAlign w:val="center"/>
          </w:tcPr>
          <w:p w14:paraId="4B302E59">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招标文件澄清发出形式</w:t>
            </w:r>
          </w:p>
        </w:tc>
        <w:tc>
          <w:tcPr>
            <w:tcW w:w="3334" w:type="pct"/>
            <w:vAlign w:val="center"/>
          </w:tcPr>
          <w:p w14:paraId="0F55BD78">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在原招标公告发布媒体上发布澄清公告</w:t>
            </w:r>
          </w:p>
        </w:tc>
      </w:tr>
      <w:tr w14:paraId="08501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14FE59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549" w:type="pct"/>
            <w:vAlign w:val="center"/>
          </w:tcPr>
          <w:p w14:paraId="43F1EDE5">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847" w:type="pct"/>
            <w:vAlign w:val="center"/>
          </w:tcPr>
          <w:p w14:paraId="496741B2">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确认收到招标文件澄清</w:t>
            </w:r>
          </w:p>
        </w:tc>
        <w:tc>
          <w:tcPr>
            <w:tcW w:w="3334" w:type="pct"/>
            <w:vAlign w:val="center"/>
          </w:tcPr>
          <w:p w14:paraId="410810D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时间：24小时</w:t>
            </w:r>
          </w:p>
          <w:p w14:paraId="3FD6E75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形式：书面形式</w:t>
            </w:r>
          </w:p>
        </w:tc>
      </w:tr>
      <w:tr w14:paraId="76A80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C427F8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549" w:type="pct"/>
            <w:vAlign w:val="center"/>
          </w:tcPr>
          <w:p w14:paraId="41DA665A">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847" w:type="pct"/>
            <w:vAlign w:val="center"/>
          </w:tcPr>
          <w:p w14:paraId="6166D59C">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招标文件修改发出的形式</w:t>
            </w:r>
          </w:p>
        </w:tc>
        <w:tc>
          <w:tcPr>
            <w:tcW w:w="3334" w:type="pct"/>
            <w:vAlign w:val="center"/>
          </w:tcPr>
          <w:p w14:paraId="7DB9131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在原招标公告发布媒体上发布澄清公告</w:t>
            </w:r>
          </w:p>
        </w:tc>
      </w:tr>
      <w:tr w14:paraId="4B87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20C093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549" w:type="pct"/>
            <w:vAlign w:val="center"/>
          </w:tcPr>
          <w:p w14:paraId="060C6606">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847" w:type="pct"/>
            <w:vAlign w:val="center"/>
          </w:tcPr>
          <w:p w14:paraId="03E659E5">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确认收到招标文件修改</w:t>
            </w:r>
          </w:p>
        </w:tc>
        <w:tc>
          <w:tcPr>
            <w:tcW w:w="3334" w:type="pct"/>
            <w:vAlign w:val="center"/>
          </w:tcPr>
          <w:p w14:paraId="6B7E4AC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时间：24小时</w:t>
            </w:r>
          </w:p>
          <w:p w14:paraId="49F3D10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形式：书面形式</w:t>
            </w:r>
          </w:p>
        </w:tc>
      </w:tr>
      <w:tr w14:paraId="268A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464F1F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549" w:type="pct"/>
            <w:vAlign w:val="center"/>
          </w:tcPr>
          <w:p w14:paraId="43B181A1">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847" w:type="pct"/>
            <w:vAlign w:val="center"/>
          </w:tcPr>
          <w:p w14:paraId="5ECE9707">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构成投标文件的其他材料</w:t>
            </w:r>
          </w:p>
        </w:tc>
        <w:tc>
          <w:tcPr>
            <w:tcW w:w="3334" w:type="pct"/>
            <w:vAlign w:val="center"/>
          </w:tcPr>
          <w:p w14:paraId="41EF2F1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在评标过程中作出的符合法律法规和招标文件规定的澄清、说明或者补正。</w:t>
            </w:r>
          </w:p>
        </w:tc>
      </w:tr>
      <w:tr w14:paraId="2E5C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C3F4DD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549" w:type="pct"/>
            <w:vAlign w:val="center"/>
          </w:tcPr>
          <w:p w14:paraId="49EB9EB4">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847" w:type="pct"/>
            <w:vAlign w:val="center"/>
          </w:tcPr>
          <w:p w14:paraId="53F9C8DF">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3334" w:type="pct"/>
            <w:vAlign w:val="center"/>
          </w:tcPr>
          <w:p w14:paraId="6D399DD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90日历天（从提交投标文件的截止之日起算）</w:t>
            </w:r>
          </w:p>
        </w:tc>
      </w:tr>
      <w:tr w14:paraId="4889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164B337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549" w:type="pct"/>
            <w:vAlign w:val="center"/>
          </w:tcPr>
          <w:p w14:paraId="22AE0C62">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w:t>
            </w:r>
          </w:p>
        </w:tc>
        <w:tc>
          <w:tcPr>
            <w:tcW w:w="847" w:type="pct"/>
            <w:vAlign w:val="center"/>
          </w:tcPr>
          <w:p w14:paraId="76CF6DDD">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3334" w:type="pct"/>
            <w:vAlign w:val="center"/>
          </w:tcPr>
          <w:p w14:paraId="6377E78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highlight w:val="none"/>
                <w:lang w:eastAsia="zh-CN"/>
              </w:rPr>
            </w:pPr>
            <w:r>
              <w:rPr>
                <w:rFonts w:hint="eastAsia" w:ascii="仿宋" w:hAnsi="仿宋" w:eastAsia="仿宋" w:cs="仿宋"/>
                <w:color w:val="auto"/>
                <w:sz w:val="24"/>
                <w:szCs w:val="24"/>
                <w:highlight w:val="none"/>
                <w:lang w:eastAsia="zh-CN"/>
              </w:rPr>
              <w:t>本项目无需缴纳投标保证金。</w:t>
            </w:r>
          </w:p>
        </w:tc>
      </w:tr>
      <w:tr w14:paraId="35DD1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409307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549" w:type="pct"/>
            <w:vAlign w:val="center"/>
          </w:tcPr>
          <w:p w14:paraId="6A72D99E">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3.5.3</w:t>
            </w:r>
          </w:p>
        </w:tc>
        <w:tc>
          <w:tcPr>
            <w:tcW w:w="847" w:type="pct"/>
            <w:vAlign w:val="center"/>
          </w:tcPr>
          <w:p w14:paraId="0D039A4C">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签章、签字或盖章要求</w:t>
            </w:r>
          </w:p>
        </w:tc>
        <w:tc>
          <w:tcPr>
            <w:tcW w:w="3334" w:type="pct"/>
            <w:vAlign w:val="center"/>
          </w:tcPr>
          <w:p w14:paraId="45A1E5EA">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在要求签章、签字或盖章处进行签章、签字或盖章，详见招标文件“第五章 投标文件格式”要求。</w:t>
            </w:r>
          </w:p>
        </w:tc>
      </w:tr>
      <w:tr w14:paraId="50A6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64E5433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549" w:type="pct"/>
            <w:vAlign w:val="center"/>
          </w:tcPr>
          <w:p w14:paraId="6E63B564">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w:t>
            </w:r>
          </w:p>
        </w:tc>
        <w:tc>
          <w:tcPr>
            <w:tcW w:w="847" w:type="pct"/>
            <w:vAlign w:val="center"/>
          </w:tcPr>
          <w:p w14:paraId="3AEAE3FC">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是否要求提交纸质版投标文件</w:t>
            </w:r>
          </w:p>
        </w:tc>
        <w:tc>
          <w:tcPr>
            <w:tcW w:w="3334" w:type="pct"/>
            <w:vAlign w:val="center"/>
          </w:tcPr>
          <w:p w14:paraId="6DE1E3A7">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■否：按“政采云”要求，上传电子投标文件（CA锁加密后上传）。</w:t>
            </w:r>
          </w:p>
          <w:p w14:paraId="1843F4D0">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tc>
      </w:tr>
      <w:tr w14:paraId="6EDA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18D572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549" w:type="pct"/>
            <w:vAlign w:val="center"/>
          </w:tcPr>
          <w:p w14:paraId="128A761B">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3.5.5</w:t>
            </w:r>
          </w:p>
        </w:tc>
        <w:tc>
          <w:tcPr>
            <w:tcW w:w="847" w:type="pct"/>
            <w:vAlign w:val="center"/>
          </w:tcPr>
          <w:p w14:paraId="4EEE9250">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是否要求提交电子版投标文件</w:t>
            </w:r>
          </w:p>
        </w:tc>
        <w:tc>
          <w:tcPr>
            <w:tcW w:w="3334" w:type="pct"/>
            <w:vAlign w:val="center"/>
          </w:tcPr>
          <w:p w14:paraId="75B6C13D">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■否</w:t>
            </w:r>
          </w:p>
          <w:p w14:paraId="32AFDDD5">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tc>
      </w:tr>
      <w:tr w14:paraId="7892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2A5EA85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2</w:t>
            </w:r>
          </w:p>
        </w:tc>
        <w:tc>
          <w:tcPr>
            <w:tcW w:w="549" w:type="pct"/>
            <w:vAlign w:val="center"/>
          </w:tcPr>
          <w:p w14:paraId="31FB62DB">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p>
        </w:tc>
        <w:tc>
          <w:tcPr>
            <w:tcW w:w="847" w:type="pct"/>
            <w:vAlign w:val="center"/>
          </w:tcPr>
          <w:p w14:paraId="25FAEEAA">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投标截止时间和投标文件递交地点</w:t>
            </w:r>
          </w:p>
        </w:tc>
        <w:tc>
          <w:tcPr>
            <w:tcW w:w="3334" w:type="pct"/>
            <w:vAlign w:val="center"/>
          </w:tcPr>
          <w:p w14:paraId="0BF94CC0">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1.投标截止时间：2025年</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日09：30（北京时间）</w:t>
            </w:r>
          </w:p>
          <w:p w14:paraId="75476EBF">
            <w:pPr>
              <w:keepNext w:val="0"/>
              <w:keepLines w:val="0"/>
              <w:pageBreakBefore w:val="0"/>
              <w:widowControl w:val="0"/>
              <w:suppressLineNumbers w:val="0"/>
              <w:kinsoku/>
              <w:wordWrap w:val="0"/>
              <w:overflowPunct/>
              <w:topLinePunct w:val="0"/>
              <w:autoSpaceDE w:val="0"/>
              <w:autoSpaceDN w:val="0"/>
              <w:bidi w:val="0"/>
              <w:adjustRightInd/>
              <w:snapToGrid/>
              <w:spacing w:before="0" w:beforeAutospacing="0" w:after="0" w:afterAutospacing="0" w:line="360" w:lineRule="auto"/>
              <w:ind w:left="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2.投标文件递交地点：政采云平台（http：//www.zcygov.cn）</w:t>
            </w:r>
          </w:p>
          <w:p w14:paraId="3F7C5ADB">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3.投标文件递交注意事项：在投标文件递交的截止时间前，需将</w:t>
            </w:r>
            <w:bookmarkStart w:id="336" w:name="_GoBack"/>
            <w:bookmarkEnd w:id="336"/>
            <w:r>
              <w:rPr>
                <w:rFonts w:hint="eastAsia" w:ascii="仿宋" w:hAnsi="仿宋" w:eastAsia="仿宋" w:cs="仿宋"/>
                <w:color w:val="auto"/>
                <w:sz w:val="24"/>
                <w:szCs w:val="24"/>
                <w:highlight w:val="none"/>
              </w:rPr>
              <w:t>投标文件递交至政采云平台（http：//www.zcygov.cn），投标人须在投标截止时间前完成所有电子投标文件的上传，网上确认电子签名，投标截止时间前未完成投标文件传输的，视为撤回投标文件。</w:t>
            </w:r>
          </w:p>
        </w:tc>
      </w:tr>
      <w:tr w14:paraId="7FAF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D6E1D8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549" w:type="pct"/>
            <w:vAlign w:val="center"/>
          </w:tcPr>
          <w:p w14:paraId="3F64D4D8">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2</w:t>
            </w:r>
          </w:p>
        </w:tc>
        <w:tc>
          <w:tcPr>
            <w:tcW w:w="847" w:type="pct"/>
            <w:vAlign w:val="center"/>
          </w:tcPr>
          <w:p w14:paraId="4739C4C6">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是否退还已递交的投标文件</w:t>
            </w:r>
          </w:p>
        </w:tc>
        <w:tc>
          <w:tcPr>
            <w:tcW w:w="3334" w:type="pct"/>
            <w:vAlign w:val="center"/>
          </w:tcPr>
          <w:p w14:paraId="2E988330">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■否</w:t>
            </w:r>
          </w:p>
          <w:p w14:paraId="73B445BA">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□是</w:t>
            </w:r>
          </w:p>
        </w:tc>
      </w:tr>
      <w:tr w14:paraId="35033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7879602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549" w:type="pct"/>
            <w:vAlign w:val="center"/>
          </w:tcPr>
          <w:p w14:paraId="7FA444FE">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847" w:type="pct"/>
            <w:vAlign w:val="center"/>
          </w:tcPr>
          <w:p w14:paraId="4F653C23">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3334" w:type="pct"/>
            <w:vAlign w:val="center"/>
          </w:tcPr>
          <w:p w14:paraId="1B15C1F3">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开标时间：2025年</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09</w:t>
            </w:r>
            <w:r>
              <w:rPr>
                <w:rFonts w:hint="eastAsia" w:ascii="仿宋" w:hAnsi="仿宋" w:eastAsia="仿宋" w:cs="仿宋"/>
                <w:color w:val="auto"/>
                <w:sz w:val="24"/>
                <w:szCs w:val="24"/>
                <w:highlight w:val="none"/>
              </w:rPr>
              <w:t>日09：30（北京时间）</w:t>
            </w:r>
          </w:p>
          <w:p w14:paraId="5A723964">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开标地点：政采云平台（http：//www.zcygov.cn）及云南中招招标有限公司会议室（云南省昆明市五华区王筇路绿地创海大厦21层）。</w:t>
            </w:r>
          </w:p>
          <w:p w14:paraId="571AF846">
            <w:pPr>
              <w:keepNext w:val="0"/>
              <w:keepLines w:val="0"/>
              <w:pageBreakBefore w:val="0"/>
              <w:suppressLineNumbers w:val="0"/>
              <w:wordWrap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注：投标人登录政采云平台（http：//www.zcygov.cn）无需到现场开标，开标结束前请勿退出系统。</w:t>
            </w:r>
          </w:p>
        </w:tc>
      </w:tr>
      <w:tr w14:paraId="4F4CD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58A0A4B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p>
        </w:tc>
        <w:tc>
          <w:tcPr>
            <w:tcW w:w="549" w:type="pct"/>
            <w:vAlign w:val="center"/>
          </w:tcPr>
          <w:p w14:paraId="1575D113">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w:t>
            </w:r>
          </w:p>
        </w:tc>
        <w:tc>
          <w:tcPr>
            <w:tcW w:w="847" w:type="pct"/>
            <w:vAlign w:val="center"/>
          </w:tcPr>
          <w:p w14:paraId="4786EC6F">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评标委员会的组建</w:t>
            </w:r>
          </w:p>
        </w:tc>
        <w:tc>
          <w:tcPr>
            <w:tcW w:w="3334" w:type="pct"/>
            <w:vAlign w:val="center"/>
          </w:tcPr>
          <w:p w14:paraId="73FCFEB7">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评标委员会构成：由采购人代表和评审专家组成，成员人数为5人及以上单数，其中评审专家不得少于成员总数的三分之二。</w:t>
            </w:r>
          </w:p>
          <w:p w14:paraId="63A0C591">
            <w:pPr>
              <w:keepNext w:val="0"/>
              <w:keepLines w:val="0"/>
              <w:pageBreakBefore w:val="0"/>
              <w:suppressLineNumbers w:val="0"/>
              <w:overflowPunct/>
              <w:topLinePunct w:val="0"/>
              <w:autoSpaceDE w:val="0"/>
              <w:autoSpaceDN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评标专家确定方式：系统随机抽取。</w:t>
            </w:r>
          </w:p>
        </w:tc>
      </w:tr>
      <w:tr w14:paraId="3BB26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6DE6BD0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6</w:t>
            </w:r>
          </w:p>
        </w:tc>
        <w:tc>
          <w:tcPr>
            <w:tcW w:w="549" w:type="pct"/>
            <w:vAlign w:val="center"/>
          </w:tcPr>
          <w:p w14:paraId="0DA48420">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w:t>
            </w:r>
          </w:p>
        </w:tc>
        <w:tc>
          <w:tcPr>
            <w:tcW w:w="847" w:type="pct"/>
            <w:vAlign w:val="center"/>
          </w:tcPr>
          <w:p w14:paraId="219DFC1B">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评标委员会推荐中标候选人的数量</w:t>
            </w:r>
          </w:p>
        </w:tc>
        <w:tc>
          <w:tcPr>
            <w:tcW w:w="3334" w:type="pct"/>
            <w:vAlign w:val="center"/>
          </w:tcPr>
          <w:p w14:paraId="0E4AE78C">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3名。</w:t>
            </w:r>
          </w:p>
        </w:tc>
      </w:tr>
      <w:tr w14:paraId="0C7C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54007B2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7</w:t>
            </w:r>
          </w:p>
        </w:tc>
        <w:tc>
          <w:tcPr>
            <w:tcW w:w="549" w:type="pct"/>
            <w:vAlign w:val="center"/>
          </w:tcPr>
          <w:p w14:paraId="2513DBF6">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847" w:type="pct"/>
            <w:vAlign w:val="center"/>
          </w:tcPr>
          <w:p w14:paraId="62CE0AD7">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是否授权评标委员会确定中标人</w:t>
            </w:r>
          </w:p>
        </w:tc>
        <w:tc>
          <w:tcPr>
            <w:tcW w:w="3334" w:type="pct"/>
            <w:vAlign w:val="center"/>
          </w:tcPr>
          <w:p w14:paraId="69295D6E">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■否</w:t>
            </w:r>
          </w:p>
          <w:p w14:paraId="40F296C7">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□是</w:t>
            </w:r>
          </w:p>
        </w:tc>
      </w:tr>
      <w:tr w14:paraId="7A4AA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EDC208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549" w:type="pct"/>
            <w:vAlign w:val="center"/>
          </w:tcPr>
          <w:p w14:paraId="3D299D0F">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847" w:type="pct"/>
            <w:vAlign w:val="center"/>
          </w:tcPr>
          <w:p w14:paraId="022FCD59">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中标公告媒体及期限</w:t>
            </w:r>
          </w:p>
        </w:tc>
        <w:tc>
          <w:tcPr>
            <w:tcW w:w="3334" w:type="pct"/>
            <w:vAlign w:val="center"/>
          </w:tcPr>
          <w:p w14:paraId="2554315F">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公告媒介：与招标公告发布媒介一致</w:t>
            </w:r>
          </w:p>
          <w:p w14:paraId="5168889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公告期限：1个工作日</w:t>
            </w:r>
          </w:p>
        </w:tc>
      </w:tr>
      <w:tr w14:paraId="0F0DF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33EE200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549" w:type="pct"/>
            <w:vAlign w:val="center"/>
          </w:tcPr>
          <w:p w14:paraId="5499D8D8">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8.5.1</w:t>
            </w:r>
          </w:p>
        </w:tc>
        <w:tc>
          <w:tcPr>
            <w:tcW w:w="847" w:type="pct"/>
            <w:vAlign w:val="center"/>
          </w:tcPr>
          <w:p w14:paraId="225BB961">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是否要求提交履约保证金</w:t>
            </w:r>
          </w:p>
        </w:tc>
        <w:tc>
          <w:tcPr>
            <w:tcW w:w="3334" w:type="pct"/>
            <w:vAlign w:val="center"/>
          </w:tcPr>
          <w:p w14:paraId="74291545">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lang w:eastAsia="zh-CN"/>
              </w:rPr>
              <w:t>□</w:t>
            </w:r>
            <w:r>
              <w:rPr>
                <w:rFonts w:hint="eastAsia" w:ascii="仿宋" w:hAnsi="仿宋" w:eastAsia="仿宋" w:cs="仿宋"/>
                <w:color w:val="auto"/>
                <w:spacing w:val="-2"/>
                <w:kern w:val="2"/>
                <w:sz w:val="24"/>
                <w:szCs w:val="24"/>
                <w:highlight w:val="none"/>
              </w:rPr>
              <w:t>不要求</w:t>
            </w:r>
          </w:p>
          <w:p w14:paraId="76D9A531">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■要求：中标人向采购人提交项目采购预算总额（2年）的</w:t>
            </w:r>
            <w:r>
              <w:rPr>
                <w:rFonts w:hint="eastAsia" w:ascii="仿宋" w:hAnsi="仿宋" w:eastAsia="仿宋" w:cs="仿宋"/>
                <w:color w:val="auto"/>
                <w:spacing w:val="-2"/>
                <w:kern w:val="2"/>
                <w:sz w:val="24"/>
                <w:szCs w:val="24"/>
                <w:highlight w:val="none"/>
                <w:lang w:val="en-US" w:eastAsia="zh-CN"/>
              </w:rPr>
              <w:t>5</w:t>
            </w:r>
            <w:r>
              <w:rPr>
                <w:rFonts w:hint="eastAsia" w:ascii="仿宋" w:hAnsi="仿宋" w:eastAsia="仿宋" w:cs="仿宋"/>
                <w:color w:val="auto"/>
                <w:spacing w:val="-2"/>
                <w:kern w:val="2"/>
                <w:sz w:val="24"/>
                <w:szCs w:val="24"/>
                <w:highlight w:val="none"/>
              </w:rPr>
              <w:t>%作为履约保证金，履约保证金由采购人代管，待合同期满后如无违约情况，则全额无息退还。</w:t>
            </w:r>
          </w:p>
        </w:tc>
      </w:tr>
      <w:tr w14:paraId="38AF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Align w:val="center"/>
          </w:tcPr>
          <w:p w14:paraId="0FEB391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0</w:t>
            </w:r>
          </w:p>
        </w:tc>
        <w:tc>
          <w:tcPr>
            <w:tcW w:w="549" w:type="pct"/>
            <w:vAlign w:val="center"/>
          </w:tcPr>
          <w:p w14:paraId="148A128C">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847" w:type="pct"/>
            <w:vAlign w:val="center"/>
          </w:tcPr>
          <w:p w14:paraId="574DBB10">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是否采用电子化招标投标</w:t>
            </w:r>
          </w:p>
        </w:tc>
        <w:tc>
          <w:tcPr>
            <w:tcW w:w="3334" w:type="pct"/>
            <w:vAlign w:val="center"/>
          </w:tcPr>
          <w:p w14:paraId="7AF0B897">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□否：本项目非电子化招投标项目，投标人无需遵照招标文件中有关电子化招标投标的内容及规定。</w:t>
            </w:r>
          </w:p>
          <w:p w14:paraId="08EBFA1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■是：需遵循电子化招标投标相关规定。</w:t>
            </w:r>
          </w:p>
        </w:tc>
      </w:tr>
      <w:tr w14:paraId="5556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Merge w:val="restart"/>
            <w:vAlign w:val="center"/>
          </w:tcPr>
          <w:p w14:paraId="08C8E2F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w:t>
            </w:r>
          </w:p>
        </w:tc>
        <w:tc>
          <w:tcPr>
            <w:tcW w:w="549" w:type="pct"/>
            <w:vMerge w:val="restart"/>
            <w:vAlign w:val="center"/>
          </w:tcPr>
          <w:p w14:paraId="1122AFF2">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p>
        </w:tc>
        <w:tc>
          <w:tcPr>
            <w:tcW w:w="4182" w:type="pct"/>
            <w:gridSpan w:val="2"/>
            <w:vAlign w:val="center"/>
          </w:tcPr>
          <w:p w14:paraId="57FC914E">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需要补充的其他内容</w:t>
            </w:r>
          </w:p>
        </w:tc>
      </w:tr>
      <w:tr w14:paraId="0D62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Merge w:val="continue"/>
            <w:vAlign w:val="center"/>
          </w:tcPr>
          <w:p w14:paraId="200E307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549" w:type="pct"/>
            <w:vMerge w:val="continue"/>
            <w:vAlign w:val="center"/>
          </w:tcPr>
          <w:p w14:paraId="02F7DC70">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847" w:type="pct"/>
            <w:vAlign w:val="center"/>
          </w:tcPr>
          <w:p w14:paraId="5A8120F3">
            <w:pPr>
              <w:pStyle w:val="95"/>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落实政府采购政策</w:t>
            </w:r>
          </w:p>
        </w:tc>
        <w:tc>
          <w:tcPr>
            <w:tcW w:w="3334" w:type="pct"/>
            <w:vAlign w:val="center"/>
          </w:tcPr>
          <w:p w14:paraId="6DE2DBEC">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bCs/>
                <w:color w:val="auto"/>
                <w:spacing w:val="-2"/>
                <w:kern w:val="2"/>
                <w:sz w:val="24"/>
                <w:szCs w:val="24"/>
                <w:highlight w:val="none"/>
              </w:rPr>
            </w:pPr>
            <w:r>
              <w:rPr>
                <w:rFonts w:hint="eastAsia" w:ascii="仿宋" w:hAnsi="仿宋" w:eastAsia="仿宋" w:cs="仿宋"/>
                <w:b/>
                <w:bCs/>
                <w:color w:val="auto"/>
                <w:spacing w:val="-2"/>
                <w:kern w:val="2"/>
                <w:sz w:val="24"/>
                <w:szCs w:val="24"/>
                <w:highlight w:val="none"/>
              </w:rPr>
              <w:t>1、小型和微型企业价格扣除评分优惠政策</w:t>
            </w:r>
          </w:p>
          <w:p w14:paraId="090DF4F4">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是否适用于本项目：■适用 □不适用。</w:t>
            </w:r>
          </w:p>
          <w:p w14:paraId="00CD79CB">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根据《财政部关于进一步加大政府采购支持中小企业力度的通知》（财库〔2022〕19号），当对符合规定的小微企业报价给予10%的扣除；对大中型企业与小微企业组成联合体的，对于联合协议约定小微企业的合同份额占到合同总金额30%以上的，对联合体或者大中型企业的报价给予4%的扣除，用扣除后的价格参加评审。</w:t>
            </w:r>
          </w:p>
          <w:p w14:paraId="689465B8">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本项目采购标的对应所属行业为：</w:t>
            </w:r>
            <w:r>
              <w:rPr>
                <w:rFonts w:hint="eastAsia" w:ascii="仿宋" w:hAnsi="仿宋" w:eastAsia="仿宋" w:cs="仿宋"/>
                <w:color w:val="auto"/>
                <w:spacing w:val="-2"/>
                <w:kern w:val="2"/>
                <w:sz w:val="24"/>
                <w:szCs w:val="24"/>
                <w:highlight w:val="none"/>
                <w:u w:val="single"/>
                <w:lang w:val="en-US" w:eastAsia="zh-CN"/>
              </w:rPr>
              <w:t>租赁和商务服务业</w:t>
            </w:r>
            <w:r>
              <w:rPr>
                <w:rFonts w:hint="eastAsia" w:ascii="仿宋" w:hAnsi="仿宋" w:eastAsia="仿宋" w:cs="仿宋"/>
                <w:color w:val="auto"/>
                <w:spacing w:val="-2"/>
                <w:kern w:val="2"/>
                <w:sz w:val="24"/>
                <w:szCs w:val="24"/>
                <w:highlight w:val="none"/>
              </w:rPr>
              <w:t>。参照《关于印发中小企业划型标准规定的通知》（工信部联企业〔2011〕300号）。</w:t>
            </w:r>
          </w:p>
          <w:p w14:paraId="07378B6F">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各行业划型标准为：</w:t>
            </w:r>
          </w:p>
          <w:p w14:paraId="508B88A9">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1)农、林、牧、渔业。营业收入20000万元以下的为中小微型企业。其中，营业收入500万元及以上的为中型企业，营业收入50万元及以上的为小型企业，营业收入50万元以下的为微型企业。</w:t>
            </w:r>
          </w:p>
          <w:p w14:paraId="5ED5C6F5">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776FE77">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0ABD551">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9969D15">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6B89327">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76CF346">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9894788">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7F4422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7FE79EA">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E1079E">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5F3B60">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32E5482">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3D20D72">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8435E4A">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C8FA2A8">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16）其他未列明行业。从业人员300人以下的为中小微型企业。其中，从业人员100人及以上的为中型企业;从业人员10人及以上的为小型企业;从业人员10人以下的为微型企业。</w:t>
            </w:r>
          </w:p>
          <w:p w14:paraId="66F5C8B9">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注：中小企业提供本企业制造的货物参与招标响应时，须提供本企业的《中小企业声明函》；中小企业提供其他中小企业制造的货物参与招标响应时，还须同时提供货物制造企业的《中小企业声明函》。《中小企业声明函》格式详见招标文件第七章 附件</w:t>
            </w:r>
          </w:p>
          <w:p w14:paraId="7146EA78">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bCs/>
                <w:color w:val="auto"/>
                <w:spacing w:val="-2"/>
                <w:kern w:val="2"/>
                <w:sz w:val="24"/>
                <w:szCs w:val="24"/>
                <w:highlight w:val="none"/>
              </w:rPr>
            </w:pPr>
            <w:r>
              <w:rPr>
                <w:rFonts w:hint="eastAsia" w:ascii="仿宋" w:hAnsi="仿宋" w:eastAsia="仿宋" w:cs="仿宋"/>
                <w:b/>
                <w:bCs/>
                <w:color w:val="auto"/>
                <w:spacing w:val="-2"/>
                <w:kern w:val="2"/>
                <w:sz w:val="24"/>
                <w:szCs w:val="24"/>
                <w:highlight w:val="none"/>
              </w:rPr>
              <w:t>2、监狱企业价格扣除评分优惠政策</w:t>
            </w:r>
          </w:p>
          <w:p w14:paraId="3EF10617">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是否适用于本项目：■适用 □不适用。</w:t>
            </w:r>
          </w:p>
          <w:p w14:paraId="77EBC95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根据《关于政府采购支持监狱企业发展有关问题的通知》（财库〔2014〕68号）的规定，监狱企业参与本项目投标时，视同小型、微型企业享受价格扣除等优惠政策。</w:t>
            </w:r>
          </w:p>
          <w:p w14:paraId="08CBD6D0">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注：监狱企业参加政府采购活动时，应当提供由省级以上监狱管理局、戒毒管理局(含新疆生产建设兵团)出具的属于监狱企业的证明文件。</w:t>
            </w:r>
          </w:p>
          <w:p w14:paraId="570912B2">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bCs/>
                <w:color w:val="auto"/>
                <w:spacing w:val="-2"/>
                <w:kern w:val="2"/>
                <w:sz w:val="24"/>
                <w:szCs w:val="24"/>
                <w:highlight w:val="none"/>
              </w:rPr>
            </w:pPr>
            <w:r>
              <w:rPr>
                <w:rFonts w:hint="eastAsia" w:ascii="仿宋" w:hAnsi="仿宋" w:eastAsia="仿宋" w:cs="仿宋"/>
                <w:b/>
                <w:bCs/>
                <w:color w:val="auto"/>
                <w:spacing w:val="-2"/>
                <w:kern w:val="2"/>
                <w:sz w:val="24"/>
                <w:szCs w:val="24"/>
                <w:highlight w:val="none"/>
              </w:rPr>
              <w:t>3、残疾人福利性单位价格扣除优惠政策</w:t>
            </w:r>
          </w:p>
          <w:p w14:paraId="7AAE054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是否适用于本项目：■适用 □不适用。</w:t>
            </w:r>
          </w:p>
          <w:p w14:paraId="17ABC5A2">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根据《关于促进残疾人就业政府采购政策的通知》（财库〔2017〕141号）的规定，残疾人福利性单位参与本项目投标时，视同小型、微型企业享受价格扣除等优惠政策。</w:t>
            </w:r>
          </w:p>
          <w:p w14:paraId="1B82DD0D">
            <w:pPr>
              <w:pStyle w:val="95"/>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color w:val="auto"/>
                <w:spacing w:val="-2"/>
                <w:kern w:val="2"/>
                <w:sz w:val="24"/>
                <w:szCs w:val="24"/>
                <w:highlight w:val="none"/>
              </w:rPr>
            </w:pPr>
            <w:r>
              <w:rPr>
                <w:rFonts w:hint="eastAsia" w:ascii="仿宋" w:hAnsi="仿宋" w:eastAsia="仿宋" w:cs="仿宋"/>
                <w:color w:val="auto"/>
                <w:spacing w:val="-2"/>
                <w:kern w:val="2"/>
                <w:sz w:val="24"/>
                <w:szCs w:val="24"/>
                <w:highlight w:val="none"/>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残疾人福利性单位声明函》格式详见招标文件第七章附件。</w:t>
            </w:r>
          </w:p>
        </w:tc>
      </w:tr>
      <w:tr w14:paraId="324E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Merge w:val="continue"/>
            <w:vAlign w:val="center"/>
          </w:tcPr>
          <w:p w14:paraId="46D4828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549" w:type="pct"/>
            <w:vMerge w:val="continue"/>
            <w:vAlign w:val="center"/>
          </w:tcPr>
          <w:p w14:paraId="0E6B78F3">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847" w:type="pct"/>
            <w:vAlign w:val="center"/>
          </w:tcPr>
          <w:p w14:paraId="042EF31F">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追加合同金额</w:t>
            </w:r>
          </w:p>
        </w:tc>
        <w:tc>
          <w:tcPr>
            <w:tcW w:w="3334" w:type="pct"/>
            <w:vAlign w:val="center"/>
          </w:tcPr>
          <w:p w14:paraId="7526E4A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shd w:val="clear" w:color="auto" w:fill="FFFFFF"/>
              </w:rPr>
              <w:t>合同履行中，采购人需追加与合同标的相同的货物、工程或者服务的，在不改变合同其他条款的前提下，可以与</w:t>
            </w:r>
            <w:r>
              <w:rPr>
                <w:rFonts w:hint="eastAsia" w:ascii="仿宋" w:hAnsi="仿宋" w:eastAsia="仿宋" w:cs="仿宋"/>
                <w:color w:val="auto"/>
                <w:sz w:val="24"/>
                <w:szCs w:val="24"/>
                <w:highlight w:val="none"/>
                <w:shd w:val="clear" w:color="auto" w:fill="FFFFFF"/>
                <w:lang w:eastAsia="zh-CN"/>
              </w:rPr>
              <w:t>投标人</w:t>
            </w:r>
            <w:r>
              <w:rPr>
                <w:rFonts w:hint="eastAsia" w:ascii="仿宋" w:hAnsi="仿宋" w:eastAsia="仿宋" w:cs="仿宋"/>
                <w:color w:val="auto"/>
                <w:sz w:val="24"/>
                <w:szCs w:val="24"/>
                <w:highlight w:val="none"/>
                <w:shd w:val="clear" w:color="auto" w:fill="FFFFFF"/>
              </w:rPr>
              <w:t>协商签订补充合同，但所有补充合同的采购金额不得超过原合同采购金额的百分之十。</w:t>
            </w:r>
          </w:p>
        </w:tc>
      </w:tr>
      <w:tr w14:paraId="7875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8" w:type="pct"/>
            <w:vMerge w:val="continue"/>
            <w:vAlign w:val="center"/>
          </w:tcPr>
          <w:p w14:paraId="3D24113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549" w:type="pct"/>
            <w:vMerge w:val="continue"/>
            <w:vAlign w:val="center"/>
          </w:tcPr>
          <w:p w14:paraId="0E02FEC2">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847" w:type="pct"/>
            <w:vAlign w:val="center"/>
          </w:tcPr>
          <w:p w14:paraId="7EB7D20C">
            <w:pPr>
              <w:keepNext w:val="0"/>
              <w:keepLines w:val="0"/>
              <w:pageBreakBefore w:val="0"/>
              <w:suppressLineNumbers w:val="0"/>
              <w:shd w:val="clear" w:color="auto" w:fill="FFFFFF"/>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本项目支付方式及具体要求</w:t>
            </w:r>
          </w:p>
        </w:tc>
        <w:tc>
          <w:tcPr>
            <w:tcW w:w="3334" w:type="pct"/>
            <w:vAlign w:val="center"/>
          </w:tcPr>
          <w:p w14:paraId="55B663A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具体详见第“第四章 合同基本条款及格式”。</w:t>
            </w:r>
          </w:p>
        </w:tc>
      </w:tr>
    </w:tbl>
    <w:p w14:paraId="7FBF98C4">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bookmarkStart w:id="45" w:name="_Toc19415"/>
      <w:bookmarkStart w:id="46" w:name="_Toc140564998"/>
      <w:bookmarkStart w:id="47" w:name="_Toc28867"/>
      <w:bookmarkStart w:id="48" w:name="_Toc140565220"/>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须知正文</w:t>
      </w:r>
      <w:bookmarkEnd w:id="45"/>
      <w:bookmarkEnd w:id="46"/>
      <w:bookmarkEnd w:id="47"/>
      <w:bookmarkEnd w:id="48"/>
    </w:p>
    <w:p w14:paraId="099FC405">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49" w:name="_Toc6882"/>
      <w:bookmarkStart w:id="50" w:name="_Toc140564999"/>
      <w:bookmarkStart w:id="51" w:name="_Toc3736"/>
      <w:bookmarkStart w:id="52" w:name="_Toc140565221"/>
      <w:r>
        <w:rPr>
          <w:rFonts w:hint="eastAsia" w:ascii="仿宋" w:hAnsi="仿宋" w:eastAsia="仿宋" w:cs="仿宋"/>
          <w:color w:val="auto"/>
          <w:sz w:val="28"/>
          <w:szCs w:val="28"/>
          <w:highlight w:val="none"/>
        </w:rPr>
        <w:t>1、总则</w:t>
      </w:r>
      <w:bookmarkEnd w:id="49"/>
      <w:bookmarkEnd w:id="50"/>
      <w:bookmarkEnd w:id="51"/>
      <w:bookmarkEnd w:id="52"/>
    </w:p>
    <w:p w14:paraId="433D0417">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53" w:name="_Toc9298"/>
      <w:bookmarkStart w:id="54" w:name="_Toc597"/>
      <w:bookmarkStart w:id="55" w:name="_Toc18656"/>
      <w:bookmarkStart w:id="56" w:name="_Toc140565000"/>
      <w:r>
        <w:rPr>
          <w:rFonts w:hint="eastAsia" w:ascii="仿宋" w:hAnsi="仿宋" w:eastAsia="仿宋" w:cs="仿宋"/>
          <w:color w:val="auto"/>
          <w:sz w:val="24"/>
          <w:szCs w:val="24"/>
          <w:highlight w:val="none"/>
        </w:rPr>
        <w:t>1.1项目概况</w:t>
      </w:r>
      <w:bookmarkEnd w:id="53"/>
      <w:bookmarkEnd w:id="54"/>
      <w:bookmarkEnd w:id="55"/>
      <w:bookmarkEnd w:id="56"/>
    </w:p>
    <w:p w14:paraId="66D96F31">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1.1.1项目名称：详见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2B76B6B3">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1.1.2项目编号：详见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65D7C1AF">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1.1.3采购人：详见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21F567D">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1.1.4采购代理机构：详见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6589DD55">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1.1.5采购需求：详见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9713AFE">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1.1.6合同履行期限：详见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6EE9F451">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1.1.7服务地点：详见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642E14F">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1.1.8项目范围：详见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D8E93B8">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1.1.9服务质量要求：详见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2D68FC2B">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57" w:name="_Toc16214"/>
      <w:bookmarkStart w:id="58" w:name="_Toc25412"/>
      <w:bookmarkStart w:id="59" w:name="_Toc16635"/>
      <w:bookmarkStart w:id="60" w:name="_Toc140565001"/>
      <w:r>
        <w:rPr>
          <w:rFonts w:hint="eastAsia" w:ascii="仿宋" w:hAnsi="仿宋" w:eastAsia="仿宋" w:cs="仿宋"/>
          <w:color w:val="auto"/>
          <w:sz w:val="24"/>
          <w:szCs w:val="24"/>
          <w:highlight w:val="none"/>
        </w:rPr>
        <w:t>1.2资金落实情况、采购预算及最高限价</w:t>
      </w:r>
      <w:bookmarkEnd w:id="57"/>
      <w:bookmarkEnd w:id="58"/>
      <w:bookmarkEnd w:id="59"/>
      <w:bookmarkEnd w:id="60"/>
    </w:p>
    <w:p w14:paraId="4FA1D964">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1.2.1资金落实情况：详见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5A3FE1DB">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1.2.2采购预算：详见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4F83E120">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1.2.3最高限价：详见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2A61A8AD">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61" w:name="_Toc6169"/>
      <w:bookmarkStart w:id="62" w:name="_Toc3928"/>
      <w:bookmarkStart w:id="63" w:name="_Toc32366"/>
      <w:bookmarkStart w:id="64" w:name="_Toc140565002"/>
      <w:r>
        <w:rPr>
          <w:rFonts w:hint="eastAsia" w:ascii="仿宋" w:hAnsi="仿宋" w:eastAsia="仿宋" w:cs="仿宋"/>
          <w:color w:val="auto"/>
          <w:sz w:val="24"/>
          <w:szCs w:val="24"/>
          <w:highlight w:val="none"/>
        </w:rPr>
        <w:t>1.3投标需要承担的费用及风险</w:t>
      </w:r>
      <w:bookmarkEnd w:id="61"/>
      <w:bookmarkEnd w:id="62"/>
      <w:bookmarkEnd w:id="63"/>
      <w:bookmarkEnd w:id="64"/>
    </w:p>
    <w:p w14:paraId="7CDF2523">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应承担所有与编写和递交投标文件有关的费用，不论投标的结果如何，采购人或采购代理机构在任何情况下均无义务和责任承担这些费用。</w:t>
      </w:r>
    </w:p>
    <w:p w14:paraId="3F53E952">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1.3.2中标服务费：详见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48856D6">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1.3.3投标风险承担：由于投标给</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造成的人身伤害或财产损失的，由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3EA976D7">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65" w:name="_Toc10141"/>
      <w:bookmarkStart w:id="66" w:name="_Toc12083"/>
      <w:bookmarkStart w:id="67" w:name="_Toc17248"/>
      <w:bookmarkStart w:id="68" w:name="_Toc140565003"/>
      <w:r>
        <w:rPr>
          <w:rFonts w:hint="eastAsia" w:ascii="仿宋" w:hAnsi="仿宋" w:eastAsia="仿宋" w:cs="仿宋"/>
          <w:color w:val="auto"/>
          <w:sz w:val="24"/>
          <w:szCs w:val="24"/>
          <w:highlight w:val="none"/>
        </w:rPr>
        <w:t>1.4对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的要求</w:t>
      </w:r>
      <w:bookmarkEnd w:id="65"/>
      <w:bookmarkEnd w:id="66"/>
      <w:bookmarkEnd w:id="67"/>
      <w:bookmarkEnd w:id="68"/>
    </w:p>
    <w:p w14:paraId="09D70D12">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的资格要求：详见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7F04B76B">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1.4.2是否接受联合体投标：详见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w:t>
      </w:r>
    </w:p>
    <w:p w14:paraId="1DD714FD">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存在下列情况之一的，投标无效：</w:t>
      </w:r>
    </w:p>
    <w:p w14:paraId="57AB71BB">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（1）投标文件未按招标文件要求签署、盖章的；</w:t>
      </w:r>
    </w:p>
    <w:p w14:paraId="5FCC7BAF">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（2）不具备招标文件中规定的资格要求的；</w:t>
      </w:r>
    </w:p>
    <w:p w14:paraId="257D4162">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（3）报价超过招标文件中规定的预算金额或者最高限价的；</w:t>
      </w:r>
    </w:p>
    <w:p w14:paraId="72081471">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（4）投标文件含有采购人不能接受的附加条件的；</w:t>
      </w:r>
    </w:p>
    <w:p w14:paraId="5143F5C7">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（5）法律、法规和招标文件规定的其他无效情形。</w:t>
      </w:r>
    </w:p>
    <w:p w14:paraId="00A65432">
      <w:pPr>
        <w:pageBreakBefore w:val="0"/>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1.4.4有下列情形之一的，视为</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串通投标，其投标无效：</w:t>
      </w:r>
    </w:p>
    <w:p w14:paraId="4A89F5C4">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（1）不同投标人的投标文件由同一单位或者个人编制；</w:t>
      </w:r>
    </w:p>
    <w:p w14:paraId="0B7D3D32">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（2）不同投标人委托同一单位或者个人办理投标事宜；</w:t>
      </w:r>
    </w:p>
    <w:p w14:paraId="3EE1D30C">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（3）不同投标人的投标文件载明的项目管理成员或者联系人员为同一人；</w:t>
      </w:r>
    </w:p>
    <w:p w14:paraId="46CAA141">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（4）不同投标人的投标文件异常一致或投标报价呈规律性差异；</w:t>
      </w:r>
    </w:p>
    <w:p w14:paraId="255EE561">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（5）不同投标人的投标文件相互混装。</w:t>
      </w:r>
    </w:p>
    <w:p w14:paraId="454B5D10">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69" w:name="_Toc140565004"/>
      <w:bookmarkStart w:id="70" w:name="_Toc29688"/>
      <w:bookmarkStart w:id="71" w:name="_Toc8915"/>
      <w:bookmarkStart w:id="72" w:name="_Toc28971"/>
      <w:r>
        <w:rPr>
          <w:rFonts w:hint="eastAsia" w:ascii="仿宋" w:hAnsi="仿宋" w:eastAsia="仿宋" w:cs="仿宋"/>
          <w:color w:val="auto"/>
          <w:sz w:val="24"/>
          <w:szCs w:val="24"/>
          <w:highlight w:val="none"/>
        </w:rPr>
        <w:t>1.5保密</w:t>
      </w:r>
      <w:bookmarkEnd w:id="69"/>
      <w:bookmarkEnd w:id="70"/>
      <w:bookmarkEnd w:id="71"/>
      <w:bookmarkEnd w:id="72"/>
    </w:p>
    <w:p w14:paraId="3C9DCCC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参与本次采购活动的各方应对招标文件和投标文件中的商业和技术等秘密保密，违者应对由此造成的后果承担法律责任。</w:t>
      </w:r>
    </w:p>
    <w:p w14:paraId="7A61C0A8">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73" w:name="_Toc20320"/>
      <w:bookmarkStart w:id="74" w:name="_Toc140565005"/>
      <w:bookmarkStart w:id="75" w:name="_Toc4889"/>
      <w:bookmarkStart w:id="76" w:name="_Toc18197"/>
      <w:r>
        <w:rPr>
          <w:rFonts w:hint="eastAsia" w:ascii="仿宋" w:hAnsi="仿宋" w:eastAsia="仿宋" w:cs="仿宋"/>
          <w:color w:val="auto"/>
          <w:sz w:val="24"/>
          <w:szCs w:val="24"/>
          <w:highlight w:val="none"/>
        </w:rPr>
        <w:t>1.6语言文字</w:t>
      </w:r>
      <w:bookmarkEnd w:id="73"/>
      <w:bookmarkEnd w:id="74"/>
      <w:bookmarkEnd w:id="75"/>
      <w:bookmarkEnd w:id="76"/>
    </w:p>
    <w:p w14:paraId="71B0B0D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提交的投标文件以及</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与云南中招招标有限公司就有关投标的所有来往函电均应使用中文。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可以提交用其他语言的资料，但有关的段落必须翻译成中文，在有差异和矛盾时以中文为准。字体要便于辨识，以正楷、宋体为好。</w:t>
      </w:r>
    </w:p>
    <w:p w14:paraId="4D3D7E5C">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用非中文版印刷的服务说明书、技术资料、资格资质证书等，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应提供符合中国有关法律、法规的中文译本，并以采购人最终确认的中文译本为准。</w:t>
      </w:r>
    </w:p>
    <w:p w14:paraId="25ED77CA">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77" w:name="_Toc7981"/>
      <w:bookmarkStart w:id="78" w:name="_Toc29489"/>
      <w:bookmarkStart w:id="79" w:name="_Toc20603"/>
      <w:bookmarkStart w:id="80" w:name="_Toc140565006"/>
      <w:r>
        <w:rPr>
          <w:rFonts w:hint="eastAsia" w:ascii="仿宋" w:hAnsi="仿宋" w:eastAsia="仿宋" w:cs="仿宋"/>
          <w:color w:val="auto"/>
          <w:sz w:val="24"/>
          <w:szCs w:val="24"/>
          <w:highlight w:val="none"/>
        </w:rPr>
        <w:t>1.7计量单位</w:t>
      </w:r>
      <w:bookmarkEnd w:id="77"/>
      <w:bookmarkEnd w:id="78"/>
      <w:bookmarkEnd w:id="79"/>
      <w:bookmarkEnd w:id="80"/>
    </w:p>
    <w:p w14:paraId="37BF13EC">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投标文件中所使用的度量衡单位，除招标文件中有特殊要求外，一律用公制。</w:t>
      </w:r>
    </w:p>
    <w:p w14:paraId="6E99E59C">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81" w:name="_Toc25147"/>
      <w:bookmarkStart w:id="82" w:name="_Toc24261"/>
      <w:bookmarkStart w:id="83" w:name="_Toc16208"/>
      <w:bookmarkStart w:id="84" w:name="_Toc140565007"/>
      <w:r>
        <w:rPr>
          <w:rFonts w:hint="eastAsia" w:ascii="仿宋" w:hAnsi="仿宋" w:eastAsia="仿宋" w:cs="仿宋"/>
          <w:color w:val="auto"/>
          <w:sz w:val="24"/>
          <w:szCs w:val="24"/>
          <w:highlight w:val="none"/>
        </w:rPr>
        <w:t>1.8现场踏勘</w:t>
      </w:r>
      <w:bookmarkEnd w:id="81"/>
      <w:bookmarkEnd w:id="82"/>
      <w:bookmarkEnd w:id="83"/>
      <w:bookmarkEnd w:id="84"/>
    </w:p>
    <w:p w14:paraId="501A1CC8">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1.8.1采购人是否组织现场踏勘：详见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须知前附表。如采购人组织现场踏勘，</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4FCE33D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须知前附表规定的时间和地点到现场进行踏勘；</w:t>
      </w:r>
    </w:p>
    <w:p w14:paraId="1E6AB52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现场踏勘所发生的费用由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1F14154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（3）除采购人原因外，由于现场踏勘给</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造成的人身伤害或财产损失的，由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16D3240C">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（4）采购人不对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据此作出的判断和决策负责。</w:t>
      </w:r>
    </w:p>
    <w:p w14:paraId="4BA09F01">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85" w:name="_Toc140565008"/>
      <w:bookmarkStart w:id="86" w:name="_Toc10558"/>
      <w:bookmarkStart w:id="87" w:name="_Toc26419"/>
      <w:bookmarkStart w:id="88" w:name="_Toc4299"/>
      <w:r>
        <w:rPr>
          <w:rFonts w:hint="eastAsia" w:ascii="仿宋" w:hAnsi="仿宋" w:eastAsia="仿宋" w:cs="仿宋"/>
          <w:color w:val="auto"/>
          <w:sz w:val="24"/>
          <w:szCs w:val="24"/>
          <w:highlight w:val="none"/>
        </w:rPr>
        <w:t>1.9招标答疑会</w:t>
      </w:r>
      <w:bookmarkEnd w:id="85"/>
      <w:bookmarkEnd w:id="86"/>
      <w:bookmarkEnd w:id="87"/>
      <w:bookmarkEnd w:id="88"/>
    </w:p>
    <w:p w14:paraId="042A08A4">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1.9.1采购人是否召开答疑会：详见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须知前附表。如采购人召开答疑会的，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46C30B5B">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须知前附表规定的时间和形式将提出的问题送达采购人，以便采购人在会议期间澄清；</w:t>
      </w:r>
    </w:p>
    <w:p w14:paraId="3CAA72BC">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不得以任何形式扰乱答疑会秩序。</w:t>
      </w:r>
    </w:p>
    <w:p w14:paraId="0275F956">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1.9.2采购人对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提出问题的澄清，以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须知前附表规定的形式通知所有登记参与本项目的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，该澄清内容为招标文件的组成部分。</w:t>
      </w:r>
    </w:p>
    <w:p w14:paraId="4070A61F">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89" w:name="_Toc140565009"/>
      <w:bookmarkStart w:id="90" w:name="_Toc4986"/>
      <w:bookmarkStart w:id="91" w:name="_Toc29178"/>
      <w:bookmarkStart w:id="92" w:name="_Toc3362"/>
      <w:r>
        <w:rPr>
          <w:rFonts w:hint="eastAsia" w:ascii="仿宋" w:hAnsi="仿宋" w:eastAsia="仿宋" w:cs="仿宋"/>
          <w:color w:val="auto"/>
          <w:sz w:val="24"/>
          <w:szCs w:val="24"/>
          <w:highlight w:val="none"/>
        </w:rPr>
        <w:t>1.10分包</w:t>
      </w:r>
      <w:bookmarkEnd w:id="89"/>
      <w:bookmarkEnd w:id="90"/>
      <w:bookmarkEnd w:id="91"/>
      <w:bookmarkEnd w:id="92"/>
    </w:p>
    <w:p w14:paraId="41EB5692">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1.10.1采购人是否允许分包：详见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须知前附表。如采购人允许分包的，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应遵守如下规定：</w:t>
      </w:r>
    </w:p>
    <w:p w14:paraId="1F8BB75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拟在中标后将中标项目的非主体、非关键性工作分包的，应当在投标文件中载明分包承担主体，分包承担主体应当具备相应资质条件且不得再次分包；</w:t>
      </w:r>
    </w:p>
    <w:p w14:paraId="25A1BE5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（2）除</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须知前附表规定的非主体、非关键性工作外的其他工作不得分包。</w:t>
      </w:r>
    </w:p>
    <w:p w14:paraId="68B3C803">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93" w:name="_Toc14943"/>
      <w:bookmarkStart w:id="94" w:name="_Toc29404"/>
      <w:bookmarkStart w:id="95" w:name="_Toc140565010"/>
      <w:bookmarkStart w:id="96" w:name="_Toc5316"/>
      <w:r>
        <w:rPr>
          <w:rFonts w:hint="eastAsia" w:ascii="仿宋" w:hAnsi="仿宋" w:eastAsia="仿宋" w:cs="仿宋"/>
          <w:color w:val="auto"/>
          <w:sz w:val="24"/>
          <w:szCs w:val="24"/>
          <w:highlight w:val="none"/>
        </w:rPr>
        <w:t>1.11样品</w:t>
      </w:r>
      <w:bookmarkEnd w:id="93"/>
      <w:bookmarkEnd w:id="94"/>
      <w:bookmarkEnd w:id="95"/>
      <w:bookmarkEnd w:id="96"/>
    </w:p>
    <w:p w14:paraId="169A49B2">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1.11.1采购人是否要求提供样品：详见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须知前附表。如采购人要求提供样品的，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须知前附表要求提交。</w:t>
      </w:r>
    </w:p>
    <w:p w14:paraId="1F54C387">
      <w:pPr>
        <w:pageBreakBefore w:val="0"/>
        <w:overflowPunct/>
        <w:topLinePunct w:val="0"/>
        <w:bidi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1.11.2采购人是否要求随样品提交检测报告：详见</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须知前附表。如采购人要求随样品提交检测报告的，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须知前附表要求提交。</w:t>
      </w:r>
    </w:p>
    <w:p w14:paraId="6563EE63">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97" w:name="_Toc18780"/>
      <w:bookmarkStart w:id="98" w:name="_Toc140565011"/>
      <w:bookmarkStart w:id="99" w:name="_Toc23774"/>
      <w:bookmarkStart w:id="100" w:name="_Toc17334"/>
      <w:r>
        <w:rPr>
          <w:rFonts w:hint="eastAsia" w:ascii="仿宋" w:hAnsi="仿宋" w:eastAsia="仿宋" w:cs="仿宋"/>
          <w:color w:val="auto"/>
          <w:sz w:val="24"/>
          <w:szCs w:val="24"/>
          <w:highlight w:val="none"/>
        </w:rPr>
        <w:t>1.12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须知前附表中的符号定义</w:t>
      </w:r>
      <w:bookmarkEnd w:id="97"/>
      <w:bookmarkEnd w:id="98"/>
      <w:bookmarkEnd w:id="99"/>
      <w:bookmarkEnd w:id="100"/>
    </w:p>
    <w:p w14:paraId="020967AA">
      <w:pPr>
        <w:pageBreakBefore w:val="0"/>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“■”代表选择，“□”代表未选择。</w:t>
      </w:r>
    </w:p>
    <w:p w14:paraId="0EF93DF9">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01" w:name="_Toc26600"/>
      <w:bookmarkStart w:id="102" w:name="_Toc6125"/>
      <w:bookmarkStart w:id="103" w:name="_Toc140565222"/>
      <w:bookmarkStart w:id="104" w:name="_Toc140565012"/>
      <w:r>
        <w:rPr>
          <w:rFonts w:hint="eastAsia" w:ascii="仿宋" w:hAnsi="仿宋" w:eastAsia="仿宋" w:cs="仿宋"/>
          <w:color w:val="auto"/>
          <w:sz w:val="28"/>
          <w:szCs w:val="28"/>
          <w:highlight w:val="none"/>
        </w:rPr>
        <w:t>2、招标文件</w:t>
      </w:r>
      <w:bookmarkEnd w:id="101"/>
      <w:bookmarkEnd w:id="102"/>
      <w:bookmarkEnd w:id="103"/>
      <w:bookmarkEnd w:id="104"/>
    </w:p>
    <w:p w14:paraId="1D187E36">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05" w:name="_Toc2941"/>
      <w:bookmarkStart w:id="106" w:name="_Toc140565013"/>
      <w:bookmarkStart w:id="107" w:name="_Toc27799"/>
      <w:bookmarkStart w:id="108" w:name="_Toc23435"/>
      <w:r>
        <w:rPr>
          <w:rFonts w:hint="eastAsia" w:ascii="仿宋" w:hAnsi="仿宋" w:eastAsia="仿宋" w:cs="仿宋"/>
          <w:color w:val="auto"/>
          <w:sz w:val="24"/>
          <w:szCs w:val="24"/>
          <w:highlight w:val="none"/>
        </w:rPr>
        <w:t>2.1招标文件的组成</w:t>
      </w:r>
      <w:bookmarkEnd w:id="105"/>
      <w:bookmarkEnd w:id="106"/>
      <w:bookmarkEnd w:id="107"/>
      <w:bookmarkEnd w:id="108"/>
    </w:p>
    <w:p w14:paraId="47FEDE8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3D89FF6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w:t>
      </w:r>
    </w:p>
    <w:p w14:paraId="77EDA39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评标办法</w:t>
      </w:r>
    </w:p>
    <w:p w14:paraId="282660F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合同基本条款及格式</w:t>
      </w:r>
    </w:p>
    <w:p w14:paraId="519CADD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第五章 投标文件格式</w:t>
      </w:r>
    </w:p>
    <w:p w14:paraId="3A89F8D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采购需求及要求</w:t>
      </w:r>
    </w:p>
    <w:p w14:paraId="6C34A18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注：对招标文件作出的澄清、修改属招标文件的组成部分。</w:t>
      </w:r>
    </w:p>
    <w:p w14:paraId="35821307">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09" w:name="_Toc14506"/>
      <w:bookmarkStart w:id="110" w:name="_Toc23808"/>
      <w:bookmarkStart w:id="111" w:name="_Toc2229"/>
      <w:bookmarkStart w:id="112" w:name="_Toc140565014"/>
      <w:r>
        <w:rPr>
          <w:rFonts w:hint="eastAsia" w:ascii="仿宋" w:hAnsi="仿宋" w:eastAsia="仿宋" w:cs="仿宋"/>
          <w:color w:val="auto"/>
          <w:sz w:val="24"/>
          <w:szCs w:val="24"/>
          <w:highlight w:val="none"/>
        </w:rPr>
        <w:t>2.2招标文件的澄清</w:t>
      </w:r>
      <w:bookmarkEnd w:id="109"/>
      <w:bookmarkEnd w:id="110"/>
      <w:bookmarkEnd w:id="111"/>
      <w:bookmarkEnd w:id="112"/>
    </w:p>
    <w:p w14:paraId="277515C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投标人应仔细阅读和检查招标文件的全部内容。如发现缺页或附件不全，应及时向采购人提出，以便补齐。如有疑问，应按照投标人须知前附表规定的时间和形式将提出的问题送达采购人，要求采购人对招标文件予以澄清。</w:t>
      </w:r>
    </w:p>
    <w:p w14:paraId="73D07E1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招标文件的澄清以投标人须知前附表规定的形式发给所有参与本项目的投标人，但不指明澄清问题的来源。澄清发出的时间距本章第4.2.1项规定的投标截止时间不足15日的，并且澄清内容可能影响投标文件编制的，将相应延长投标截止时间。</w:t>
      </w:r>
    </w:p>
    <w:p w14:paraId="470D78C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2.2.3投标人收到澄清通知后，应按投标人须知前附表规定的时间和形式通知采购人，确认已收到该澄清。</w:t>
      </w:r>
    </w:p>
    <w:p w14:paraId="4E5EED4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2.2.4除非采购人认为确有必要答复，否则，采购人有权拒绝回复投标人在本章第2.2.1项规定的时间后的任何澄清要求。</w:t>
      </w:r>
    </w:p>
    <w:p w14:paraId="4F220B1E">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13" w:name="_Toc13218"/>
      <w:bookmarkStart w:id="114" w:name="_Toc20406"/>
      <w:bookmarkStart w:id="115" w:name="_Toc5307"/>
      <w:bookmarkStart w:id="116" w:name="_Toc140565015"/>
      <w:r>
        <w:rPr>
          <w:rFonts w:hint="eastAsia" w:ascii="仿宋" w:hAnsi="仿宋" w:eastAsia="仿宋" w:cs="仿宋"/>
          <w:color w:val="auto"/>
          <w:sz w:val="24"/>
          <w:szCs w:val="24"/>
          <w:highlight w:val="none"/>
        </w:rPr>
        <w:t>2.3招标文件的修改</w:t>
      </w:r>
      <w:bookmarkEnd w:id="113"/>
      <w:bookmarkEnd w:id="114"/>
      <w:bookmarkEnd w:id="115"/>
      <w:bookmarkEnd w:id="116"/>
    </w:p>
    <w:p w14:paraId="4FE3E6B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采购人以投标人须知前附表规定的形式修改招标文件，并通知所有已购买招标文件的投标人。修改招标文件的时间距本章4.2.1项规定的投标截止时间不足15日的，并且修改内容可能影响投标文件编制的，将相应延长投标截止时间。</w:t>
      </w:r>
    </w:p>
    <w:p w14:paraId="405835C4">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2.3.2投标人收到修改内容后，应按投标人须知前附表规定的时间和形式通知采购人，确认已收到该修改。</w:t>
      </w:r>
    </w:p>
    <w:p w14:paraId="5AFFE113">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17" w:name="_Toc140565016"/>
      <w:bookmarkStart w:id="118" w:name="_Toc140565223"/>
      <w:bookmarkStart w:id="119" w:name="_Toc4222"/>
      <w:bookmarkStart w:id="120" w:name="_Toc7909"/>
      <w:r>
        <w:rPr>
          <w:rFonts w:hint="eastAsia" w:ascii="仿宋" w:hAnsi="仿宋" w:eastAsia="仿宋" w:cs="仿宋"/>
          <w:color w:val="auto"/>
          <w:sz w:val="28"/>
          <w:szCs w:val="28"/>
          <w:highlight w:val="none"/>
        </w:rPr>
        <w:t>3、投标文件</w:t>
      </w:r>
      <w:bookmarkEnd w:id="117"/>
      <w:bookmarkEnd w:id="118"/>
      <w:bookmarkEnd w:id="119"/>
      <w:bookmarkEnd w:id="120"/>
    </w:p>
    <w:p w14:paraId="09710634">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21" w:name="_Toc20465"/>
      <w:bookmarkStart w:id="122" w:name="_Toc7720"/>
      <w:bookmarkStart w:id="123" w:name="_Toc20242"/>
      <w:bookmarkStart w:id="124" w:name="_Toc140565017"/>
      <w:r>
        <w:rPr>
          <w:rFonts w:hint="eastAsia" w:ascii="仿宋" w:hAnsi="仿宋" w:eastAsia="仿宋" w:cs="仿宋"/>
          <w:color w:val="auto"/>
          <w:sz w:val="24"/>
          <w:szCs w:val="24"/>
          <w:highlight w:val="none"/>
        </w:rPr>
        <w:t>3.1 投标文件的组成</w:t>
      </w:r>
      <w:bookmarkEnd w:id="121"/>
      <w:bookmarkEnd w:id="122"/>
      <w:bookmarkEnd w:id="123"/>
      <w:bookmarkEnd w:id="124"/>
    </w:p>
    <w:p w14:paraId="4A81C89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3.1.1投标人应按招标文件规定的内容和格式编制并提交投标文件，投标文件应包括以下内容：</w:t>
      </w:r>
    </w:p>
    <w:p w14:paraId="51C0B72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一、资格审查部分；</w:t>
      </w:r>
    </w:p>
    <w:p w14:paraId="3EC16ED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二、技术部分；</w:t>
      </w:r>
    </w:p>
    <w:p w14:paraId="5C6298E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三、商务部分；</w:t>
      </w:r>
    </w:p>
    <w:p w14:paraId="3094693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四、招标文件要求或投标人认为需要提交的其他资料；</w:t>
      </w:r>
    </w:p>
    <w:p w14:paraId="0A6207CA">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投标人在评标过程中作出的符合法律法规和招标文件规定的澄清、说明或者补正属投标文件的组成部分。</w:t>
      </w:r>
    </w:p>
    <w:p w14:paraId="06994FE0">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25" w:name="_Toc20501"/>
      <w:bookmarkStart w:id="126" w:name="_Toc27230"/>
      <w:bookmarkStart w:id="127" w:name="_Toc24823"/>
      <w:bookmarkStart w:id="128" w:name="_Toc140565018"/>
      <w:r>
        <w:rPr>
          <w:rFonts w:hint="eastAsia" w:ascii="仿宋" w:hAnsi="仿宋" w:eastAsia="仿宋" w:cs="仿宋"/>
          <w:color w:val="auto"/>
          <w:sz w:val="24"/>
          <w:szCs w:val="24"/>
          <w:highlight w:val="none"/>
        </w:rPr>
        <w:t>3.2 投标报价</w:t>
      </w:r>
      <w:bookmarkEnd w:id="125"/>
      <w:bookmarkEnd w:id="126"/>
      <w:bookmarkEnd w:id="127"/>
      <w:bookmarkEnd w:id="128"/>
    </w:p>
    <w:p w14:paraId="501A91DB">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3.2.1投标人应按第五章“投标文件格式”的要求在投标书中进行报价并填写分项报价表。</w:t>
      </w:r>
    </w:p>
    <w:p w14:paraId="51BABDB3">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3.2.2投标人应充分了解该项目的总体情况以及影响投标报价的其他要素。</w:t>
      </w:r>
    </w:p>
    <w:p w14:paraId="14DB3DBC">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3.2.3采购人设有最高投标限价的，投标人的投标报价不得超过最高投标限价，最高投标限价在投标人须知前附表中载明。</w:t>
      </w:r>
    </w:p>
    <w:p w14:paraId="359F7B68">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3.2.4投标报价必须为人民币含税价（元），包括利润、人员、保险、税收、安装、调试、检验、培训、售后服务、技术培训、中标服务费、其他费用等所有成本费用。供应商应充分考虑本项目合同实施期间可能发生的一切费用，并承担由此而带来的风险。该报价应符合国内行情并能保证完成履行合同（服务期限内）所需的一切工作，恶意报价视为不能完全履行合同内容。报价一经确定为成交价，在合同实施期间将不因市场价格的变化而调整。</w:t>
      </w:r>
    </w:p>
    <w:p w14:paraId="15366A12">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29" w:name="_Toc20466"/>
      <w:bookmarkStart w:id="130" w:name="_Toc18687"/>
      <w:bookmarkStart w:id="131" w:name="_Toc140565019"/>
      <w:bookmarkStart w:id="132" w:name="_Toc2222"/>
      <w:r>
        <w:rPr>
          <w:rFonts w:hint="eastAsia" w:ascii="仿宋" w:hAnsi="仿宋" w:eastAsia="仿宋" w:cs="仿宋"/>
          <w:color w:val="auto"/>
          <w:sz w:val="24"/>
          <w:szCs w:val="24"/>
          <w:highlight w:val="none"/>
        </w:rPr>
        <w:t>3.3 投标有效期</w:t>
      </w:r>
      <w:bookmarkEnd w:id="129"/>
      <w:bookmarkEnd w:id="130"/>
      <w:bookmarkEnd w:id="131"/>
      <w:bookmarkEnd w:id="132"/>
    </w:p>
    <w:p w14:paraId="105C57BB">
      <w:pPr>
        <w:pageBreakBefore w:val="0"/>
        <w:kinsoku/>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3.3.1投标有效期：详见投标人须知前附表。</w:t>
      </w:r>
    </w:p>
    <w:p w14:paraId="7F08E05F">
      <w:pPr>
        <w:pageBreakBefore w:val="0"/>
        <w:kinsoku/>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3.3.2在投标有效期内，投标人撤销或修改其投标文件的，应承担招标文件和法律规定的责任。</w:t>
      </w:r>
    </w:p>
    <w:p w14:paraId="7B201DFB">
      <w:pPr>
        <w:pageBreakBefore w:val="0"/>
        <w:kinsoku/>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3.3.3出现特殊情况需要延长投标有效期的，采购人以书面形式通知所有投标人延长投标有效期。</w:t>
      </w:r>
    </w:p>
    <w:p w14:paraId="49E7DC1B">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33" w:name="_Toc24263"/>
      <w:bookmarkStart w:id="134" w:name="_Toc23698"/>
      <w:bookmarkStart w:id="135" w:name="_Toc102136463"/>
      <w:bookmarkStart w:id="136" w:name="_Toc71734700"/>
      <w:r>
        <w:rPr>
          <w:rFonts w:hint="eastAsia" w:ascii="仿宋" w:hAnsi="仿宋" w:eastAsia="仿宋" w:cs="仿宋"/>
          <w:color w:val="auto"/>
          <w:sz w:val="24"/>
          <w:szCs w:val="24"/>
          <w:highlight w:val="none"/>
        </w:rPr>
        <w:t>3.4 投标保证金</w:t>
      </w:r>
      <w:bookmarkEnd w:id="133"/>
      <w:bookmarkEnd w:id="134"/>
      <w:bookmarkEnd w:id="135"/>
      <w:bookmarkEnd w:id="136"/>
    </w:p>
    <w:p w14:paraId="1933E54F">
      <w:pPr>
        <w:pageBreakBefore w:val="0"/>
        <w:kinsoku/>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3.4.1详见投标人须知前附表。</w:t>
      </w:r>
    </w:p>
    <w:p w14:paraId="625F42FE">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37" w:name="_Toc140565020"/>
      <w:bookmarkStart w:id="138" w:name="_Toc14260"/>
      <w:bookmarkStart w:id="139" w:name="_Toc2040"/>
      <w:bookmarkStart w:id="140" w:name="_Toc11468"/>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 </w:t>
      </w:r>
      <w:bookmarkEnd w:id="137"/>
      <w:bookmarkEnd w:id="138"/>
      <w:bookmarkEnd w:id="139"/>
      <w:bookmarkEnd w:id="140"/>
      <w:r>
        <w:rPr>
          <w:rFonts w:hint="eastAsia" w:ascii="仿宋" w:hAnsi="仿宋" w:eastAsia="仿宋" w:cs="仿宋"/>
          <w:color w:val="auto"/>
          <w:sz w:val="24"/>
          <w:szCs w:val="24"/>
          <w:highlight w:val="none"/>
        </w:rPr>
        <w:t>投标文件的编制</w:t>
      </w:r>
    </w:p>
    <w:p w14:paraId="121208D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3.5.1投标文件应按照第五章“投标文件格式“进行编写。</w:t>
      </w:r>
    </w:p>
    <w:p w14:paraId="31F34A1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3.5.2投标文件应当对招标文件有关采购需求的实质性内容出响应。投标文件在满足招标文件实质性要求的基础上，可以提出比招标文件要求更有利于采购人的承诺。</w:t>
      </w:r>
    </w:p>
    <w:p w14:paraId="0EA0371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3.5.3签章、签字或盖章的具体要求见投标人须知前附表。</w:t>
      </w:r>
    </w:p>
    <w:p w14:paraId="3DD5964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3.5.4是否要求提交纸质版投标文件：详见投标人须知前附表。如要求提交纸质版投标文件，投标文件的份数详见投标人须知前附表。</w:t>
      </w:r>
    </w:p>
    <w:p w14:paraId="47E0D7A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3.5.5是否要求提交可编辑电子版投标文件：详见投标人须知前附表。如要求提交可编辑电子版投标文件，投标文件的要求详见投标人须知前附表。</w:t>
      </w:r>
    </w:p>
    <w:p w14:paraId="582FCACC">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41" w:name="_Toc140565224"/>
      <w:bookmarkStart w:id="142" w:name="_Toc21085"/>
      <w:bookmarkStart w:id="143" w:name="_Toc140565022"/>
      <w:bookmarkStart w:id="144" w:name="_Toc10228"/>
      <w:r>
        <w:rPr>
          <w:rFonts w:hint="eastAsia" w:ascii="仿宋" w:hAnsi="仿宋" w:eastAsia="仿宋" w:cs="仿宋"/>
          <w:color w:val="auto"/>
          <w:sz w:val="28"/>
          <w:szCs w:val="28"/>
          <w:highlight w:val="none"/>
        </w:rPr>
        <w:t>4、投标</w:t>
      </w:r>
      <w:bookmarkEnd w:id="141"/>
      <w:bookmarkEnd w:id="142"/>
      <w:bookmarkEnd w:id="143"/>
      <w:bookmarkEnd w:id="144"/>
    </w:p>
    <w:p w14:paraId="214F49C8">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45" w:name="_Toc140565023"/>
      <w:bookmarkStart w:id="146" w:name="_Toc5989"/>
      <w:bookmarkStart w:id="147" w:name="_Toc32174"/>
      <w:bookmarkStart w:id="148" w:name="_Toc12418"/>
      <w:r>
        <w:rPr>
          <w:rFonts w:hint="eastAsia" w:ascii="仿宋" w:hAnsi="仿宋" w:eastAsia="仿宋" w:cs="仿宋"/>
          <w:color w:val="auto"/>
          <w:sz w:val="24"/>
          <w:szCs w:val="24"/>
          <w:highlight w:val="none"/>
        </w:rPr>
        <w:t>4.1投标文件的密封与标识</w:t>
      </w:r>
      <w:bookmarkEnd w:id="145"/>
      <w:bookmarkEnd w:id="146"/>
      <w:bookmarkEnd w:id="147"/>
      <w:bookmarkEnd w:id="148"/>
    </w:p>
    <w:p w14:paraId="44E970A2">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4.1.1网上递交的投标文件需要对投标文件进行加密。</w:t>
      </w:r>
    </w:p>
    <w:p w14:paraId="1E28D1C3">
      <w:pPr>
        <w:pageBreakBefore w:val="0"/>
        <w:overflowPunct/>
        <w:topLinePunct w:val="0"/>
        <w:bidi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4.1.2未按要求进行加密和加写标记的投标文件，采购人不予受理。</w:t>
      </w:r>
    </w:p>
    <w:p w14:paraId="3EC63BF2">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49" w:name="_Toc2539"/>
      <w:bookmarkStart w:id="150" w:name="_Toc23190"/>
      <w:bookmarkStart w:id="151" w:name="_Toc140565024"/>
      <w:bookmarkStart w:id="152" w:name="_Toc21507"/>
      <w:r>
        <w:rPr>
          <w:rFonts w:hint="eastAsia" w:ascii="仿宋" w:hAnsi="仿宋" w:eastAsia="仿宋" w:cs="仿宋"/>
          <w:color w:val="auto"/>
          <w:sz w:val="24"/>
          <w:szCs w:val="24"/>
          <w:highlight w:val="none"/>
        </w:rPr>
        <w:t xml:space="preserve">4.2 </w:t>
      </w:r>
      <w:bookmarkEnd w:id="149"/>
      <w:bookmarkEnd w:id="150"/>
      <w:bookmarkEnd w:id="151"/>
      <w:bookmarkEnd w:id="152"/>
      <w:r>
        <w:rPr>
          <w:rFonts w:hint="eastAsia" w:ascii="仿宋" w:hAnsi="仿宋" w:eastAsia="仿宋" w:cs="仿宋"/>
          <w:color w:val="auto"/>
          <w:sz w:val="24"/>
          <w:szCs w:val="24"/>
          <w:highlight w:val="none"/>
        </w:rPr>
        <w:t>投标文件的递交</w:t>
      </w:r>
    </w:p>
    <w:p w14:paraId="595EDC8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4.2.1投标人应在投标人须知前附表规定的投标截止时间前递交投标文件。</w:t>
      </w:r>
    </w:p>
    <w:p w14:paraId="02F83DA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4.2.2除投标人须知前附表另有规定外，投标人所递交的投标文件不予退还。</w:t>
      </w:r>
    </w:p>
    <w:p w14:paraId="6074BE0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4.2.3投标人完成电子投标文件上传后，电子招标投标交易平台即时向投标人发出递交回执通知。递交时间以递交回执通知载明的传输完成时间为准。</w:t>
      </w:r>
    </w:p>
    <w:p w14:paraId="5B07145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4.2.4逾期递交的投标文件，视为撤回投标文件，采购人不予受理。</w:t>
      </w:r>
    </w:p>
    <w:p w14:paraId="631A7474">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53" w:name="_Toc3599"/>
      <w:bookmarkStart w:id="154" w:name="_Toc140565025"/>
      <w:bookmarkStart w:id="155" w:name="_Toc32520"/>
      <w:bookmarkStart w:id="156" w:name="_Toc8533"/>
      <w:r>
        <w:rPr>
          <w:rFonts w:hint="eastAsia" w:ascii="仿宋" w:hAnsi="仿宋" w:eastAsia="仿宋" w:cs="仿宋"/>
          <w:color w:val="auto"/>
          <w:sz w:val="24"/>
          <w:szCs w:val="24"/>
          <w:highlight w:val="none"/>
        </w:rPr>
        <w:t>4.3</w:t>
      </w:r>
      <w:bookmarkEnd w:id="153"/>
      <w:bookmarkEnd w:id="154"/>
      <w:bookmarkEnd w:id="155"/>
      <w:bookmarkEnd w:id="156"/>
      <w:r>
        <w:rPr>
          <w:rFonts w:hint="eastAsia" w:ascii="仿宋" w:hAnsi="仿宋" w:eastAsia="仿宋" w:cs="仿宋"/>
          <w:color w:val="auto"/>
          <w:sz w:val="24"/>
          <w:szCs w:val="24"/>
          <w:highlight w:val="none"/>
        </w:rPr>
        <w:t>投标文件的修改与撤回</w:t>
      </w:r>
    </w:p>
    <w:p w14:paraId="3747558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4.3.1在本章第4.2.1项规定的投标截止时间前，投标人可以修改或撤回已递交的投标文件。</w:t>
      </w:r>
    </w:p>
    <w:p w14:paraId="716B8F1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4.3.2投标人修改或撤回已递交投标文件的通知，应按照本章第3.5.3项的要求加盖电子印章。</w:t>
      </w:r>
    </w:p>
    <w:p w14:paraId="4B04130B">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57" w:name="_Toc3657"/>
      <w:bookmarkStart w:id="158" w:name="_Toc8157"/>
      <w:bookmarkStart w:id="159" w:name="_Toc140565225"/>
      <w:bookmarkStart w:id="160" w:name="_Toc140565026"/>
      <w:r>
        <w:rPr>
          <w:rFonts w:hint="eastAsia" w:ascii="仿宋" w:hAnsi="仿宋" w:eastAsia="仿宋" w:cs="仿宋"/>
          <w:color w:val="auto"/>
          <w:sz w:val="28"/>
          <w:szCs w:val="28"/>
          <w:highlight w:val="none"/>
        </w:rPr>
        <w:t>5、开标</w:t>
      </w:r>
      <w:bookmarkEnd w:id="157"/>
      <w:bookmarkEnd w:id="158"/>
      <w:bookmarkEnd w:id="159"/>
      <w:bookmarkEnd w:id="160"/>
    </w:p>
    <w:p w14:paraId="7E02589E">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61" w:name="_Toc140565027"/>
      <w:bookmarkStart w:id="162" w:name="_Toc11586"/>
      <w:bookmarkStart w:id="163" w:name="_Toc5068"/>
      <w:bookmarkStart w:id="164" w:name="_Toc28416"/>
      <w:r>
        <w:rPr>
          <w:rFonts w:hint="eastAsia" w:ascii="仿宋" w:hAnsi="仿宋" w:eastAsia="仿宋" w:cs="仿宋"/>
          <w:color w:val="auto"/>
          <w:sz w:val="24"/>
          <w:szCs w:val="24"/>
          <w:highlight w:val="none"/>
        </w:rPr>
        <w:t>5.1开标时间和地点</w:t>
      </w:r>
      <w:bookmarkEnd w:id="161"/>
      <w:bookmarkEnd w:id="162"/>
      <w:bookmarkEnd w:id="163"/>
      <w:bookmarkEnd w:id="164"/>
    </w:p>
    <w:p w14:paraId="117BBD8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采购人在本章第4.2.1项规定的投标截止时间（开标时间）和投标人须知前附表规定的地点进行开标。</w:t>
      </w:r>
    </w:p>
    <w:p w14:paraId="3287972C">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65" w:name="_Toc140565028"/>
      <w:bookmarkStart w:id="166" w:name="_Toc29721"/>
      <w:bookmarkStart w:id="167" w:name="_Toc180"/>
      <w:bookmarkStart w:id="168" w:name="_Toc29158"/>
      <w:r>
        <w:rPr>
          <w:rFonts w:hint="eastAsia" w:ascii="仿宋" w:hAnsi="仿宋" w:eastAsia="仿宋" w:cs="仿宋"/>
          <w:color w:val="auto"/>
          <w:sz w:val="24"/>
          <w:szCs w:val="24"/>
          <w:highlight w:val="none"/>
        </w:rPr>
        <w:t>5.2开标程序</w:t>
      </w:r>
      <w:bookmarkEnd w:id="165"/>
      <w:bookmarkEnd w:id="166"/>
      <w:bookmarkEnd w:id="167"/>
      <w:bookmarkEnd w:id="168"/>
    </w:p>
    <w:p w14:paraId="026D7CF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主持人按下列程序进行开标：</w:t>
      </w:r>
    </w:p>
    <w:p w14:paraId="00E9FA55">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（1）宣布开标纪律；</w:t>
      </w:r>
    </w:p>
    <w:p w14:paraId="018B52F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（2）公布在投标截止时间前递交投标文件的投标人情况；</w:t>
      </w:r>
    </w:p>
    <w:p w14:paraId="7D77E73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（3）介绍采购人、唱标人、记录人等有关人员；</w:t>
      </w:r>
    </w:p>
    <w:p w14:paraId="3C2484D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（4）按照交易平台自动提取所有投标人的顺序当众开标（非电子化招标投标项目则随机开启投标人的投标文件），公布采购项目名称、</w:t>
      </w:r>
      <w:r>
        <w:rPr>
          <w:rFonts w:hint="eastAsia" w:ascii="仿宋" w:hAnsi="仿宋" w:eastAsia="仿宋" w:cs="仿宋"/>
          <w:color w:val="auto"/>
          <w:sz w:val="24"/>
          <w:szCs w:val="24"/>
          <w:highlight w:val="none"/>
          <w:lang w:eastAsia="zh-CN"/>
        </w:rPr>
        <w:t>投标人全称</w:t>
      </w:r>
      <w:r>
        <w:rPr>
          <w:rFonts w:hint="eastAsia" w:ascii="仿宋" w:hAnsi="仿宋" w:eastAsia="仿宋" w:cs="仿宋"/>
          <w:color w:val="auto"/>
          <w:sz w:val="24"/>
          <w:szCs w:val="24"/>
          <w:highlight w:val="none"/>
        </w:rPr>
        <w:t>、投标报价、合同履行期限及其他内容，并记录在案；</w:t>
      </w:r>
    </w:p>
    <w:p w14:paraId="4B5C1867">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（5）开标过程应当由采购人或者采购代理机构负责记录，由参加开标的各投标人代表和相关工作人员签字确认；</w:t>
      </w:r>
    </w:p>
    <w:p w14:paraId="7AF36D8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（6）开标结束。</w:t>
      </w:r>
    </w:p>
    <w:p w14:paraId="7DEE349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投标人不足3家的，不得开标。</w:t>
      </w:r>
    </w:p>
    <w:p w14:paraId="7D2EA638">
      <w:pPr>
        <w:pStyle w:val="4"/>
        <w:pageBreakBefore w:val="0"/>
        <w:overflowPunct/>
        <w:topLinePunct w:val="0"/>
        <w:bidi w:val="0"/>
        <w:spacing w:before="0" w:after="0" w:line="360" w:lineRule="auto"/>
        <w:rPr>
          <w:rFonts w:hint="eastAsia" w:ascii="仿宋" w:hAnsi="仿宋" w:eastAsia="仿宋" w:cs="仿宋"/>
          <w:color w:val="auto"/>
          <w:sz w:val="24"/>
          <w:szCs w:val="24"/>
          <w:highlight w:val="none"/>
        </w:rPr>
      </w:pPr>
      <w:bookmarkStart w:id="169" w:name="_Toc19666"/>
      <w:bookmarkStart w:id="170" w:name="_Toc140565029"/>
      <w:bookmarkStart w:id="171" w:name="_Toc12883"/>
      <w:bookmarkStart w:id="172" w:name="_Toc4015"/>
      <w:r>
        <w:rPr>
          <w:rFonts w:hint="eastAsia" w:ascii="仿宋" w:hAnsi="仿宋" w:eastAsia="仿宋" w:cs="仿宋"/>
          <w:color w:val="auto"/>
          <w:sz w:val="24"/>
          <w:szCs w:val="24"/>
          <w:highlight w:val="none"/>
        </w:rPr>
        <w:t>5.3开标</w:t>
      </w:r>
      <w:bookmarkEnd w:id="169"/>
      <w:bookmarkEnd w:id="170"/>
      <w:bookmarkEnd w:id="171"/>
      <w:bookmarkEnd w:id="172"/>
      <w:r>
        <w:rPr>
          <w:rFonts w:hint="eastAsia" w:ascii="仿宋" w:hAnsi="仿宋" w:eastAsia="仿宋" w:cs="仿宋"/>
          <w:color w:val="auto"/>
          <w:sz w:val="24"/>
          <w:szCs w:val="24"/>
          <w:highlight w:val="none"/>
        </w:rPr>
        <w:t>疑义</w:t>
      </w:r>
    </w:p>
    <w:p w14:paraId="041E271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投标人代表对开标过程有异议，以及认为采购人、采购代理机构相关工作人员有需要回避的情形的，应当场提出询问或者回避申请。采购人、采购代理机构对投标人代表提出的询问或者回避申请应及时处理，并制作记录。</w:t>
      </w:r>
    </w:p>
    <w:p w14:paraId="114D37C4">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73" w:name="_Toc1935"/>
      <w:bookmarkStart w:id="174" w:name="_Toc30875"/>
      <w:bookmarkStart w:id="175" w:name="_Toc140565226"/>
      <w:bookmarkStart w:id="176" w:name="_Toc140565030"/>
      <w:r>
        <w:rPr>
          <w:rFonts w:hint="eastAsia" w:ascii="仿宋" w:hAnsi="仿宋" w:eastAsia="仿宋" w:cs="仿宋"/>
          <w:color w:val="auto"/>
          <w:sz w:val="28"/>
          <w:szCs w:val="28"/>
          <w:highlight w:val="none"/>
        </w:rPr>
        <w:t>6、资格审查</w:t>
      </w:r>
      <w:bookmarkEnd w:id="173"/>
      <w:bookmarkEnd w:id="174"/>
      <w:bookmarkEnd w:id="175"/>
      <w:bookmarkEnd w:id="176"/>
    </w:p>
    <w:p w14:paraId="0BEFAD1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根据《政府采购货物和服务招标投标管理办法》（财政部令第87号）规定，开标结束后，采购人或者采购代理机构应当依法对投标人的资格进行审查。</w:t>
      </w:r>
    </w:p>
    <w:p w14:paraId="58639415">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合格投标人不足3家的，不得评标。</w:t>
      </w:r>
    </w:p>
    <w:p w14:paraId="455291A7">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77" w:name="_Toc14165"/>
      <w:bookmarkStart w:id="178" w:name="_Toc140565031"/>
      <w:bookmarkStart w:id="179" w:name="_Toc140565227"/>
      <w:bookmarkStart w:id="180" w:name="_Toc4165"/>
      <w:r>
        <w:rPr>
          <w:rFonts w:hint="eastAsia" w:ascii="仿宋" w:hAnsi="仿宋" w:eastAsia="仿宋" w:cs="仿宋"/>
          <w:color w:val="auto"/>
          <w:sz w:val="28"/>
          <w:szCs w:val="28"/>
          <w:highlight w:val="none"/>
        </w:rPr>
        <w:t>7、评标</w:t>
      </w:r>
      <w:bookmarkEnd w:id="177"/>
      <w:bookmarkEnd w:id="178"/>
      <w:bookmarkEnd w:id="179"/>
      <w:bookmarkEnd w:id="180"/>
    </w:p>
    <w:p w14:paraId="31413635">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7.1评标原则</w:t>
      </w:r>
    </w:p>
    <w:p w14:paraId="3B88C0D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51D41935">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7.2评标</w:t>
      </w:r>
    </w:p>
    <w:p w14:paraId="661D5C7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7.2.1评标委员会按照第三章“评标办法”规定的方法、评审因素、标准和程序对投标文件进行评审。第三章“评标办法”没有规定的方法、评审因素和标准，不作为评标依据。</w:t>
      </w:r>
    </w:p>
    <w:p w14:paraId="665C001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7.2.2评标完成后，评标委员会应当向采购人提交书面评标报告和中标候选人名单。评标委员会推荐中标候选人的人数见投标人须知前附表。</w:t>
      </w:r>
    </w:p>
    <w:p w14:paraId="629B17AF">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7.3评标委员会</w:t>
      </w:r>
    </w:p>
    <w:p w14:paraId="0366B0F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7.3.1评标委员会由采购人代表和评审专家组成。其中评审专家不得少于成员总数的三分之二。评标委员会成员人数以及评审专家的确定方式详见投标人须知前附表。</w:t>
      </w:r>
    </w:p>
    <w:p w14:paraId="2828A69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7.3.2评标委员会成员有下列情形之一的，应当回避：</w:t>
      </w:r>
    </w:p>
    <w:p w14:paraId="793058B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（1）投标人或投标人主要负责人的近亲属；</w:t>
      </w:r>
    </w:p>
    <w:p w14:paraId="3F370A1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（2）项目主管部门或者行政监督部门的人员；</w:t>
      </w:r>
    </w:p>
    <w:p w14:paraId="5800DDF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（3）与投标人有经济利益关系；</w:t>
      </w:r>
    </w:p>
    <w:p w14:paraId="2E10182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（4）曾因在招标、评标以及其他与招标投标有关活动中从事违法行为而受过行政处罚或刑事处罚的；</w:t>
      </w:r>
    </w:p>
    <w:p w14:paraId="59FDD22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（5）与投标人有其他利害关系。</w:t>
      </w:r>
    </w:p>
    <w:p w14:paraId="7D6A598E">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81" w:name="_Toc140565035"/>
      <w:bookmarkStart w:id="182" w:name="_Toc11055"/>
      <w:bookmarkStart w:id="183" w:name="_Toc140565228"/>
      <w:bookmarkStart w:id="184" w:name="_Toc14919"/>
      <w:r>
        <w:rPr>
          <w:rFonts w:hint="eastAsia" w:ascii="仿宋" w:hAnsi="仿宋" w:eastAsia="仿宋" w:cs="仿宋"/>
          <w:color w:val="auto"/>
          <w:sz w:val="28"/>
          <w:szCs w:val="28"/>
          <w:highlight w:val="none"/>
        </w:rPr>
        <w:t>8、中标和合同</w:t>
      </w:r>
      <w:bookmarkEnd w:id="181"/>
      <w:bookmarkEnd w:id="182"/>
      <w:bookmarkEnd w:id="183"/>
      <w:bookmarkEnd w:id="184"/>
    </w:p>
    <w:p w14:paraId="1E277A02">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8.1定标</w:t>
      </w:r>
    </w:p>
    <w:p w14:paraId="43E3A93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按照投标人须知前附表的规定，采购人或采购人授权的评标委员会依法确定中标人。</w:t>
      </w:r>
    </w:p>
    <w:p w14:paraId="170BC4F4">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8.2中标公告</w:t>
      </w:r>
    </w:p>
    <w:p w14:paraId="197380D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8.2.1采购人或者采购代理机构应当自中标人确定之日起2个工作日内，按照投标人须知前附表规定的省级以上财政部门指定的媒介和期限公告中标结果，招标文件应当随中标结果同时公告。</w:t>
      </w:r>
    </w:p>
    <w:p w14:paraId="269C613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8.2.2中标公告期限详见投标人须知前附表。</w:t>
      </w:r>
    </w:p>
    <w:p w14:paraId="63C60329">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8.3中标结果质疑</w:t>
      </w:r>
    </w:p>
    <w:p w14:paraId="69C63E77">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对中标结果有质疑的，应当在中标结果公告期限届满之日起七个工作日内提出。采购人应当在收到投标人的书面质疑后七个工作日内作出答复，并以书面形式通知质疑投标人，但答复的内容不得涉及商业秘密。</w:t>
      </w:r>
    </w:p>
    <w:p w14:paraId="5CA3807C">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8.4中标通知</w:t>
      </w:r>
    </w:p>
    <w:p w14:paraId="1606A3F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3.3项规定的投标有效期内，在公告中标结果的同时，采购人或者采购代理机构应当向中标人发出中标通知书；对未通过资格审查的投标人，应当告知其未通过的原因。同时应当告知未中标人本人的评审得分与排序。</w:t>
      </w:r>
    </w:p>
    <w:p w14:paraId="66658098">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8.5履约保证金</w:t>
      </w:r>
    </w:p>
    <w:p w14:paraId="6F43D4F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8.5.1 详见投标人须知前附表。</w:t>
      </w:r>
    </w:p>
    <w:p w14:paraId="1C4214D8">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8.6 签订合同</w:t>
      </w:r>
    </w:p>
    <w:p w14:paraId="590E828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采购人应当自中标通知书发出之日起30日内，按照招标文件和中标人投标文件的规定，与中标人签订书面合同。所签订的合同不得对招标文件明确的事项和中标人投标文件作实质性修改。采购人不得向中标人提出任何不合理的要求作为签订合同的条件。</w:t>
      </w:r>
    </w:p>
    <w:p w14:paraId="7C03ECB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8.6.2中标通知书发出后，采购人不得违法改变中标结果，中标人无正当理由不得放弃中标。</w:t>
      </w:r>
    </w:p>
    <w:p w14:paraId="13BB21B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8.6.3联合体中标的，联合体各方应当共同与采购人签订合同，就中标项目向采购人承担连带责任。</w:t>
      </w:r>
    </w:p>
    <w:p w14:paraId="27C927FE">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85" w:name="_Toc29092"/>
      <w:bookmarkStart w:id="186" w:name="_Toc140565229"/>
      <w:bookmarkStart w:id="187" w:name="_Toc140565042"/>
      <w:bookmarkStart w:id="188" w:name="_Toc2947"/>
      <w:r>
        <w:rPr>
          <w:rFonts w:hint="eastAsia" w:ascii="仿宋" w:hAnsi="仿宋" w:eastAsia="仿宋" w:cs="仿宋"/>
          <w:color w:val="auto"/>
          <w:sz w:val="28"/>
          <w:szCs w:val="28"/>
          <w:highlight w:val="none"/>
        </w:rPr>
        <w:t>9、纪律和监督</w:t>
      </w:r>
      <w:bookmarkEnd w:id="185"/>
      <w:bookmarkEnd w:id="186"/>
      <w:bookmarkEnd w:id="187"/>
      <w:bookmarkEnd w:id="188"/>
    </w:p>
    <w:p w14:paraId="31531D11">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9.1对采购人、采购代理机构的纪律要求</w:t>
      </w:r>
    </w:p>
    <w:p w14:paraId="1691CF0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（1）采购人不得向投标人索要或者接受其给予的赠品、回扣或者与采购无关的其他商品、服务；</w:t>
      </w:r>
    </w:p>
    <w:p w14:paraId="0011452A">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（2）采购代理机构不得与采购人、投标人恶意串通操纵政府采购活动；</w:t>
      </w:r>
    </w:p>
    <w:p w14:paraId="20D5CD0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（3）采购代理机构工作人员不得接受采购人或者投标人组织的宴请、旅游、娱乐，不得收受礼品、现金、有价证券等，不得向采购人或者投标人报销应当由个人承担的费用；</w:t>
      </w:r>
    </w:p>
    <w:p w14:paraId="47694B44">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（4）采购代理机构及其分支机构不得在所代理的采购项目中投标或者代理投标，不得为所代理的采购项目的投标人参加本项目提供投标咨询;</w:t>
      </w:r>
    </w:p>
    <w:p w14:paraId="0624413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（5）采购人员及相关人员与投标人有利害关系的，必须回避；</w:t>
      </w:r>
    </w:p>
    <w:p w14:paraId="6B0E8DB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（6）其它法律法规规定的情形。</w:t>
      </w:r>
    </w:p>
    <w:p w14:paraId="03CDDB79">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9.2对投标人的纪律要求</w:t>
      </w:r>
    </w:p>
    <w:p w14:paraId="7D82F4E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（1）投标人不得相互串通投标或者与采购人串通投标，不得向采购人或者评标委员会成员行贿谋取中标，不得以他人名义投标或者以其他方式弄虚作假骗取中标；投标人不得以任何方式干扰、影响评标工作；</w:t>
      </w:r>
    </w:p>
    <w:p w14:paraId="00538E6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（2）其它法律法规规定的情形。</w:t>
      </w:r>
    </w:p>
    <w:p w14:paraId="6D6BE21B">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9.3对评标委员会成员的纪律要求</w:t>
      </w:r>
    </w:p>
    <w:p w14:paraId="47748D9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（1）评标委员会及其成员不得有下列行为：</w:t>
      </w:r>
    </w:p>
    <w:p w14:paraId="61F9EA1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1）确定参与评标至评标结束前私自接触投标人；</w:t>
      </w:r>
    </w:p>
    <w:p w14:paraId="4E4548F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2）接受投标人提出的与投标文件不一致的澄清或者说明；</w:t>
      </w:r>
    </w:p>
    <w:p w14:paraId="5E144C9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3）违反评标纪律发表倾向性意见或者征询采购人的倾向性意见；</w:t>
      </w:r>
    </w:p>
    <w:p w14:paraId="12EB363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4）对需要专业判断的主观评审因素协商评分；</w:t>
      </w:r>
    </w:p>
    <w:p w14:paraId="2242475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5）在评标过程中擅离职守，影响评标程序正常进行的；</w:t>
      </w:r>
    </w:p>
    <w:p w14:paraId="17C77D4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6）记录、复制或者带走任何评标资料；</w:t>
      </w:r>
    </w:p>
    <w:p w14:paraId="651394A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7）其他不遵守评标纪律的行为。</w:t>
      </w:r>
    </w:p>
    <w:p w14:paraId="10EC63B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评标委员会成员有前款第1）至5）项行为之一的，其评审意见无效，并不得获取评审劳务报酬和报销异地评审差旅费。</w:t>
      </w:r>
    </w:p>
    <w:p w14:paraId="211AFCE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（2）评审专家发现本人与参加采购活动的投标人有利害关系的,应当主动提出回避；</w:t>
      </w:r>
    </w:p>
    <w:p w14:paraId="3B946CE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（3）其它法律法规规定的情形。</w:t>
      </w:r>
    </w:p>
    <w:p w14:paraId="0176CCAE">
      <w:pPr>
        <w:pageBreakBefore w:val="0"/>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9.4对评标活动有关的工作人员的纪律要求</w:t>
      </w:r>
    </w:p>
    <w:p w14:paraId="682BB25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1AAEE4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（2）其它法律法规规定的情形。</w:t>
      </w:r>
    </w:p>
    <w:p w14:paraId="521B0074">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89" w:name="_Toc140565047"/>
      <w:bookmarkStart w:id="190" w:name="_Toc839"/>
      <w:bookmarkStart w:id="191" w:name="_Toc14435"/>
      <w:bookmarkStart w:id="192" w:name="_Toc140565230"/>
      <w:r>
        <w:rPr>
          <w:rFonts w:hint="eastAsia" w:ascii="仿宋" w:hAnsi="仿宋" w:eastAsia="仿宋" w:cs="仿宋"/>
          <w:color w:val="auto"/>
          <w:sz w:val="28"/>
          <w:szCs w:val="28"/>
          <w:highlight w:val="none"/>
        </w:rPr>
        <w:t>10、质疑与投诉</w:t>
      </w:r>
      <w:bookmarkEnd w:id="189"/>
      <w:bookmarkEnd w:id="190"/>
      <w:bookmarkEnd w:id="191"/>
      <w:bookmarkEnd w:id="192"/>
    </w:p>
    <w:p w14:paraId="1C78C05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投标人认为招标文件、采购过程、中标结果使自己的权益受到损害的，可以在知道或者应知其权益受到损害之日起7个工作日内，以书面形式向采购代理机构或采购人提出质疑。质疑内容不得含有虚假、恶意成分。当事人对自己提出的主张，有责任提供证据，提出质疑时应同时提交相关证据材料和注明事实的确切来源。</w:t>
      </w:r>
    </w:p>
    <w:p w14:paraId="2AC56E2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10.2投标人应知其权益受到损害之日，是指：</w:t>
      </w:r>
    </w:p>
    <w:p w14:paraId="6E6A148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（1）对可以质疑的招标文件提出质疑的，为投标人获取招标文件之日；</w:t>
      </w:r>
    </w:p>
    <w:p w14:paraId="6FD8AB6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（2）对采购过程提出质疑的，为各采购程序环节结束之日；</w:t>
      </w:r>
    </w:p>
    <w:p w14:paraId="5B31ED0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（3）对中标结果提出质疑的，为中标结果公告期限届满之日。</w:t>
      </w:r>
    </w:p>
    <w:p w14:paraId="34DFBFC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10.3投标人提供的质疑应符合《政府采购质疑和投诉办法》（财政部令第94号）的规定。投标人提供的质疑函（如材料中有外文资料应同时附上中文译本）应当包括以下主要内容：</w:t>
      </w:r>
    </w:p>
    <w:p w14:paraId="48DA745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（1）投标人的姓名或者名称、地址、邮编、联系人及联系电话；</w:t>
      </w:r>
    </w:p>
    <w:p w14:paraId="4AC0675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（2）质疑项目的名称、编号；</w:t>
      </w:r>
    </w:p>
    <w:p w14:paraId="40661A2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（3）具体、明确的质疑事项和与质疑事项相关的请求；</w:t>
      </w:r>
    </w:p>
    <w:p w14:paraId="2F6B8A4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（4）事实依据；</w:t>
      </w:r>
    </w:p>
    <w:p w14:paraId="52A8D2F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（5）必要的法律依据；</w:t>
      </w:r>
    </w:p>
    <w:p w14:paraId="1C4F8A6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（6）提出的质疑日期。</w:t>
      </w:r>
    </w:p>
    <w:p w14:paraId="27D2C6D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投标人为自然人的，应当由本人签字；投标人为法人或者其他组织的，应当由法定代表人、主要负责人，或者其授权代表签字或者盖章，并加盖公章。</w:t>
      </w:r>
    </w:p>
    <w:p w14:paraId="63B36D7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10.4采购人、采购代理机构将在收到投标人的书面质疑后7个工作日内作出答复，但答复的内容不涉及商业秘密。</w:t>
      </w:r>
    </w:p>
    <w:p w14:paraId="5B35C36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参与政府采购活动的投标人对评审过程或者结果提出质疑的，采购人或采购代理机构可以组织原评审委员会协助处理质疑事项，并依据评审委员会出具的意见进行答复。质疑答复导致中标结果改变的，采购人或采购代理机构应将相关情况报财政部门备案。</w:t>
      </w:r>
    </w:p>
    <w:p w14:paraId="0011D5B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10.6投诉必须首先经过质疑程序。质疑人对采购人、采购代理机构的答复不满意，或者采购人、采购代理机构未在规定的时间内作出答复的，可以在答复期满后15个工作日内书面向同级财政部门提出投诉。</w:t>
      </w:r>
    </w:p>
    <w:p w14:paraId="7D9176AF">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93" w:name="_Toc140565048"/>
      <w:bookmarkStart w:id="194" w:name="_Toc9382"/>
      <w:bookmarkStart w:id="195" w:name="_Toc140565231"/>
      <w:bookmarkStart w:id="196" w:name="_Toc11396"/>
      <w:r>
        <w:rPr>
          <w:rFonts w:hint="eastAsia" w:ascii="仿宋" w:hAnsi="仿宋" w:eastAsia="仿宋" w:cs="仿宋"/>
          <w:color w:val="auto"/>
          <w:sz w:val="28"/>
          <w:szCs w:val="28"/>
          <w:highlight w:val="none"/>
        </w:rPr>
        <w:t>11、</w:t>
      </w:r>
      <w:bookmarkEnd w:id="193"/>
      <w:bookmarkEnd w:id="194"/>
      <w:bookmarkEnd w:id="195"/>
      <w:r>
        <w:rPr>
          <w:rFonts w:hint="eastAsia" w:ascii="仿宋" w:hAnsi="仿宋" w:eastAsia="仿宋" w:cs="仿宋"/>
          <w:color w:val="auto"/>
          <w:sz w:val="28"/>
          <w:szCs w:val="28"/>
          <w:highlight w:val="none"/>
        </w:rPr>
        <w:t>是否采用电子化招标投标</w:t>
      </w:r>
      <w:bookmarkEnd w:id="196"/>
    </w:p>
    <w:p w14:paraId="15249457">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本采购项目是否采用电子招标投标方式：详见投标人须知前附表。</w:t>
      </w:r>
    </w:p>
    <w:p w14:paraId="4F1339CD">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97" w:name="_Toc18020"/>
      <w:r>
        <w:rPr>
          <w:rFonts w:hint="eastAsia" w:ascii="仿宋" w:hAnsi="仿宋" w:eastAsia="仿宋" w:cs="仿宋"/>
          <w:color w:val="auto"/>
          <w:sz w:val="28"/>
          <w:szCs w:val="28"/>
          <w:highlight w:val="none"/>
        </w:rPr>
        <w:t>12.法律责任</w:t>
      </w:r>
      <w:bookmarkEnd w:id="197"/>
    </w:p>
    <w:p w14:paraId="109DB27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12.1采购人有下列情形之一的，依法追究法律责任：</w:t>
      </w:r>
    </w:p>
    <w:p w14:paraId="38A3C12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（1）违反本办法第六条第二款规定的；</w:t>
      </w:r>
    </w:p>
    <w:p w14:paraId="324483A3">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（2）未在规定时间内确定中标人的；</w:t>
      </w:r>
    </w:p>
    <w:p w14:paraId="0BAF5A7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（3）向中标人提出不合理要求作为签订合同条件的；</w:t>
      </w:r>
    </w:p>
    <w:p w14:paraId="2D985F0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（4）法律法规规定的其它情形。</w:t>
      </w:r>
    </w:p>
    <w:p w14:paraId="6C9EEBE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12.2采购代理机构</w:t>
      </w:r>
    </w:p>
    <w:p w14:paraId="4B5B93ED">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（1）非法干预采购评审活动；</w:t>
      </w:r>
    </w:p>
    <w:p w14:paraId="404F5F4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（2）擅自终止招标活动的；</w:t>
      </w:r>
    </w:p>
    <w:p w14:paraId="65834231">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（3）未按照规定进行开标和组织评标的；</w:t>
      </w:r>
    </w:p>
    <w:p w14:paraId="607AE115">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（4）未妥善保存采购文件的；</w:t>
      </w:r>
    </w:p>
    <w:p w14:paraId="31566FD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（5）法律法规规定的其它情形。</w:t>
      </w:r>
    </w:p>
    <w:p w14:paraId="6FD592C6">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12.3投标人</w:t>
      </w:r>
    </w:p>
    <w:p w14:paraId="224A2232">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投标人有下列情形之一的，依法追究法律责任：</w:t>
      </w:r>
    </w:p>
    <w:p w14:paraId="1E1F9B3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（1）向评标委员会、竞争性谈判小组或者询价小组成员行贿或者提供其他不正当利益；</w:t>
      </w:r>
    </w:p>
    <w:p w14:paraId="3BA9AC9F">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（2）中标或者成交后无正当理由拒不与采购人签订政府采购合同；</w:t>
      </w:r>
    </w:p>
    <w:p w14:paraId="52F0C72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（3）未按照采购文件确定的事项签订政府采购合同；</w:t>
      </w:r>
    </w:p>
    <w:p w14:paraId="46B7A3A4">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（4）将政府采购合同转包；</w:t>
      </w:r>
    </w:p>
    <w:p w14:paraId="6B33148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（5）提供假冒伪劣产品；</w:t>
      </w:r>
    </w:p>
    <w:p w14:paraId="08F474F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（6）擅自变更、中止或者终止政府采购合同；</w:t>
      </w:r>
    </w:p>
    <w:p w14:paraId="6AA377B8">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（7）法律法规规定的其它情形。</w:t>
      </w:r>
    </w:p>
    <w:p w14:paraId="5FCE0FD0">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12.4评标委员会成员有下列情形的,列入不良行为记录：</w:t>
      </w:r>
    </w:p>
    <w:p w14:paraId="28BBA4A5">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（1）未按照采购文件规定的评审程序、评审方法和评审标准进行独立评审;</w:t>
      </w:r>
    </w:p>
    <w:p w14:paraId="0388AF8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（2）泄露评审文件、评审情况;</w:t>
      </w:r>
    </w:p>
    <w:p w14:paraId="6A30471C">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（3）与投标人存在利害关系未回避;</w:t>
      </w:r>
    </w:p>
    <w:p w14:paraId="4917AA7B">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（4）收受采购人、采购代理机构、投标人贿赂或者获取其他不正当利益;</w:t>
      </w:r>
    </w:p>
    <w:p w14:paraId="0AFA889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（5）拒不履行配合答复投标人询问、质疑、投诉等法定义务;</w:t>
      </w:r>
    </w:p>
    <w:p w14:paraId="2676FFFE">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（6）以评审专家身份从事有损政府采购公信力的活动；</w:t>
      </w:r>
    </w:p>
    <w:p w14:paraId="7B05BDC4">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（7）法律法规规定的其它情形。</w:t>
      </w:r>
    </w:p>
    <w:p w14:paraId="37B99CA3">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198" w:name="_Toc8813"/>
      <w:r>
        <w:rPr>
          <w:rFonts w:hint="eastAsia" w:ascii="仿宋" w:hAnsi="仿宋" w:eastAsia="仿宋" w:cs="仿宋"/>
          <w:color w:val="auto"/>
          <w:sz w:val="28"/>
          <w:szCs w:val="28"/>
          <w:highlight w:val="none"/>
        </w:rPr>
        <w:t>13.需要补充的其他内容</w:t>
      </w:r>
      <w:bookmarkEnd w:id="198"/>
    </w:p>
    <w:p w14:paraId="5A18E919">
      <w:pPr>
        <w:pageBreakBefore w:val="0"/>
        <w:overflowPunct/>
        <w:topLinePunct w:val="0"/>
        <w:bidi w:val="0"/>
        <w:spacing w:line="360" w:lineRule="auto"/>
        <w:ind w:firstLine="48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需要补充的其他内容：详见投标人须知前附表。</w:t>
      </w:r>
    </w:p>
    <w:p w14:paraId="399FA8B2">
      <w:pPr>
        <w:pStyle w:val="2"/>
        <w:pageBreakBefore w:val="0"/>
        <w:overflowPunct/>
        <w:topLinePunct w:val="0"/>
        <w:bidi w:val="0"/>
        <w:spacing w:line="360" w:lineRule="auto"/>
        <w:jc w:val="center"/>
        <w:rPr>
          <w:rFonts w:hint="eastAsia" w:ascii="仿宋" w:hAnsi="仿宋" w:eastAsia="仿宋" w:cs="仿宋"/>
          <w:color w:val="auto"/>
          <w:highlight w:val="none"/>
        </w:rPr>
      </w:pPr>
      <w:bookmarkStart w:id="199" w:name="_Toc9167"/>
      <w:bookmarkStart w:id="200" w:name="_Toc140565232"/>
      <w:bookmarkStart w:id="201" w:name="_Toc140565049"/>
      <w:r>
        <w:rPr>
          <w:rFonts w:hint="eastAsia" w:ascii="仿宋" w:hAnsi="仿宋" w:eastAsia="仿宋" w:cs="仿宋"/>
          <w:color w:val="auto"/>
          <w:highlight w:val="none"/>
        </w:rPr>
        <w:br w:type="page"/>
      </w:r>
      <w:bookmarkStart w:id="202" w:name="_Toc4615"/>
      <w:r>
        <w:rPr>
          <w:rFonts w:hint="eastAsia" w:ascii="仿宋" w:hAnsi="仿宋" w:eastAsia="仿宋" w:cs="仿宋"/>
          <w:color w:val="auto"/>
          <w:highlight w:val="none"/>
        </w:rPr>
        <w:t>第三章 评标办法</w:t>
      </w:r>
      <w:bookmarkEnd w:id="199"/>
      <w:bookmarkEnd w:id="200"/>
      <w:bookmarkEnd w:id="201"/>
      <w:bookmarkEnd w:id="202"/>
    </w:p>
    <w:p w14:paraId="510F299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bookmarkStart w:id="203" w:name="_Toc140565233"/>
      <w:bookmarkStart w:id="204" w:name="_Toc140565050"/>
      <w:bookmarkStart w:id="205" w:name="_Toc21547"/>
      <w:r>
        <w:rPr>
          <w:rFonts w:hint="eastAsia" w:ascii="仿宋" w:hAnsi="仿宋" w:eastAsia="仿宋" w:cs="仿宋"/>
          <w:color w:val="auto"/>
          <w:sz w:val="24"/>
          <w:szCs w:val="24"/>
          <w:highlight w:val="none"/>
        </w:rPr>
        <w:t>根据《中华人民共和国政府采购法》、《中华人民共和国政府采购法实施条例》、《政府采购货物和服务采购投标管理办法》（财政部令第87号）等相关法律、法规和规章的规定制定本办法。</w:t>
      </w:r>
    </w:p>
    <w:p w14:paraId="7434BD8D">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206" w:name="_Toc30214"/>
      <w:r>
        <w:rPr>
          <w:rFonts w:hint="eastAsia" w:ascii="仿宋" w:hAnsi="仿宋" w:eastAsia="仿宋" w:cs="仿宋"/>
          <w:color w:val="auto"/>
          <w:sz w:val="28"/>
          <w:szCs w:val="28"/>
          <w:highlight w:val="none"/>
        </w:rPr>
        <w:t>1、评标机构</w:t>
      </w:r>
      <w:bookmarkEnd w:id="203"/>
      <w:bookmarkEnd w:id="204"/>
      <w:bookmarkEnd w:id="205"/>
      <w:bookmarkEnd w:id="206"/>
    </w:p>
    <w:p w14:paraId="412CF04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评标机构为评标委员会，评标委员会由采购人代表和评审专家组成，成员人数为5人及以上单数，其中评审专家不得少于成员总数的三分之二。</w:t>
      </w:r>
    </w:p>
    <w:p w14:paraId="31B9466A">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207" w:name="_Toc14295"/>
      <w:bookmarkStart w:id="208" w:name="_Toc140565234"/>
      <w:bookmarkStart w:id="209" w:name="_Toc3198"/>
      <w:bookmarkStart w:id="210" w:name="_Toc140565051"/>
      <w:r>
        <w:rPr>
          <w:rFonts w:hint="eastAsia" w:ascii="仿宋" w:hAnsi="仿宋" w:eastAsia="仿宋" w:cs="仿宋"/>
          <w:color w:val="auto"/>
          <w:sz w:val="28"/>
          <w:szCs w:val="28"/>
          <w:highlight w:val="none"/>
        </w:rPr>
        <w:t>2、采购人或者采购代理机构职责</w:t>
      </w:r>
      <w:bookmarkEnd w:id="207"/>
      <w:bookmarkEnd w:id="208"/>
      <w:bookmarkEnd w:id="209"/>
      <w:bookmarkEnd w:id="210"/>
    </w:p>
    <w:p w14:paraId="79479061">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采购人或者采购代理机构负责组织评标工作，并履行下列职责：</w:t>
      </w:r>
    </w:p>
    <w:p w14:paraId="0F9AED1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（1）核对评审专家身份和采购人代表授权函，对评审专家在政府采购活动中的职责履行情况予以记录，并及时将有关违法违规行为向财政部门报告；</w:t>
      </w:r>
    </w:p>
    <w:p w14:paraId="21D7628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（2）宣布评标纪律；</w:t>
      </w:r>
    </w:p>
    <w:p w14:paraId="4682EA67">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（3）公布投标人名单，告知评审专家应当回避的情形；</w:t>
      </w:r>
    </w:p>
    <w:p w14:paraId="69DCFA25">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（4）组织评标委员会推选评标组长、采购人代表不得担任组长；</w:t>
      </w:r>
    </w:p>
    <w:p w14:paraId="57E08FB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（5）在评标期间采取必要的通讯管理措施，保证评标活动不受外界干扰；</w:t>
      </w:r>
    </w:p>
    <w:p w14:paraId="2DF9E3F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（6）根据评标委员会的要求介绍政府采购相关政策法规、招标文件；</w:t>
      </w:r>
    </w:p>
    <w:p w14:paraId="2A03A16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（7）维护评标秩序，监督评标委员会依照招标文件规定的评标程序、方法和标准进行独立评审，及时制止和纠正采购人代表、评审专家的倾向性言论或者违法违规行为；</w:t>
      </w:r>
    </w:p>
    <w:p w14:paraId="1841028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（8）核对评标结果，有《政府采购货物和服务招标投标管理办法》（财政部令第87号）第六十四条规定情形的，要求评标委员会复核或者书面说明理由，评标委员会拒绝的，应予记录并向本级财政部门报告；</w:t>
      </w:r>
    </w:p>
    <w:p w14:paraId="22B74F4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（9）评审工作完成后，按照规定向评审专家支付劳务报酬和异地评审差旅费，不得向评审专家以外的其他人员支付评审劳务报酬</w:t>
      </w:r>
      <w:r>
        <w:rPr>
          <w:rFonts w:hint="eastAsia" w:ascii="仿宋" w:hAnsi="仿宋" w:eastAsia="仿宋" w:cs="仿宋"/>
          <w:color w:val="auto"/>
          <w:sz w:val="24"/>
          <w:szCs w:val="24"/>
          <w:highlight w:val="none"/>
          <w:lang w:eastAsia="zh-CN"/>
        </w:rPr>
        <w:t>。</w:t>
      </w:r>
    </w:p>
    <w:p w14:paraId="4A5F9FA8">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211" w:name="_Toc140565235"/>
      <w:bookmarkStart w:id="212" w:name="_Toc140565052"/>
      <w:bookmarkStart w:id="213" w:name="_Toc22125"/>
      <w:bookmarkStart w:id="214" w:name="_Toc20092"/>
      <w:r>
        <w:rPr>
          <w:rFonts w:hint="eastAsia" w:ascii="仿宋" w:hAnsi="仿宋" w:eastAsia="仿宋" w:cs="仿宋"/>
          <w:color w:val="auto"/>
          <w:sz w:val="28"/>
          <w:szCs w:val="28"/>
          <w:highlight w:val="none"/>
        </w:rPr>
        <w:t>3、评标委员会职责</w:t>
      </w:r>
      <w:bookmarkEnd w:id="211"/>
      <w:bookmarkEnd w:id="212"/>
      <w:bookmarkEnd w:id="213"/>
      <w:bookmarkEnd w:id="214"/>
    </w:p>
    <w:p w14:paraId="5D3E6ED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评标委员会负责具体评标事务，并独立履行下列职责：</w:t>
      </w:r>
    </w:p>
    <w:p w14:paraId="633045B5">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（1）审查、评价投标文件是否符合招标文件的商务、技术等实质性要求；</w:t>
      </w:r>
    </w:p>
    <w:p w14:paraId="0D34DF8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对投标文件有关事项作出澄清或者说明；</w:t>
      </w:r>
    </w:p>
    <w:p w14:paraId="48F6C63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（3）对投标文件进行比较和评价；</w:t>
      </w:r>
    </w:p>
    <w:p w14:paraId="0DE7289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（4）确定中标候选人名单，以及根据采购人委托直接确定</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39F96F96">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（5）向采购人、采购代理机构或者有关部门报告评标中发现的违法行为。</w:t>
      </w:r>
    </w:p>
    <w:p w14:paraId="5E3F4244">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215" w:name="_Toc140565053"/>
      <w:bookmarkStart w:id="216" w:name="_Toc140565236"/>
      <w:bookmarkStart w:id="217" w:name="_Toc1596"/>
      <w:bookmarkStart w:id="218" w:name="_Toc12811"/>
      <w:r>
        <w:rPr>
          <w:rFonts w:hint="eastAsia" w:ascii="仿宋" w:hAnsi="仿宋" w:eastAsia="仿宋" w:cs="仿宋"/>
          <w:color w:val="auto"/>
          <w:sz w:val="28"/>
          <w:szCs w:val="28"/>
          <w:highlight w:val="none"/>
        </w:rPr>
        <w:t>4、评标纪律</w:t>
      </w:r>
      <w:bookmarkEnd w:id="215"/>
      <w:bookmarkEnd w:id="216"/>
      <w:bookmarkEnd w:id="217"/>
      <w:bookmarkEnd w:id="218"/>
    </w:p>
    <w:p w14:paraId="00A1F12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（1）对评标内容和评标过程要严格保密，不得向</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或与该过程无关的其它人员泄露。</w:t>
      </w:r>
    </w:p>
    <w:p w14:paraId="543CBB8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（2）评标期间的一切资料，包括评标意见、评标记录和评标结论，一律不得向外传和泄露。</w:t>
      </w:r>
    </w:p>
    <w:p w14:paraId="12845D6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（3）任何属于投标文件审查、澄清、评价的资料，不得向</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或与该过程无关的其它人员泄露。</w:t>
      </w:r>
    </w:p>
    <w:p w14:paraId="44789A6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（4）所有资料（包括招标文件、投标文件、评标表格及各种文字记录）在评标结束后均应分别整理、存档备查，任何人不得复制和保留。</w:t>
      </w:r>
    </w:p>
    <w:p w14:paraId="57B5DC4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（5）评标期间，未经允许评标委员会以外的任何单位或部门不得参加评标和采访评标工作。</w:t>
      </w:r>
    </w:p>
    <w:p w14:paraId="267357A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（6）评标期间，评标人员不得外出，确需外出时应事先请假。</w:t>
      </w:r>
    </w:p>
    <w:p w14:paraId="2C56646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（7）评标期间，所有与会人员不得私自以任何方式和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进行联系，需要询问、澄清的问题由评标委员会统一组织办理。</w:t>
      </w:r>
    </w:p>
    <w:p w14:paraId="359BD5F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（8）评标结束后，与会人员不得向外界透露评标人员的评标意见，如因此造成的后果由责任者承担。</w:t>
      </w:r>
    </w:p>
    <w:p w14:paraId="61A5F8A3">
      <w:pPr>
        <w:pStyle w:val="3"/>
        <w:pageBreakBefore w:val="0"/>
        <w:overflowPunct/>
        <w:topLinePunct w:val="0"/>
        <w:bidi w:val="0"/>
        <w:spacing w:after="0" w:line="360" w:lineRule="auto"/>
        <w:rPr>
          <w:rFonts w:hint="eastAsia" w:ascii="仿宋" w:hAnsi="仿宋" w:eastAsia="仿宋" w:cs="仿宋"/>
          <w:color w:val="auto"/>
          <w:sz w:val="28"/>
          <w:szCs w:val="28"/>
          <w:highlight w:val="none"/>
        </w:rPr>
      </w:pPr>
      <w:bookmarkStart w:id="219" w:name="_Toc27916"/>
      <w:bookmarkStart w:id="220" w:name="_Toc140565237"/>
      <w:bookmarkStart w:id="221" w:name="_Toc140565054"/>
      <w:bookmarkStart w:id="222" w:name="_Toc2935"/>
      <w:r>
        <w:rPr>
          <w:rFonts w:hint="eastAsia" w:ascii="仿宋" w:hAnsi="仿宋" w:eastAsia="仿宋" w:cs="仿宋"/>
          <w:color w:val="auto"/>
          <w:sz w:val="28"/>
          <w:szCs w:val="28"/>
          <w:highlight w:val="none"/>
        </w:rPr>
        <w:t>5、评标原则</w:t>
      </w:r>
      <w:bookmarkEnd w:id="219"/>
      <w:bookmarkEnd w:id="220"/>
      <w:bookmarkEnd w:id="221"/>
      <w:bookmarkEnd w:id="222"/>
    </w:p>
    <w:p w14:paraId="649F61E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评标将遵循下列原则：</w:t>
      </w:r>
    </w:p>
    <w:p w14:paraId="29E7BB0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（1）坚持公平、公正、科学、择优的原则，本着实事求是的精神，不带任何主观意愿和偏见，认真负责地做好评标工作，公平、公正地对待每一个</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p>
    <w:p w14:paraId="55DA8AE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（2）全面分析，综合评审。</w:t>
      </w:r>
    </w:p>
    <w:p w14:paraId="5BC5A6C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（3）评标只对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的投标文件进行评审，投标文件以外的资料、信息不应作为评标的依据。</w:t>
      </w:r>
    </w:p>
    <w:p w14:paraId="1E5C9012">
      <w:pPr>
        <w:pStyle w:val="3"/>
        <w:pageBreakBefore w:val="0"/>
        <w:tabs>
          <w:tab w:val="left" w:pos="5880"/>
        </w:tabs>
        <w:overflowPunct/>
        <w:topLinePunct w:val="0"/>
        <w:bidi w:val="0"/>
        <w:spacing w:after="0" w:line="360" w:lineRule="auto"/>
        <w:rPr>
          <w:rFonts w:hint="eastAsia" w:ascii="仿宋" w:hAnsi="仿宋" w:eastAsia="仿宋" w:cs="仿宋"/>
          <w:color w:val="auto"/>
          <w:sz w:val="28"/>
          <w:szCs w:val="28"/>
          <w:highlight w:val="none"/>
        </w:rPr>
      </w:pPr>
      <w:bookmarkStart w:id="223" w:name="_Toc140565238"/>
      <w:bookmarkStart w:id="224" w:name="_Toc19224"/>
      <w:bookmarkStart w:id="225" w:name="_Toc12511"/>
      <w:bookmarkStart w:id="226" w:name="_Toc140565055"/>
      <w:r>
        <w:rPr>
          <w:rFonts w:hint="eastAsia" w:ascii="仿宋" w:hAnsi="仿宋" w:eastAsia="仿宋" w:cs="仿宋"/>
          <w:color w:val="auto"/>
          <w:sz w:val="28"/>
          <w:szCs w:val="28"/>
          <w:highlight w:val="none"/>
        </w:rPr>
        <w:t>6、评标程序</w:t>
      </w:r>
      <w:bookmarkEnd w:id="223"/>
      <w:bookmarkEnd w:id="224"/>
      <w:bookmarkEnd w:id="225"/>
      <w:bookmarkEnd w:id="226"/>
    </w:p>
    <w:p w14:paraId="12272B13">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本次招标所采用的评标办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3130DD9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6.2评标只对通过资格审查的投标文件进行评审，评标程序：资格审查→符合性审查→商务和技术评估、综合比较与评价→得分汇总→评标报告编写。</w:t>
      </w:r>
    </w:p>
    <w:p w14:paraId="3975DA5C">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bookmarkStart w:id="227" w:name="_Toc512145677"/>
      <w:bookmarkStart w:id="228" w:name="_Toc24531792"/>
      <w:bookmarkStart w:id="229" w:name="_Toc510164598"/>
      <w:bookmarkStart w:id="230" w:name="_Toc532026899"/>
      <w:bookmarkStart w:id="231" w:name="_Toc510164803"/>
      <w:bookmarkStart w:id="232" w:name="_Toc36621972"/>
      <w:bookmarkStart w:id="233" w:name="_Toc427534"/>
      <w:bookmarkStart w:id="234" w:name="_Toc510164454"/>
      <w:bookmarkStart w:id="235" w:name="_Toc521313388"/>
      <w:bookmarkStart w:id="236" w:name="_Toc535053841"/>
      <w:bookmarkStart w:id="237" w:name="_Toc510168028"/>
      <w:bookmarkStart w:id="238" w:name="_Toc535054230"/>
      <w:bookmarkStart w:id="239" w:name="_Toc510164551"/>
      <w:bookmarkStart w:id="240" w:name="_Toc522705438"/>
      <w:bookmarkStart w:id="241" w:name="_Toc532025724"/>
      <w:bookmarkStart w:id="242" w:name="_Toc522792533"/>
      <w:bookmarkStart w:id="243" w:name="_Toc524152292"/>
      <w:bookmarkStart w:id="244" w:name="_Toc522249814"/>
      <w:bookmarkStart w:id="245" w:name="_Toc510168199"/>
      <w:bookmarkStart w:id="246" w:name="_Toc522249415"/>
      <w:bookmarkStart w:id="247" w:name="_Toc532026507"/>
      <w:r>
        <w:rPr>
          <w:rFonts w:hint="eastAsia" w:ascii="仿宋" w:hAnsi="仿宋" w:eastAsia="仿宋" w:cs="仿宋"/>
          <w:b/>
          <w:bCs/>
          <w:color w:val="auto"/>
          <w:sz w:val="24"/>
          <w:szCs w:val="24"/>
          <w:highlight w:val="none"/>
        </w:rPr>
        <w:t>6.3资格审查</w:t>
      </w:r>
    </w:p>
    <w:p w14:paraId="0780341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开标结束后，采购人或者采购代理机构将首先对投标文件进行资格审查，具体审查内容如下：</w:t>
      </w:r>
    </w:p>
    <w:tbl>
      <w:tblPr>
        <w:tblStyle w:val="35"/>
        <w:tblW w:w="49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3753"/>
        <w:gridCol w:w="4028"/>
      </w:tblGrid>
      <w:tr w14:paraId="719E5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452E5861">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33" w:type="pct"/>
            <w:noWrap w:val="0"/>
            <w:vAlign w:val="center"/>
          </w:tcPr>
          <w:p w14:paraId="74669EE3">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w:t>
            </w:r>
          </w:p>
        </w:tc>
        <w:tc>
          <w:tcPr>
            <w:tcW w:w="2396" w:type="pct"/>
            <w:noWrap w:val="0"/>
            <w:vAlign w:val="center"/>
          </w:tcPr>
          <w:p w14:paraId="3D59B6DF">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审查</w:t>
            </w:r>
          </w:p>
        </w:tc>
      </w:tr>
      <w:tr w14:paraId="5970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369" w:type="pct"/>
            <w:noWrap w:val="0"/>
            <w:vAlign w:val="center"/>
          </w:tcPr>
          <w:p w14:paraId="28CEFC46">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233" w:type="pct"/>
            <w:noWrap w:val="0"/>
            <w:vAlign w:val="center"/>
          </w:tcPr>
          <w:p w14:paraId="0C122EF3">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供应商须具有独立承担民事责任的能力</w:t>
            </w:r>
          </w:p>
        </w:tc>
        <w:tc>
          <w:tcPr>
            <w:tcW w:w="2396" w:type="pct"/>
            <w:noWrap w:val="0"/>
            <w:vAlign w:val="center"/>
          </w:tcPr>
          <w:p w14:paraId="5D407F8C">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所提供的证件合格有效，证件中单位名称与投标人单位名称一致，审查投标文件中的对应资料</w:t>
            </w:r>
          </w:p>
        </w:tc>
      </w:tr>
      <w:tr w14:paraId="1C1C3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562B392F">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233" w:type="pct"/>
            <w:noWrap w:val="0"/>
            <w:vAlign w:val="center"/>
          </w:tcPr>
          <w:p w14:paraId="35B6914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供应商须具有良好的商业信誉和健全的财务会计制度</w:t>
            </w:r>
          </w:p>
        </w:tc>
        <w:tc>
          <w:tcPr>
            <w:tcW w:w="2396" w:type="pct"/>
            <w:noWrap w:val="0"/>
            <w:vAlign w:val="center"/>
          </w:tcPr>
          <w:p w14:paraId="62540339">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符合投标人须知前附表第1.4.1项规定，审查投标文件中的对应资料</w:t>
            </w:r>
          </w:p>
        </w:tc>
      </w:tr>
      <w:tr w14:paraId="7E31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69CF7B0D">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233" w:type="pct"/>
            <w:noWrap w:val="0"/>
            <w:vAlign w:val="center"/>
          </w:tcPr>
          <w:p w14:paraId="43ABF706">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供应商须提供具有履行合同所必需的设备和专业技术能力证明材料</w:t>
            </w:r>
          </w:p>
        </w:tc>
        <w:tc>
          <w:tcPr>
            <w:tcW w:w="2396" w:type="pct"/>
            <w:noWrap w:val="0"/>
            <w:vAlign w:val="center"/>
          </w:tcPr>
          <w:p w14:paraId="188889A9">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符合投标人须知前附表第1.4.1项规定，审查投标文件中的对应资料</w:t>
            </w:r>
          </w:p>
        </w:tc>
      </w:tr>
      <w:tr w14:paraId="1CFA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369" w:type="pct"/>
            <w:noWrap w:val="0"/>
            <w:vAlign w:val="center"/>
          </w:tcPr>
          <w:p w14:paraId="16315173">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233" w:type="pct"/>
            <w:noWrap w:val="0"/>
            <w:vAlign w:val="center"/>
          </w:tcPr>
          <w:p w14:paraId="41F8C4B4">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供应商须具有依法缴纳税收和社会保障资金的良好记录</w:t>
            </w:r>
          </w:p>
        </w:tc>
        <w:tc>
          <w:tcPr>
            <w:tcW w:w="2396" w:type="pct"/>
            <w:noWrap w:val="0"/>
            <w:vAlign w:val="center"/>
          </w:tcPr>
          <w:p w14:paraId="4B301928">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符合投标人须知前附表第1.4.1项规定，审查投标文件中的对应资料</w:t>
            </w:r>
          </w:p>
        </w:tc>
      </w:tr>
      <w:tr w14:paraId="6784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01D6A4E1">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233" w:type="pct"/>
            <w:noWrap w:val="0"/>
            <w:vAlign w:val="center"/>
          </w:tcPr>
          <w:p w14:paraId="75A652D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Cs/>
                <w:color w:val="auto"/>
                <w:spacing w:val="10"/>
                <w:sz w:val="24"/>
                <w:szCs w:val="24"/>
                <w:highlight w:val="none"/>
              </w:rPr>
            </w:pPr>
            <w:r>
              <w:rPr>
                <w:rFonts w:hint="eastAsia" w:ascii="仿宋" w:hAnsi="仿宋" w:eastAsia="仿宋" w:cs="仿宋"/>
                <w:color w:val="auto"/>
                <w:sz w:val="24"/>
                <w:szCs w:val="24"/>
                <w:highlight w:val="none"/>
              </w:rPr>
              <w:t>参加政府采购活动前三年内，在经营活动中没有重大违法记录：供应商参加政府采购活动前三年内，在经营活动中没有重大违法记录（重大违法记录，是指供应商因违法经营受到刑事处罚或者责令停产停业、吊销许可证或者执照、较大数额罚款等行政处罚）的书面声明（加盖供应商公章）</w:t>
            </w:r>
          </w:p>
        </w:tc>
        <w:tc>
          <w:tcPr>
            <w:tcW w:w="2396" w:type="pct"/>
            <w:noWrap w:val="0"/>
            <w:vAlign w:val="center"/>
          </w:tcPr>
          <w:p w14:paraId="3CF7443F">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符合投标人须知前附表第1.4.1项规定，审查投标文件中的对应资料</w:t>
            </w:r>
          </w:p>
        </w:tc>
      </w:tr>
      <w:tr w14:paraId="7BF5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9" w:type="pct"/>
            <w:noWrap w:val="0"/>
            <w:vAlign w:val="center"/>
          </w:tcPr>
          <w:p w14:paraId="6A05CB92">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233" w:type="pct"/>
            <w:noWrap w:val="0"/>
            <w:vAlign w:val="center"/>
          </w:tcPr>
          <w:p w14:paraId="3272CA9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法律、行政法规规定的其他条件</w:t>
            </w:r>
          </w:p>
        </w:tc>
        <w:tc>
          <w:tcPr>
            <w:tcW w:w="2396" w:type="pct"/>
            <w:noWrap w:val="0"/>
            <w:vAlign w:val="center"/>
          </w:tcPr>
          <w:p w14:paraId="63BCD296">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符合投标人须知前附表第1.4.1项规定，审查投标文件中的对应资料</w:t>
            </w:r>
          </w:p>
        </w:tc>
      </w:tr>
      <w:tr w14:paraId="0A70B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369" w:type="pct"/>
            <w:noWrap w:val="0"/>
            <w:vAlign w:val="center"/>
          </w:tcPr>
          <w:p w14:paraId="24383C99">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2233" w:type="pct"/>
            <w:noWrap w:val="0"/>
            <w:vAlign w:val="center"/>
          </w:tcPr>
          <w:p w14:paraId="46AD7B2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联合体</w:t>
            </w:r>
          </w:p>
        </w:tc>
        <w:tc>
          <w:tcPr>
            <w:tcW w:w="2396" w:type="pct"/>
            <w:noWrap w:val="0"/>
            <w:vAlign w:val="center"/>
          </w:tcPr>
          <w:p w14:paraId="78625A18">
            <w:pPr>
              <w:pStyle w:val="19"/>
              <w:keepNext w:val="0"/>
              <w:keepLines w:val="0"/>
              <w:pageBreakBefore w:val="0"/>
              <w:suppressLineNumbers w:val="0"/>
              <w:overflowPunct/>
              <w:topLinePunct w:val="0"/>
              <w:bidi w:val="0"/>
              <w:adjustRightInd w:val="0"/>
              <w:snapToGrid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本项目不接受联合体投标</w:t>
            </w:r>
          </w:p>
        </w:tc>
      </w:tr>
    </w:tbl>
    <w:p w14:paraId="5E6D9A61">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6.4符合性评审</w:t>
      </w:r>
    </w:p>
    <w:p w14:paraId="60C416C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6.4.1评标委员会对符合资格审查的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的投标文件进行符合性审查，以确定其是否满足招标文件的实质性要求。</w:t>
      </w:r>
    </w:p>
    <w:p w14:paraId="5EA8F957">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6.4.2有下列情形投标文件不能通过符合性评审，未通过符合性评审的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将不进入综合评分：</w:t>
      </w:r>
    </w:p>
    <w:tbl>
      <w:tblPr>
        <w:tblStyle w:val="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7610"/>
      </w:tblGrid>
      <w:tr w14:paraId="44D4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53AEA1B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465" w:type="pct"/>
            <w:noWrap w:val="0"/>
            <w:vAlign w:val="center"/>
          </w:tcPr>
          <w:p w14:paraId="77DB2C04">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审查</w:t>
            </w:r>
          </w:p>
        </w:tc>
      </w:tr>
      <w:tr w14:paraId="49DB2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66B001E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465" w:type="pct"/>
            <w:noWrap w:val="0"/>
            <w:vAlign w:val="center"/>
          </w:tcPr>
          <w:p w14:paraId="0F79D9D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投标文件未按招标文件要求签署、盖章的；</w:t>
            </w:r>
          </w:p>
        </w:tc>
      </w:tr>
      <w:tr w14:paraId="34D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0D56324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465" w:type="pct"/>
            <w:noWrap w:val="0"/>
            <w:vAlign w:val="center"/>
          </w:tcPr>
          <w:p w14:paraId="2D27132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不具备招标文件中规定的资格条件的；</w:t>
            </w:r>
          </w:p>
        </w:tc>
      </w:tr>
      <w:tr w14:paraId="3FD3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312BFA2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4465" w:type="pct"/>
            <w:noWrap w:val="0"/>
            <w:vAlign w:val="center"/>
          </w:tcPr>
          <w:p w14:paraId="51A06547">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投标报价超过招标文件中规定的预算金额或者最高限价的；</w:t>
            </w:r>
          </w:p>
        </w:tc>
      </w:tr>
      <w:tr w14:paraId="7F374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4AB912C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465" w:type="pct"/>
            <w:noWrap w:val="0"/>
            <w:vAlign w:val="center"/>
          </w:tcPr>
          <w:p w14:paraId="73FE245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投标文件含有采购人不能接受的附加条件的；</w:t>
            </w:r>
          </w:p>
        </w:tc>
      </w:tr>
      <w:tr w14:paraId="0776B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1EB1F3B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465" w:type="pct"/>
            <w:noWrap w:val="0"/>
            <w:vAlign w:val="center"/>
          </w:tcPr>
          <w:p w14:paraId="46E5E22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没有投标报价的及同一投标人提交两个以上不同的投标文件或者投标报价，但招标文件要求提交备选投标的除外；</w:t>
            </w:r>
          </w:p>
        </w:tc>
      </w:tr>
      <w:tr w14:paraId="58B7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30FF29B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4465" w:type="pct"/>
            <w:noWrap w:val="0"/>
            <w:vAlign w:val="center"/>
          </w:tcPr>
          <w:p w14:paraId="72FCDA6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投标文件内容书写潦草、字迹模糊不清难以辨认的；</w:t>
            </w:r>
          </w:p>
        </w:tc>
      </w:tr>
      <w:tr w14:paraId="1BA5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28322A2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4465" w:type="pct"/>
            <w:noWrap w:val="0"/>
            <w:vAlign w:val="center"/>
          </w:tcPr>
          <w:p w14:paraId="0F576C0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法定代表人委托代理人投标，但无法定代表人授权委托书的；</w:t>
            </w:r>
          </w:p>
        </w:tc>
      </w:tr>
      <w:tr w14:paraId="533D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04A1D56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4465" w:type="pct"/>
            <w:noWrap w:val="0"/>
            <w:vAlign w:val="center"/>
          </w:tcPr>
          <w:p w14:paraId="01EF3497">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不符合招标文件实质性要求或法律法规规定的其他情形的；</w:t>
            </w:r>
          </w:p>
        </w:tc>
      </w:tr>
      <w:tr w14:paraId="6A0D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pct"/>
            <w:noWrap w:val="0"/>
            <w:vAlign w:val="center"/>
          </w:tcPr>
          <w:p w14:paraId="0372171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4465" w:type="pct"/>
            <w:noWrap w:val="0"/>
            <w:vAlign w:val="center"/>
          </w:tcPr>
          <w:p w14:paraId="4C09D1F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投标人存在串通投标或被视为串通的情形、弄虚作假、行贿等违法行为。视为投标人串通投标的情形详见招标文件第二章1.4.4项规定。</w:t>
            </w:r>
          </w:p>
        </w:tc>
      </w:tr>
    </w:tbl>
    <w:p w14:paraId="5BFD7600">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6.5投标文件的澄清</w:t>
      </w:r>
    </w:p>
    <w:p w14:paraId="702E05E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6.5.1投标文件内容澄清</w:t>
      </w:r>
    </w:p>
    <w:p w14:paraId="5596C2A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委托代理人签字。投标人的澄清、说明或者补正不得超出投标文件的范围或者改变投标文件的实质性内容。</w:t>
      </w:r>
    </w:p>
    <w:p w14:paraId="4D9D25F1">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6.5.2报价不一致澄清</w:t>
      </w:r>
    </w:p>
    <w:p w14:paraId="3C295C7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投标文件报价出现前后不一致的，除招标文件另有规定外，按照下列规定修正：</w:t>
      </w:r>
    </w:p>
    <w:p w14:paraId="7904001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（1）投标文件中开标一览表（报价表）内容与投标文件中相应内容不一致的，以开标一览表（报价表）为准；</w:t>
      </w:r>
    </w:p>
    <w:p w14:paraId="1A7D973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（2）大写金额和小写金额不一致的，以大写金额为准；</w:t>
      </w:r>
    </w:p>
    <w:p w14:paraId="681ACCF0">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（3）单价金额小数点或者百分比有明显错位的，以开标一览表的总价为准，并修改单价；</w:t>
      </w:r>
    </w:p>
    <w:p w14:paraId="71AFFFF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（4）总价金额与单价汇总金额不一致的，以单价金额计算结果为准。</w:t>
      </w:r>
    </w:p>
    <w:p w14:paraId="0E56769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同时出现两种以上不一致的，按照前款规定的顺序修正。修正后的报价经投标人确认后产生约束力，投标人不确认的，其投标无效。</w:t>
      </w:r>
    </w:p>
    <w:p w14:paraId="344ECF55">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6.5.3报价过低澄清</w:t>
      </w:r>
    </w:p>
    <w:p w14:paraId="3AA708E8">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为投标人的报价（总价或单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14:paraId="61913C59">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6.6综合评分法细则（满分100分）</w:t>
      </w:r>
    </w:p>
    <w:p w14:paraId="17B63CFB">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6.6.1落实政府采购的政策</w:t>
      </w:r>
    </w:p>
    <w:p w14:paraId="03354D66">
      <w:pPr>
        <w:pageBreakBefore w:val="0"/>
        <w:overflowPunct/>
        <w:topLinePunct w:val="0"/>
        <w:bidi w:val="0"/>
        <w:spacing w:line="360" w:lineRule="auto"/>
        <w:ind w:firstLine="480" w:firstLineChars="200"/>
        <w:rPr>
          <w:rFonts w:hint="eastAsia" w:ascii="仿宋" w:hAnsi="仿宋" w:eastAsia="仿宋" w:cs="仿宋"/>
          <w:b/>
          <w:bCs/>
          <w:color w:val="auto"/>
          <w:sz w:val="24"/>
          <w:szCs w:val="24"/>
          <w:highlight w:val="none"/>
        </w:rPr>
      </w:pPr>
      <w:r>
        <w:rPr>
          <w:rFonts w:hint="eastAsia" w:ascii="仿宋" w:hAnsi="仿宋" w:eastAsia="仿宋" w:cs="仿宋"/>
          <w:b w:val="0"/>
          <w:bCs w:val="0"/>
          <w:color w:val="auto"/>
          <w:sz w:val="24"/>
          <w:szCs w:val="24"/>
          <w:highlight w:val="none"/>
        </w:rPr>
        <w:t>详见投标人须知前附表第13项需要补充的其他内容。</w:t>
      </w:r>
    </w:p>
    <w:p w14:paraId="27416AE5">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综合评分方式</w:t>
      </w:r>
    </w:p>
    <w:p w14:paraId="1FFBAF28">
      <w:pPr>
        <w:pStyle w:val="19"/>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评标总得分=F</w:t>
      </w:r>
      <w:r>
        <w:rPr>
          <w:rFonts w:hint="eastAsia" w:ascii="仿宋" w:hAnsi="仿宋" w:eastAsia="仿宋" w:cs="仿宋"/>
          <w:color w:val="auto"/>
          <w:sz w:val="24"/>
          <w:szCs w:val="24"/>
          <w:highlight w:val="none"/>
          <w:vertAlign w:val="subscript"/>
        </w:rPr>
        <w:t>1</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vertAlign w:val="subscript"/>
        </w:rPr>
        <w:t>2</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vertAlign w:val="subscript"/>
        </w:rPr>
        <w:t>n</w:t>
      </w:r>
    </w:p>
    <w:p w14:paraId="4D0336F3">
      <w:pPr>
        <w:pStyle w:val="19"/>
        <w:pageBreakBefore w:val="0"/>
        <w:overflowPunct/>
        <w:topLinePunct w:val="0"/>
        <w:bidi w:val="0"/>
        <w:spacing w:line="360" w:lineRule="auto"/>
        <w:ind w:firstLine="523" w:firstLineChars="21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vertAlign w:val="subscript"/>
        </w:rPr>
        <w:t>1</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vertAlign w:val="subscript"/>
        </w:rPr>
        <w:t>2</w:t>
      </w: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vertAlign w:val="subscript"/>
        </w:rPr>
        <w:t>n</w:t>
      </w:r>
      <w:r>
        <w:rPr>
          <w:rFonts w:hint="eastAsia" w:ascii="仿宋" w:hAnsi="仿宋" w:eastAsia="仿宋" w:cs="仿宋"/>
          <w:color w:val="auto"/>
          <w:sz w:val="24"/>
          <w:szCs w:val="24"/>
          <w:highlight w:val="none"/>
        </w:rPr>
        <w:t>分别为各项评审因素的得分；</w:t>
      </w:r>
    </w:p>
    <w:tbl>
      <w:tblPr>
        <w:tblStyle w:val="35"/>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
        <w:gridCol w:w="760"/>
        <w:gridCol w:w="596"/>
        <w:gridCol w:w="6073"/>
        <w:gridCol w:w="671"/>
      </w:tblGrid>
      <w:tr w14:paraId="2224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 w:type="pct"/>
            <w:tcBorders>
              <w:top w:val="single" w:color="auto" w:sz="4" w:space="0"/>
              <w:left w:val="single" w:color="auto" w:sz="4" w:space="0"/>
              <w:bottom w:val="single" w:color="auto" w:sz="4" w:space="0"/>
              <w:right w:val="single" w:color="auto" w:sz="4" w:space="0"/>
            </w:tcBorders>
            <w:vAlign w:val="center"/>
          </w:tcPr>
          <w:p w14:paraId="0F4184B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447" w:type="pct"/>
            <w:tcBorders>
              <w:top w:val="single" w:color="auto" w:sz="4" w:space="0"/>
              <w:left w:val="single" w:color="auto" w:sz="4" w:space="0"/>
              <w:bottom w:val="single" w:color="auto" w:sz="4" w:space="0"/>
              <w:right w:val="single" w:color="auto" w:sz="4" w:space="0"/>
            </w:tcBorders>
            <w:vAlign w:val="center"/>
          </w:tcPr>
          <w:p w14:paraId="3D8035A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评审项目</w:t>
            </w:r>
          </w:p>
        </w:tc>
        <w:tc>
          <w:tcPr>
            <w:tcW w:w="351" w:type="pct"/>
            <w:tcBorders>
              <w:top w:val="single" w:color="auto" w:sz="4" w:space="0"/>
              <w:left w:val="single" w:color="auto" w:sz="4" w:space="0"/>
              <w:bottom w:val="single" w:color="auto" w:sz="4" w:space="0"/>
              <w:right w:val="single" w:color="auto" w:sz="4" w:space="0"/>
            </w:tcBorders>
            <w:vAlign w:val="center"/>
          </w:tcPr>
          <w:p w14:paraId="4F0BA97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分值</w:t>
            </w:r>
          </w:p>
        </w:tc>
        <w:tc>
          <w:tcPr>
            <w:tcW w:w="3575" w:type="pct"/>
            <w:tcBorders>
              <w:top w:val="single" w:color="auto" w:sz="4" w:space="0"/>
              <w:left w:val="single" w:color="auto" w:sz="4" w:space="0"/>
              <w:bottom w:val="single" w:color="auto" w:sz="4" w:space="0"/>
              <w:right w:val="single" w:color="auto" w:sz="4" w:space="0"/>
            </w:tcBorders>
            <w:vAlign w:val="center"/>
          </w:tcPr>
          <w:p w14:paraId="2AEC3B8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评分标准</w:t>
            </w:r>
          </w:p>
        </w:tc>
        <w:tc>
          <w:tcPr>
            <w:tcW w:w="394" w:type="pct"/>
            <w:tcBorders>
              <w:top w:val="single" w:color="auto" w:sz="4" w:space="0"/>
              <w:left w:val="single" w:color="auto" w:sz="4" w:space="0"/>
              <w:bottom w:val="single" w:color="auto" w:sz="4" w:space="0"/>
              <w:right w:val="single" w:color="auto" w:sz="4" w:space="0"/>
            </w:tcBorders>
            <w:vAlign w:val="center"/>
          </w:tcPr>
          <w:p w14:paraId="56177C3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备注</w:t>
            </w:r>
          </w:p>
        </w:tc>
      </w:tr>
      <w:tr w14:paraId="6A62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left w:val="single" w:color="auto" w:sz="4" w:space="0"/>
              <w:bottom w:val="single" w:color="auto" w:sz="4" w:space="0"/>
              <w:right w:val="single" w:color="auto" w:sz="4" w:space="0"/>
            </w:tcBorders>
          </w:tcPr>
          <w:p w14:paraId="4FF9C20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F1——报价评分（满分为1</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分）</w:t>
            </w:r>
          </w:p>
        </w:tc>
      </w:tr>
      <w:tr w14:paraId="59893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 w:type="pct"/>
            <w:tcBorders>
              <w:top w:val="single" w:color="auto" w:sz="4" w:space="0"/>
              <w:left w:val="single" w:color="auto" w:sz="4" w:space="0"/>
              <w:bottom w:val="single" w:color="auto" w:sz="4" w:space="0"/>
              <w:right w:val="single" w:color="auto" w:sz="4" w:space="0"/>
            </w:tcBorders>
            <w:vAlign w:val="center"/>
          </w:tcPr>
          <w:p w14:paraId="11AF35F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w:t>
            </w:r>
          </w:p>
        </w:tc>
        <w:tc>
          <w:tcPr>
            <w:tcW w:w="447" w:type="pct"/>
            <w:tcBorders>
              <w:top w:val="single" w:color="auto" w:sz="4" w:space="0"/>
              <w:left w:val="single" w:color="auto" w:sz="4" w:space="0"/>
              <w:bottom w:val="single" w:color="auto" w:sz="4" w:space="0"/>
              <w:right w:val="single" w:color="auto" w:sz="4" w:space="0"/>
            </w:tcBorders>
            <w:vAlign w:val="center"/>
          </w:tcPr>
          <w:p w14:paraId="7F471F9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w:t>
            </w:r>
          </w:p>
        </w:tc>
        <w:tc>
          <w:tcPr>
            <w:tcW w:w="351" w:type="pct"/>
            <w:tcBorders>
              <w:top w:val="single" w:color="auto" w:sz="4" w:space="0"/>
              <w:left w:val="single" w:color="auto" w:sz="4" w:space="0"/>
              <w:bottom w:val="single" w:color="auto" w:sz="4" w:space="0"/>
              <w:right w:val="single" w:color="auto" w:sz="4" w:space="0"/>
            </w:tcBorders>
            <w:vAlign w:val="center"/>
          </w:tcPr>
          <w:p w14:paraId="7F01FA0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center"/>
          </w:tcPr>
          <w:p w14:paraId="024D9E2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1.评标基准价：满足招标文件要求且投标报价最低的有效投标报价，</w:t>
            </w:r>
          </w:p>
          <w:p w14:paraId="2E44A55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2.得分计算：满足招标文件要求且投标报价最低的有效投标报价为满分。其他供应商的投标报价得分统一按照下列公式计算：</w:t>
            </w:r>
          </w:p>
          <w:p w14:paraId="4E355A6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投标报价得分=(评标基准价／投标报价)×1</w:t>
            </w:r>
            <w:r>
              <w:rPr>
                <w:rFonts w:hint="eastAsia" w:ascii="仿宋" w:hAnsi="仿宋" w:eastAsia="仿宋" w:cs="仿宋"/>
                <w:color w:val="auto"/>
                <w:sz w:val="24"/>
                <w:szCs w:val="24"/>
                <w:highlight w:val="none"/>
                <w:lang w:val="en-US" w:eastAsia="zh-CN"/>
              </w:rPr>
              <w:t>5</w:t>
            </w:r>
          </w:p>
          <w:p w14:paraId="5E87F4A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项目评审过程中，不得去掉投标报价中的最高投标报价和最低投标报价。</w:t>
            </w:r>
          </w:p>
          <w:p w14:paraId="3F0732C7">
            <w:pPr>
              <w:keepNext w:val="0"/>
              <w:keepLines w:val="0"/>
              <w:pageBreakBefore w:val="0"/>
              <w:numPr>
                <w:ilvl w:val="0"/>
                <w:numId w:val="0"/>
              </w:numPr>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w:t>
            </w:r>
            <w:r>
              <w:rPr>
                <w:rFonts w:hint="eastAsia" w:ascii="仿宋" w:hAnsi="仿宋" w:eastAsia="仿宋" w:cs="仿宋"/>
                <w:color w:val="auto"/>
                <w:sz w:val="24"/>
                <w:szCs w:val="24"/>
                <w:highlight w:val="none"/>
              </w:rPr>
              <w:t>得分四舍五入后保留小数点后两位。</w:t>
            </w:r>
          </w:p>
          <w:p w14:paraId="14FCBD98">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评标委员会认为供应商的投标报价明显低于其他通过符合性审查供应商的投标报价，有可能影响服务质量或者不能诚信履约的，应当要求其在评标现场合理的时间内提供书面说明，必要时提交相关证明材料；供应商不能证明其投标报价合理性的，评标委员会应当将其作为无效投标处理。</w:t>
            </w:r>
          </w:p>
        </w:tc>
        <w:tc>
          <w:tcPr>
            <w:tcW w:w="394" w:type="pct"/>
            <w:tcBorders>
              <w:top w:val="single" w:color="auto" w:sz="4" w:space="0"/>
              <w:left w:val="single" w:color="auto" w:sz="4" w:space="0"/>
              <w:bottom w:val="single" w:color="auto" w:sz="4" w:space="0"/>
              <w:right w:val="single" w:color="auto" w:sz="4" w:space="0"/>
            </w:tcBorders>
            <w:vAlign w:val="center"/>
          </w:tcPr>
          <w:p w14:paraId="566AB19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报价得分</w:t>
            </w:r>
          </w:p>
        </w:tc>
      </w:tr>
      <w:tr w14:paraId="657E1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op w:val="single" w:color="auto" w:sz="4" w:space="0"/>
              <w:left w:val="single" w:color="auto" w:sz="4" w:space="0"/>
              <w:bottom w:val="single" w:color="auto" w:sz="4" w:space="0"/>
              <w:right w:val="single" w:color="auto" w:sz="4" w:space="0"/>
            </w:tcBorders>
          </w:tcPr>
          <w:p w14:paraId="418923E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F2——</w:t>
            </w:r>
            <w:r>
              <w:rPr>
                <w:rFonts w:hint="eastAsia" w:ascii="仿宋" w:hAnsi="仿宋" w:eastAsia="仿宋" w:cs="仿宋"/>
                <w:b/>
                <w:color w:val="auto"/>
                <w:sz w:val="24"/>
                <w:szCs w:val="24"/>
                <w:highlight w:val="none"/>
                <w:lang w:val="en-US" w:eastAsia="zh-CN"/>
              </w:rPr>
              <w:t>技术</w:t>
            </w:r>
            <w:r>
              <w:rPr>
                <w:rFonts w:hint="eastAsia" w:ascii="仿宋" w:hAnsi="仿宋" w:eastAsia="仿宋" w:cs="仿宋"/>
                <w:b/>
                <w:color w:val="auto"/>
                <w:sz w:val="24"/>
                <w:szCs w:val="24"/>
                <w:highlight w:val="none"/>
              </w:rPr>
              <w:t>部分评分（满分为</w:t>
            </w:r>
            <w:r>
              <w:rPr>
                <w:rFonts w:hint="eastAsia" w:ascii="仿宋" w:hAnsi="仿宋" w:eastAsia="仿宋" w:cs="仿宋"/>
                <w:b/>
                <w:color w:val="auto"/>
                <w:sz w:val="24"/>
                <w:szCs w:val="24"/>
                <w:highlight w:val="none"/>
                <w:lang w:val="en-US" w:eastAsia="zh-CN"/>
              </w:rPr>
              <w:t>69</w:t>
            </w:r>
            <w:r>
              <w:rPr>
                <w:rFonts w:hint="eastAsia" w:ascii="仿宋" w:hAnsi="仿宋" w:eastAsia="仿宋" w:cs="仿宋"/>
                <w:b/>
                <w:color w:val="auto"/>
                <w:sz w:val="24"/>
                <w:szCs w:val="24"/>
                <w:highlight w:val="none"/>
              </w:rPr>
              <w:t>分）</w:t>
            </w:r>
          </w:p>
        </w:tc>
      </w:tr>
      <w:tr w14:paraId="1E81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2A63C93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w:t>
            </w:r>
          </w:p>
        </w:tc>
        <w:tc>
          <w:tcPr>
            <w:tcW w:w="447" w:type="pct"/>
            <w:tcBorders>
              <w:top w:val="single" w:color="auto" w:sz="4" w:space="0"/>
              <w:left w:val="single" w:color="auto" w:sz="4" w:space="0"/>
              <w:bottom w:val="single" w:color="auto" w:sz="4" w:space="0"/>
              <w:right w:val="single" w:color="auto" w:sz="4" w:space="0"/>
            </w:tcBorders>
            <w:vAlign w:val="center"/>
          </w:tcPr>
          <w:p w14:paraId="0640EC7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服务方案</w:t>
            </w:r>
          </w:p>
        </w:tc>
        <w:tc>
          <w:tcPr>
            <w:tcW w:w="351" w:type="pct"/>
            <w:tcBorders>
              <w:top w:val="single" w:color="auto" w:sz="4" w:space="0"/>
              <w:left w:val="single" w:color="auto" w:sz="4" w:space="0"/>
              <w:bottom w:val="single" w:color="auto" w:sz="4" w:space="0"/>
              <w:right w:val="single" w:color="auto" w:sz="4" w:space="0"/>
            </w:tcBorders>
            <w:vAlign w:val="center"/>
          </w:tcPr>
          <w:p w14:paraId="6A37B48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53</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top"/>
          </w:tcPr>
          <w:p w14:paraId="061E6FC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洗涤</w:t>
            </w:r>
            <w:r>
              <w:rPr>
                <w:rFonts w:hint="eastAsia" w:ascii="仿宋" w:hAnsi="仿宋" w:eastAsia="仿宋" w:cs="仿宋"/>
                <w:b/>
                <w:bCs/>
                <w:color w:val="auto"/>
                <w:sz w:val="24"/>
                <w:szCs w:val="24"/>
                <w:highlight w:val="none"/>
              </w:rPr>
              <w:t>服务方案（</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rPr>
              <w:t>分）</w:t>
            </w:r>
          </w:p>
          <w:p w14:paraId="04CF5B99">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洗涤服务方案分段清晰，内容完整，对洗涤服务的各项工作标准有明确的描述，作业标准在满足服务目标的前提下，可以有效提高服务效率，各项服务体系合理完善、流程明确，利于服务工作人员的操作与实施，能够快速定位，及时有效地处理相关问题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；洗涤服务方案内容完整，对洗涤服务的各项工作标准有描述，作业标准符合本项目服务目标，针对服务内容有相应的管理体系，但存在遗漏或瑕疵的，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；洗涤服务方案内容及工作标准描述不清晰，服务管理体系存在不合理或不切实际的情形的，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；洗涤服务方案内容缺漏或与采购需求偏离，服务路线不合理，无法满足采购标的需实现的目标的，</w:t>
            </w:r>
            <w:r>
              <w:rPr>
                <w:rFonts w:hint="eastAsia" w:ascii="仿宋" w:hAnsi="仿宋" w:eastAsia="仿宋" w:cs="仿宋"/>
                <w:b/>
                <w:color w:val="auto"/>
                <w:sz w:val="24"/>
                <w:szCs w:val="24"/>
                <w:highlight w:val="none"/>
              </w:rPr>
              <w:t>得1分</w:t>
            </w:r>
            <w:r>
              <w:rPr>
                <w:rFonts w:hint="eastAsia" w:ascii="仿宋" w:hAnsi="仿宋" w:eastAsia="仿宋" w:cs="仿宋"/>
                <w:bCs/>
                <w:color w:val="auto"/>
                <w:sz w:val="24"/>
                <w:szCs w:val="24"/>
                <w:highlight w:val="none"/>
              </w:rPr>
              <w:t>。</w:t>
            </w:r>
          </w:p>
          <w:p w14:paraId="6478B13B">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注：无洗涤服务方案或内容与本项目无关的不得分。</w:t>
            </w:r>
          </w:p>
          <w:p w14:paraId="2B78395C">
            <w:pPr>
              <w:keepNext w:val="0"/>
              <w:keepLines w:val="0"/>
              <w:pageBreakBefore w:val="0"/>
              <w:numPr>
                <w:ilvl w:val="0"/>
                <w:numId w:val="3"/>
              </w:numPr>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消毒、灭菌、烘干（晾晒）</w:t>
            </w:r>
            <w:r>
              <w:rPr>
                <w:rFonts w:hint="eastAsia" w:ascii="仿宋" w:hAnsi="仿宋" w:eastAsia="仿宋" w:cs="仿宋"/>
                <w:b/>
                <w:bCs/>
                <w:color w:val="auto"/>
                <w:sz w:val="24"/>
                <w:szCs w:val="24"/>
                <w:highlight w:val="none"/>
                <w:lang w:val="en-US" w:eastAsia="zh-CN"/>
              </w:rPr>
              <w:t>方案（9分）</w:t>
            </w:r>
          </w:p>
          <w:p w14:paraId="33ABDC7E">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消毒、灭菌、烘干（晾晒）方案内容完整，作业标准在满足服务目标的前提下，可以有效提高服务效率，</w:t>
            </w:r>
            <w:r>
              <w:rPr>
                <w:rFonts w:hint="eastAsia" w:ascii="仿宋" w:hAnsi="仿宋" w:eastAsia="仿宋" w:cs="仿宋"/>
                <w:bCs/>
                <w:color w:val="auto"/>
                <w:sz w:val="24"/>
                <w:szCs w:val="24"/>
                <w:highlight w:val="none"/>
                <w:lang w:val="en-US" w:eastAsia="zh-CN"/>
              </w:rPr>
              <w:t>对不同分类的被服有针对性的进行分类处理的</w:t>
            </w:r>
            <w:r>
              <w:rPr>
                <w:rFonts w:hint="eastAsia" w:ascii="仿宋" w:hAnsi="仿宋" w:eastAsia="仿宋" w:cs="仿宋"/>
                <w:bCs/>
                <w:color w:val="auto"/>
                <w:sz w:val="24"/>
                <w:szCs w:val="24"/>
                <w:highlight w:val="none"/>
              </w:rPr>
              <w:t>，</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；消毒、灭菌、烘干（晾晒）方案内容完整，对服务的各项工作标准有描述，作业标准符合本项目服务目标，</w:t>
            </w:r>
            <w:r>
              <w:rPr>
                <w:rFonts w:hint="eastAsia" w:ascii="仿宋" w:hAnsi="仿宋" w:eastAsia="仿宋" w:cs="仿宋"/>
                <w:bCs/>
                <w:color w:val="auto"/>
                <w:sz w:val="24"/>
                <w:szCs w:val="24"/>
                <w:highlight w:val="none"/>
                <w:lang w:val="en-US" w:eastAsia="zh-CN"/>
              </w:rPr>
              <w:t>对不同分类的被服有分类处理</w:t>
            </w:r>
            <w:r>
              <w:rPr>
                <w:rFonts w:hint="eastAsia" w:ascii="仿宋" w:hAnsi="仿宋" w:eastAsia="仿宋" w:cs="仿宋"/>
                <w:bCs/>
                <w:color w:val="auto"/>
                <w:sz w:val="24"/>
                <w:szCs w:val="24"/>
                <w:highlight w:val="none"/>
              </w:rPr>
              <w:t>，但存在遗漏或瑕疵的，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；消毒、灭菌、烘干（晾晒）方案内容及工作标准描述不清晰，</w:t>
            </w:r>
            <w:r>
              <w:rPr>
                <w:rFonts w:hint="eastAsia" w:ascii="仿宋" w:hAnsi="仿宋" w:eastAsia="仿宋" w:cs="仿宋"/>
                <w:bCs/>
                <w:color w:val="auto"/>
                <w:sz w:val="24"/>
                <w:szCs w:val="24"/>
                <w:highlight w:val="none"/>
                <w:lang w:val="en-US" w:eastAsia="zh-CN"/>
              </w:rPr>
              <w:t>作业标准</w:t>
            </w:r>
            <w:r>
              <w:rPr>
                <w:rFonts w:hint="eastAsia" w:ascii="仿宋" w:hAnsi="仿宋" w:eastAsia="仿宋" w:cs="仿宋"/>
                <w:bCs/>
                <w:color w:val="auto"/>
                <w:sz w:val="24"/>
                <w:szCs w:val="24"/>
                <w:highlight w:val="none"/>
              </w:rPr>
              <w:t>符合本项目服务目标，</w:t>
            </w:r>
            <w:r>
              <w:rPr>
                <w:rFonts w:hint="eastAsia" w:ascii="仿宋" w:hAnsi="仿宋" w:eastAsia="仿宋" w:cs="仿宋"/>
                <w:bCs/>
                <w:color w:val="auto"/>
                <w:sz w:val="24"/>
                <w:szCs w:val="24"/>
                <w:highlight w:val="none"/>
                <w:lang w:val="en-US" w:eastAsia="zh-CN"/>
              </w:rPr>
              <w:t>但没有分类处理的</w:t>
            </w:r>
            <w:r>
              <w:rPr>
                <w:rFonts w:hint="eastAsia" w:ascii="仿宋" w:hAnsi="仿宋" w:eastAsia="仿宋" w:cs="仿宋"/>
                <w:bCs/>
                <w:color w:val="auto"/>
                <w:sz w:val="24"/>
                <w:szCs w:val="24"/>
                <w:highlight w:val="none"/>
              </w:rPr>
              <w:t>，</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；消毒、灭菌、烘干（晾晒）方案内容缺漏或与采购需求偏离，服务路线不合理，无法满足采购标的需实现的目标的，</w:t>
            </w:r>
            <w:r>
              <w:rPr>
                <w:rFonts w:hint="eastAsia" w:ascii="仿宋" w:hAnsi="仿宋" w:eastAsia="仿宋" w:cs="仿宋"/>
                <w:b/>
                <w:color w:val="auto"/>
                <w:sz w:val="24"/>
                <w:szCs w:val="24"/>
                <w:highlight w:val="none"/>
              </w:rPr>
              <w:t>得1分</w:t>
            </w:r>
            <w:r>
              <w:rPr>
                <w:rFonts w:hint="eastAsia" w:ascii="仿宋" w:hAnsi="仿宋" w:eastAsia="仿宋" w:cs="仿宋"/>
                <w:bCs/>
                <w:color w:val="auto"/>
                <w:sz w:val="24"/>
                <w:szCs w:val="24"/>
                <w:highlight w:val="none"/>
              </w:rPr>
              <w:t>。</w:t>
            </w:r>
          </w:p>
          <w:p w14:paraId="5D484562">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color w:val="auto"/>
                <w:sz w:val="24"/>
                <w:szCs w:val="24"/>
                <w:highlight w:val="none"/>
              </w:rPr>
              <w:t>注：无消毒、灭菌、烘干（晾晒）方案或内容与本项目无关的不得分。</w:t>
            </w:r>
          </w:p>
          <w:p w14:paraId="2FA52741">
            <w:pPr>
              <w:keepNext w:val="0"/>
              <w:keepLines w:val="0"/>
              <w:pageBreakBefore w:val="0"/>
              <w:numPr>
                <w:ilvl w:val="0"/>
                <w:numId w:val="3"/>
              </w:numPr>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熨烫、缝补、折叠</w:t>
            </w:r>
            <w:r>
              <w:rPr>
                <w:rFonts w:hint="eastAsia" w:ascii="仿宋" w:hAnsi="仿宋" w:eastAsia="仿宋" w:cs="仿宋"/>
                <w:b/>
                <w:bCs/>
                <w:color w:val="auto"/>
                <w:sz w:val="24"/>
                <w:szCs w:val="24"/>
                <w:highlight w:val="none"/>
                <w:lang w:val="en-US" w:eastAsia="zh-CN"/>
              </w:rPr>
              <w:t>方案（9分）</w:t>
            </w:r>
          </w:p>
          <w:p w14:paraId="179D2539">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熨烫、缝补、折叠方案内容完整，作业标准在满足服务目标的前提下，可以有效提高服务效率，</w:t>
            </w:r>
            <w:r>
              <w:rPr>
                <w:rFonts w:hint="eastAsia" w:ascii="仿宋" w:hAnsi="仿宋" w:eastAsia="仿宋" w:cs="仿宋"/>
                <w:bCs/>
                <w:color w:val="auto"/>
                <w:sz w:val="24"/>
                <w:szCs w:val="24"/>
                <w:highlight w:val="none"/>
                <w:lang w:val="en-US" w:eastAsia="zh-CN"/>
              </w:rPr>
              <w:t>对不同分类的被服有针对性的进行分类处理的</w:t>
            </w:r>
            <w:r>
              <w:rPr>
                <w:rFonts w:hint="eastAsia" w:ascii="仿宋" w:hAnsi="仿宋" w:eastAsia="仿宋" w:cs="仿宋"/>
                <w:bCs/>
                <w:color w:val="auto"/>
                <w:sz w:val="24"/>
                <w:szCs w:val="24"/>
                <w:highlight w:val="none"/>
              </w:rPr>
              <w:t>，</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9</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；熨烫、缝补、折叠方案内容完整，对服务的各项工作标准有描述，作业标准符合本项目服务目标，</w:t>
            </w:r>
            <w:r>
              <w:rPr>
                <w:rFonts w:hint="eastAsia" w:ascii="仿宋" w:hAnsi="仿宋" w:eastAsia="仿宋" w:cs="仿宋"/>
                <w:bCs/>
                <w:color w:val="auto"/>
                <w:sz w:val="24"/>
                <w:szCs w:val="24"/>
                <w:highlight w:val="none"/>
                <w:lang w:val="en-US" w:eastAsia="zh-CN"/>
              </w:rPr>
              <w:t>对不同分类的被服有分类处理</w:t>
            </w:r>
            <w:r>
              <w:rPr>
                <w:rFonts w:hint="eastAsia" w:ascii="仿宋" w:hAnsi="仿宋" w:eastAsia="仿宋" w:cs="仿宋"/>
                <w:bCs/>
                <w:color w:val="auto"/>
                <w:sz w:val="24"/>
                <w:szCs w:val="24"/>
                <w:highlight w:val="none"/>
              </w:rPr>
              <w:t>，但存在遗漏或瑕疵的，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；熨烫、缝补、折叠方案内容及工作标准描述不清晰，</w:t>
            </w:r>
            <w:r>
              <w:rPr>
                <w:rFonts w:hint="eastAsia" w:ascii="仿宋" w:hAnsi="仿宋" w:eastAsia="仿宋" w:cs="仿宋"/>
                <w:bCs/>
                <w:color w:val="auto"/>
                <w:sz w:val="24"/>
                <w:szCs w:val="24"/>
                <w:highlight w:val="none"/>
                <w:lang w:val="en-US" w:eastAsia="zh-CN"/>
              </w:rPr>
              <w:t>作业标准</w:t>
            </w:r>
            <w:r>
              <w:rPr>
                <w:rFonts w:hint="eastAsia" w:ascii="仿宋" w:hAnsi="仿宋" w:eastAsia="仿宋" w:cs="仿宋"/>
                <w:bCs/>
                <w:color w:val="auto"/>
                <w:sz w:val="24"/>
                <w:szCs w:val="24"/>
                <w:highlight w:val="none"/>
              </w:rPr>
              <w:t>符合本项目服务目标，</w:t>
            </w:r>
            <w:r>
              <w:rPr>
                <w:rFonts w:hint="eastAsia" w:ascii="仿宋" w:hAnsi="仿宋" w:eastAsia="仿宋" w:cs="仿宋"/>
                <w:bCs/>
                <w:color w:val="auto"/>
                <w:sz w:val="24"/>
                <w:szCs w:val="24"/>
                <w:highlight w:val="none"/>
                <w:lang w:val="en-US" w:eastAsia="zh-CN"/>
              </w:rPr>
              <w:t>但没有分类处理的</w:t>
            </w:r>
            <w:r>
              <w:rPr>
                <w:rFonts w:hint="eastAsia" w:ascii="仿宋" w:hAnsi="仿宋" w:eastAsia="仿宋" w:cs="仿宋"/>
                <w:bCs/>
                <w:color w:val="auto"/>
                <w:sz w:val="24"/>
                <w:szCs w:val="24"/>
                <w:highlight w:val="none"/>
              </w:rPr>
              <w:t>，</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；熨烫、缝补、折叠方案内容缺漏或与采购需求偏离，服务路线不合理，无法满足采购标的需实现的目标的，</w:t>
            </w:r>
            <w:r>
              <w:rPr>
                <w:rFonts w:hint="eastAsia" w:ascii="仿宋" w:hAnsi="仿宋" w:eastAsia="仿宋" w:cs="仿宋"/>
                <w:b/>
                <w:color w:val="auto"/>
                <w:sz w:val="24"/>
                <w:szCs w:val="24"/>
                <w:highlight w:val="none"/>
              </w:rPr>
              <w:t>得1分</w:t>
            </w:r>
            <w:r>
              <w:rPr>
                <w:rFonts w:hint="eastAsia" w:ascii="仿宋" w:hAnsi="仿宋" w:eastAsia="仿宋" w:cs="仿宋"/>
                <w:bCs/>
                <w:color w:val="auto"/>
                <w:sz w:val="24"/>
                <w:szCs w:val="24"/>
                <w:highlight w:val="none"/>
              </w:rPr>
              <w:t>。</w:t>
            </w:r>
          </w:p>
          <w:p w14:paraId="6B1E5828">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lang w:eastAsia="zh-CN"/>
              </w:rPr>
            </w:pPr>
            <w:r>
              <w:rPr>
                <w:rFonts w:hint="eastAsia" w:ascii="仿宋" w:hAnsi="仿宋" w:eastAsia="仿宋" w:cs="仿宋"/>
                <w:b/>
                <w:color w:val="auto"/>
                <w:sz w:val="24"/>
                <w:szCs w:val="24"/>
                <w:highlight w:val="none"/>
              </w:rPr>
              <w:t>注：无消毒、灭菌、烘干（晾晒）方案或内容与本项目无关的不得分。</w:t>
            </w:r>
          </w:p>
          <w:p w14:paraId="5D115CD2">
            <w:pPr>
              <w:keepNext w:val="0"/>
              <w:keepLines w:val="0"/>
              <w:pageBreakBefore w:val="0"/>
              <w:numPr>
                <w:ilvl w:val="0"/>
                <w:numId w:val="3"/>
              </w:numPr>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打包、配送</w:t>
            </w:r>
            <w:r>
              <w:rPr>
                <w:rFonts w:hint="eastAsia" w:ascii="仿宋" w:hAnsi="仿宋" w:eastAsia="仿宋" w:cs="仿宋"/>
                <w:b/>
                <w:bCs/>
                <w:color w:val="auto"/>
                <w:sz w:val="24"/>
                <w:szCs w:val="24"/>
                <w:highlight w:val="none"/>
                <w:lang w:val="en-US" w:eastAsia="zh-CN"/>
              </w:rPr>
              <w:t>服务方案（9分）</w:t>
            </w:r>
          </w:p>
          <w:p w14:paraId="4719BBA5">
            <w:pPr>
              <w:keepNext w:val="0"/>
              <w:keepLines w:val="0"/>
              <w:pageBreakBefore w:val="0"/>
              <w:widowControl w:val="0"/>
              <w:numPr>
                <w:ilvl w:val="0"/>
                <w:numId w:val="0"/>
              </w:numPr>
              <w:suppressLineNumbers w:val="0"/>
              <w:overflowPunct/>
              <w:topLinePunct w:val="0"/>
              <w:bidi w:val="0"/>
              <w:spacing w:before="0" w:beforeAutospacing="0" w:after="0" w:afterAutospacing="0" w:line="360" w:lineRule="auto"/>
              <w:ind w:left="0" w:right="0" w:rightChars="0" w:firstLine="480" w:firstLineChars="20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有具体的打包服务方案，分段清晰，紧扣</w:t>
            </w:r>
            <w:r>
              <w:rPr>
                <w:rFonts w:hint="eastAsia" w:ascii="仿宋" w:hAnsi="仿宋" w:eastAsia="仿宋" w:cs="仿宋"/>
                <w:b w:val="0"/>
                <w:bCs w:val="0"/>
                <w:color w:val="auto"/>
                <w:sz w:val="24"/>
                <w:szCs w:val="24"/>
                <w:highlight w:val="none"/>
                <w:lang w:val="en-US" w:eastAsia="zh-CN"/>
              </w:rPr>
              <w:t>打包</w:t>
            </w:r>
            <w:r>
              <w:rPr>
                <w:rFonts w:hint="eastAsia" w:ascii="仿宋" w:hAnsi="仿宋" w:eastAsia="仿宋" w:cs="仿宋"/>
                <w:b w:val="0"/>
                <w:bCs w:val="0"/>
                <w:color w:val="auto"/>
                <w:sz w:val="24"/>
                <w:szCs w:val="24"/>
                <w:highlight w:val="none"/>
                <w:lang w:eastAsia="zh-CN"/>
              </w:rPr>
              <w:t>方案的每个环节、关键点切合实际，具有完善</w:t>
            </w:r>
            <w:r>
              <w:rPr>
                <w:rFonts w:hint="eastAsia" w:ascii="仿宋" w:hAnsi="仿宋" w:eastAsia="仿宋" w:cs="仿宋"/>
                <w:b w:val="0"/>
                <w:bCs w:val="0"/>
                <w:color w:val="auto"/>
                <w:sz w:val="24"/>
                <w:szCs w:val="24"/>
                <w:highlight w:val="none"/>
                <w:lang w:val="en-US" w:eastAsia="zh-CN"/>
              </w:rPr>
              <w:t>布草</w:t>
            </w:r>
            <w:r>
              <w:rPr>
                <w:rFonts w:hint="eastAsia" w:ascii="仿宋" w:hAnsi="仿宋" w:eastAsia="仿宋" w:cs="仿宋"/>
                <w:b w:val="0"/>
                <w:bCs w:val="0"/>
                <w:color w:val="auto"/>
                <w:sz w:val="24"/>
                <w:szCs w:val="24"/>
                <w:highlight w:val="none"/>
                <w:lang w:eastAsia="zh-CN"/>
              </w:rPr>
              <w:t>配送管理体系，针对配送注意事项</w:t>
            </w:r>
            <w:r>
              <w:rPr>
                <w:rFonts w:hint="eastAsia" w:ascii="仿宋" w:hAnsi="仿宋" w:eastAsia="仿宋" w:cs="仿宋"/>
                <w:b w:val="0"/>
                <w:bCs w:val="0"/>
                <w:color w:val="auto"/>
                <w:sz w:val="24"/>
                <w:szCs w:val="24"/>
                <w:highlight w:val="none"/>
                <w:lang w:val="en-US" w:eastAsia="zh-CN"/>
              </w:rPr>
              <w:t>及</w:t>
            </w:r>
            <w:r>
              <w:rPr>
                <w:rFonts w:hint="eastAsia" w:ascii="仿宋" w:hAnsi="仿宋" w:eastAsia="仿宋" w:cs="仿宋"/>
                <w:b w:val="0"/>
                <w:bCs w:val="0"/>
                <w:color w:val="auto"/>
                <w:sz w:val="24"/>
                <w:szCs w:val="24"/>
                <w:highlight w:val="none"/>
                <w:lang w:eastAsia="zh-CN"/>
              </w:rPr>
              <w:t>工作管理措施有清晰的描述，整体</w:t>
            </w:r>
            <w:r>
              <w:rPr>
                <w:rFonts w:hint="eastAsia" w:ascii="仿宋" w:hAnsi="仿宋" w:eastAsia="仿宋" w:cs="仿宋"/>
                <w:b w:val="0"/>
                <w:bCs w:val="0"/>
                <w:color w:val="auto"/>
                <w:sz w:val="24"/>
                <w:szCs w:val="24"/>
                <w:highlight w:val="none"/>
                <w:lang w:val="en-US" w:eastAsia="zh-CN"/>
              </w:rPr>
              <w:t>打包、</w:t>
            </w:r>
            <w:r>
              <w:rPr>
                <w:rFonts w:hint="eastAsia" w:ascii="仿宋" w:hAnsi="仿宋" w:eastAsia="仿宋" w:cs="仿宋"/>
                <w:b w:val="0"/>
                <w:bCs w:val="0"/>
                <w:color w:val="auto"/>
                <w:sz w:val="24"/>
                <w:szCs w:val="24"/>
                <w:highlight w:val="none"/>
                <w:lang w:eastAsia="zh-CN"/>
              </w:rPr>
              <w:t>配送作业流程规范、管理科学，能合理把握产品质量及任务的时效性，有相应的保障办法且切合实际的，</w:t>
            </w:r>
            <w:r>
              <w:rPr>
                <w:rFonts w:hint="eastAsia" w:ascii="仿宋" w:hAnsi="仿宋" w:eastAsia="仿宋" w:cs="仿宋"/>
                <w:b/>
                <w:bCs/>
                <w:color w:val="auto"/>
                <w:sz w:val="24"/>
                <w:szCs w:val="24"/>
                <w:highlight w:val="none"/>
                <w:lang w:eastAsia="zh-CN"/>
              </w:rPr>
              <w:t>得</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lang w:eastAsia="zh-CN"/>
              </w:rPr>
              <w:t>分</w:t>
            </w:r>
            <w:r>
              <w:rPr>
                <w:rFonts w:hint="eastAsia" w:ascii="仿宋" w:hAnsi="仿宋" w:eastAsia="仿宋" w:cs="仿宋"/>
                <w:b w:val="0"/>
                <w:bCs w:val="0"/>
                <w:color w:val="auto"/>
                <w:sz w:val="24"/>
                <w:szCs w:val="24"/>
                <w:highlight w:val="none"/>
                <w:lang w:eastAsia="zh-CN"/>
              </w:rPr>
              <w:t>；能够考虑到</w:t>
            </w:r>
            <w:r>
              <w:rPr>
                <w:rFonts w:hint="eastAsia" w:ascii="仿宋" w:hAnsi="仿宋" w:eastAsia="仿宋" w:cs="仿宋"/>
                <w:b w:val="0"/>
                <w:bCs w:val="0"/>
                <w:color w:val="auto"/>
                <w:sz w:val="24"/>
                <w:szCs w:val="24"/>
                <w:highlight w:val="none"/>
                <w:lang w:val="en-US" w:eastAsia="zh-CN"/>
              </w:rPr>
              <w:t>打包</w:t>
            </w:r>
            <w:r>
              <w:rPr>
                <w:rFonts w:hint="eastAsia" w:ascii="仿宋" w:hAnsi="仿宋" w:eastAsia="仿宋" w:cs="仿宋"/>
                <w:b w:val="0"/>
                <w:bCs w:val="0"/>
                <w:color w:val="auto"/>
                <w:sz w:val="24"/>
                <w:szCs w:val="24"/>
                <w:highlight w:val="none"/>
                <w:lang w:eastAsia="zh-CN"/>
              </w:rPr>
              <w:t>过程的关键点，但分段不明确、关键点不清晰或存在遗漏，对</w:t>
            </w:r>
            <w:r>
              <w:rPr>
                <w:rFonts w:hint="eastAsia" w:ascii="仿宋" w:hAnsi="仿宋" w:eastAsia="仿宋" w:cs="仿宋"/>
                <w:b w:val="0"/>
                <w:bCs w:val="0"/>
                <w:color w:val="auto"/>
                <w:sz w:val="24"/>
                <w:szCs w:val="24"/>
                <w:highlight w:val="none"/>
                <w:lang w:val="en-US" w:eastAsia="zh-CN"/>
              </w:rPr>
              <w:t>布草</w:t>
            </w:r>
            <w:r>
              <w:rPr>
                <w:rFonts w:hint="eastAsia" w:ascii="仿宋" w:hAnsi="仿宋" w:eastAsia="仿宋" w:cs="仿宋"/>
                <w:b w:val="0"/>
                <w:bCs w:val="0"/>
                <w:color w:val="auto"/>
                <w:sz w:val="24"/>
                <w:szCs w:val="24"/>
                <w:highlight w:val="none"/>
                <w:lang w:eastAsia="zh-CN"/>
              </w:rPr>
              <w:t>配送管理体系有描述，针对配送注意事项</w:t>
            </w:r>
            <w:r>
              <w:rPr>
                <w:rFonts w:hint="eastAsia" w:ascii="仿宋" w:hAnsi="仿宋" w:eastAsia="仿宋" w:cs="仿宋"/>
                <w:b w:val="0"/>
                <w:bCs w:val="0"/>
                <w:color w:val="auto"/>
                <w:sz w:val="24"/>
                <w:szCs w:val="24"/>
                <w:highlight w:val="none"/>
                <w:lang w:val="en-US" w:eastAsia="zh-CN"/>
              </w:rPr>
              <w:t>机</w:t>
            </w:r>
            <w:r>
              <w:rPr>
                <w:rFonts w:hint="eastAsia" w:ascii="仿宋" w:hAnsi="仿宋" w:eastAsia="仿宋" w:cs="仿宋"/>
                <w:b w:val="0"/>
                <w:bCs w:val="0"/>
                <w:color w:val="auto"/>
                <w:sz w:val="24"/>
                <w:szCs w:val="24"/>
                <w:highlight w:val="none"/>
                <w:lang w:eastAsia="zh-CN"/>
              </w:rPr>
              <w:t>工作有明确的管理措施，有相应的保障方法，</w:t>
            </w:r>
            <w:r>
              <w:rPr>
                <w:rFonts w:hint="eastAsia" w:ascii="仿宋" w:hAnsi="仿宋" w:eastAsia="仿宋" w:cs="仿宋"/>
                <w:b w:val="0"/>
                <w:bCs w:val="0"/>
                <w:color w:val="auto"/>
                <w:sz w:val="24"/>
                <w:szCs w:val="24"/>
                <w:highlight w:val="none"/>
                <w:lang w:val="en-US" w:eastAsia="zh-CN"/>
              </w:rPr>
              <w:t>但</w:t>
            </w:r>
            <w:r>
              <w:rPr>
                <w:rFonts w:hint="eastAsia" w:ascii="仿宋" w:hAnsi="仿宋" w:eastAsia="仿宋" w:cs="仿宋"/>
                <w:b w:val="0"/>
                <w:bCs w:val="0"/>
                <w:color w:val="auto"/>
                <w:sz w:val="24"/>
                <w:szCs w:val="24"/>
                <w:highlight w:val="none"/>
                <w:lang w:eastAsia="zh-CN"/>
              </w:rPr>
              <w:t>管理措施或保障方法存在缺陷或遗漏的，</w:t>
            </w:r>
            <w:r>
              <w:rPr>
                <w:rFonts w:hint="eastAsia" w:ascii="仿宋" w:hAnsi="仿宋" w:eastAsia="仿宋" w:cs="仿宋"/>
                <w:b/>
                <w:bCs/>
                <w:color w:val="auto"/>
                <w:sz w:val="24"/>
                <w:szCs w:val="24"/>
                <w:highlight w:val="none"/>
                <w:lang w:eastAsia="zh-CN"/>
              </w:rPr>
              <w:t>得</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lang w:eastAsia="zh-CN"/>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打包方案</w:t>
            </w:r>
            <w:r>
              <w:rPr>
                <w:rFonts w:hint="eastAsia" w:ascii="仿宋" w:hAnsi="仿宋" w:eastAsia="仿宋" w:cs="仿宋"/>
                <w:b w:val="0"/>
                <w:bCs w:val="0"/>
                <w:color w:val="auto"/>
                <w:sz w:val="24"/>
                <w:szCs w:val="24"/>
                <w:highlight w:val="none"/>
                <w:lang w:eastAsia="zh-CN"/>
              </w:rPr>
              <w:t>不合理，对</w:t>
            </w:r>
            <w:r>
              <w:rPr>
                <w:rFonts w:hint="eastAsia" w:ascii="仿宋" w:hAnsi="仿宋" w:eastAsia="仿宋" w:cs="仿宋"/>
                <w:b w:val="0"/>
                <w:bCs w:val="0"/>
                <w:color w:val="auto"/>
                <w:sz w:val="24"/>
                <w:szCs w:val="24"/>
                <w:highlight w:val="none"/>
                <w:lang w:val="en-US" w:eastAsia="zh-CN"/>
              </w:rPr>
              <w:t>布草</w:t>
            </w:r>
            <w:r>
              <w:rPr>
                <w:rFonts w:hint="eastAsia" w:ascii="仿宋" w:hAnsi="仿宋" w:eastAsia="仿宋" w:cs="仿宋"/>
                <w:b w:val="0"/>
                <w:bCs w:val="0"/>
                <w:color w:val="auto"/>
                <w:sz w:val="24"/>
                <w:szCs w:val="24"/>
                <w:highlight w:val="none"/>
                <w:lang w:eastAsia="zh-CN"/>
              </w:rPr>
              <w:t>配送管理描述不清晰的，管理措施不可行，难以适用的，</w:t>
            </w:r>
            <w:r>
              <w:rPr>
                <w:rFonts w:hint="eastAsia" w:ascii="仿宋" w:hAnsi="仿宋" w:eastAsia="仿宋" w:cs="仿宋"/>
                <w:b/>
                <w:bCs/>
                <w:color w:val="auto"/>
                <w:sz w:val="24"/>
                <w:szCs w:val="24"/>
                <w:highlight w:val="none"/>
                <w:lang w:eastAsia="zh-CN"/>
              </w:rPr>
              <w:t>得1分</w:t>
            </w:r>
            <w:r>
              <w:rPr>
                <w:rFonts w:hint="eastAsia" w:ascii="仿宋" w:hAnsi="仿宋" w:eastAsia="仿宋" w:cs="仿宋"/>
                <w:b w:val="0"/>
                <w:bCs w:val="0"/>
                <w:color w:val="auto"/>
                <w:sz w:val="24"/>
                <w:szCs w:val="24"/>
                <w:highlight w:val="none"/>
                <w:lang w:eastAsia="zh-CN"/>
              </w:rPr>
              <w:t>。</w:t>
            </w:r>
          </w:p>
          <w:p w14:paraId="1A394527">
            <w:pPr>
              <w:keepNext w:val="0"/>
              <w:keepLines w:val="0"/>
              <w:pageBreakBefore w:val="0"/>
              <w:widowControl w:val="0"/>
              <w:numPr>
                <w:ilvl w:val="0"/>
                <w:numId w:val="0"/>
              </w:numPr>
              <w:suppressLineNumbers w:val="0"/>
              <w:overflowPunct/>
              <w:topLinePunct w:val="0"/>
              <w:bidi w:val="0"/>
              <w:spacing w:before="0" w:beforeAutospacing="0" w:after="0" w:afterAutospacing="0" w:line="360" w:lineRule="auto"/>
              <w:ind w:left="0" w:right="0" w:rightChars="0" w:firstLine="482" w:firstLineChars="20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注：无配送计划描述或内容与本项目无关的，此项不得分。</w:t>
            </w:r>
          </w:p>
          <w:p w14:paraId="72AD9B5F">
            <w:pPr>
              <w:keepNext w:val="0"/>
              <w:keepLines w:val="0"/>
              <w:pageBreakBefore w:val="0"/>
              <w:numPr>
                <w:ilvl w:val="0"/>
                <w:numId w:val="3"/>
              </w:numPr>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洗涤设备及场地</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3分</w:t>
            </w:r>
            <w:r>
              <w:rPr>
                <w:rFonts w:hint="eastAsia" w:ascii="仿宋" w:hAnsi="仿宋" w:eastAsia="仿宋" w:cs="仿宋"/>
                <w:b/>
                <w:bCs/>
                <w:color w:val="auto"/>
                <w:sz w:val="24"/>
                <w:szCs w:val="24"/>
                <w:highlight w:val="none"/>
                <w:lang w:eastAsia="zh-CN"/>
              </w:rPr>
              <w:t>）</w:t>
            </w:r>
          </w:p>
          <w:p w14:paraId="7DCDEA31">
            <w:pPr>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①有医用织物洗涤独立场地的（提供证明材料），</w:t>
            </w:r>
            <w:r>
              <w:rPr>
                <w:rFonts w:hint="eastAsia" w:ascii="仿宋" w:hAnsi="仿宋" w:eastAsia="仿宋" w:cs="仿宋"/>
                <w:b/>
                <w:bCs/>
                <w:color w:val="auto"/>
                <w:sz w:val="24"/>
                <w:szCs w:val="24"/>
                <w:highlight w:val="none"/>
                <w:lang w:val="en-US" w:eastAsia="zh-CN"/>
              </w:rPr>
              <w:t>得1分；</w:t>
            </w:r>
          </w:p>
          <w:p w14:paraId="71BF88D7">
            <w:pPr>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注：证明材料指租赁合同或自有产权证明。</w:t>
            </w:r>
          </w:p>
          <w:p w14:paraId="079C8576">
            <w:pPr>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②有专业医用织物洗涤、消毒设备及配套设施的（提供证明材料），</w:t>
            </w:r>
            <w:r>
              <w:rPr>
                <w:rFonts w:hint="eastAsia" w:ascii="仿宋" w:hAnsi="仿宋" w:eastAsia="仿宋" w:cs="仿宋"/>
                <w:b/>
                <w:bCs/>
                <w:color w:val="auto"/>
                <w:sz w:val="24"/>
                <w:szCs w:val="24"/>
                <w:highlight w:val="none"/>
                <w:lang w:val="en-US" w:eastAsia="zh-CN"/>
              </w:rPr>
              <w:t>得1分。</w:t>
            </w:r>
          </w:p>
          <w:p w14:paraId="6B56180D">
            <w:pPr>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注：证明材料指自有设备购置发票</w:t>
            </w:r>
            <w:r>
              <w:rPr>
                <w:rFonts w:hint="eastAsia" w:ascii="仿宋" w:hAnsi="仿宋" w:eastAsia="仿宋" w:cs="仿宋"/>
                <w:b/>
                <w:color w:val="auto"/>
                <w:sz w:val="24"/>
                <w:szCs w:val="24"/>
                <w:highlight w:val="none"/>
              </w:rPr>
              <w:t>。</w:t>
            </w:r>
          </w:p>
          <w:p w14:paraId="08E43E6D">
            <w:pPr>
              <w:keepNext w:val="0"/>
              <w:keepLines w:val="0"/>
              <w:pageBreakBefore w:val="0"/>
              <w:widowControl w:val="0"/>
              <w:suppressLineNumbers w:val="0"/>
              <w:wordWrap/>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③有标准医用织物运输设备的（提供证明材料），</w:t>
            </w:r>
            <w:r>
              <w:rPr>
                <w:rFonts w:hint="eastAsia" w:ascii="仿宋" w:hAnsi="仿宋" w:eastAsia="仿宋" w:cs="仿宋"/>
                <w:b/>
                <w:bCs/>
                <w:color w:val="auto"/>
                <w:sz w:val="24"/>
                <w:szCs w:val="24"/>
                <w:highlight w:val="none"/>
                <w:lang w:val="en-US" w:eastAsia="zh-CN"/>
              </w:rPr>
              <w:t>得1分。</w:t>
            </w:r>
          </w:p>
          <w:p w14:paraId="152C7AD7">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注：证明材料指自有车辆只须提供车辆行驶证；租赁车辆须同时提供租赁合同及车辆行驶证，否则不得分。</w:t>
            </w:r>
          </w:p>
          <w:p w14:paraId="6830295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服务计划安排（</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p w14:paraId="3715E1C1">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计划安排分段清晰，紧扣服务方案的内容，能够考虑到整个项目实施过程中的细节的，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；计划安排与服务方案契合，描述清晰的，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；总体进度计划尚缺考虑，与其总体方案不能呼应或进度计划安排有遗漏的，</w:t>
            </w:r>
            <w:r>
              <w:rPr>
                <w:rFonts w:hint="eastAsia" w:ascii="仿宋" w:hAnsi="仿宋" w:eastAsia="仿宋" w:cs="仿宋"/>
                <w:b/>
                <w:bCs/>
                <w:color w:val="auto"/>
                <w:sz w:val="24"/>
                <w:szCs w:val="24"/>
                <w:highlight w:val="none"/>
              </w:rPr>
              <w:t>得1分</w:t>
            </w:r>
            <w:r>
              <w:rPr>
                <w:rFonts w:hint="eastAsia" w:ascii="仿宋" w:hAnsi="仿宋" w:eastAsia="仿宋" w:cs="仿宋"/>
                <w:color w:val="auto"/>
                <w:sz w:val="24"/>
                <w:szCs w:val="24"/>
                <w:highlight w:val="none"/>
              </w:rPr>
              <w:t>。</w:t>
            </w:r>
          </w:p>
          <w:p w14:paraId="16B4D57C">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注：无服务计划安排或内容与本项目无关的不得分。</w:t>
            </w:r>
          </w:p>
          <w:p w14:paraId="70A9B58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7</w:t>
            </w:r>
            <w:r>
              <w:rPr>
                <w:rFonts w:hint="eastAsia" w:ascii="仿宋" w:hAnsi="仿宋" w:eastAsia="仿宋" w:cs="仿宋"/>
                <w:b/>
                <w:bCs/>
                <w:color w:val="auto"/>
                <w:sz w:val="24"/>
                <w:szCs w:val="24"/>
                <w:highlight w:val="none"/>
              </w:rPr>
              <w:t>）管理制度（</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p w14:paraId="0C8C4EE4">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管理</w:t>
            </w:r>
            <w:r>
              <w:rPr>
                <w:rFonts w:hint="eastAsia" w:ascii="仿宋" w:hAnsi="仿宋" w:eastAsia="仿宋" w:cs="仿宋"/>
                <w:bCs/>
                <w:color w:val="auto"/>
                <w:sz w:val="24"/>
                <w:szCs w:val="24"/>
                <w:highlight w:val="none"/>
                <w:lang w:val="en-US" w:eastAsia="zh-CN"/>
              </w:rPr>
              <w:t>制度</w:t>
            </w:r>
            <w:r>
              <w:rPr>
                <w:rFonts w:hint="eastAsia" w:ascii="仿宋" w:hAnsi="仿宋" w:eastAsia="仿宋" w:cs="仿宋"/>
                <w:bCs/>
                <w:color w:val="auto"/>
                <w:sz w:val="24"/>
                <w:szCs w:val="24"/>
                <w:highlight w:val="none"/>
              </w:rPr>
              <w:t>具体、完整，契合采购需求，</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管理制度</w:t>
            </w:r>
            <w:r>
              <w:rPr>
                <w:rFonts w:hint="eastAsia" w:ascii="仿宋" w:hAnsi="仿宋" w:eastAsia="仿宋" w:cs="仿宋"/>
                <w:bCs/>
                <w:color w:val="auto"/>
                <w:sz w:val="24"/>
                <w:szCs w:val="24"/>
                <w:highlight w:val="none"/>
              </w:rPr>
              <w:t>存在错漏或遗漏，需完善后方可实施的，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w:t>
            </w:r>
          </w:p>
          <w:p w14:paraId="552104D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sz w:val="28"/>
                <w:szCs w:val="28"/>
                <w:highlight w:val="none"/>
              </w:rPr>
            </w:pPr>
            <w:r>
              <w:rPr>
                <w:rFonts w:hint="eastAsia" w:ascii="仿宋" w:hAnsi="仿宋" w:eastAsia="仿宋" w:cs="仿宋"/>
                <w:b/>
                <w:color w:val="auto"/>
                <w:sz w:val="22"/>
                <w:szCs w:val="24"/>
                <w:highlight w:val="none"/>
              </w:rPr>
              <w:t>注：无管理</w:t>
            </w:r>
            <w:r>
              <w:rPr>
                <w:rFonts w:hint="eastAsia" w:ascii="仿宋" w:hAnsi="仿宋" w:eastAsia="仿宋" w:cs="仿宋"/>
                <w:b/>
                <w:color w:val="auto"/>
                <w:sz w:val="22"/>
                <w:szCs w:val="24"/>
                <w:highlight w:val="none"/>
                <w:lang w:val="en-US" w:eastAsia="zh-CN"/>
              </w:rPr>
              <w:t>制度</w:t>
            </w:r>
            <w:r>
              <w:rPr>
                <w:rFonts w:hint="eastAsia" w:ascii="仿宋" w:hAnsi="仿宋" w:eastAsia="仿宋" w:cs="仿宋"/>
                <w:b/>
                <w:color w:val="auto"/>
                <w:sz w:val="22"/>
                <w:szCs w:val="24"/>
                <w:highlight w:val="none"/>
              </w:rPr>
              <w:t>或内容与本项目无关的不得分。</w:t>
            </w:r>
          </w:p>
          <w:p w14:paraId="4CC42413">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）工作台账管理措施（</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p w14:paraId="42FA19F7">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工作台账管理措施科学、完善，能确保信息的真实、完整、准确、规范、系统、安全，充分满足服务工作在证据、责任、信息等方面的需要</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得3分；</w:t>
            </w:r>
            <w:r>
              <w:rPr>
                <w:rFonts w:hint="eastAsia" w:ascii="仿宋" w:hAnsi="仿宋" w:eastAsia="仿宋" w:cs="仿宋"/>
                <w:color w:val="auto"/>
                <w:sz w:val="24"/>
                <w:szCs w:val="24"/>
                <w:highlight w:val="none"/>
              </w:rPr>
              <w:t>工作台账管理措施存在漏洞或瑕疵的，</w:t>
            </w:r>
            <w:r>
              <w:rPr>
                <w:rFonts w:hint="eastAsia" w:ascii="仿宋" w:hAnsi="仿宋" w:eastAsia="仿宋" w:cs="仿宋"/>
                <w:b/>
                <w:bCs/>
                <w:color w:val="auto"/>
                <w:sz w:val="24"/>
                <w:szCs w:val="24"/>
                <w:highlight w:val="none"/>
              </w:rPr>
              <w:t>得1分。</w:t>
            </w:r>
          </w:p>
          <w:p w14:paraId="1C4E23E4">
            <w:pPr>
              <w:pStyle w:val="16"/>
              <w:keepNext w:val="0"/>
              <w:keepLines w:val="0"/>
              <w:pageBreakBefore w:val="0"/>
              <w:numPr>
                <w:ilvl w:val="255"/>
                <w:numId w:val="0"/>
              </w:numPr>
              <w:suppressLineNumbers w:val="0"/>
              <w:kinsoku w:val="0"/>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default" w:ascii="仿宋" w:hAnsi="仿宋" w:eastAsia="仿宋" w:cs="仿宋"/>
                <w:b/>
                <w:bCs w:val="0"/>
                <w:color w:val="auto"/>
                <w:spacing w:val="0"/>
                <w:kern w:val="2"/>
                <w:sz w:val="24"/>
                <w:szCs w:val="24"/>
                <w:highlight w:val="none"/>
                <w:lang w:val="en-US" w:eastAsia="zh-CN" w:bidi="ar-SA"/>
              </w:rPr>
            </w:pPr>
            <w:r>
              <w:rPr>
                <w:rFonts w:hint="eastAsia" w:ascii="仿宋" w:hAnsi="仿宋" w:eastAsia="仿宋" w:cs="仿宋"/>
                <w:b/>
                <w:bCs w:val="0"/>
                <w:color w:val="auto"/>
                <w:sz w:val="24"/>
                <w:szCs w:val="24"/>
                <w:highlight w:val="none"/>
              </w:rPr>
              <w:t>注：无工作台账</w:t>
            </w:r>
            <w:r>
              <w:rPr>
                <w:rFonts w:hint="eastAsia" w:ascii="仿宋" w:hAnsi="仿宋" w:eastAsia="仿宋" w:cs="仿宋"/>
                <w:b/>
                <w:bCs w:val="0"/>
                <w:color w:val="auto"/>
                <w:spacing w:val="0"/>
                <w:kern w:val="2"/>
                <w:sz w:val="24"/>
                <w:szCs w:val="24"/>
                <w:highlight w:val="none"/>
                <w:lang w:val="en-US" w:eastAsia="zh-CN" w:bidi="ar-SA"/>
              </w:rPr>
              <w:t>管理措施或内容与本项目无关的不得分。</w:t>
            </w:r>
          </w:p>
          <w:p w14:paraId="371F165B">
            <w:pPr>
              <w:pStyle w:val="16"/>
              <w:keepNext w:val="0"/>
              <w:keepLines w:val="0"/>
              <w:pageBreakBefore w:val="0"/>
              <w:numPr>
                <w:ilvl w:val="255"/>
                <w:numId w:val="0"/>
              </w:numPr>
              <w:suppressLineNumbers w:val="0"/>
              <w:kinsoku w:val="0"/>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eastAsia" w:ascii="仿宋" w:hAnsi="仿宋" w:eastAsia="仿宋" w:cs="仿宋"/>
                <w:b/>
                <w:bCs/>
                <w:color w:val="auto"/>
                <w:spacing w:val="0"/>
                <w:kern w:val="2"/>
                <w:sz w:val="24"/>
                <w:szCs w:val="24"/>
                <w:highlight w:val="none"/>
                <w:lang w:val="en-US" w:eastAsia="zh-CN" w:bidi="ar-SA"/>
              </w:rPr>
            </w:pPr>
            <w:r>
              <w:rPr>
                <w:rFonts w:hint="eastAsia" w:ascii="仿宋" w:hAnsi="仿宋" w:eastAsia="仿宋" w:cs="仿宋"/>
                <w:b/>
                <w:bCs/>
                <w:color w:val="auto"/>
                <w:spacing w:val="0"/>
                <w:kern w:val="2"/>
                <w:sz w:val="24"/>
                <w:szCs w:val="24"/>
                <w:highlight w:val="none"/>
                <w:lang w:val="en-US" w:eastAsia="zh-CN" w:bidi="ar-SA"/>
              </w:rPr>
              <w:t>（9）投诉处理措施（3分）</w:t>
            </w:r>
          </w:p>
          <w:p w14:paraId="3ECC640C">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val="0"/>
                <w:color w:val="auto"/>
                <w:spacing w:val="0"/>
                <w:kern w:val="2"/>
                <w:sz w:val="24"/>
                <w:szCs w:val="24"/>
                <w:highlight w:val="none"/>
                <w:lang w:val="en-US" w:eastAsia="zh-CN" w:bidi="ar-SA"/>
              </w:rPr>
            </w:pPr>
            <w:r>
              <w:rPr>
                <w:rFonts w:hint="eastAsia" w:ascii="仿宋" w:hAnsi="仿宋" w:eastAsia="仿宋" w:cs="仿宋"/>
                <w:b w:val="0"/>
                <w:color w:val="auto"/>
                <w:spacing w:val="0"/>
                <w:kern w:val="2"/>
                <w:sz w:val="24"/>
                <w:szCs w:val="24"/>
                <w:highlight w:val="none"/>
                <w:lang w:val="en-US" w:eastAsia="zh-CN" w:bidi="ar-SA"/>
              </w:rPr>
              <w:t>供应商的投诉处理措施中针对客户投诉的接收、处理流程、解决时限、反馈机制以及为确保客户满意度所采取的措施制定合理、详细、科学的，</w:t>
            </w:r>
            <w:r>
              <w:rPr>
                <w:rFonts w:hint="eastAsia" w:ascii="仿宋" w:hAnsi="仿宋" w:eastAsia="仿宋" w:cs="仿宋"/>
                <w:b/>
                <w:bCs/>
                <w:color w:val="auto"/>
                <w:spacing w:val="0"/>
                <w:kern w:val="2"/>
                <w:sz w:val="24"/>
                <w:szCs w:val="24"/>
                <w:highlight w:val="none"/>
                <w:lang w:val="en-US" w:eastAsia="zh-CN" w:bidi="ar-SA"/>
              </w:rPr>
              <w:t>得3分</w:t>
            </w:r>
            <w:r>
              <w:rPr>
                <w:rFonts w:hint="eastAsia" w:ascii="仿宋" w:hAnsi="仿宋" w:eastAsia="仿宋" w:cs="仿宋"/>
                <w:b w:val="0"/>
                <w:color w:val="auto"/>
                <w:spacing w:val="0"/>
                <w:kern w:val="2"/>
                <w:sz w:val="24"/>
                <w:szCs w:val="24"/>
                <w:highlight w:val="none"/>
                <w:lang w:val="en-US" w:eastAsia="zh-CN" w:bidi="ar-SA"/>
              </w:rPr>
              <w:t>；供应商的投诉处理措施中针对客户投诉的接收、处理流程、解决时限、反馈机制以及为确保客户满意度所采取的措施制定不合理、不详细、不科学的，</w:t>
            </w:r>
            <w:r>
              <w:rPr>
                <w:rFonts w:hint="eastAsia" w:ascii="仿宋" w:hAnsi="仿宋" w:eastAsia="仿宋" w:cs="仿宋"/>
                <w:b/>
                <w:bCs/>
                <w:color w:val="auto"/>
                <w:spacing w:val="0"/>
                <w:kern w:val="2"/>
                <w:sz w:val="24"/>
                <w:szCs w:val="24"/>
                <w:highlight w:val="none"/>
                <w:lang w:val="en-US" w:eastAsia="zh-CN" w:bidi="ar-SA"/>
              </w:rPr>
              <w:t>得1分</w:t>
            </w:r>
            <w:r>
              <w:rPr>
                <w:rFonts w:hint="eastAsia" w:ascii="仿宋" w:hAnsi="仿宋" w:eastAsia="仿宋" w:cs="仿宋"/>
                <w:b w:val="0"/>
                <w:color w:val="auto"/>
                <w:spacing w:val="0"/>
                <w:kern w:val="2"/>
                <w:sz w:val="24"/>
                <w:szCs w:val="24"/>
                <w:highlight w:val="none"/>
                <w:lang w:val="en-US" w:eastAsia="zh-CN" w:bidi="ar-SA"/>
              </w:rPr>
              <w:t>。</w:t>
            </w:r>
          </w:p>
          <w:p w14:paraId="189C4087">
            <w:pPr>
              <w:pStyle w:val="16"/>
              <w:keepNext w:val="0"/>
              <w:keepLines w:val="0"/>
              <w:pageBreakBefore w:val="0"/>
              <w:numPr>
                <w:ilvl w:val="255"/>
                <w:numId w:val="0"/>
              </w:numPr>
              <w:suppressLineNumbers w:val="0"/>
              <w:kinsoku w:val="0"/>
              <w:overflowPunct/>
              <w:topLinePunct w:val="0"/>
              <w:autoSpaceDE w:val="0"/>
              <w:autoSpaceDN w:val="0"/>
              <w:bidi w:val="0"/>
              <w:adjustRightInd w:val="0"/>
              <w:snapToGrid w:val="0"/>
              <w:spacing w:before="0" w:beforeAutospacing="0" w:after="0" w:afterAutospacing="0" w:line="360" w:lineRule="auto"/>
              <w:ind w:left="0" w:right="0" w:firstLine="482" w:firstLineChars="200"/>
              <w:textAlignment w:val="baseline"/>
              <w:rPr>
                <w:rFonts w:hint="eastAsia" w:ascii="仿宋" w:hAnsi="仿宋" w:eastAsia="仿宋" w:cs="仿宋"/>
                <w:color w:val="auto"/>
                <w:highlight w:val="none"/>
              </w:rPr>
            </w:pPr>
            <w:r>
              <w:rPr>
                <w:rFonts w:hint="eastAsia" w:ascii="仿宋" w:hAnsi="仿宋" w:eastAsia="仿宋" w:cs="仿宋"/>
                <w:b/>
                <w:bCs/>
                <w:color w:val="auto"/>
                <w:spacing w:val="0"/>
                <w:kern w:val="2"/>
                <w:sz w:val="24"/>
                <w:szCs w:val="24"/>
                <w:highlight w:val="none"/>
                <w:lang w:val="en-US" w:eastAsia="zh-CN" w:bidi="ar-SA"/>
              </w:rPr>
              <w:t>注：无投诉处理措施或内容与本项目无关的不得分。</w:t>
            </w:r>
          </w:p>
        </w:tc>
        <w:tc>
          <w:tcPr>
            <w:tcW w:w="394" w:type="pct"/>
            <w:tcBorders>
              <w:top w:val="single" w:color="auto" w:sz="4" w:space="0"/>
              <w:left w:val="single" w:color="auto" w:sz="4" w:space="0"/>
              <w:bottom w:val="single" w:color="auto" w:sz="4" w:space="0"/>
              <w:right w:val="single" w:color="auto" w:sz="4" w:space="0"/>
            </w:tcBorders>
            <w:vAlign w:val="center"/>
          </w:tcPr>
          <w:p w14:paraId="7730E481">
            <w:pPr>
              <w:pStyle w:val="16"/>
              <w:keepNext w:val="0"/>
              <w:keepLines w:val="0"/>
              <w:pageBreakBefore w:val="0"/>
              <w:numPr>
                <w:ilvl w:val="255"/>
                <w:numId w:val="0"/>
              </w:numPr>
              <w:suppressLineNumbers w:val="0"/>
              <w:kinsoku w:val="0"/>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主观分</w:t>
            </w:r>
          </w:p>
        </w:tc>
      </w:tr>
      <w:tr w14:paraId="3D354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23D1409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bookmarkStart w:id="248" w:name="_Hlk51705045"/>
            <w:r>
              <w:rPr>
                <w:rFonts w:hint="eastAsia" w:ascii="仿宋" w:hAnsi="仿宋" w:eastAsia="仿宋" w:cs="仿宋"/>
                <w:b/>
                <w:bCs/>
                <w:color w:val="auto"/>
                <w:sz w:val="24"/>
                <w:szCs w:val="24"/>
                <w:highlight w:val="none"/>
                <w:lang w:val="en-US" w:eastAsia="zh-CN"/>
              </w:rPr>
              <w:t>二</w:t>
            </w:r>
          </w:p>
        </w:tc>
        <w:tc>
          <w:tcPr>
            <w:tcW w:w="447" w:type="pct"/>
            <w:tcBorders>
              <w:top w:val="single" w:color="auto" w:sz="4" w:space="0"/>
              <w:left w:val="single" w:color="auto" w:sz="4" w:space="0"/>
              <w:bottom w:val="single" w:color="auto" w:sz="4" w:space="0"/>
              <w:right w:val="single" w:color="auto" w:sz="4" w:space="0"/>
            </w:tcBorders>
            <w:vAlign w:val="center"/>
          </w:tcPr>
          <w:p w14:paraId="0BAFF78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人事管理措施</w:t>
            </w:r>
          </w:p>
        </w:tc>
        <w:tc>
          <w:tcPr>
            <w:tcW w:w="351" w:type="pct"/>
            <w:tcBorders>
              <w:top w:val="single" w:color="auto" w:sz="4" w:space="0"/>
              <w:left w:val="single" w:color="auto" w:sz="4" w:space="0"/>
              <w:bottom w:val="single" w:color="auto" w:sz="4" w:space="0"/>
              <w:right w:val="single" w:color="auto" w:sz="4" w:space="0"/>
            </w:tcBorders>
            <w:vAlign w:val="center"/>
          </w:tcPr>
          <w:p w14:paraId="0CEAA90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center"/>
          </w:tcPr>
          <w:p w14:paraId="2506252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（1）人员稳定管理措施（</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p w14:paraId="0F066A59">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人员稳定管理措施切合实际、合理且多样性，内容阐述能够有效、多层面切实解决人员稳定性问题的，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Cs/>
                <w:color w:val="auto"/>
                <w:sz w:val="24"/>
                <w:szCs w:val="24"/>
                <w:highlight w:val="none"/>
              </w:rPr>
              <w:t>；人员稳定管理措施具有可行性，但存在考虑不周的，</w:t>
            </w:r>
            <w:r>
              <w:rPr>
                <w:rFonts w:hint="eastAsia" w:ascii="仿宋" w:hAnsi="仿宋" w:eastAsia="仿宋" w:cs="仿宋"/>
                <w:b/>
                <w:bCs/>
                <w:color w:val="auto"/>
                <w:sz w:val="24"/>
                <w:szCs w:val="24"/>
                <w:highlight w:val="none"/>
              </w:rPr>
              <w:t>得2分；</w:t>
            </w:r>
            <w:r>
              <w:rPr>
                <w:rFonts w:hint="eastAsia" w:ascii="仿宋" w:hAnsi="仿宋" w:eastAsia="仿宋" w:cs="仿宋"/>
                <w:bCs/>
                <w:color w:val="auto"/>
                <w:sz w:val="24"/>
                <w:szCs w:val="24"/>
                <w:highlight w:val="none"/>
              </w:rPr>
              <w:t>人员稳定管理措施不切实际，难以起到人员稳定效果的，</w:t>
            </w:r>
            <w:r>
              <w:rPr>
                <w:rFonts w:hint="eastAsia" w:ascii="仿宋" w:hAnsi="仿宋" w:eastAsia="仿宋" w:cs="仿宋"/>
                <w:b/>
                <w:color w:val="auto"/>
                <w:sz w:val="24"/>
                <w:szCs w:val="24"/>
                <w:highlight w:val="none"/>
              </w:rPr>
              <w:t>得1分。</w:t>
            </w:r>
          </w:p>
          <w:p w14:paraId="13460017">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注：无人员稳定管理措施的,此项不得分。</w:t>
            </w:r>
          </w:p>
          <w:p w14:paraId="1AAC4812">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（2）人员教育培训方案（</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p w14:paraId="79F0ADC9">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人员培训教育方案完整，方案可以展现教育培训的题材和内容，能有效提高人员服务质量，培训方式得当的，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分</w:t>
            </w:r>
            <w:r>
              <w:rPr>
                <w:rFonts w:hint="eastAsia" w:ascii="仿宋" w:hAnsi="仿宋" w:eastAsia="仿宋" w:cs="仿宋"/>
                <w:bCs/>
                <w:color w:val="auto"/>
                <w:sz w:val="24"/>
                <w:szCs w:val="24"/>
                <w:highlight w:val="none"/>
              </w:rPr>
              <w:t>；人员培训教育方案缺乏合理性或与项目实际需求无关的，</w:t>
            </w:r>
            <w:r>
              <w:rPr>
                <w:rFonts w:hint="eastAsia" w:ascii="仿宋" w:hAnsi="仿宋" w:eastAsia="仿宋" w:cs="仿宋"/>
                <w:b/>
                <w:color w:val="auto"/>
                <w:sz w:val="24"/>
                <w:szCs w:val="24"/>
                <w:highlight w:val="none"/>
              </w:rPr>
              <w:t>得1分。</w:t>
            </w:r>
          </w:p>
          <w:p w14:paraId="07EF725D">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注：无人员教育培训方案的,此项不得分。</w:t>
            </w:r>
          </w:p>
        </w:tc>
        <w:tc>
          <w:tcPr>
            <w:tcW w:w="394" w:type="pct"/>
            <w:tcBorders>
              <w:top w:val="single" w:color="auto" w:sz="4" w:space="0"/>
              <w:left w:val="single" w:color="auto" w:sz="4" w:space="0"/>
              <w:bottom w:val="single" w:color="auto" w:sz="4" w:space="0"/>
              <w:right w:val="single" w:color="auto" w:sz="4" w:space="0"/>
            </w:tcBorders>
            <w:vAlign w:val="center"/>
          </w:tcPr>
          <w:p w14:paraId="542B7AB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主观分</w:t>
            </w:r>
          </w:p>
        </w:tc>
      </w:tr>
      <w:tr w14:paraId="6026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1EAB362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p>
        </w:tc>
        <w:tc>
          <w:tcPr>
            <w:tcW w:w="447" w:type="pct"/>
            <w:tcBorders>
              <w:top w:val="single" w:color="auto" w:sz="4" w:space="0"/>
              <w:left w:val="single" w:color="auto" w:sz="4" w:space="0"/>
              <w:bottom w:val="single" w:color="auto" w:sz="4" w:space="0"/>
              <w:right w:val="single" w:color="auto" w:sz="4" w:space="0"/>
            </w:tcBorders>
            <w:vAlign w:val="center"/>
          </w:tcPr>
          <w:p w14:paraId="47F99545">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服务质量保证措施</w:t>
            </w:r>
          </w:p>
        </w:tc>
        <w:tc>
          <w:tcPr>
            <w:tcW w:w="351" w:type="pct"/>
            <w:tcBorders>
              <w:top w:val="single" w:color="auto" w:sz="4" w:space="0"/>
              <w:left w:val="single" w:color="auto" w:sz="4" w:space="0"/>
              <w:bottom w:val="single" w:color="auto" w:sz="4" w:space="0"/>
              <w:right w:val="single" w:color="auto" w:sz="4" w:space="0"/>
            </w:tcBorders>
            <w:vAlign w:val="center"/>
          </w:tcPr>
          <w:p w14:paraId="54AF0031">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center"/>
          </w:tcPr>
          <w:p w14:paraId="2A6BEB82">
            <w:pPr>
              <w:keepNext w:val="0"/>
              <w:keepLines w:val="0"/>
              <w:pageBreakBefore w:val="0"/>
              <w:suppressLineNumbers w:val="0"/>
              <w:kinsoku/>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①</w:t>
            </w:r>
            <w:r>
              <w:rPr>
                <w:rFonts w:hint="eastAsia" w:ascii="仿宋" w:hAnsi="仿宋" w:eastAsia="仿宋" w:cs="仿宋"/>
                <w:bCs/>
                <w:color w:val="auto"/>
                <w:sz w:val="24"/>
                <w:szCs w:val="24"/>
                <w:highlight w:val="none"/>
              </w:rPr>
              <w:t>供应商结合项目特点及服务目标</w:t>
            </w:r>
            <w:r>
              <w:rPr>
                <w:rFonts w:hint="eastAsia" w:ascii="仿宋" w:hAnsi="仿宋" w:eastAsia="仿宋" w:cs="仿宋"/>
                <w:bCs/>
                <w:color w:val="auto"/>
                <w:sz w:val="24"/>
                <w:szCs w:val="24"/>
                <w:highlight w:val="none"/>
                <w:lang w:val="en-US" w:eastAsia="zh-CN"/>
              </w:rPr>
              <w:t>制定</w:t>
            </w:r>
            <w:r>
              <w:rPr>
                <w:rFonts w:hint="eastAsia" w:ascii="仿宋" w:hAnsi="仿宋" w:eastAsia="仿宋" w:cs="仿宋"/>
                <w:bCs/>
                <w:color w:val="auto"/>
                <w:sz w:val="24"/>
                <w:szCs w:val="24"/>
                <w:highlight w:val="none"/>
              </w:rPr>
              <w:t>服务质量保证措施</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服务质量保证措施阐述全面、条理清晰，且内容与其服务方案相匹配的，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bCs/>
                <w:color w:val="auto"/>
                <w:sz w:val="24"/>
                <w:szCs w:val="24"/>
                <w:highlight w:val="none"/>
              </w:rPr>
              <w:t>；服务质量保证措施不具体、不明确的，</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lang w:val="en-US" w:eastAsia="zh-CN"/>
              </w:rPr>
              <w:t>无相关内容的</w:t>
            </w:r>
            <w:r>
              <w:rPr>
                <w:rFonts w:hint="eastAsia" w:ascii="仿宋" w:hAnsi="仿宋" w:eastAsia="仿宋" w:cs="仿宋"/>
                <w:bCs/>
                <w:color w:val="auto"/>
                <w:sz w:val="24"/>
                <w:szCs w:val="24"/>
                <w:highlight w:val="none"/>
                <w:lang w:eastAsia="zh-CN"/>
              </w:rPr>
              <w:t>，</w:t>
            </w:r>
            <w:r>
              <w:rPr>
                <w:rFonts w:hint="eastAsia" w:ascii="仿宋" w:hAnsi="仿宋" w:eastAsia="仿宋" w:cs="仿宋"/>
                <w:b/>
                <w:bCs w:val="0"/>
                <w:color w:val="auto"/>
                <w:sz w:val="24"/>
                <w:szCs w:val="24"/>
                <w:highlight w:val="none"/>
              </w:rPr>
              <w:t>不得分</w:t>
            </w:r>
            <w:r>
              <w:rPr>
                <w:rFonts w:hint="eastAsia" w:ascii="仿宋" w:hAnsi="仿宋" w:eastAsia="仿宋" w:cs="仿宋"/>
                <w:color w:val="auto"/>
                <w:sz w:val="24"/>
                <w:szCs w:val="24"/>
                <w:highlight w:val="none"/>
              </w:rPr>
              <w:t>。</w:t>
            </w:r>
          </w:p>
          <w:p w14:paraId="5693170B">
            <w:pPr>
              <w:pStyle w:val="16"/>
              <w:keepNext w:val="0"/>
              <w:keepLines w:val="0"/>
              <w:pageBreakBefore w:val="0"/>
              <w:suppressLineNumbers w:val="0"/>
              <w:kinsoku/>
              <w:overflowPunct/>
              <w:topLinePunct w:val="0"/>
              <w:bidi w:val="0"/>
              <w:spacing w:before="0" w:beforeAutospacing="0" w:after="0" w:afterAutospacing="0" w:line="360" w:lineRule="auto"/>
              <w:ind w:left="0" w:right="0" w:firstLine="480" w:firstLineChars="200"/>
              <w:rPr>
                <w:rFonts w:hint="eastAsia" w:ascii="仿宋" w:hAnsi="仿宋" w:eastAsia="仿宋" w:cs="仿宋"/>
                <w:b/>
                <w:bCs/>
                <w:color w:val="auto"/>
                <w:sz w:val="24"/>
                <w:szCs w:val="24"/>
                <w:highlight w:val="none"/>
              </w:rPr>
            </w:pPr>
            <w:r>
              <w:rPr>
                <w:rFonts w:hint="eastAsia" w:ascii="仿宋" w:hAnsi="仿宋" w:eastAsia="仿宋" w:cs="仿宋"/>
                <w:b w:val="0"/>
                <w:bCs/>
                <w:color w:val="auto"/>
                <w:spacing w:val="0"/>
                <w:kern w:val="2"/>
                <w:sz w:val="24"/>
                <w:szCs w:val="24"/>
                <w:highlight w:val="none"/>
                <w:lang w:val="en-US" w:eastAsia="zh-CN" w:bidi="ar-SA"/>
              </w:rPr>
              <w:t>②供应商针对服务质量保证措施有对应的违约责任承诺，违约责任承诺清晰、违约处罚具体、合理且切合实际，能够对服务质量的保证起到责任效应的，</w:t>
            </w:r>
            <w:r>
              <w:rPr>
                <w:rFonts w:hint="eastAsia" w:ascii="仿宋" w:hAnsi="仿宋" w:eastAsia="仿宋" w:cs="仿宋"/>
                <w:b/>
                <w:bCs w:val="0"/>
                <w:color w:val="auto"/>
                <w:spacing w:val="0"/>
                <w:kern w:val="2"/>
                <w:sz w:val="24"/>
                <w:szCs w:val="24"/>
                <w:highlight w:val="none"/>
                <w:lang w:val="en-US" w:eastAsia="zh-CN" w:bidi="ar-SA"/>
              </w:rPr>
              <w:t>得3分</w:t>
            </w:r>
            <w:r>
              <w:rPr>
                <w:rFonts w:hint="eastAsia" w:ascii="仿宋" w:hAnsi="仿宋" w:eastAsia="仿宋" w:cs="仿宋"/>
                <w:b w:val="0"/>
                <w:bCs/>
                <w:color w:val="auto"/>
                <w:spacing w:val="0"/>
                <w:kern w:val="2"/>
                <w:sz w:val="24"/>
                <w:szCs w:val="24"/>
                <w:highlight w:val="none"/>
                <w:lang w:val="en-US" w:eastAsia="zh-CN" w:bidi="ar-SA"/>
              </w:rPr>
              <w:t>；违约责任承诺不清晰、无违约处罚不具体、不完整或无实际意义的，</w:t>
            </w:r>
            <w:r>
              <w:rPr>
                <w:rFonts w:hint="eastAsia" w:ascii="仿宋" w:hAnsi="仿宋" w:eastAsia="仿宋" w:cs="仿宋"/>
                <w:b/>
                <w:bCs w:val="0"/>
                <w:color w:val="auto"/>
                <w:spacing w:val="0"/>
                <w:kern w:val="2"/>
                <w:sz w:val="24"/>
                <w:szCs w:val="24"/>
                <w:highlight w:val="none"/>
                <w:lang w:val="en-US" w:eastAsia="zh-CN" w:bidi="ar-SA"/>
              </w:rPr>
              <w:t>得1分</w:t>
            </w:r>
            <w:r>
              <w:rPr>
                <w:rFonts w:hint="eastAsia" w:ascii="仿宋" w:hAnsi="仿宋" w:eastAsia="仿宋" w:cs="仿宋"/>
                <w:b w:val="0"/>
                <w:bCs/>
                <w:color w:val="auto"/>
                <w:spacing w:val="0"/>
                <w:kern w:val="2"/>
                <w:sz w:val="24"/>
                <w:szCs w:val="24"/>
                <w:highlight w:val="none"/>
                <w:lang w:val="en-US" w:eastAsia="zh-CN" w:bidi="ar-SA"/>
              </w:rPr>
              <w:t>；无相关内容的，不得分。</w:t>
            </w:r>
          </w:p>
        </w:tc>
        <w:tc>
          <w:tcPr>
            <w:tcW w:w="394" w:type="pct"/>
            <w:tcBorders>
              <w:top w:val="single" w:color="auto" w:sz="4" w:space="0"/>
              <w:left w:val="single" w:color="auto" w:sz="4" w:space="0"/>
              <w:bottom w:val="single" w:color="auto" w:sz="4" w:space="0"/>
              <w:right w:val="single" w:color="auto" w:sz="4" w:space="0"/>
            </w:tcBorders>
            <w:vAlign w:val="center"/>
          </w:tcPr>
          <w:p w14:paraId="680BA5A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主观分</w:t>
            </w:r>
          </w:p>
        </w:tc>
      </w:tr>
      <w:tr w14:paraId="37044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2E2B2D6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w:t>
            </w:r>
          </w:p>
        </w:tc>
        <w:tc>
          <w:tcPr>
            <w:tcW w:w="447" w:type="pct"/>
            <w:tcBorders>
              <w:top w:val="single" w:color="auto" w:sz="4" w:space="0"/>
              <w:left w:val="single" w:color="auto" w:sz="4" w:space="0"/>
              <w:bottom w:val="single" w:color="auto" w:sz="4" w:space="0"/>
              <w:right w:val="single" w:color="auto" w:sz="4" w:space="0"/>
            </w:tcBorders>
            <w:vAlign w:val="center"/>
          </w:tcPr>
          <w:p w14:paraId="1C03D25A">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风险管理及控制</w:t>
            </w:r>
          </w:p>
        </w:tc>
        <w:tc>
          <w:tcPr>
            <w:tcW w:w="351" w:type="pct"/>
            <w:tcBorders>
              <w:top w:val="single" w:color="auto" w:sz="4" w:space="0"/>
              <w:left w:val="single" w:color="auto" w:sz="4" w:space="0"/>
              <w:bottom w:val="single" w:color="auto" w:sz="4" w:space="0"/>
              <w:right w:val="single" w:color="auto" w:sz="4" w:space="0"/>
            </w:tcBorders>
            <w:vAlign w:val="center"/>
          </w:tcPr>
          <w:p w14:paraId="3B9B7066">
            <w:pPr>
              <w:keepNext w:val="0"/>
              <w:keepLines w:val="0"/>
              <w:pageBreakBefore w:val="0"/>
              <w:suppressLineNumbers w:val="0"/>
              <w:kinsoku/>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4分</w:t>
            </w:r>
          </w:p>
        </w:tc>
        <w:tc>
          <w:tcPr>
            <w:tcW w:w="3575" w:type="pct"/>
            <w:tcBorders>
              <w:top w:val="single" w:color="auto" w:sz="4" w:space="0"/>
              <w:left w:val="single" w:color="auto" w:sz="4" w:space="0"/>
              <w:bottom w:val="single" w:color="auto" w:sz="4" w:space="0"/>
              <w:right w:val="single" w:color="auto" w:sz="4" w:space="0"/>
            </w:tcBorders>
            <w:vAlign w:val="center"/>
          </w:tcPr>
          <w:p w14:paraId="454E120B">
            <w:pPr>
              <w:keepNext w:val="0"/>
              <w:keepLines w:val="0"/>
              <w:pageBreakBefore w:val="0"/>
              <w:suppressLineNumbers w:val="0"/>
              <w:overflowPunct/>
              <w:topLinePunct w:val="0"/>
              <w:bidi w:val="0"/>
              <w:spacing w:before="0" w:beforeAutospacing="0" w:after="0" w:afterAutospacing="0" w:line="360" w:lineRule="auto"/>
              <w:ind w:left="0" w:right="0" w:firstLine="480" w:firstLineChars="200"/>
              <w:rPr>
                <w:rFonts w:hint="eastAsia" w:ascii="仿宋" w:hAnsi="仿宋" w:eastAsia="仿宋" w:cs="仿宋"/>
                <w:bCs/>
                <w:color w:val="auto"/>
                <w:highlight w:val="none"/>
                <w:lang w:val="en-US" w:eastAsia="zh-CN"/>
              </w:rPr>
            </w:pPr>
            <w:r>
              <w:rPr>
                <w:rFonts w:hint="eastAsia" w:ascii="仿宋" w:hAnsi="仿宋" w:eastAsia="仿宋" w:cs="仿宋"/>
                <w:color w:val="auto"/>
                <w:sz w:val="24"/>
                <w:szCs w:val="24"/>
                <w:highlight w:val="none"/>
              </w:rPr>
              <w:t>风险管理及控制方案</w:t>
            </w:r>
            <w:r>
              <w:rPr>
                <w:rFonts w:hint="eastAsia" w:ascii="仿宋" w:hAnsi="仿宋" w:eastAsia="仿宋" w:cs="仿宋"/>
                <w:color w:val="auto"/>
                <w:sz w:val="24"/>
                <w:szCs w:val="24"/>
                <w:highlight w:val="none"/>
                <w:lang w:val="en-US" w:eastAsia="zh-CN"/>
              </w:rPr>
              <w:t>中</w:t>
            </w:r>
            <w:r>
              <w:rPr>
                <w:rFonts w:hint="eastAsia" w:ascii="仿宋" w:hAnsi="仿宋" w:eastAsia="仿宋" w:cs="仿宋"/>
                <w:color w:val="auto"/>
                <w:sz w:val="24"/>
                <w:szCs w:val="24"/>
                <w:highlight w:val="none"/>
              </w:rPr>
              <w:t>能够准确分析服务过程中的风险点，风险预防办法合理且能够起到对风险的预防作用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风险处置措施契合实际，且对风险处置具有指导性的</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；风险管理及控制方案</w:t>
            </w:r>
            <w:r>
              <w:rPr>
                <w:rFonts w:hint="eastAsia" w:ascii="仿宋" w:hAnsi="仿宋" w:eastAsia="仿宋" w:cs="仿宋"/>
                <w:color w:val="auto"/>
                <w:sz w:val="24"/>
                <w:szCs w:val="24"/>
                <w:highlight w:val="none"/>
                <w:lang w:val="en-US" w:eastAsia="zh-CN"/>
              </w:rPr>
              <w:t>有缺陷或遗漏的，</w:t>
            </w:r>
            <w:r>
              <w:rPr>
                <w:rFonts w:hint="eastAsia" w:ascii="仿宋" w:hAnsi="仿宋" w:eastAsia="仿宋" w:cs="仿宋"/>
                <w:b/>
                <w:bCs/>
                <w:color w:val="auto"/>
                <w:sz w:val="24"/>
                <w:szCs w:val="24"/>
                <w:highlight w:val="none"/>
                <w:lang w:val="en-US" w:eastAsia="zh-CN"/>
              </w:rPr>
              <w:t>得2分</w:t>
            </w:r>
            <w:r>
              <w:rPr>
                <w:rFonts w:hint="eastAsia" w:ascii="仿宋" w:hAnsi="仿宋" w:eastAsia="仿宋" w:cs="仿宋"/>
                <w:color w:val="auto"/>
                <w:sz w:val="24"/>
                <w:szCs w:val="24"/>
                <w:highlight w:val="none"/>
                <w:lang w:val="en-US" w:eastAsia="zh-CN"/>
              </w:rPr>
              <w:t>；</w:t>
            </w:r>
            <w:r>
              <w:rPr>
                <w:rFonts w:hint="eastAsia" w:ascii="仿宋" w:hAnsi="仿宋" w:eastAsia="仿宋" w:cs="仿宋"/>
                <w:bCs/>
                <w:color w:val="auto"/>
                <w:sz w:val="24"/>
                <w:szCs w:val="24"/>
                <w:highlight w:val="none"/>
                <w:lang w:val="en-US" w:eastAsia="zh-CN"/>
              </w:rPr>
              <w:t>无相关内容的</w:t>
            </w:r>
            <w:r>
              <w:rPr>
                <w:rFonts w:hint="eastAsia" w:ascii="仿宋" w:hAnsi="仿宋" w:eastAsia="仿宋" w:cs="仿宋"/>
                <w:bCs/>
                <w:color w:val="auto"/>
                <w:sz w:val="24"/>
                <w:szCs w:val="24"/>
                <w:highlight w:val="none"/>
                <w:lang w:eastAsia="zh-CN"/>
              </w:rPr>
              <w:t>，</w:t>
            </w:r>
            <w:r>
              <w:rPr>
                <w:rFonts w:hint="eastAsia" w:ascii="仿宋" w:hAnsi="仿宋" w:eastAsia="仿宋" w:cs="仿宋"/>
                <w:b/>
                <w:bCs w:val="0"/>
                <w:color w:val="auto"/>
                <w:sz w:val="24"/>
                <w:szCs w:val="24"/>
                <w:highlight w:val="none"/>
              </w:rPr>
              <w:t>不得分</w:t>
            </w:r>
            <w:r>
              <w:rPr>
                <w:rFonts w:hint="eastAsia" w:ascii="仿宋" w:hAnsi="仿宋" w:eastAsia="仿宋" w:cs="仿宋"/>
                <w:color w:val="auto"/>
                <w:sz w:val="24"/>
                <w:szCs w:val="24"/>
                <w:highlight w:val="none"/>
              </w:rPr>
              <w:t>。</w:t>
            </w:r>
          </w:p>
        </w:tc>
        <w:tc>
          <w:tcPr>
            <w:tcW w:w="394" w:type="pct"/>
            <w:tcBorders>
              <w:top w:val="single" w:color="auto" w:sz="4" w:space="0"/>
              <w:left w:val="single" w:color="auto" w:sz="4" w:space="0"/>
              <w:bottom w:val="single" w:color="auto" w:sz="4" w:space="0"/>
              <w:right w:val="single" w:color="auto" w:sz="4" w:space="0"/>
            </w:tcBorders>
            <w:vAlign w:val="center"/>
          </w:tcPr>
          <w:p w14:paraId="1F555F3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主观分</w:t>
            </w:r>
          </w:p>
        </w:tc>
      </w:tr>
      <w:tr w14:paraId="7274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5000" w:type="pct"/>
            <w:gridSpan w:val="5"/>
            <w:tcBorders>
              <w:top w:val="single" w:color="auto" w:sz="4" w:space="0"/>
              <w:left w:val="single" w:color="auto" w:sz="4" w:space="0"/>
              <w:bottom w:val="single" w:color="auto" w:sz="4" w:space="0"/>
              <w:right w:val="single" w:color="auto" w:sz="4" w:space="0"/>
            </w:tcBorders>
          </w:tcPr>
          <w:p w14:paraId="1F71742F">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F3——</w:t>
            </w:r>
            <w:r>
              <w:rPr>
                <w:rFonts w:hint="eastAsia" w:ascii="仿宋" w:hAnsi="仿宋" w:eastAsia="仿宋" w:cs="仿宋"/>
                <w:b/>
                <w:color w:val="auto"/>
                <w:sz w:val="24"/>
                <w:szCs w:val="24"/>
                <w:highlight w:val="none"/>
                <w:lang w:val="en-US" w:eastAsia="zh-CN"/>
              </w:rPr>
              <w:t>商务</w:t>
            </w:r>
            <w:r>
              <w:rPr>
                <w:rFonts w:hint="eastAsia" w:ascii="仿宋" w:hAnsi="仿宋" w:eastAsia="仿宋" w:cs="仿宋"/>
                <w:b/>
                <w:color w:val="auto"/>
                <w:sz w:val="24"/>
                <w:szCs w:val="24"/>
                <w:highlight w:val="none"/>
              </w:rPr>
              <w:t>部分评分（满分为</w:t>
            </w:r>
            <w:r>
              <w:rPr>
                <w:rFonts w:hint="eastAsia" w:ascii="仿宋" w:hAnsi="仿宋" w:eastAsia="仿宋" w:cs="仿宋"/>
                <w:b/>
                <w:color w:val="auto"/>
                <w:sz w:val="24"/>
                <w:szCs w:val="24"/>
                <w:highlight w:val="none"/>
                <w:lang w:val="en-US" w:eastAsia="zh-CN"/>
              </w:rPr>
              <w:t>16</w:t>
            </w:r>
            <w:r>
              <w:rPr>
                <w:rFonts w:hint="eastAsia" w:ascii="仿宋" w:hAnsi="仿宋" w:eastAsia="仿宋" w:cs="仿宋"/>
                <w:b/>
                <w:color w:val="auto"/>
                <w:sz w:val="24"/>
                <w:szCs w:val="24"/>
                <w:highlight w:val="none"/>
              </w:rPr>
              <w:t>分）</w:t>
            </w:r>
          </w:p>
        </w:tc>
      </w:tr>
      <w:bookmarkEnd w:id="248"/>
      <w:tr w14:paraId="78F6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33C8BCF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w:t>
            </w:r>
          </w:p>
        </w:tc>
        <w:tc>
          <w:tcPr>
            <w:tcW w:w="447" w:type="pct"/>
            <w:tcBorders>
              <w:top w:val="single" w:color="auto" w:sz="4" w:space="0"/>
              <w:left w:val="single" w:color="auto" w:sz="4" w:space="0"/>
              <w:bottom w:val="single" w:color="auto" w:sz="4" w:space="0"/>
              <w:right w:val="single" w:color="auto" w:sz="4" w:space="0"/>
            </w:tcBorders>
            <w:vAlign w:val="center"/>
          </w:tcPr>
          <w:p w14:paraId="3768EAC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服务承诺</w:t>
            </w:r>
          </w:p>
        </w:tc>
        <w:tc>
          <w:tcPr>
            <w:tcW w:w="351" w:type="pct"/>
            <w:tcBorders>
              <w:top w:val="single" w:color="auto" w:sz="4" w:space="0"/>
              <w:left w:val="single" w:color="auto" w:sz="4" w:space="0"/>
              <w:bottom w:val="single" w:color="auto" w:sz="4" w:space="0"/>
              <w:right w:val="single" w:color="auto" w:sz="4" w:space="0"/>
            </w:tcBorders>
            <w:vAlign w:val="center"/>
          </w:tcPr>
          <w:p w14:paraId="4035C2A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center"/>
          </w:tcPr>
          <w:p w14:paraId="42E5343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标准承诺</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分）</w:t>
            </w:r>
          </w:p>
          <w:p w14:paraId="556C074C">
            <w:pPr>
              <w:keepNext w:val="0"/>
              <w:keepLines w:val="0"/>
              <w:pageBreakBefore w:val="0"/>
              <w:widowControl/>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val="0"/>
                <w:color w:val="auto"/>
                <w:sz w:val="24"/>
                <w:szCs w:val="24"/>
                <w:highlight w:val="none"/>
              </w:rPr>
            </w:pPr>
            <w:r>
              <w:rPr>
                <w:rFonts w:hint="eastAsia" w:ascii="仿宋" w:hAnsi="仿宋" w:eastAsia="仿宋" w:cs="仿宋"/>
                <w:bCs/>
                <w:color w:val="auto"/>
                <w:sz w:val="24"/>
                <w:szCs w:val="24"/>
                <w:highlight w:val="none"/>
                <w:lang w:val="en-US" w:eastAsia="zh-CN"/>
              </w:rPr>
              <w:t>①</w:t>
            </w:r>
            <w:r>
              <w:rPr>
                <w:rFonts w:hint="eastAsia" w:ascii="仿宋" w:hAnsi="仿宋" w:eastAsia="仿宋" w:cs="仿宋"/>
                <w:bCs/>
                <w:color w:val="auto"/>
                <w:sz w:val="24"/>
                <w:szCs w:val="24"/>
                <w:highlight w:val="none"/>
              </w:rPr>
              <w:t>供应商承诺符合最新《中华人民共和国卫生行业标准（医院医用织物洗涤消毒技术规范）》及行业、地方现行相关技术标准及验收规定，满足采购人服务质量要求及洗涤、配送服务流程的，</w:t>
            </w:r>
            <w:r>
              <w:rPr>
                <w:rFonts w:hint="eastAsia" w:ascii="仿宋" w:hAnsi="仿宋" w:eastAsia="仿宋" w:cs="仿宋"/>
                <w:b/>
                <w:bCs w:val="0"/>
                <w:color w:val="auto"/>
                <w:sz w:val="24"/>
                <w:szCs w:val="24"/>
                <w:highlight w:val="none"/>
                <w:lang w:val="en-US" w:eastAsia="zh-CN"/>
              </w:rPr>
              <w:t>得1分</w:t>
            </w:r>
            <w:r>
              <w:rPr>
                <w:rFonts w:hint="eastAsia" w:ascii="仿宋" w:hAnsi="仿宋" w:eastAsia="仿宋" w:cs="仿宋"/>
                <w:b/>
                <w:bCs w:val="0"/>
                <w:color w:val="auto"/>
                <w:sz w:val="24"/>
                <w:szCs w:val="24"/>
                <w:highlight w:val="none"/>
              </w:rPr>
              <w:t>。</w:t>
            </w:r>
          </w:p>
          <w:p w14:paraId="4373A362">
            <w:pPr>
              <w:keepNext w:val="0"/>
              <w:keepLines w:val="0"/>
              <w:pageBreakBefore w:val="0"/>
              <w:widowControl/>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注：须提供承诺及违约责任，否则视为无评审依据。</w:t>
            </w:r>
          </w:p>
          <w:p w14:paraId="15BC3916">
            <w:pPr>
              <w:keepNext w:val="0"/>
              <w:keepLines w:val="0"/>
              <w:pageBreakBefore w:val="0"/>
              <w:widowControl/>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val="0"/>
                <w:color w:val="auto"/>
                <w:sz w:val="24"/>
                <w:szCs w:val="24"/>
                <w:highlight w:val="none"/>
              </w:rPr>
            </w:pPr>
            <w:r>
              <w:rPr>
                <w:rFonts w:hint="eastAsia" w:ascii="仿宋" w:hAnsi="仿宋" w:eastAsia="仿宋" w:cs="仿宋"/>
                <w:b w:val="0"/>
                <w:bCs/>
                <w:color w:val="auto"/>
                <w:sz w:val="24"/>
                <w:szCs w:val="24"/>
                <w:highlight w:val="none"/>
                <w:lang w:val="en-US" w:eastAsia="zh-CN"/>
              </w:rPr>
              <w:t>②供应商承诺所设置的生产车间、专用设备设施及消毒隔离管理流程，达到《国家卫生计生委办公厅关于加强医疗机构医用织物洗涤消毒管理工作的通知》（国卫办医涵[2015]708号）及云南省质量技术监督局（DB53-2014）《医用纺织品洗涤卫生规范》规定要求</w:t>
            </w:r>
            <w:r>
              <w:rPr>
                <w:rFonts w:hint="eastAsia" w:ascii="仿宋" w:hAnsi="仿宋" w:eastAsia="仿宋" w:cs="仿宋"/>
                <w:bCs/>
                <w:color w:val="auto"/>
                <w:sz w:val="24"/>
                <w:szCs w:val="24"/>
                <w:highlight w:val="none"/>
              </w:rPr>
              <w:t>的，</w:t>
            </w:r>
            <w:r>
              <w:rPr>
                <w:rFonts w:hint="eastAsia" w:ascii="仿宋" w:hAnsi="仿宋" w:eastAsia="仿宋" w:cs="仿宋"/>
                <w:b/>
                <w:bCs w:val="0"/>
                <w:color w:val="auto"/>
                <w:sz w:val="24"/>
                <w:szCs w:val="24"/>
                <w:highlight w:val="none"/>
              </w:rPr>
              <w:t>得</w:t>
            </w:r>
            <w:r>
              <w:rPr>
                <w:rFonts w:hint="eastAsia" w:ascii="仿宋" w:hAnsi="仿宋" w:eastAsia="仿宋" w:cs="仿宋"/>
                <w:b/>
                <w:bCs w:val="0"/>
                <w:color w:val="auto"/>
                <w:sz w:val="24"/>
                <w:szCs w:val="24"/>
                <w:highlight w:val="none"/>
                <w:lang w:val="en-US" w:eastAsia="zh-CN"/>
              </w:rPr>
              <w:t>1</w:t>
            </w:r>
            <w:r>
              <w:rPr>
                <w:rFonts w:hint="eastAsia" w:ascii="仿宋" w:hAnsi="仿宋" w:eastAsia="仿宋" w:cs="仿宋"/>
                <w:b/>
                <w:bCs w:val="0"/>
                <w:color w:val="auto"/>
                <w:sz w:val="24"/>
                <w:szCs w:val="24"/>
                <w:highlight w:val="none"/>
              </w:rPr>
              <w:t>分。</w:t>
            </w:r>
          </w:p>
          <w:p w14:paraId="30B71CC7">
            <w:pPr>
              <w:keepNext w:val="0"/>
              <w:keepLines w:val="0"/>
              <w:pageBreakBefore w:val="0"/>
              <w:widowControl/>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注：须提供承诺及违约责任，否则视为无评审依据。</w:t>
            </w:r>
          </w:p>
          <w:p w14:paraId="0A308A16">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b w:val="0"/>
                <w:bCs/>
                <w:color w:val="auto"/>
                <w:sz w:val="24"/>
                <w:szCs w:val="24"/>
                <w:highlight w:val="none"/>
                <w:lang w:val="en-US"/>
              </w:rPr>
            </w:pP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配送承诺</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分）</w:t>
            </w:r>
          </w:p>
          <w:p w14:paraId="2B5BADB0">
            <w:pPr>
              <w:keepNext w:val="0"/>
              <w:keepLines w:val="0"/>
              <w:pageBreakBefore w:val="0"/>
              <w:widowControl/>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bCs w:val="0"/>
                <w:color w:val="auto"/>
                <w:sz w:val="24"/>
                <w:szCs w:val="24"/>
                <w:highlight w:val="none"/>
              </w:rPr>
            </w:pPr>
            <w:r>
              <w:rPr>
                <w:rFonts w:hint="eastAsia" w:ascii="仿宋" w:hAnsi="仿宋" w:eastAsia="仿宋" w:cs="仿宋"/>
                <w:b w:val="0"/>
                <w:bCs/>
                <w:color w:val="auto"/>
                <w:sz w:val="24"/>
                <w:szCs w:val="24"/>
                <w:highlight w:val="none"/>
                <w:lang w:val="en-US" w:eastAsia="zh-CN"/>
              </w:rPr>
              <w:t>供应商承诺</w:t>
            </w:r>
            <w:r>
              <w:rPr>
                <w:rFonts w:hint="eastAsia" w:ascii="仿宋" w:hAnsi="仿宋" w:eastAsia="仿宋" w:cs="仿宋"/>
                <w:b w:val="0"/>
                <w:bCs/>
                <w:color w:val="auto"/>
                <w:sz w:val="24"/>
                <w:szCs w:val="24"/>
                <w:highlight w:val="none"/>
                <w:lang w:val="en-US"/>
              </w:rPr>
              <w:t>按采购人的实际情况配置驻点被服配送人员，配置人员完成采购人的每天的被服配送工作，每天到采购人收取各科室需送洗的被服不少于一次，被污染和送洗的被服当天运出洗涤，不在招标人院内滞留过夜</w:t>
            </w:r>
            <w:r>
              <w:rPr>
                <w:rFonts w:hint="eastAsia" w:ascii="仿宋" w:hAnsi="仿宋" w:eastAsia="仿宋" w:cs="仿宋"/>
                <w:b w:val="0"/>
                <w:bCs/>
                <w:color w:val="auto"/>
                <w:sz w:val="24"/>
                <w:szCs w:val="24"/>
                <w:highlight w:val="none"/>
                <w:lang w:val="en-US" w:eastAsia="zh-CN"/>
              </w:rPr>
              <w:t>的，</w:t>
            </w:r>
            <w:r>
              <w:rPr>
                <w:rFonts w:hint="eastAsia" w:ascii="仿宋" w:hAnsi="仿宋" w:eastAsia="仿宋" w:cs="仿宋"/>
                <w:b/>
                <w:bCs w:val="0"/>
                <w:color w:val="auto"/>
                <w:sz w:val="24"/>
                <w:szCs w:val="24"/>
                <w:highlight w:val="none"/>
              </w:rPr>
              <w:t>得</w:t>
            </w:r>
            <w:r>
              <w:rPr>
                <w:rFonts w:hint="eastAsia" w:ascii="仿宋" w:hAnsi="仿宋" w:eastAsia="仿宋" w:cs="仿宋"/>
                <w:b/>
                <w:bCs w:val="0"/>
                <w:color w:val="auto"/>
                <w:sz w:val="24"/>
                <w:szCs w:val="24"/>
                <w:highlight w:val="none"/>
                <w:lang w:val="en-US" w:eastAsia="zh-CN"/>
              </w:rPr>
              <w:t>1</w:t>
            </w:r>
            <w:r>
              <w:rPr>
                <w:rFonts w:hint="eastAsia" w:ascii="仿宋" w:hAnsi="仿宋" w:eastAsia="仿宋" w:cs="仿宋"/>
                <w:b/>
                <w:bCs w:val="0"/>
                <w:color w:val="auto"/>
                <w:sz w:val="24"/>
                <w:szCs w:val="24"/>
                <w:highlight w:val="none"/>
              </w:rPr>
              <w:t>分。</w:t>
            </w:r>
          </w:p>
          <w:p w14:paraId="2826E9C3">
            <w:pPr>
              <w:keepNext w:val="0"/>
              <w:keepLines w:val="0"/>
              <w:pageBreakBefore w:val="0"/>
              <w:widowControl/>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lang w:val="en-US"/>
              </w:rPr>
            </w:pPr>
            <w:r>
              <w:rPr>
                <w:rFonts w:hint="eastAsia" w:ascii="仿宋" w:hAnsi="仿宋" w:eastAsia="仿宋" w:cs="仿宋"/>
                <w:b/>
                <w:color w:val="auto"/>
                <w:sz w:val="24"/>
                <w:szCs w:val="24"/>
                <w:highlight w:val="none"/>
              </w:rPr>
              <w:t>注：须提供承诺及违约责任，否则视为无评审依据。</w:t>
            </w:r>
          </w:p>
        </w:tc>
        <w:tc>
          <w:tcPr>
            <w:tcW w:w="394" w:type="pct"/>
            <w:tcBorders>
              <w:top w:val="single" w:color="auto" w:sz="4" w:space="0"/>
              <w:left w:val="single" w:color="auto" w:sz="4" w:space="0"/>
              <w:bottom w:val="single" w:color="auto" w:sz="4" w:space="0"/>
              <w:right w:val="single" w:color="auto" w:sz="4" w:space="0"/>
            </w:tcBorders>
            <w:vAlign w:val="center"/>
          </w:tcPr>
          <w:p w14:paraId="57A6BE27">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客观分</w:t>
            </w:r>
          </w:p>
        </w:tc>
      </w:tr>
      <w:tr w14:paraId="07928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0" w:type="pct"/>
            <w:vMerge w:val="restart"/>
            <w:tcBorders>
              <w:top w:val="single" w:color="auto" w:sz="4" w:space="0"/>
              <w:left w:val="single" w:color="auto" w:sz="4" w:space="0"/>
              <w:right w:val="single" w:color="auto" w:sz="4" w:space="0"/>
            </w:tcBorders>
            <w:vAlign w:val="center"/>
          </w:tcPr>
          <w:p w14:paraId="08A6308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w:t>
            </w:r>
          </w:p>
        </w:tc>
        <w:tc>
          <w:tcPr>
            <w:tcW w:w="447" w:type="pct"/>
            <w:vMerge w:val="restart"/>
            <w:tcBorders>
              <w:top w:val="single" w:color="auto" w:sz="4" w:space="0"/>
              <w:left w:val="single" w:color="auto" w:sz="4" w:space="0"/>
              <w:right w:val="single" w:color="auto" w:sz="4" w:space="0"/>
            </w:tcBorders>
            <w:shd w:val="clear" w:color="auto" w:fill="auto"/>
            <w:vAlign w:val="center"/>
          </w:tcPr>
          <w:p w14:paraId="47156816">
            <w:pPr>
              <w:keepNext w:val="0"/>
              <w:keepLines w:val="0"/>
              <w:pageBreakBefore w:val="0"/>
              <w:suppressLineNumbers w:val="0"/>
              <w:overflowPunct/>
              <w:topLinePunct w:val="0"/>
              <w:bidi w:val="0"/>
              <w:spacing w:before="0" w:beforeAutospacing="0" w:after="0" w:afterAutospacing="0" w:line="360" w:lineRule="auto"/>
              <w:ind w:left="0" w:leftChars="0" w:right="0" w:rightChars="0"/>
              <w:jc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服务团队配置及管理</w:t>
            </w:r>
          </w:p>
        </w:tc>
        <w:tc>
          <w:tcPr>
            <w:tcW w:w="351" w:type="pct"/>
            <w:vMerge w:val="restart"/>
            <w:tcBorders>
              <w:top w:val="single" w:color="auto" w:sz="4" w:space="0"/>
              <w:left w:val="single" w:color="auto" w:sz="4" w:space="0"/>
              <w:right w:val="single" w:color="auto" w:sz="4" w:space="0"/>
            </w:tcBorders>
            <w:shd w:val="clear" w:color="auto" w:fill="auto"/>
            <w:vAlign w:val="center"/>
          </w:tcPr>
          <w:p w14:paraId="4AD7CD1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shd w:val="clear" w:color="auto" w:fill="auto"/>
            <w:vAlign w:val="center"/>
          </w:tcPr>
          <w:p w14:paraId="60472A87">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服务团队</w:t>
            </w:r>
            <w:r>
              <w:rPr>
                <w:rFonts w:hint="eastAsia" w:ascii="仿宋" w:hAnsi="仿宋" w:eastAsia="仿宋" w:cs="仿宋"/>
                <w:b/>
                <w:bCs/>
                <w:color w:val="auto"/>
                <w:sz w:val="24"/>
                <w:szCs w:val="24"/>
                <w:highlight w:val="none"/>
                <w:lang w:val="en-US" w:eastAsia="zh-CN"/>
              </w:rPr>
              <w:t>管理</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3分）</w:t>
            </w:r>
          </w:p>
          <w:p w14:paraId="41AEAA71">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color w:val="auto"/>
                <w:sz w:val="24"/>
                <w:szCs w:val="24"/>
                <w:highlight w:val="none"/>
              </w:rPr>
              <w:t>拟派服务团队能结合本项目的采购需求、特点及实际情况配置，符合采购需求且分工明确，职责划分清晰的，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；拟派服务团队配置符合采购需求，但分工不明确，职责划分不清晰，</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无分工及职责划分的，</w:t>
            </w:r>
            <w:r>
              <w:rPr>
                <w:rFonts w:hint="eastAsia" w:ascii="仿宋" w:hAnsi="仿宋" w:eastAsia="仿宋" w:cs="仿宋"/>
                <w:b/>
                <w:bCs/>
                <w:color w:val="auto"/>
                <w:sz w:val="24"/>
                <w:szCs w:val="24"/>
                <w:highlight w:val="none"/>
                <w:lang w:val="en-US" w:eastAsia="zh-CN"/>
              </w:rPr>
              <w:t>不得分。</w:t>
            </w:r>
          </w:p>
        </w:tc>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14:paraId="125BD0FB">
            <w:pPr>
              <w:keepNext w:val="0"/>
              <w:keepLines w:val="0"/>
              <w:pageBreakBefore w:val="0"/>
              <w:suppressLineNumbers w:val="0"/>
              <w:overflowPunct/>
              <w:topLinePunct w:val="0"/>
              <w:bidi w:val="0"/>
              <w:spacing w:before="0" w:beforeAutospacing="0" w:after="0" w:afterAutospacing="0" w:line="360" w:lineRule="auto"/>
              <w:ind w:left="0" w:right="0" w:right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主观分</w:t>
            </w:r>
          </w:p>
        </w:tc>
      </w:tr>
      <w:tr w14:paraId="56B7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0" w:type="pct"/>
            <w:vMerge w:val="continue"/>
            <w:tcBorders>
              <w:left w:val="single" w:color="auto" w:sz="4" w:space="0"/>
              <w:bottom w:val="single" w:color="auto" w:sz="4" w:space="0"/>
              <w:right w:val="single" w:color="auto" w:sz="4" w:space="0"/>
            </w:tcBorders>
            <w:vAlign w:val="center"/>
          </w:tcPr>
          <w:p w14:paraId="4DB88F3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eastAsia="zh-CN"/>
              </w:rPr>
            </w:pPr>
          </w:p>
        </w:tc>
        <w:tc>
          <w:tcPr>
            <w:tcW w:w="447" w:type="pct"/>
            <w:vMerge w:val="continue"/>
            <w:tcBorders>
              <w:left w:val="single" w:color="auto" w:sz="4" w:space="0"/>
              <w:bottom w:val="single" w:color="auto" w:sz="4" w:space="0"/>
              <w:right w:val="single" w:color="auto" w:sz="4" w:space="0"/>
            </w:tcBorders>
            <w:vAlign w:val="center"/>
          </w:tcPr>
          <w:p w14:paraId="2F40E9E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p>
        </w:tc>
        <w:tc>
          <w:tcPr>
            <w:tcW w:w="351" w:type="pct"/>
            <w:vMerge w:val="continue"/>
            <w:tcBorders>
              <w:left w:val="single" w:color="auto" w:sz="4" w:space="0"/>
              <w:bottom w:val="single" w:color="auto" w:sz="4" w:space="0"/>
              <w:right w:val="single" w:color="auto" w:sz="4" w:space="0"/>
            </w:tcBorders>
            <w:vAlign w:val="center"/>
          </w:tcPr>
          <w:p w14:paraId="151FC63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p>
        </w:tc>
        <w:tc>
          <w:tcPr>
            <w:tcW w:w="3575" w:type="pct"/>
            <w:tcBorders>
              <w:top w:val="single" w:color="auto" w:sz="4" w:space="0"/>
              <w:left w:val="single" w:color="auto" w:sz="4" w:space="0"/>
              <w:bottom w:val="single" w:color="auto" w:sz="4" w:space="0"/>
              <w:right w:val="single" w:color="auto" w:sz="4" w:space="0"/>
            </w:tcBorders>
            <w:vAlign w:val="center"/>
          </w:tcPr>
          <w:p w14:paraId="2BA2E94E">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lang w:val="en-US" w:eastAsia="zh-CN"/>
              </w:rPr>
              <w:t>服务团队配置</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分）</w:t>
            </w:r>
          </w:p>
          <w:p w14:paraId="4FE8832D">
            <w:pPr>
              <w:keepNext w:val="0"/>
              <w:keepLines w:val="0"/>
              <w:pageBreakBefore w:val="0"/>
              <w:suppressLineNumbers w:val="0"/>
              <w:overflowPunct/>
              <w:topLinePunct w:val="0"/>
              <w:bidi w:val="0"/>
              <w:spacing w:before="0" w:beforeAutospacing="0" w:after="0" w:afterAutospacing="0" w:line="360" w:lineRule="auto"/>
              <w:ind w:left="0" w:right="0" w:firstLine="480" w:firstLineChars="200"/>
              <w:jc w:val="left"/>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rPr>
              <w:t>拟派的所有项目服务人员具备有效的健康证的，</w:t>
            </w:r>
            <w:r>
              <w:rPr>
                <w:rFonts w:hint="eastAsia" w:ascii="仿宋" w:hAnsi="仿宋" w:eastAsia="仿宋" w:cs="仿宋"/>
                <w:b/>
                <w:bCs/>
                <w:color w:val="auto"/>
                <w:sz w:val="24"/>
                <w:szCs w:val="24"/>
                <w:highlight w:val="none"/>
              </w:rPr>
              <w:t>得</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分</w:t>
            </w:r>
            <w:r>
              <w:rPr>
                <w:rFonts w:hint="eastAsia" w:ascii="仿宋" w:hAnsi="仿宋" w:eastAsia="仿宋" w:cs="仿宋"/>
                <w:color w:val="auto"/>
                <w:sz w:val="24"/>
                <w:szCs w:val="24"/>
                <w:highlight w:val="none"/>
              </w:rPr>
              <w:t>；</w:t>
            </w:r>
          </w:p>
        </w:tc>
        <w:tc>
          <w:tcPr>
            <w:tcW w:w="394" w:type="pct"/>
            <w:tcBorders>
              <w:top w:val="single" w:color="auto" w:sz="4" w:space="0"/>
              <w:left w:val="single" w:color="auto" w:sz="4" w:space="0"/>
              <w:bottom w:val="single" w:color="auto" w:sz="4" w:space="0"/>
              <w:right w:val="single" w:color="auto" w:sz="4" w:space="0"/>
            </w:tcBorders>
            <w:vAlign w:val="center"/>
          </w:tcPr>
          <w:p w14:paraId="142E5FB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客观分</w:t>
            </w:r>
          </w:p>
        </w:tc>
      </w:tr>
      <w:tr w14:paraId="038B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0" w:type="pct"/>
            <w:tcBorders>
              <w:top w:val="single" w:color="auto" w:sz="4" w:space="0"/>
              <w:left w:val="single" w:color="auto" w:sz="4" w:space="0"/>
              <w:bottom w:val="single" w:color="auto" w:sz="4" w:space="0"/>
              <w:right w:val="single" w:color="auto" w:sz="4" w:space="0"/>
            </w:tcBorders>
            <w:vAlign w:val="center"/>
          </w:tcPr>
          <w:p w14:paraId="0F0FAAB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w:t>
            </w:r>
          </w:p>
        </w:tc>
        <w:tc>
          <w:tcPr>
            <w:tcW w:w="447" w:type="pct"/>
            <w:tcBorders>
              <w:top w:val="single" w:color="auto" w:sz="4" w:space="0"/>
              <w:left w:val="single" w:color="auto" w:sz="4" w:space="0"/>
              <w:bottom w:val="single" w:color="auto" w:sz="4" w:space="0"/>
              <w:right w:val="single" w:color="auto" w:sz="4" w:space="0"/>
            </w:tcBorders>
            <w:vAlign w:val="center"/>
          </w:tcPr>
          <w:p w14:paraId="084E149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业绩</w:t>
            </w:r>
          </w:p>
        </w:tc>
        <w:tc>
          <w:tcPr>
            <w:tcW w:w="351" w:type="pct"/>
            <w:tcBorders>
              <w:top w:val="single" w:color="auto" w:sz="4" w:space="0"/>
              <w:left w:val="single" w:color="auto" w:sz="4" w:space="0"/>
              <w:bottom w:val="single" w:color="auto" w:sz="4" w:space="0"/>
              <w:right w:val="single" w:color="auto" w:sz="4" w:space="0"/>
            </w:tcBorders>
            <w:vAlign w:val="center"/>
          </w:tcPr>
          <w:p w14:paraId="5A369E6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分</w:t>
            </w:r>
          </w:p>
        </w:tc>
        <w:tc>
          <w:tcPr>
            <w:tcW w:w="3575" w:type="pct"/>
            <w:tcBorders>
              <w:top w:val="single" w:color="auto" w:sz="4" w:space="0"/>
              <w:left w:val="single" w:color="auto" w:sz="4" w:space="0"/>
              <w:bottom w:val="single" w:color="auto" w:sz="4" w:space="0"/>
              <w:right w:val="single" w:color="auto" w:sz="4" w:space="0"/>
            </w:tcBorders>
            <w:vAlign w:val="center"/>
          </w:tcPr>
          <w:p w14:paraId="274E3E53">
            <w:pPr>
              <w:pStyle w:val="115"/>
              <w:keepNext w:val="0"/>
              <w:keepLines w:val="0"/>
              <w:pageBreakBefore w:val="0"/>
              <w:suppressLineNumbers w:val="0"/>
              <w:overflowPunct/>
              <w:topLinePunct w:val="0"/>
              <w:bidi w:val="0"/>
              <w:spacing w:before="0" w:beforeAutospacing="0" w:after="0" w:afterAutospacing="0" w:line="360" w:lineRule="auto"/>
              <w:ind w:left="0" w:righ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年至今，每提供1个类似项目业绩</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分</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最多</w:t>
            </w:r>
            <w:r>
              <w:rPr>
                <w:rFonts w:hint="eastAsia" w:ascii="仿宋" w:hAnsi="仿宋" w:eastAsia="仿宋" w:cs="仿宋"/>
                <w:b/>
                <w:color w:val="auto"/>
                <w:sz w:val="24"/>
                <w:szCs w:val="24"/>
                <w:highlight w:val="none"/>
              </w:rPr>
              <w:t>得</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分</w:t>
            </w:r>
            <w:r>
              <w:rPr>
                <w:rFonts w:hint="eastAsia" w:ascii="仿宋" w:hAnsi="仿宋" w:eastAsia="仿宋" w:cs="仿宋"/>
                <w:color w:val="auto"/>
                <w:sz w:val="24"/>
                <w:szCs w:val="24"/>
                <w:highlight w:val="none"/>
              </w:rPr>
              <w:t>。</w:t>
            </w:r>
          </w:p>
          <w:p w14:paraId="6BC23C63">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注：类似项目业绩指：</w:t>
            </w:r>
            <w:r>
              <w:rPr>
                <w:rFonts w:hint="eastAsia" w:ascii="仿宋" w:hAnsi="仿宋" w:eastAsia="仿宋" w:cs="仿宋"/>
                <w:b/>
                <w:color w:val="auto"/>
                <w:sz w:val="24"/>
                <w:szCs w:val="24"/>
                <w:highlight w:val="none"/>
                <w:lang w:val="en-US" w:eastAsia="zh-CN"/>
              </w:rPr>
              <w:t>与本项目相关的类似</w:t>
            </w:r>
            <w:r>
              <w:rPr>
                <w:rFonts w:hint="eastAsia" w:ascii="仿宋" w:hAnsi="仿宋" w:eastAsia="仿宋" w:cs="仿宋"/>
                <w:b/>
                <w:color w:val="auto"/>
                <w:sz w:val="24"/>
                <w:szCs w:val="24"/>
                <w:highlight w:val="none"/>
              </w:rPr>
              <w:t>业绩；</w:t>
            </w:r>
          </w:p>
          <w:p w14:paraId="22713075">
            <w:pPr>
              <w:keepNext w:val="0"/>
              <w:keepLines w:val="0"/>
              <w:pageBreakBefore w:val="0"/>
              <w:suppressLineNumbers w:val="0"/>
              <w:overflowPunct/>
              <w:topLinePunct w:val="0"/>
              <w:bidi w:val="0"/>
              <w:spacing w:before="0" w:beforeAutospacing="0" w:after="0" w:afterAutospacing="0" w:line="360" w:lineRule="auto"/>
              <w:ind w:left="0" w:right="0"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提供证明材料：证明材料为合同或协议（所提供合同证明材料须至少包含合同首页、合同标的物所在页及合同签字盖章页的复印件加盖公章，如合同无法体现项目内容、签订日期等内容，须另附业主证明材料，否则不作为评审依据）。</w:t>
            </w:r>
          </w:p>
        </w:tc>
        <w:tc>
          <w:tcPr>
            <w:tcW w:w="394" w:type="pct"/>
            <w:tcBorders>
              <w:top w:val="single" w:color="auto" w:sz="4" w:space="0"/>
              <w:left w:val="single" w:color="auto" w:sz="4" w:space="0"/>
              <w:bottom w:val="single" w:color="auto" w:sz="4" w:space="0"/>
              <w:right w:val="single" w:color="auto" w:sz="4" w:space="0"/>
            </w:tcBorders>
            <w:vAlign w:val="center"/>
          </w:tcPr>
          <w:p w14:paraId="559A132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客观分</w:t>
            </w:r>
          </w:p>
        </w:tc>
      </w:tr>
    </w:tbl>
    <w:p w14:paraId="529AFE9D">
      <w:pPr>
        <w:pageBreakBefore w:val="0"/>
        <w:overflowPunct/>
        <w:topLinePunct w:val="0"/>
        <w:bidi w:val="0"/>
        <w:spacing w:line="360" w:lineRule="auto"/>
        <w:rPr>
          <w:rFonts w:hint="eastAsia" w:ascii="仿宋" w:hAnsi="仿宋" w:eastAsia="仿宋" w:cs="仿宋"/>
          <w:color w:val="auto"/>
          <w:highlight w:val="none"/>
        </w:rPr>
      </w:pPr>
    </w:p>
    <w:p w14:paraId="660847FF">
      <w:pPr>
        <w:pageBreakBefore w:val="0"/>
        <w:overflowPunct/>
        <w:topLinePunct w:val="0"/>
        <w:bidi w:val="0"/>
        <w:spacing w:line="360" w:lineRule="auto"/>
        <w:ind w:firstLine="51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w:t>
      </w:r>
      <w:r>
        <w:rPr>
          <w:rFonts w:hint="eastAsia" w:ascii="仿宋" w:hAnsi="仿宋" w:eastAsia="仿宋" w:cs="仿宋"/>
          <w:b/>
          <w:bCs/>
          <w:color w:val="auto"/>
          <w:sz w:val="24"/>
          <w:szCs w:val="24"/>
          <w:highlight w:val="none"/>
          <w:lang w:val="en-US" w:eastAsia="zh-CN"/>
        </w:rPr>
        <w:t>3</w:t>
      </w:r>
      <w:r>
        <w:rPr>
          <w:rFonts w:hint="eastAsia" w:ascii="仿宋" w:hAnsi="仿宋" w:eastAsia="仿宋" w:cs="仿宋"/>
          <w:b/>
          <w:bCs/>
          <w:color w:val="auto"/>
          <w:sz w:val="24"/>
          <w:szCs w:val="24"/>
          <w:highlight w:val="none"/>
        </w:rPr>
        <w:t xml:space="preserve">统分原则 </w:t>
      </w:r>
    </w:p>
    <w:p w14:paraId="3F501090">
      <w:pPr>
        <w:pageBreakBefore w:val="0"/>
        <w:overflowPunct/>
        <w:topLinePunct w:val="0"/>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（1）评委应首先对各投标人投标文件进行评审，写出书面意见并按招标文件规定分值及范围评分，各分档评分中间不得用插入法评分。</w:t>
      </w:r>
    </w:p>
    <w:p w14:paraId="370F9B27">
      <w:pPr>
        <w:pageBreakBefore w:val="0"/>
        <w:overflowPunct/>
        <w:topLinePunct w:val="0"/>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（2）除投标报价得分（F1）外，其余部分由各评委自主评分并签字或签章确认。</w:t>
      </w:r>
    </w:p>
    <w:p w14:paraId="10199399">
      <w:pPr>
        <w:pageBreakBefore w:val="0"/>
        <w:overflowPunct/>
        <w:topLinePunct w:val="0"/>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（3）统计分数原则：所有有效评分的算术平均分值为投标人除报价以外的其他评分因素的得分（保留小数点后两位）。</w:t>
      </w:r>
    </w:p>
    <w:p w14:paraId="0C8C29FA">
      <w:pPr>
        <w:pageBreakBefore w:val="0"/>
        <w:overflowPunct/>
        <w:topLinePunct w:val="0"/>
        <w:bidi w:val="0"/>
        <w:spacing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（4）统分办法：各项得分的总和即为投标人最后得分。</w:t>
      </w:r>
    </w:p>
    <w:p w14:paraId="62EDD995">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6.6.4推荐</w:t>
      </w:r>
    </w:p>
    <w:p w14:paraId="6686F04D">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按评审后总得分由高到低顺序推荐3名中标候选投标人。总得分相同的，按投标价格（F1）由低到高顺序排列；总得分且投标报价相同的，按技术评审得分（F2）合计由高到低顺序排列，依次类推，若还并列，由评标委员会投票表决，得票高者排序在前。</w:t>
      </w:r>
    </w:p>
    <w:p w14:paraId="051252B2">
      <w:pPr>
        <w:pageBreakBefore w:val="0"/>
        <w:overflowPunct/>
        <w:topLinePunct w:val="0"/>
        <w:bidi w:val="0"/>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6.6.5评标报告</w:t>
      </w:r>
    </w:p>
    <w:p w14:paraId="76321932">
      <w:pPr>
        <w:pageBreakBefore w:val="0"/>
        <w:overflowPunct/>
        <w:topLinePunct w:val="0"/>
        <w:bidi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评标委员会根据评审情况推荐中标候选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名单并编写书面评标报告。</w:t>
      </w:r>
    </w:p>
    <w:p w14:paraId="5FDA65C5">
      <w:pPr>
        <w:pStyle w:val="2"/>
        <w:pageBreakBefore w:val="0"/>
        <w:overflowPunct/>
        <w:topLinePunct w:val="0"/>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249" w:name="_Toc140565239"/>
      <w:bookmarkStart w:id="250" w:name="_Toc23020"/>
      <w:bookmarkStart w:id="251" w:name="_Toc140565056"/>
      <w:bookmarkStart w:id="252" w:name="_Toc12756"/>
      <w:r>
        <w:rPr>
          <w:rFonts w:hint="eastAsia" w:ascii="仿宋" w:hAnsi="仿宋" w:eastAsia="仿宋" w:cs="仿宋"/>
          <w:color w:val="auto"/>
          <w:highlight w:val="none"/>
        </w:rPr>
        <w:t>第四章 合同基本条款及格式</w:t>
      </w:r>
      <w:bookmarkEnd w:id="249"/>
      <w:bookmarkEnd w:id="250"/>
      <w:bookmarkEnd w:id="251"/>
      <w:bookmarkEnd w:id="252"/>
    </w:p>
    <w:p w14:paraId="39433D38">
      <w:pPr>
        <w:pageBreakBefore w:val="0"/>
        <w:overflowPunct/>
        <w:topLinePunct w:val="0"/>
        <w:bidi w:val="0"/>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（本合同范本仅是参考，具体以实际签订合同为准）</w:t>
      </w:r>
    </w:p>
    <w:p w14:paraId="639F1A21">
      <w:pPr>
        <w:pageBreakBefore w:val="0"/>
        <w:tabs>
          <w:tab w:val="left" w:pos="3362"/>
          <w:tab w:val="left" w:pos="7082"/>
        </w:tabs>
        <w:overflowPunct/>
        <w:topLinePunct w:val="0"/>
        <w:bidi w:val="0"/>
        <w:spacing w:before="141" w:after="120" w:line="360" w:lineRule="auto"/>
        <w:rPr>
          <w:rFonts w:hint="eastAsia" w:ascii="仿宋" w:hAnsi="仿宋" w:eastAsia="仿宋" w:cs="仿宋"/>
          <w:color w:val="auto"/>
          <w:highlight w:val="none"/>
        </w:rPr>
      </w:pPr>
      <w:bookmarkStart w:id="253" w:name="_Toc213141091"/>
      <w:bookmarkStart w:id="254" w:name="_Toc140565057"/>
      <w:bookmarkStart w:id="255" w:name="_Toc140565240"/>
      <w:bookmarkStart w:id="256" w:name="_Toc11696"/>
      <w:r>
        <w:rPr>
          <w:rFonts w:hint="eastAsia" w:ascii="仿宋" w:hAnsi="仿宋" w:eastAsia="仿宋" w:cs="仿宋"/>
          <w:color w:val="auto"/>
          <w:highlight w:val="none"/>
        </w:rPr>
        <w:t>合同编号：</w:t>
      </w:r>
      <w:r>
        <w:rPr>
          <w:rFonts w:hint="eastAsia" w:ascii="仿宋" w:hAnsi="仿宋" w:eastAsia="仿宋" w:cs="仿宋"/>
          <w:color w:val="auto"/>
          <w:highlight w:val="none"/>
        </w:rPr>
        <w:tab/>
      </w:r>
      <w:r>
        <w:rPr>
          <w:rFonts w:hint="eastAsia" w:ascii="仿宋" w:hAnsi="仿宋" w:eastAsia="仿宋" w:cs="仿宋"/>
          <w:color w:val="auto"/>
          <w:highlight w:val="none"/>
        </w:rPr>
        <w:t>合同自编号：</w:t>
      </w:r>
      <w:r>
        <w:rPr>
          <w:rFonts w:hint="eastAsia" w:ascii="仿宋" w:hAnsi="仿宋" w:eastAsia="仿宋" w:cs="仿宋"/>
          <w:color w:val="auto"/>
          <w:highlight w:val="none"/>
        </w:rPr>
        <w:tab/>
      </w:r>
      <w:r>
        <w:rPr>
          <w:rFonts w:hint="eastAsia" w:ascii="仿宋" w:hAnsi="仿宋" w:eastAsia="仿宋" w:cs="仿宋"/>
          <w:color w:val="auto"/>
          <w:highlight w:val="none"/>
        </w:rPr>
        <w:t>项目编号：</w:t>
      </w:r>
    </w:p>
    <w:p w14:paraId="33D55C6B">
      <w:pPr>
        <w:pageBreakBefore w:val="0"/>
        <w:overflowPunct/>
        <w:topLinePunct w:val="0"/>
        <w:bidi w:val="0"/>
        <w:spacing w:after="120" w:line="360" w:lineRule="auto"/>
        <w:ind w:right="4101"/>
        <w:rPr>
          <w:rFonts w:hint="eastAsia" w:ascii="仿宋" w:hAnsi="仿宋" w:eastAsia="仿宋" w:cs="仿宋"/>
          <w:color w:val="auto"/>
          <w:sz w:val="24"/>
          <w:szCs w:val="24"/>
          <w:highlight w:val="none"/>
        </w:rPr>
      </w:pPr>
      <w:r>
        <w:rPr>
          <w:rFonts w:hint="eastAsia" w:ascii="仿宋" w:hAnsi="仿宋" w:eastAsia="仿宋" w:cs="仿宋"/>
          <w:color w:val="auto"/>
          <w:highlight w:val="none"/>
        </w:rPr>
        <w:t>●本合同须加盖甲乙双方骑缝章有效</w:t>
      </w:r>
    </w:p>
    <w:p w14:paraId="245A5D84">
      <w:pPr>
        <w:pageBreakBefore w:val="0"/>
        <w:overflowPunct/>
        <w:topLinePunct w:val="0"/>
        <w:bidi w:val="0"/>
        <w:spacing w:before="179" w:line="360" w:lineRule="auto"/>
        <w:ind w:left="171" w:right="172"/>
        <w:jc w:val="center"/>
        <w:rPr>
          <w:rFonts w:hint="eastAsia" w:ascii="仿宋" w:hAnsi="仿宋" w:eastAsia="仿宋" w:cs="仿宋"/>
          <w:color w:val="auto"/>
          <w:sz w:val="39"/>
          <w:szCs w:val="39"/>
          <w:highlight w:val="none"/>
        </w:rPr>
      </w:pPr>
      <w:r>
        <w:rPr>
          <w:rFonts w:hint="eastAsia" w:ascii="仿宋" w:hAnsi="仿宋" w:eastAsia="仿宋" w:cs="仿宋"/>
          <w:color w:val="auto"/>
          <w:sz w:val="39"/>
          <w:szCs w:val="39"/>
          <w:highlight w:val="none"/>
        </w:rPr>
        <w:t>云南省省级政府采购</w:t>
      </w:r>
    </w:p>
    <w:p w14:paraId="3BBD000E">
      <w:pPr>
        <w:pageBreakBefore w:val="0"/>
        <w:overflowPunct/>
        <w:topLinePunct w:val="0"/>
        <w:bidi w:val="0"/>
        <w:spacing w:before="246" w:line="360" w:lineRule="auto"/>
        <w:ind w:left="172" w:right="172"/>
        <w:jc w:val="center"/>
        <w:rPr>
          <w:rFonts w:hint="eastAsia" w:ascii="仿宋" w:hAnsi="仿宋" w:eastAsia="仿宋" w:cs="仿宋"/>
          <w:color w:val="auto"/>
          <w:sz w:val="33"/>
          <w:szCs w:val="33"/>
          <w:highlight w:val="none"/>
        </w:rPr>
      </w:pPr>
      <w:r>
        <w:rPr>
          <w:rFonts w:hint="eastAsia" w:ascii="仿宋" w:hAnsi="仿宋" w:eastAsia="仿宋" w:cs="仿宋"/>
          <w:color w:val="auto"/>
          <w:sz w:val="33"/>
          <w:szCs w:val="33"/>
          <w:highlight w:val="none"/>
        </w:rPr>
        <w:t>(委托采购)</w:t>
      </w:r>
    </w:p>
    <w:p w14:paraId="554F3515">
      <w:pPr>
        <w:pageBreakBefore w:val="0"/>
        <w:overflowPunct/>
        <w:topLinePunct w:val="0"/>
        <w:bidi w:val="0"/>
        <w:spacing w:before="246" w:line="360" w:lineRule="auto"/>
        <w:ind w:left="172" w:right="172"/>
        <w:jc w:val="center"/>
        <w:rPr>
          <w:rFonts w:hint="eastAsia" w:ascii="仿宋" w:hAnsi="仿宋" w:eastAsia="仿宋" w:cs="仿宋"/>
          <w:color w:val="auto"/>
          <w:sz w:val="63"/>
          <w:szCs w:val="63"/>
          <w:highlight w:val="none"/>
        </w:rPr>
      </w:pPr>
      <w:r>
        <w:rPr>
          <w:rFonts w:hint="eastAsia" w:ascii="仿宋" w:hAnsi="仿宋" w:eastAsia="仿宋" w:cs="仿宋"/>
          <w:color w:val="auto"/>
          <w:sz w:val="63"/>
          <w:szCs w:val="63"/>
          <w:highlight w:val="none"/>
        </w:rPr>
        <w:t>合</w:t>
      </w:r>
    </w:p>
    <w:p w14:paraId="29A8AC28">
      <w:pPr>
        <w:pageBreakBefore w:val="0"/>
        <w:overflowPunct/>
        <w:topLinePunct w:val="0"/>
        <w:bidi w:val="0"/>
        <w:spacing w:before="179" w:line="360" w:lineRule="auto"/>
        <w:ind w:left="171" w:right="172"/>
        <w:jc w:val="center"/>
        <w:rPr>
          <w:rFonts w:hint="eastAsia" w:ascii="仿宋" w:hAnsi="仿宋" w:eastAsia="仿宋" w:cs="仿宋"/>
          <w:color w:val="auto"/>
          <w:sz w:val="63"/>
          <w:szCs w:val="63"/>
          <w:highlight w:val="none"/>
        </w:rPr>
      </w:pPr>
    </w:p>
    <w:p w14:paraId="07187CE7">
      <w:pPr>
        <w:pageBreakBefore w:val="0"/>
        <w:overflowPunct/>
        <w:topLinePunct w:val="0"/>
        <w:bidi w:val="0"/>
        <w:spacing w:before="246" w:line="360" w:lineRule="auto"/>
        <w:ind w:left="172" w:right="172"/>
        <w:jc w:val="center"/>
        <w:rPr>
          <w:rFonts w:hint="eastAsia" w:ascii="仿宋" w:hAnsi="仿宋" w:eastAsia="仿宋" w:cs="仿宋"/>
          <w:color w:val="auto"/>
          <w:sz w:val="63"/>
          <w:szCs w:val="63"/>
          <w:highlight w:val="none"/>
        </w:rPr>
      </w:pPr>
      <w:r>
        <w:rPr>
          <w:rFonts w:hint="eastAsia" w:ascii="仿宋" w:hAnsi="仿宋" w:eastAsia="仿宋" w:cs="仿宋"/>
          <w:color w:val="auto"/>
          <w:sz w:val="63"/>
          <w:szCs w:val="63"/>
          <w:highlight w:val="none"/>
        </w:rPr>
        <w:t>同</w:t>
      </w:r>
    </w:p>
    <w:p w14:paraId="1D62134C">
      <w:pPr>
        <w:pageBreakBefore w:val="0"/>
        <w:overflowPunct/>
        <w:topLinePunct w:val="0"/>
        <w:bidi w:val="0"/>
        <w:spacing w:before="179" w:line="360" w:lineRule="auto"/>
        <w:ind w:left="171" w:right="172"/>
        <w:jc w:val="center"/>
        <w:rPr>
          <w:rFonts w:hint="eastAsia" w:ascii="仿宋" w:hAnsi="仿宋" w:eastAsia="仿宋" w:cs="仿宋"/>
          <w:color w:val="auto"/>
          <w:sz w:val="63"/>
          <w:szCs w:val="63"/>
          <w:highlight w:val="none"/>
        </w:rPr>
      </w:pPr>
    </w:p>
    <w:p w14:paraId="43D02502">
      <w:pPr>
        <w:pageBreakBefore w:val="0"/>
        <w:overflowPunct/>
        <w:topLinePunct w:val="0"/>
        <w:bidi w:val="0"/>
        <w:spacing w:before="246" w:line="360" w:lineRule="auto"/>
        <w:ind w:left="172" w:right="172"/>
        <w:jc w:val="center"/>
        <w:rPr>
          <w:rFonts w:hint="eastAsia" w:ascii="仿宋" w:hAnsi="仿宋" w:eastAsia="仿宋" w:cs="仿宋"/>
          <w:color w:val="auto"/>
          <w:szCs w:val="20"/>
          <w:highlight w:val="none"/>
        </w:rPr>
      </w:pPr>
      <w:r>
        <w:rPr>
          <w:rFonts w:hint="eastAsia" w:ascii="仿宋" w:hAnsi="仿宋" w:eastAsia="仿宋" w:cs="仿宋"/>
          <w:color w:val="auto"/>
          <w:sz w:val="63"/>
          <w:szCs w:val="63"/>
          <w:highlight w:val="none"/>
        </w:rPr>
        <w:t>书</w:t>
      </w:r>
    </w:p>
    <w:p w14:paraId="6C958C0F">
      <w:pPr>
        <w:pageBreakBefore w:val="0"/>
        <w:overflowPunct/>
        <w:topLinePunct w:val="0"/>
        <w:bidi w:val="0"/>
        <w:spacing w:line="360" w:lineRule="auto"/>
        <w:rPr>
          <w:rFonts w:hint="eastAsia" w:ascii="仿宋" w:hAnsi="仿宋" w:eastAsia="仿宋" w:cs="仿宋"/>
          <w:color w:val="auto"/>
          <w:szCs w:val="20"/>
          <w:highlight w:val="none"/>
        </w:rPr>
      </w:pPr>
    </w:p>
    <w:p w14:paraId="67A30FCA">
      <w:pPr>
        <w:pageBreakBefore w:val="0"/>
        <w:overflowPunct/>
        <w:topLinePunct w:val="0"/>
        <w:bidi w:val="0"/>
        <w:spacing w:line="360" w:lineRule="auto"/>
        <w:jc w:val="center"/>
        <w:rPr>
          <w:rFonts w:hint="eastAsia" w:ascii="仿宋" w:hAnsi="仿宋" w:eastAsia="仿宋" w:cs="仿宋"/>
          <w:b/>
          <w:bCs/>
          <w:color w:val="auto"/>
          <w:sz w:val="17"/>
          <w:szCs w:val="17"/>
          <w:highlight w:val="none"/>
        </w:rPr>
      </w:pPr>
      <w:r>
        <w:rPr>
          <w:rFonts w:hint="eastAsia" w:ascii="仿宋" w:hAnsi="仿宋" w:eastAsia="仿宋" w:cs="仿宋"/>
          <w:b/>
          <w:bCs/>
          <w:color w:val="auto"/>
          <w:sz w:val="28"/>
          <w:szCs w:val="28"/>
          <w:highlight w:val="none"/>
        </w:rPr>
        <w:t>签订地点：</w:t>
      </w:r>
    </w:p>
    <w:p w14:paraId="32BD3DD6">
      <w:pPr>
        <w:pageBreakBefore w:val="0"/>
        <w:overflowPunct/>
        <w:topLinePunct w:val="0"/>
        <w:bidi w:val="0"/>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签订日期：</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t xml:space="preserve">年  </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t>月</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t xml:space="preserve">  日</w:t>
      </w:r>
    </w:p>
    <w:p w14:paraId="402410A2">
      <w:pPr>
        <w:pageBreakBefore w:val="0"/>
        <w:overflowPunct/>
        <w:topLinePunct w:val="0"/>
        <w:bidi w:val="0"/>
        <w:spacing w:line="360" w:lineRule="auto"/>
        <w:jc w:val="center"/>
        <w:rPr>
          <w:rFonts w:hint="eastAsia" w:ascii="仿宋" w:hAnsi="仿宋" w:eastAsia="仿宋" w:cs="仿宋"/>
          <w:b/>
          <w:bCs/>
          <w:color w:val="auto"/>
          <w:kern w:val="0"/>
          <w:sz w:val="27"/>
          <w:szCs w:val="27"/>
          <w:highlight w:val="none"/>
        </w:rPr>
      </w:pPr>
      <w:r>
        <w:rPr>
          <w:rFonts w:hint="eastAsia" w:ascii="仿宋" w:hAnsi="仿宋" w:eastAsia="仿宋" w:cs="仿宋"/>
          <w:b/>
          <w:bCs/>
          <w:color w:val="auto"/>
          <w:sz w:val="28"/>
          <w:szCs w:val="28"/>
          <w:highlight w:val="none"/>
        </w:rPr>
        <w:t>云南省财政厅 制</w:t>
      </w:r>
    </w:p>
    <w:bookmarkEnd w:id="253"/>
    <w:p w14:paraId="76071140">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甲方（采购人公章）名称：</w:t>
      </w:r>
      <w:r>
        <w:rPr>
          <w:rFonts w:hint="eastAsia" w:ascii="仿宋" w:hAnsi="仿宋" w:eastAsia="仿宋" w:cs="仿宋"/>
          <w:color w:val="auto"/>
          <w:sz w:val="24"/>
          <w:szCs w:val="24"/>
          <w:highlight w:val="none"/>
          <w:lang w:eastAsia="zh-CN"/>
        </w:rPr>
        <w:t>昆明市第一人民医院</w:t>
      </w:r>
    </w:p>
    <w:p w14:paraId="3B61E0BE">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58C69C02">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5805F713">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法定代表人（公司负责人）或委托代理人：</w:t>
      </w:r>
    </w:p>
    <w:p w14:paraId="5AE9B07C">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项目（技术）负责人：</w:t>
      </w:r>
    </w:p>
    <w:p w14:paraId="59C63D32">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p w14:paraId="399E4DEE">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46EDA126">
      <w:pPr>
        <w:pageBreakBefore w:val="0"/>
        <w:overflowPunct/>
        <w:topLinePunct w:val="0"/>
        <w:bidi w:val="0"/>
        <w:spacing w:before="235"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乙方（供应商公章）名称：</w:t>
      </w:r>
    </w:p>
    <w:p w14:paraId="2984503C">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4C98C218">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04AD756E">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法定代表人（公司负责人）或委托代理人：</w:t>
      </w:r>
    </w:p>
    <w:p w14:paraId="73A120E3">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经办人：</w:t>
      </w:r>
    </w:p>
    <w:p w14:paraId="74F4D63E">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20786750">
      <w:pPr>
        <w:pageBreakBefore w:val="0"/>
        <w:overflowPunct/>
        <w:topLinePunct w:val="0"/>
        <w:bidi w:val="0"/>
        <w:spacing w:before="235" w:line="360" w:lineRule="auto"/>
        <w:ind w:firstLine="2640" w:firstLineChars="1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51018027">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丙方（鉴证方公章）名称：</w:t>
      </w:r>
    </w:p>
    <w:p w14:paraId="79518B62">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5B009B1E">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邮编：</w:t>
      </w:r>
    </w:p>
    <w:p w14:paraId="6F4DF95B">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法定代表人（公司负责人）或委托代理人：</w:t>
      </w:r>
    </w:p>
    <w:p w14:paraId="4728D1CA">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经办人：</w:t>
      </w:r>
    </w:p>
    <w:p w14:paraId="0B634CC5">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7537011C">
      <w:pPr>
        <w:pageBreakBefore w:val="0"/>
        <w:overflowPunct/>
        <w:topLinePunct w:val="0"/>
        <w:bidi w:val="0"/>
        <w:spacing w:before="235" w:line="360" w:lineRule="auto"/>
        <w:ind w:left="2" w:firstLine="2733" w:firstLineChars="1139"/>
        <w:rPr>
          <w:rFonts w:hint="eastAsia" w:ascii="仿宋" w:hAnsi="仿宋" w:eastAsia="仿宋" w:cs="仿宋"/>
          <w:color w:val="auto"/>
          <w:sz w:val="24"/>
          <w:szCs w:val="24"/>
          <w:highlight w:val="none"/>
        </w:rPr>
        <w:sectPr>
          <w:headerReference r:id="rId6" w:type="default"/>
          <w:footerReference r:id="rId7" w:type="default"/>
          <w:pgSz w:w="11906" w:h="16838"/>
          <w:pgMar w:top="1440" w:right="1800" w:bottom="1440" w:left="1800" w:header="850" w:footer="992" w:gutter="0"/>
          <w:pgNumType w:start="0" w:chapStyle="1"/>
          <w:cols w:space="720" w:num="1"/>
          <w:titlePg/>
        </w:sectPr>
      </w:pPr>
    </w:p>
    <w:p w14:paraId="14793B24">
      <w:pPr>
        <w:pageBreakBefore w:val="0"/>
        <w:overflowPunct/>
        <w:topLinePunct w:val="0"/>
        <w:bidi w:val="0"/>
        <w:spacing w:before="139" w:line="360" w:lineRule="auto"/>
        <w:jc w:val="center"/>
        <w:rPr>
          <w:rFonts w:hint="eastAsia" w:ascii="仿宋" w:hAnsi="仿宋" w:eastAsia="仿宋" w:cs="仿宋"/>
          <w:b/>
          <w:bCs/>
          <w:color w:val="auto"/>
          <w:sz w:val="32"/>
          <w:szCs w:val="32"/>
          <w:highlight w:val="none"/>
        </w:rPr>
      </w:pPr>
      <w:bookmarkStart w:id="257" w:name="bookmark6"/>
      <w:bookmarkEnd w:id="257"/>
      <w:r>
        <w:rPr>
          <w:rFonts w:hint="eastAsia" w:ascii="仿宋" w:hAnsi="仿宋" w:eastAsia="仿宋" w:cs="仿宋"/>
          <w:b/>
          <w:bCs/>
          <w:color w:val="auto"/>
          <w:spacing w:val="-3"/>
          <w:sz w:val="32"/>
          <w:szCs w:val="32"/>
          <w:highlight w:val="none"/>
        </w:rPr>
        <w:t>采</w:t>
      </w:r>
      <w:r>
        <w:rPr>
          <w:rFonts w:hint="eastAsia" w:ascii="仿宋" w:hAnsi="仿宋" w:eastAsia="仿宋" w:cs="仿宋"/>
          <w:b/>
          <w:bCs/>
          <w:color w:val="auto"/>
          <w:spacing w:val="20"/>
          <w:sz w:val="32"/>
          <w:szCs w:val="32"/>
          <w:highlight w:val="none"/>
        </w:rPr>
        <w:t xml:space="preserve"> </w:t>
      </w:r>
      <w:r>
        <w:rPr>
          <w:rFonts w:hint="eastAsia" w:ascii="仿宋" w:hAnsi="仿宋" w:eastAsia="仿宋" w:cs="仿宋"/>
          <w:b/>
          <w:bCs/>
          <w:color w:val="auto"/>
          <w:spacing w:val="-3"/>
          <w:sz w:val="32"/>
          <w:szCs w:val="32"/>
          <w:highlight w:val="none"/>
        </w:rPr>
        <w:t>购</w:t>
      </w:r>
      <w:r>
        <w:rPr>
          <w:rFonts w:hint="eastAsia" w:ascii="仿宋" w:hAnsi="仿宋" w:eastAsia="仿宋" w:cs="仿宋"/>
          <w:b/>
          <w:bCs/>
          <w:color w:val="auto"/>
          <w:spacing w:val="23"/>
          <w:sz w:val="32"/>
          <w:szCs w:val="32"/>
          <w:highlight w:val="none"/>
        </w:rPr>
        <w:t xml:space="preserve"> </w:t>
      </w:r>
      <w:r>
        <w:rPr>
          <w:rFonts w:hint="eastAsia" w:ascii="仿宋" w:hAnsi="仿宋" w:eastAsia="仿宋" w:cs="仿宋"/>
          <w:b/>
          <w:bCs/>
          <w:color w:val="auto"/>
          <w:spacing w:val="-3"/>
          <w:sz w:val="32"/>
          <w:szCs w:val="32"/>
          <w:highlight w:val="none"/>
        </w:rPr>
        <w:t>合</w:t>
      </w:r>
      <w:r>
        <w:rPr>
          <w:rFonts w:hint="eastAsia" w:ascii="仿宋" w:hAnsi="仿宋" w:eastAsia="仿宋" w:cs="仿宋"/>
          <w:b/>
          <w:bCs/>
          <w:color w:val="auto"/>
          <w:spacing w:val="56"/>
          <w:sz w:val="32"/>
          <w:szCs w:val="32"/>
          <w:highlight w:val="none"/>
        </w:rPr>
        <w:t xml:space="preserve"> </w:t>
      </w:r>
      <w:r>
        <w:rPr>
          <w:rFonts w:hint="eastAsia" w:ascii="仿宋" w:hAnsi="仿宋" w:eastAsia="仿宋" w:cs="仿宋"/>
          <w:b/>
          <w:bCs/>
          <w:color w:val="auto"/>
          <w:spacing w:val="-3"/>
          <w:sz w:val="32"/>
          <w:szCs w:val="32"/>
          <w:highlight w:val="none"/>
        </w:rPr>
        <w:t>同</w:t>
      </w:r>
    </w:p>
    <w:p w14:paraId="13CA411B">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（拟签订合同条款，合同条款采购人将与中标人根据招标文件要求、投标文件承诺、项目具体情况适时修改签定）</w:t>
      </w:r>
    </w:p>
    <w:p w14:paraId="345FE2A1">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1E37B13D">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委托方（甲方）：</w:t>
      </w:r>
    </w:p>
    <w:p w14:paraId="794B2E0F">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承包方（乙方）：</w:t>
      </w:r>
    </w:p>
    <w:p w14:paraId="144BCBFE">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甲乙双方根据云南中招招标有限公司按照《中华人民共和国政府采购法》、《云</w:t>
      </w:r>
      <w:r>
        <w:rPr>
          <w:rFonts w:hint="eastAsia" w:ascii="仿宋" w:hAnsi="仿宋" w:eastAsia="仿宋" w:cs="仿宋"/>
          <w:color w:val="auto"/>
          <w:spacing w:val="-1"/>
          <w:sz w:val="24"/>
          <w:szCs w:val="24"/>
          <w:highlight w:val="none"/>
        </w:rPr>
        <w:t xml:space="preserve">南省政府采购条例》和有关制度规定、编号为          </w:t>
      </w:r>
      <w:r>
        <w:rPr>
          <w:rFonts w:hint="eastAsia" w:ascii="仿宋" w:hAnsi="仿宋" w:eastAsia="仿宋" w:cs="仿宋"/>
          <w:color w:val="auto"/>
          <w:spacing w:val="-91"/>
          <w:sz w:val="24"/>
          <w:szCs w:val="24"/>
          <w:highlight w:val="none"/>
        </w:rPr>
        <w:t xml:space="preserve"> </w:t>
      </w:r>
      <w:r>
        <w:rPr>
          <w:rFonts w:hint="eastAsia" w:ascii="仿宋" w:hAnsi="仿宋" w:eastAsia="仿宋" w:cs="仿宋"/>
          <w:color w:val="auto"/>
          <w:spacing w:val="-1"/>
          <w:sz w:val="24"/>
          <w:szCs w:val="24"/>
          <w:highlight w:val="none"/>
        </w:rPr>
        <w:t>的</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2"/>
          <w:sz w:val="24"/>
          <w:szCs w:val="24"/>
          <w:highlight w:val="none"/>
          <w:u w:val="single"/>
        </w:rPr>
        <w:t>昆明市第一人民医院布草洗涤服务采购项目</w:t>
      </w:r>
      <w:r>
        <w:rPr>
          <w:rFonts w:hint="eastAsia" w:ascii="仿宋" w:hAnsi="仿宋" w:eastAsia="仿宋" w:cs="仿宋"/>
          <w:color w:val="auto"/>
          <w:spacing w:val="-73"/>
          <w:sz w:val="24"/>
          <w:szCs w:val="24"/>
          <w:highlight w:val="none"/>
        </w:rPr>
        <w:t xml:space="preserve"> </w:t>
      </w:r>
      <w:r>
        <w:rPr>
          <w:rFonts w:hint="eastAsia" w:ascii="仿宋" w:hAnsi="仿宋" w:eastAsia="仿宋" w:cs="仿宋"/>
          <w:color w:val="auto"/>
          <w:spacing w:val="-2"/>
          <w:sz w:val="24"/>
          <w:szCs w:val="24"/>
          <w:highlight w:val="none"/>
        </w:rPr>
        <w:t>”项目</w:t>
      </w:r>
      <w:r>
        <w:rPr>
          <w:rFonts w:hint="eastAsia" w:ascii="仿宋" w:hAnsi="仿宋" w:eastAsia="仿宋" w:cs="仿宋"/>
          <w:color w:val="auto"/>
          <w:spacing w:val="-1"/>
          <w:sz w:val="24"/>
          <w:szCs w:val="24"/>
          <w:highlight w:val="none"/>
        </w:rPr>
        <w:t>公开招标结果，经双方协定达成一致，签订以下内容：</w:t>
      </w:r>
    </w:p>
    <w:p w14:paraId="24EE6E46">
      <w:pPr>
        <w:pageBreakBefore w:val="0"/>
        <w:overflowPunct/>
        <w:topLinePunct w:val="0"/>
        <w:bidi w:val="0"/>
        <w:spacing w:before="237" w:line="360" w:lineRule="auto"/>
        <w:ind w:left="483"/>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一、工作内容及服务要求：</w:t>
      </w:r>
    </w:p>
    <w:p w14:paraId="4EFDAB83">
      <w:pPr>
        <w:pageBreakBefore w:val="0"/>
        <w:overflowPunct/>
        <w:topLinePunct w:val="0"/>
        <w:bidi w:val="0"/>
        <w:spacing w:before="235" w:line="360" w:lineRule="auto"/>
        <w:ind w:left="2" w:firstLine="50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1.工作内容</w:t>
      </w:r>
    </w:p>
    <w:p w14:paraId="1D56C11B">
      <w:pPr>
        <w:pageBreakBefore w:val="0"/>
        <w:overflowPunct/>
        <w:topLinePunct w:val="0"/>
        <w:bidi w:val="0"/>
        <w:spacing w:line="360" w:lineRule="auto"/>
        <w:rPr>
          <w:rFonts w:hint="eastAsia" w:ascii="仿宋" w:hAnsi="仿宋" w:eastAsia="仿宋" w:cs="仿宋"/>
          <w:color w:val="auto"/>
          <w:sz w:val="24"/>
          <w:szCs w:val="24"/>
          <w:highlight w:val="none"/>
        </w:rPr>
      </w:pPr>
    </w:p>
    <w:p w14:paraId="7D8A92E8">
      <w:pPr>
        <w:pageBreakBefore w:val="0"/>
        <w:overflowPunct/>
        <w:topLinePunct w:val="0"/>
        <w:bidi w:val="0"/>
        <w:spacing w:line="360" w:lineRule="auto"/>
        <w:rPr>
          <w:rFonts w:hint="eastAsia" w:ascii="仿宋" w:hAnsi="仿宋" w:eastAsia="仿宋" w:cs="仿宋"/>
          <w:color w:val="auto"/>
          <w:sz w:val="24"/>
          <w:szCs w:val="24"/>
          <w:highlight w:val="none"/>
        </w:rPr>
      </w:pPr>
    </w:p>
    <w:p w14:paraId="03CD0682">
      <w:pPr>
        <w:pageBreakBefore w:val="0"/>
        <w:overflowPunct/>
        <w:topLinePunct w:val="0"/>
        <w:bidi w:val="0"/>
        <w:spacing w:line="360" w:lineRule="auto"/>
        <w:rPr>
          <w:rFonts w:hint="eastAsia" w:ascii="仿宋" w:hAnsi="仿宋" w:eastAsia="仿宋" w:cs="仿宋"/>
          <w:color w:val="auto"/>
          <w:sz w:val="24"/>
          <w:szCs w:val="24"/>
          <w:highlight w:val="none"/>
        </w:rPr>
      </w:pPr>
    </w:p>
    <w:p w14:paraId="4E4668E7">
      <w:pPr>
        <w:pageBreakBefore w:val="0"/>
        <w:overflowPunct/>
        <w:topLinePunct w:val="0"/>
        <w:bidi w:val="0"/>
        <w:spacing w:before="227" w:line="360" w:lineRule="auto"/>
        <w:ind w:left="503"/>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2.服务要求</w:t>
      </w:r>
    </w:p>
    <w:p w14:paraId="7334F1B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乙方须在规定时间内完成本项目相关工作，要求如下：</w:t>
      </w:r>
    </w:p>
    <w:p w14:paraId="5A3490F7">
      <w:pPr>
        <w:pageBreakBefore w:val="0"/>
        <w:widowControl/>
        <w:kinsoku w:val="0"/>
        <w:overflowPunct/>
        <w:topLinePunct w:val="0"/>
        <w:autoSpaceDE w:val="0"/>
        <w:autoSpaceDN w:val="0"/>
        <w:bidi w:val="0"/>
        <w:adjustRightInd w:val="0"/>
        <w:snapToGrid w:val="0"/>
        <w:spacing w:line="360" w:lineRule="auto"/>
        <w:ind w:left="510"/>
        <w:textAlignment w:val="baseline"/>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B3C58D7">
      <w:pPr>
        <w:pageBreakBefore w:val="0"/>
        <w:widowControl/>
        <w:kinsoku w:val="0"/>
        <w:overflowPunct/>
        <w:topLinePunct w:val="0"/>
        <w:autoSpaceDE w:val="0"/>
        <w:autoSpaceDN w:val="0"/>
        <w:bidi w:val="0"/>
        <w:adjustRightInd w:val="0"/>
        <w:snapToGrid w:val="0"/>
        <w:spacing w:line="360" w:lineRule="auto"/>
        <w:ind w:left="510"/>
        <w:textAlignment w:val="baseline"/>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024422B">
      <w:pPr>
        <w:pageBreakBefore w:val="0"/>
        <w:widowControl/>
        <w:kinsoku w:val="0"/>
        <w:overflowPunct/>
        <w:topLinePunct w:val="0"/>
        <w:autoSpaceDE w:val="0"/>
        <w:autoSpaceDN w:val="0"/>
        <w:bidi w:val="0"/>
        <w:adjustRightInd w:val="0"/>
        <w:snapToGrid w:val="0"/>
        <w:spacing w:line="360" w:lineRule="auto"/>
        <w:ind w:left="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F81715D">
      <w:pPr>
        <w:pageBreakBefore w:val="0"/>
        <w:overflowPunct/>
        <w:topLinePunct w:val="0"/>
        <w:bidi w:val="0"/>
        <w:spacing w:before="79" w:line="360" w:lineRule="auto"/>
        <w:ind w:left="483"/>
        <w:rPr>
          <w:rFonts w:hint="eastAsia" w:ascii="仿宋" w:hAnsi="仿宋" w:eastAsia="仿宋" w:cs="仿宋"/>
          <w:b/>
          <w:bCs/>
          <w:color w:val="auto"/>
          <w:sz w:val="24"/>
          <w:szCs w:val="24"/>
          <w:highlight w:val="none"/>
        </w:rPr>
      </w:pPr>
      <w:r>
        <w:rPr>
          <w:rFonts w:hint="eastAsia" w:ascii="仿宋" w:hAnsi="仿宋" w:eastAsia="仿宋" w:cs="仿宋"/>
          <w:b/>
          <w:bCs/>
          <w:color w:val="auto"/>
          <w:spacing w:val="-2"/>
          <w:sz w:val="24"/>
          <w:szCs w:val="24"/>
          <w:highlight w:val="none"/>
        </w:rPr>
        <w:t>二、甲乙双方的权利和义务</w:t>
      </w:r>
    </w:p>
    <w:p w14:paraId="48CA04CB">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（一）甲方的权利和义务</w:t>
      </w:r>
    </w:p>
    <w:p w14:paraId="5F54815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（1）负责合同签订后项目实施的监督、协调工作（如与乙方的具体联系和衔接，协</w:t>
      </w:r>
    </w:p>
    <w:p w14:paraId="06642F43">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调资料收集）。</w:t>
      </w:r>
    </w:p>
    <w:p w14:paraId="50382729">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（2）负责组织对项目进行验收。</w:t>
      </w:r>
    </w:p>
    <w:p w14:paraId="65FF0577">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（3）按合同规定享有乙方提供的</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w:t>
      </w:r>
    </w:p>
    <w:p w14:paraId="4D010AEB">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（4）甲方应配合乙方开展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相关工作，并按合同约定方式按时拨付经费。</w:t>
      </w:r>
    </w:p>
    <w:p w14:paraId="7CEEE60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（二）乙方的权利和义务</w:t>
      </w:r>
    </w:p>
    <w:p w14:paraId="7C7D82D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（1）乙方保证按合同规定及乙方在“</w:t>
      </w:r>
      <w:r>
        <w:rPr>
          <w:rFonts w:hint="eastAsia" w:ascii="仿宋" w:hAnsi="仿宋" w:eastAsia="仿宋" w:cs="仿宋"/>
          <w:color w:val="auto"/>
          <w:sz w:val="24"/>
          <w:szCs w:val="24"/>
          <w:highlight w:val="none"/>
          <w:u w:val="single"/>
        </w:rPr>
        <w:t>昆明市第一人民医院布草洗涤服务采购项目</w:t>
      </w:r>
      <w:r>
        <w:rPr>
          <w:rFonts w:hint="eastAsia" w:ascii="仿宋" w:hAnsi="仿宋" w:eastAsia="仿宋" w:cs="仿宋"/>
          <w:color w:val="auto"/>
          <w:sz w:val="24"/>
          <w:szCs w:val="24"/>
          <w:highlight w:val="none"/>
        </w:rPr>
        <w:t>”招标文件中确定的项目服务周期、项目服务地点、项目服务方式负责完成甲方项目，保证完成的成果符合国家、行业和地方相关的标准和有关技术《规程》。</w:t>
      </w:r>
    </w:p>
    <w:p w14:paraId="17F2E81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（2）乙方保证甲方在项目成果使用期间不受第三方提出侵犯其专利权、商标权和工业设计权的起诉。</w:t>
      </w:r>
    </w:p>
    <w:p w14:paraId="6FDD017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（3）配合甲方共同进行验收。</w:t>
      </w:r>
    </w:p>
    <w:p w14:paraId="08341393">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（4）提供与中标承诺中一致的项目内容与服务。</w:t>
      </w:r>
    </w:p>
    <w:p w14:paraId="57E2407A">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（5）项目验收后，乙方在成果使用过程中提供全面保障服务，并对出现的问题免费及时提供售后服务和技术支持。</w:t>
      </w:r>
    </w:p>
    <w:p w14:paraId="54A0D92C">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（6）乙方应接受甲方的质量检查和过程监督。</w:t>
      </w:r>
    </w:p>
    <w:p w14:paraId="27FA8341">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（7）乙方对整项工作的所有资料按照保密规定进行管理使用。</w:t>
      </w:r>
    </w:p>
    <w:p w14:paraId="026D99F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（8）乙方对提交成果内容的合法性、真实性、准确性负责。因乙方提交成果有误给甲方造成的全部损失由乙方承担。</w:t>
      </w:r>
    </w:p>
    <w:p w14:paraId="407220B9">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（9）本合同履行过程中，乙方人员的人身、财产安全全部由乙方自行负责， 与甲方无关，因乙方原因导致甲方、第三方人身、财产损害的，由乙方承担赔偿责任；若甲方被司法机关裁判承担赔偿的，甲方有权向乙方追偿(包括但不限于诉讼费、律师费等)。</w:t>
      </w:r>
    </w:p>
    <w:p w14:paraId="05AA9869">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（10）乙方保证具备履行合同的资质、乙方人员具备相关资格。</w:t>
      </w:r>
    </w:p>
    <w:p w14:paraId="27FDB60F">
      <w:pPr>
        <w:pageBreakBefore w:val="0"/>
        <w:widowControl/>
        <w:kinsoku w:val="0"/>
        <w:overflowPunct/>
        <w:topLinePunct w:val="0"/>
        <w:autoSpaceDE w:val="0"/>
        <w:autoSpaceDN w:val="0"/>
        <w:bidi w:val="0"/>
        <w:adjustRightInd w:val="0"/>
        <w:snapToGrid w:val="0"/>
        <w:spacing w:line="360" w:lineRule="auto"/>
        <w:ind w:left="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三、服务周期</w:t>
      </w:r>
    </w:p>
    <w:p w14:paraId="08F0F2E9">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1.乙方应自合同签订之日起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完成工作。</w:t>
      </w:r>
    </w:p>
    <w:p w14:paraId="1FBA6DC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2.完成时限确需延长的，乙方向甲方提出书面申请，经甲方客观评价同意后，可适当延长完成时限。</w:t>
      </w:r>
    </w:p>
    <w:p w14:paraId="0A0F0163">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四、验收</w:t>
      </w:r>
    </w:p>
    <w:tbl>
      <w:tblPr>
        <w:tblStyle w:val="35"/>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699"/>
        <w:gridCol w:w="8258"/>
      </w:tblGrid>
      <w:tr w14:paraId="6D44C2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5" w:hRule="atLeast"/>
        </w:trPr>
        <w:tc>
          <w:tcPr>
            <w:tcW w:w="853" w:type="pct"/>
            <w:vMerge w:val="restart"/>
            <w:vAlign w:val="center"/>
          </w:tcPr>
          <w:p w14:paraId="5ECA712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val="0"/>
                <w:bCs w:val="0"/>
                <w:color w:val="auto"/>
                <w:sz w:val="24"/>
                <w:szCs w:val="24"/>
                <w:highlight w:val="none"/>
              </w:rPr>
            </w:pPr>
          </w:p>
          <w:p w14:paraId="3637DD0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u w:color="5E6B87"/>
              </w:rPr>
              <w:t>履约验收方案</w:t>
            </w:r>
          </w:p>
        </w:tc>
        <w:tc>
          <w:tcPr>
            <w:tcW w:w="4146" w:type="pct"/>
            <w:vAlign w:val="center"/>
          </w:tcPr>
          <w:p w14:paraId="78EBA30D">
            <w:pPr>
              <w:keepNext w:val="0"/>
              <w:keepLines w:val="0"/>
              <w:pageBreakBefore w:val="0"/>
              <w:suppressLineNumbers w:val="0"/>
              <w:overflowPunct/>
              <w:topLinePunct w:val="0"/>
              <w:bidi w:val="0"/>
              <w:spacing w:before="0" w:beforeAutospacing="0" w:after="0" w:afterAutospacing="0" w:line="360" w:lineRule="auto"/>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履约验收主体</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昆明市第一人民医院</w:t>
            </w:r>
          </w:p>
        </w:tc>
      </w:tr>
      <w:tr w14:paraId="1344BD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2" w:hRule="atLeast"/>
        </w:trPr>
        <w:tc>
          <w:tcPr>
            <w:tcW w:w="853" w:type="pct"/>
            <w:vMerge w:val="continue"/>
            <w:vAlign w:val="center"/>
          </w:tcPr>
          <w:p w14:paraId="4FAB158C">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val="0"/>
                <w:bCs w:val="0"/>
                <w:color w:val="auto"/>
                <w:kern w:val="0"/>
                <w:sz w:val="24"/>
                <w:szCs w:val="24"/>
                <w:highlight w:val="none"/>
                <w:u w:color="5E6B87"/>
              </w:rPr>
            </w:pPr>
          </w:p>
        </w:tc>
        <w:tc>
          <w:tcPr>
            <w:tcW w:w="4146" w:type="pct"/>
            <w:vAlign w:val="center"/>
          </w:tcPr>
          <w:p w14:paraId="47258A4B">
            <w:pPr>
              <w:keepNext w:val="0"/>
              <w:keepLines w:val="0"/>
              <w:pageBreakBefore w:val="0"/>
              <w:suppressLineNumbers w:val="0"/>
              <w:overflowPunct/>
              <w:topLinePunct w:val="0"/>
              <w:bidi w:val="0"/>
              <w:spacing w:before="0" w:beforeAutospacing="0" w:after="0" w:afterAutospacing="0" w:line="360" w:lineRule="auto"/>
              <w:ind w:left="0" w:right="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履约验收时间</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履行合同之日起满一年</w:t>
            </w:r>
          </w:p>
        </w:tc>
      </w:tr>
      <w:tr w14:paraId="5DB6A4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1" w:hRule="atLeast"/>
        </w:trPr>
        <w:tc>
          <w:tcPr>
            <w:tcW w:w="853" w:type="pct"/>
            <w:vMerge w:val="continue"/>
            <w:vAlign w:val="center"/>
          </w:tcPr>
          <w:p w14:paraId="7A59859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val="0"/>
                <w:bCs w:val="0"/>
                <w:color w:val="auto"/>
                <w:kern w:val="0"/>
                <w:sz w:val="24"/>
                <w:szCs w:val="24"/>
                <w:highlight w:val="none"/>
                <w:u w:color="5E6B87"/>
              </w:rPr>
            </w:pPr>
          </w:p>
        </w:tc>
        <w:tc>
          <w:tcPr>
            <w:tcW w:w="4146" w:type="pct"/>
            <w:vAlign w:val="center"/>
          </w:tcPr>
          <w:p w14:paraId="7C214E24">
            <w:pPr>
              <w:pStyle w:val="79"/>
              <w:keepNext w:val="0"/>
              <w:keepLines w:val="0"/>
              <w:pageBreakBefore w:val="0"/>
              <w:widowControl/>
              <w:numPr>
                <w:ilvl w:val="0"/>
                <w:numId w:val="0"/>
              </w:numPr>
              <w:suppressLineNumbers w:val="0"/>
              <w:overflowPunct/>
              <w:topLinePunct w:val="0"/>
              <w:bidi w:val="0"/>
              <w:snapToGrid w:val="0"/>
              <w:spacing w:before="0" w:beforeAutospacing="0" w:after="0" w:afterAutospacing="0" w:line="360" w:lineRule="auto"/>
              <w:ind w:left="0" w:leftChars="0" w:right="0" w:firstLine="0" w:firstLineChars="0"/>
              <w:jc w:val="both"/>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SA"/>
              </w:rPr>
              <w:t>履约验收方式：根据“布草洗涤服务考核表”考核验收</w:t>
            </w:r>
          </w:p>
        </w:tc>
      </w:tr>
      <w:tr w14:paraId="75022B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 w:hRule="atLeast"/>
        </w:trPr>
        <w:tc>
          <w:tcPr>
            <w:tcW w:w="853" w:type="pct"/>
            <w:vMerge w:val="continue"/>
            <w:vAlign w:val="center"/>
          </w:tcPr>
          <w:p w14:paraId="26C3E54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val="0"/>
                <w:bCs w:val="0"/>
                <w:color w:val="auto"/>
                <w:kern w:val="0"/>
                <w:sz w:val="24"/>
                <w:szCs w:val="24"/>
                <w:highlight w:val="none"/>
                <w:u w:color="5E6B87"/>
              </w:rPr>
            </w:pPr>
          </w:p>
        </w:tc>
        <w:tc>
          <w:tcPr>
            <w:tcW w:w="4146" w:type="pct"/>
            <w:vAlign w:val="center"/>
          </w:tcPr>
          <w:p w14:paraId="7EA1DBAE">
            <w:pPr>
              <w:pStyle w:val="79"/>
              <w:keepNext w:val="0"/>
              <w:keepLines w:val="0"/>
              <w:pageBreakBefore w:val="0"/>
              <w:widowControl/>
              <w:numPr>
                <w:ilvl w:val="0"/>
                <w:numId w:val="0"/>
              </w:numPr>
              <w:suppressLineNumbers w:val="0"/>
              <w:overflowPunct/>
              <w:topLinePunct w:val="0"/>
              <w:bidi w:val="0"/>
              <w:snapToGrid w:val="0"/>
              <w:spacing w:before="0" w:beforeAutospacing="0" w:after="0" w:afterAutospacing="0" w:line="360" w:lineRule="auto"/>
              <w:ind w:left="0" w:leftChars="0" w:right="0" w:firstLine="0" w:firstLineChars="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kern w:val="0"/>
                <w:sz w:val="24"/>
                <w:szCs w:val="24"/>
                <w:highlight w:val="none"/>
                <w:lang w:val="en-US" w:eastAsia="zh-CN" w:bidi="ar-SA"/>
              </w:rPr>
              <w:t>履约验收程序：采购人管理部门在每个月的5号前根据“布草洗涤服务考核表”内容对中标人的服务进行考核。考核分数≥90分，为合格，验收，全额支付当月布草洗涤服务费。若考核得分低于90分以下的，每下降1分，则扣除当月支付服务金额的1%，以此类推，并以最终考核结果扣减后的实际金额向中标人进行支付当月的服务费。同时要有整改措施及效果评价当月内交采购人；</w:t>
            </w:r>
          </w:p>
        </w:tc>
      </w:tr>
      <w:tr w14:paraId="011B5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 w:hRule="atLeast"/>
        </w:trPr>
        <w:tc>
          <w:tcPr>
            <w:tcW w:w="853" w:type="pct"/>
            <w:vMerge w:val="continue"/>
            <w:vAlign w:val="center"/>
          </w:tcPr>
          <w:p w14:paraId="6A10438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val="0"/>
                <w:bCs w:val="0"/>
                <w:color w:val="auto"/>
                <w:kern w:val="0"/>
                <w:sz w:val="24"/>
                <w:szCs w:val="24"/>
                <w:highlight w:val="none"/>
                <w:u w:color="5E6B87"/>
              </w:rPr>
            </w:pPr>
          </w:p>
        </w:tc>
        <w:tc>
          <w:tcPr>
            <w:tcW w:w="4146" w:type="pct"/>
            <w:vAlign w:val="center"/>
          </w:tcPr>
          <w:p w14:paraId="05D3D10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color w:val="auto"/>
                <w:sz w:val="24"/>
                <w:szCs w:val="24"/>
                <w:highlight w:val="none"/>
              </w:rPr>
              <w:t>履约验收内容</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pacing w:val="10"/>
                <w:kern w:val="0"/>
                <w:sz w:val="24"/>
                <w:szCs w:val="24"/>
                <w:highlight w:val="none"/>
                <w:lang w:val="en-US" w:eastAsia="zh-CN" w:bidi="ar-SA"/>
              </w:rPr>
              <w:t>依据《中华人民共和国卫生行业标准WS/T508-2016》、《医院医疗织物洗涤消毒技术规范》(2016 版)及《医院布草洗涤规范》的要求为采购人提供专业的洗涤服务，并在48小时内完成院方交付的洗涤任务，服从采购人的管理，遵守采购人的有关规章制度。</w:t>
            </w:r>
          </w:p>
        </w:tc>
      </w:tr>
      <w:tr w14:paraId="15BBFF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1" w:hRule="atLeast"/>
        </w:trPr>
        <w:tc>
          <w:tcPr>
            <w:tcW w:w="853" w:type="pct"/>
            <w:vMerge w:val="continue"/>
            <w:vAlign w:val="center"/>
          </w:tcPr>
          <w:p w14:paraId="200064C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val="0"/>
                <w:bCs w:val="0"/>
                <w:color w:val="auto"/>
                <w:kern w:val="0"/>
                <w:sz w:val="24"/>
                <w:szCs w:val="24"/>
                <w:highlight w:val="none"/>
                <w:u w:color="5E6B87"/>
              </w:rPr>
            </w:pPr>
          </w:p>
        </w:tc>
        <w:tc>
          <w:tcPr>
            <w:tcW w:w="4146" w:type="pct"/>
            <w:vAlign w:val="center"/>
          </w:tcPr>
          <w:p w14:paraId="44CCBF90">
            <w:pPr>
              <w:pStyle w:val="4"/>
              <w:pageBreakBefore w:val="0"/>
              <w:suppressLineNumbers w:val="0"/>
              <w:overflowPunct/>
              <w:topLinePunct w:val="0"/>
              <w:bidi w:val="0"/>
              <w:spacing w:beforeAutospacing="0" w:afterAutospacing="0" w:line="360" w:lineRule="auto"/>
              <w:ind w:left="0" w:right="0"/>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验收标准</w:t>
            </w:r>
            <w:r>
              <w:rPr>
                <w:rFonts w:hint="eastAsia" w:ascii="仿宋" w:hAnsi="仿宋" w:eastAsia="仿宋" w:cs="仿宋"/>
                <w:b w:val="0"/>
                <w:bCs w:val="0"/>
                <w:color w:val="auto"/>
                <w:sz w:val="24"/>
                <w:szCs w:val="24"/>
                <w:highlight w:val="none"/>
                <w:lang w:eastAsia="zh-CN"/>
              </w:rPr>
              <w:t>：</w:t>
            </w:r>
          </w:p>
          <w:p w14:paraId="76DDAA2A">
            <w:pPr>
              <w:pStyle w:val="4"/>
              <w:pageBreakBefore w:val="0"/>
              <w:suppressLineNumbers w:val="0"/>
              <w:overflowPunct/>
              <w:topLinePunct w:val="0"/>
              <w:bidi w:val="0"/>
              <w:spacing w:beforeAutospacing="0" w:afterAutospacing="0" w:line="360" w:lineRule="auto"/>
              <w:ind w:left="0" w:right="0"/>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color w:val="auto"/>
                <w:kern w:val="2"/>
                <w:sz w:val="24"/>
                <w:szCs w:val="24"/>
                <w:highlight w:val="none"/>
                <w:lang w:val="en-US" w:eastAsia="zh-CN" w:bidi="ar-SA"/>
              </w:rPr>
              <w:t>符合中华人民共和国卫生行业标准《医院医用织物洗涤消毒技术规范》(WS/T 508-2016)及行业、地方现行相关技术标准及验收规定，满足采购人服务质量要求及洗涤服务流程。</w:t>
            </w:r>
          </w:p>
        </w:tc>
      </w:tr>
      <w:tr w14:paraId="52F08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 w:hRule="atLeast"/>
        </w:trPr>
        <w:tc>
          <w:tcPr>
            <w:tcW w:w="853" w:type="pct"/>
            <w:vMerge w:val="continue"/>
            <w:vAlign w:val="center"/>
          </w:tcPr>
          <w:p w14:paraId="46A5414B">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b w:val="0"/>
                <w:bCs w:val="0"/>
                <w:color w:val="auto"/>
                <w:kern w:val="0"/>
                <w:sz w:val="24"/>
                <w:szCs w:val="24"/>
                <w:highlight w:val="none"/>
                <w:u w:color="5E6B87"/>
              </w:rPr>
            </w:pPr>
          </w:p>
        </w:tc>
        <w:tc>
          <w:tcPr>
            <w:tcW w:w="4146" w:type="pct"/>
            <w:vAlign w:val="center"/>
          </w:tcPr>
          <w:p w14:paraId="1DA67852">
            <w:pPr>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邀请参加本项目的其他供应商参与验收，相关验收意见作为验收的参考资料。□是    </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否</w:t>
            </w:r>
          </w:p>
        </w:tc>
      </w:tr>
      <w:tr w14:paraId="59981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 w:hRule="atLeast"/>
        </w:trPr>
        <w:tc>
          <w:tcPr>
            <w:tcW w:w="853" w:type="pct"/>
            <w:vMerge w:val="continue"/>
            <w:vAlign w:val="center"/>
          </w:tcPr>
          <w:p w14:paraId="7085BC9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b w:val="0"/>
                <w:bCs w:val="0"/>
                <w:color w:val="auto"/>
                <w:kern w:val="0"/>
                <w:sz w:val="24"/>
                <w:szCs w:val="24"/>
                <w:highlight w:val="none"/>
                <w:u w:color="5E6B87"/>
              </w:rPr>
            </w:pPr>
          </w:p>
        </w:tc>
        <w:tc>
          <w:tcPr>
            <w:tcW w:w="4146" w:type="pct"/>
            <w:vAlign w:val="center"/>
          </w:tcPr>
          <w:p w14:paraId="11DB4D2F">
            <w:pPr>
              <w:keepNext w:val="0"/>
              <w:keepLines w:val="0"/>
              <w:pageBreakBefore w:val="0"/>
              <w:suppressLineNumbers w:val="0"/>
              <w:overflowPunct/>
              <w:topLinePunct w:val="0"/>
              <w:bidi w:val="0"/>
              <w:snapToGrid w:val="0"/>
              <w:spacing w:before="0" w:beforeAutospacing="0" w:after="0" w:afterAutospacing="0" w:line="360" w:lineRule="auto"/>
              <w:ind w:left="0" w:right="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是否邀请第三方专业机构及专家参与验收，相关验收意见作为验收的参考资料。□是    </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否</w:t>
            </w:r>
          </w:p>
        </w:tc>
      </w:tr>
    </w:tbl>
    <w:p w14:paraId="7EA87471">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五、合同金额及付款方式</w:t>
      </w:r>
    </w:p>
    <w:p w14:paraId="4259D53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元整，小写：￥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7370306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付款方式：合同签订后，根据实际洗涤量及考核结果按月支付服务费：以实际布草洗涤数量每月结算一次服务费，洗涤服务费=实际布草洗涤件数×洗涤中标合同单价，并以最终考核结果扣减后的实际金额向</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支付当月的服务费。每月10号前双方共同做好核对上月实际洗涤数量确认无误、考核后，</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开具等额发票，</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在收到有效合格发票后30个工作日内支付完成，如遇其他特殊情况，支付日期顺延。</w:t>
      </w:r>
    </w:p>
    <w:p w14:paraId="3324C39D">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付款单位信息：</w:t>
      </w:r>
    </w:p>
    <w:p w14:paraId="699A6BAB">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甲方：开户银行</w:t>
      </w:r>
    </w:p>
    <w:p w14:paraId="333AAF3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户    名</w:t>
      </w:r>
    </w:p>
    <w:p w14:paraId="09ECAE52">
      <w:pPr>
        <w:pageBreakBefore w:val="0"/>
        <w:widowControl/>
        <w:kinsoku w:val="0"/>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p w14:paraId="31E38131">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乙方：开户银行</w:t>
      </w:r>
    </w:p>
    <w:p w14:paraId="7446794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户    名</w:t>
      </w:r>
    </w:p>
    <w:p w14:paraId="09FE1997">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p>
    <w:p w14:paraId="4BBF7FC7">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六、违约责任</w:t>
      </w:r>
    </w:p>
    <w:p w14:paraId="54EEFD1E">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1.乙方未能履行合同义务，不能达到甲方要求的管理目标，甲方有权追究乙方违约与赔偿责任或终止合同。</w:t>
      </w:r>
    </w:p>
    <w:p w14:paraId="47CEE81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2.甲方违反本合同约定的义务，致使乙方不能完成本合同约定的服务内容和标准的，乙方有权要求甲方承担违约与赔偿责任或终止合同。</w:t>
      </w:r>
    </w:p>
    <w:p w14:paraId="29D27C2C">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3.一方严重违反本合同的有关规定，给守约方造成损失的，应当赔偿损失，并承担合同总金额的20%的违约责任。</w:t>
      </w:r>
    </w:p>
    <w:p w14:paraId="7031AADC">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如</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交付</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的洗涤布草不满足本合同约定质量标准及技术要求的，</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有权拒付费用、并要求</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重新洗涤，因此给</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带来损失，由</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承担。</w:t>
      </w:r>
    </w:p>
    <w:p w14:paraId="35B949E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2）在合同履行期内，</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连续3个月考核分数低于70分的，视为违约，</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有权单方面解除协议。</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须承担违约责任，</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应在七个日历天内向</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支付违约金。</w:t>
      </w:r>
    </w:p>
    <w:p w14:paraId="75BD253C">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乙方</w:t>
      </w:r>
      <w:r>
        <w:rPr>
          <w:rFonts w:hint="eastAsia" w:ascii="仿宋" w:hAnsi="仿宋" w:eastAsia="仿宋" w:cs="仿宋"/>
          <w:color w:val="auto"/>
          <w:sz w:val="24"/>
          <w:szCs w:val="24"/>
          <w:highlight w:val="none"/>
        </w:rPr>
        <w:t>不得将布草洗涤服务以任何形式转让给第三方，一经发现视为违约，</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有权立即解除协议。</w:t>
      </w:r>
    </w:p>
    <w:p w14:paraId="16EE8CEE">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（7）解决争议的方法：未尽事宜双方友好协商解决；协商未果，任何一方均可向医院所在地具有管辖权的人民法院提起诉讼。</w:t>
      </w:r>
    </w:p>
    <w:p w14:paraId="0CA7EED9">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七、保密条款</w:t>
      </w:r>
    </w:p>
    <w:p w14:paraId="579FFEB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1.乙方应当对本合同的内容、因履行本合同中获知的书面、电子资料、文件、数据，均负有保密义务，未经甲方书面同意，不得以任何方式向任何第三方提供或透露。</w:t>
      </w:r>
    </w:p>
    <w:p w14:paraId="1975815A">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2.甲方向乙方提供的任何资料、文件和信息，在乙方服务结束后，乙方均应及时归还甲方。</w:t>
      </w:r>
    </w:p>
    <w:p w14:paraId="74086D83">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3.乙方人员违反上述保密规定，应承担相应的法律责任。</w:t>
      </w:r>
    </w:p>
    <w:p w14:paraId="0DC5873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4.本保密义务在合同期间、期满、解除或终止后仍然有效。</w:t>
      </w:r>
    </w:p>
    <w:p w14:paraId="0A1E4B7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八、甲乙双方在履行合同过程中发生纠纷，应友好协商解决。协商不成，任意一方可向甲方所在地人民法院提起诉讼。</w:t>
      </w:r>
    </w:p>
    <w:p w14:paraId="6065E038">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九、本合同其他未尽事宜，按国家《中华人民共和国民法典》有关规定处理。</w:t>
      </w:r>
    </w:p>
    <w:p w14:paraId="7F190CAA">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十、本合同一式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 甲方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份，丙方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份。</w:t>
      </w:r>
    </w:p>
    <w:p w14:paraId="4DB55033">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十一、本合同自双方共同签订之日起生效。</w:t>
      </w:r>
    </w:p>
    <w:p w14:paraId="12A58E46">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十二、本合同不可分割之部分及解释顺序</w:t>
      </w:r>
    </w:p>
    <w:p w14:paraId="4955CE9D">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1.合同书；</w:t>
      </w:r>
    </w:p>
    <w:p w14:paraId="0995230E">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2.中标通知书；</w:t>
      </w:r>
    </w:p>
    <w:p w14:paraId="22421E60">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3.中标人投标文件及补遗、澄清；</w:t>
      </w:r>
    </w:p>
    <w:p w14:paraId="7ECEB58A">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4.招标文件。</w:t>
      </w:r>
    </w:p>
    <w:p w14:paraId="58A94225">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十三、其他约定</w:t>
      </w:r>
    </w:p>
    <w:p w14:paraId="3963112B">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1.项目产生的全部资料、甲方提供的所有资料等，乙方在项目完工后，整理装订成册移交给甲方，知识产权归甲方所有，甲方可独立申请包括但不限于专利、版权、课题申报等知识产权项目。</w:t>
      </w:r>
    </w:p>
    <w:p w14:paraId="280AF482">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2.联系方式</w:t>
      </w:r>
    </w:p>
    <w:p w14:paraId="6068E82C">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甲方联系人：            联系电话：            </w:t>
      </w:r>
    </w:p>
    <w:p w14:paraId="16683B3F">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乙方联系人：            联系电话：            </w:t>
      </w:r>
    </w:p>
    <w:p w14:paraId="50BE604E">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项目联系人负责在项目进度上进行协调。</w:t>
      </w:r>
    </w:p>
    <w:p w14:paraId="78909E9F">
      <w:pPr>
        <w:pageBreakBefore w:val="0"/>
        <w:widowControl/>
        <w:kinsoku w:val="0"/>
        <w:overflowPunct/>
        <w:topLinePunct w:val="0"/>
        <w:autoSpaceDE w:val="0"/>
        <w:autoSpaceDN w:val="0"/>
        <w:bidi w:val="0"/>
        <w:adjustRightInd w:val="0"/>
        <w:snapToGrid w:val="0"/>
        <w:spacing w:line="360" w:lineRule="auto"/>
        <w:ind w:firstLine="510"/>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执行过程中的未尽事宜，双方应本着实事求是、友好协商的原则加以解决。双方协商一致的，签订补充协议。补充协议与本合同具有同等法律效力。涉及本项目的招标文件、投标文件、补充通知、中标通知书等均为合同的有效组成部分，与本合同具有同等法律效力。在执行本合同的过程中，所有技术解决方案、会议纪要、补充协议、往来信函等经双方签署确认的文件均成为本合同的有效组成部分，与本合同具有同等法律效力。</w:t>
      </w:r>
    </w:p>
    <w:p w14:paraId="2C1EB788">
      <w:pPr>
        <w:pageBreakBefore w:val="0"/>
        <w:overflowPunct/>
        <w:topLinePunct w:val="0"/>
        <w:bidi w:val="0"/>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6B26EE5">
      <w:pPr>
        <w:pStyle w:val="2"/>
        <w:pageBreakBefore w:val="0"/>
        <w:overflowPunct/>
        <w:topLinePunct w:val="0"/>
        <w:bidi w:val="0"/>
        <w:spacing w:line="360" w:lineRule="auto"/>
        <w:jc w:val="center"/>
        <w:rPr>
          <w:rFonts w:hint="eastAsia" w:ascii="仿宋" w:hAnsi="仿宋" w:eastAsia="仿宋" w:cs="仿宋"/>
          <w:color w:val="auto"/>
          <w:highlight w:val="none"/>
        </w:rPr>
      </w:pPr>
      <w:bookmarkStart w:id="258" w:name="_Toc20793"/>
      <w:r>
        <w:rPr>
          <w:rFonts w:hint="eastAsia" w:ascii="仿宋" w:hAnsi="仿宋" w:eastAsia="仿宋" w:cs="仿宋"/>
          <w:color w:val="auto"/>
          <w:highlight w:val="none"/>
        </w:rPr>
        <w:t>第五章 投标文件格式</w:t>
      </w:r>
      <w:bookmarkEnd w:id="254"/>
      <w:bookmarkEnd w:id="255"/>
      <w:bookmarkEnd w:id="256"/>
      <w:bookmarkEnd w:id="258"/>
    </w:p>
    <w:p w14:paraId="7F7B0386">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bookmarkStart w:id="259" w:name="_Toc140565058"/>
      <w:bookmarkStart w:id="260" w:name="_Toc140565241"/>
      <w:bookmarkStart w:id="261" w:name="_Toc23126"/>
      <w:bookmarkStart w:id="262" w:name="_Toc25575"/>
      <w:r>
        <w:rPr>
          <w:rFonts w:hint="eastAsia" w:ascii="仿宋" w:hAnsi="仿宋" w:eastAsia="仿宋" w:cs="仿宋"/>
          <w:color w:val="auto"/>
          <w:sz w:val="28"/>
          <w:szCs w:val="28"/>
          <w:highlight w:val="none"/>
        </w:rPr>
        <w:t>投标文件格式说明</w:t>
      </w:r>
      <w:bookmarkEnd w:id="259"/>
      <w:bookmarkEnd w:id="260"/>
      <w:bookmarkEnd w:id="261"/>
      <w:bookmarkEnd w:id="262"/>
    </w:p>
    <w:p w14:paraId="470EC8BE">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1.投标人务必按照投标文件格式填写；如未给出格式的内容请自行编写。</w:t>
      </w:r>
    </w:p>
    <w:p w14:paraId="421DA95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本项目为非电子化招标投标项目或要求提交纸质版投标文件的，格式中“加盖电子公章”、“签字或签章”适用“加盖公章”、“签字或盖章”；“扫描件”适用“复印件”；如对原件有要求，请按要求提交原件。</w:t>
      </w:r>
    </w:p>
    <w:p w14:paraId="102615F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3.除有特殊要求外，投标文件中的表格可根据需求延伸扩展。</w:t>
      </w:r>
    </w:p>
    <w:p w14:paraId="5B7D2F34">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4.本说明无需放入投标文件中。</w:t>
      </w:r>
    </w:p>
    <w:p w14:paraId="07138ADC">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p>
    <w:p w14:paraId="3F6FB87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p>
    <w:p w14:paraId="41AD3DC9">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p>
    <w:p w14:paraId="335B50E5">
      <w:pPr>
        <w:pageBreakBefore w:val="0"/>
        <w:overflowPunct/>
        <w:topLinePunct w:val="0"/>
        <w:bidi w:val="0"/>
        <w:spacing w:line="360" w:lineRule="auto"/>
        <w:jc w:val="center"/>
        <w:rPr>
          <w:rFonts w:hint="eastAsia" w:ascii="仿宋" w:hAnsi="仿宋" w:eastAsia="仿宋" w:cs="仿宋"/>
          <w:b/>
          <w:color w:val="auto"/>
          <w:sz w:val="30"/>
          <w:szCs w:val="30"/>
          <w:highlight w:val="none"/>
        </w:rPr>
      </w:pPr>
      <w:r>
        <w:rPr>
          <w:rFonts w:hint="eastAsia" w:ascii="仿宋" w:hAnsi="仿宋" w:eastAsia="仿宋" w:cs="仿宋"/>
          <w:color w:val="auto"/>
          <w:sz w:val="28"/>
          <w:szCs w:val="28"/>
          <w:highlight w:val="none"/>
        </w:rPr>
        <w:br w:type="page"/>
      </w:r>
    </w:p>
    <w:p w14:paraId="0172250E">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bookmarkStart w:id="263" w:name="_Toc140565243"/>
      <w:bookmarkStart w:id="264" w:name="_Toc22087"/>
      <w:bookmarkStart w:id="265" w:name="_Toc4946"/>
      <w:bookmarkStart w:id="266" w:name="_Toc140565060"/>
      <w:r>
        <w:rPr>
          <w:rFonts w:hint="eastAsia" w:ascii="仿宋" w:hAnsi="仿宋" w:eastAsia="仿宋" w:cs="仿宋"/>
          <w:color w:val="auto"/>
          <w:sz w:val="28"/>
          <w:szCs w:val="28"/>
          <w:highlight w:val="none"/>
        </w:rPr>
        <w:t>一、资格审查部分</w:t>
      </w:r>
      <w:bookmarkEnd w:id="263"/>
      <w:bookmarkEnd w:id="264"/>
      <w:bookmarkEnd w:id="265"/>
      <w:bookmarkEnd w:id="266"/>
    </w:p>
    <w:p w14:paraId="3F6B1438">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267" w:name="_Toc140565061"/>
      <w:bookmarkStart w:id="268" w:name="_Toc3969336"/>
      <w:bookmarkStart w:id="269" w:name="_Toc589"/>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基本情况表</w:t>
      </w:r>
      <w:bookmarkEnd w:id="267"/>
      <w:bookmarkEnd w:id="268"/>
      <w:bookmarkEnd w:id="269"/>
    </w:p>
    <w:tbl>
      <w:tblPr>
        <w:tblStyle w:val="35"/>
        <w:tblW w:w="0" w:type="auto"/>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0"/>
        <w:gridCol w:w="1496"/>
        <w:gridCol w:w="1023"/>
        <w:gridCol w:w="1574"/>
        <w:gridCol w:w="1119"/>
        <w:gridCol w:w="3908"/>
      </w:tblGrid>
      <w:tr w14:paraId="6AB21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0" w:hRule="atLeast"/>
        </w:trPr>
        <w:tc>
          <w:tcPr>
            <w:tcW w:w="600" w:type="dxa"/>
            <w:vAlign w:val="center"/>
          </w:tcPr>
          <w:p w14:paraId="2ADF1F10">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120" w:type="dxa"/>
            <w:gridSpan w:val="5"/>
            <w:vAlign w:val="center"/>
          </w:tcPr>
          <w:p w14:paraId="290D3387">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w:t>
            </w:r>
          </w:p>
        </w:tc>
      </w:tr>
      <w:tr w14:paraId="240B1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600" w:type="dxa"/>
            <w:vAlign w:val="center"/>
          </w:tcPr>
          <w:p w14:paraId="58917FAD">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120" w:type="dxa"/>
            <w:gridSpan w:val="5"/>
            <w:vAlign w:val="center"/>
          </w:tcPr>
          <w:p w14:paraId="2BD88CB5">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总部地址</w:t>
            </w:r>
          </w:p>
        </w:tc>
      </w:tr>
      <w:tr w14:paraId="0761E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600" w:type="dxa"/>
            <w:vAlign w:val="center"/>
          </w:tcPr>
          <w:p w14:paraId="04332195">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120" w:type="dxa"/>
            <w:gridSpan w:val="5"/>
            <w:vAlign w:val="center"/>
          </w:tcPr>
          <w:p w14:paraId="03EF8CC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当地代表地址</w:t>
            </w:r>
          </w:p>
        </w:tc>
      </w:tr>
      <w:tr w14:paraId="0FDD3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9" w:hRule="atLeast"/>
        </w:trPr>
        <w:tc>
          <w:tcPr>
            <w:tcW w:w="600" w:type="dxa"/>
            <w:vAlign w:val="center"/>
          </w:tcPr>
          <w:p w14:paraId="2D8C9D16">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093" w:type="dxa"/>
            <w:gridSpan w:val="3"/>
            <w:vAlign w:val="center"/>
          </w:tcPr>
          <w:p w14:paraId="310C4125">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5027" w:type="dxa"/>
            <w:gridSpan w:val="2"/>
            <w:vAlign w:val="center"/>
          </w:tcPr>
          <w:p w14:paraId="6BAE70A3">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tc>
      </w:tr>
      <w:tr w14:paraId="3AF1C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3" w:hRule="atLeast"/>
        </w:trPr>
        <w:tc>
          <w:tcPr>
            <w:tcW w:w="600" w:type="dxa"/>
            <w:vAlign w:val="center"/>
          </w:tcPr>
          <w:p w14:paraId="19BC14C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093" w:type="dxa"/>
            <w:gridSpan w:val="3"/>
            <w:vAlign w:val="center"/>
          </w:tcPr>
          <w:p w14:paraId="674A6EBF">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p>
        </w:tc>
        <w:tc>
          <w:tcPr>
            <w:tcW w:w="5027" w:type="dxa"/>
            <w:gridSpan w:val="2"/>
            <w:vAlign w:val="center"/>
          </w:tcPr>
          <w:p w14:paraId="23181E74">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电子邮箱</w:t>
            </w:r>
          </w:p>
        </w:tc>
      </w:tr>
      <w:tr w14:paraId="596D5B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Align w:val="center"/>
          </w:tcPr>
          <w:p w14:paraId="10811254">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4093" w:type="dxa"/>
            <w:gridSpan w:val="3"/>
            <w:vAlign w:val="center"/>
          </w:tcPr>
          <w:p w14:paraId="3AC1CC06">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w:t>
            </w:r>
          </w:p>
        </w:tc>
        <w:tc>
          <w:tcPr>
            <w:tcW w:w="5027" w:type="dxa"/>
            <w:gridSpan w:val="2"/>
            <w:vAlign w:val="center"/>
          </w:tcPr>
          <w:p w14:paraId="2E6EB3C0">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注册年份</w:t>
            </w:r>
          </w:p>
        </w:tc>
      </w:tr>
      <w:tr w14:paraId="1F693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Merge w:val="restart"/>
            <w:vAlign w:val="center"/>
          </w:tcPr>
          <w:p w14:paraId="38657399">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496" w:type="dxa"/>
            <w:tcBorders>
              <w:right w:val="single" w:color="auto" w:sz="4" w:space="0"/>
            </w:tcBorders>
            <w:vAlign w:val="center"/>
          </w:tcPr>
          <w:p w14:paraId="016C7EB6">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tc>
        <w:tc>
          <w:tcPr>
            <w:tcW w:w="1023" w:type="dxa"/>
            <w:tcBorders>
              <w:left w:val="single" w:color="auto" w:sz="4" w:space="0"/>
              <w:right w:val="single" w:color="auto" w:sz="4" w:space="0"/>
            </w:tcBorders>
            <w:vAlign w:val="center"/>
          </w:tcPr>
          <w:p w14:paraId="0E914E07">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574" w:type="dxa"/>
            <w:tcBorders>
              <w:left w:val="single" w:color="auto" w:sz="4" w:space="0"/>
            </w:tcBorders>
            <w:vAlign w:val="center"/>
          </w:tcPr>
          <w:p w14:paraId="620DFBD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19" w:type="dxa"/>
            <w:tcBorders>
              <w:right w:val="single" w:color="auto" w:sz="4" w:space="0"/>
            </w:tcBorders>
            <w:vAlign w:val="center"/>
          </w:tcPr>
          <w:p w14:paraId="6FC7CAAB">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3908" w:type="dxa"/>
            <w:tcBorders>
              <w:left w:val="single" w:color="auto" w:sz="4" w:space="0"/>
            </w:tcBorders>
            <w:vAlign w:val="center"/>
          </w:tcPr>
          <w:p w14:paraId="0B6071D1">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p>
        </w:tc>
      </w:tr>
      <w:tr w14:paraId="3E4C2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7" w:hRule="atLeast"/>
        </w:trPr>
        <w:tc>
          <w:tcPr>
            <w:tcW w:w="600" w:type="dxa"/>
            <w:vMerge w:val="continue"/>
            <w:vAlign w:val="center"/>
          </w:tcPr>
          <w:p w14:paraId="53B0F1E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496" w:type="dxa"/>
            <w:tcBorders>
              <w:right w:val="single" w:color="auto" w:sz="4" w:space="0"/>
            </w:tcBorders>
            <w:vAlign w:val="center"/>
          </w:tcPr>
          <w:p w14:paraId="6334B437">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技术负责人</w:t>
            </w:r>
          </w:p>
        </w:tc>
        <w:tc>
          <w:tcPr>
            <w:tcW w:w="1023" w:type="dxa"/>
            <w:tcBorders>
              <w:left w:val="single" w:color="auto" w:sz="4" w:space="0"/>
              <w:right w:val="single" w:color="auto" w:sz="4" w:space="0"/>
            </w:tcBorders>
            <w:vAlign w:val="center"/>
          </w:tcPr>
          <w:p w14:paraId="3302D18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574" w:type="dxa"/>
            <w:tcBorders>
              <w:left w:val="single" w:color="auto" w:sz="4" w:space="0"/>
            </w:tcBorders>
            <w:vAlign w:val="center"/>
          </w:tcPr>
          <w:p w14:paraId="18070E8E">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119" w:type="dxa"/>
            <w:tcBorders>
              <w:right w:val="single" w:color="auto" w:sz="4" w:space="0"/>
            </w:tcBorders>
            <w:vAlign w:val="center"/>
          </w:tcPr>
          <w:p w14:paraId="2E12FD1D">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p>
        </w:tc>
        <w:tc>
          <w:tcPr>
            <w:tcW w:w="3908" w:type="dxa"/>
            <w:tcBorders>
              <w:left w:val="single" w:color="auto" w:sz="4" w:space="0"/>
            </w:tcBorders>
            <w:vAlign w:val="center"/>
          </w:tcPr>
          <w:p w14:paraId="2396BFE0">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p>
        </w:tc>
      </w:tr>
      <w:tr w14:paraId="49A34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84" w:hRule="atLeast"/>
        </w:trPr>
        <w:tc>
          <w:tcPr>
            <w:tcW w:w="600" w:type="dxa"/>
            <w:vAlign w:val="center"/>
          </w:tcPr>
          <w:p w14:paraId="21D1BF1B">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9120" w:type="dxa"/>
            <w:gridSpan w:val="5"/>
            <w:vAlign w:val="center"/>
          </w:tcPr>
          <w:p w14:paraId="7A44D10A">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公司资质等级证书名称及书号                  （若有）</w:t>
            </w:r>
          </w:p>
        </w:tc>
      </w:tr>
      <w:tr w14:paraId="38D57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98" w:hRule="atLeast"/>
        </w:trPr>
        <w:tc>
          <w:tcPr>
            <w:tcW w:w="600" w:type="dxa"/>
            <w:vAlign w:val="center"/>
          </w:tcPr>
          <w:p w14:paraId="0CCED245">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9120" w:type="dxa"/>
            <w:gridSpan w:val="5"/>
            <w:vAlign w:val="center"/>
          </w:tcPr>
          <w:p w14:paraId="149C4FEE">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主营范围</w:t>
            </w:r>
          </w:p>
          <w:p w14:paraId="10447732">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_____________________________________________________________________</w:t>
            </w:r>
          </w:p>
          <w:p w14:paraId="2BA4C04E">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_____________________________________________________________________</w:t>
            </w:r>
          </w:p>
          <w:p w14:paraId="473A3F60">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_____________________________________________________________________</w:t>
            </w:r>
          </w:p>
          <w:p w14:paraId="634CCE62">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u w:val="single"/>
              </w:rPr>
              <w:t>_____________________________________________________________________</w:t>
            </w:r>
          </w:p>
          <w:p w14:paraId="53023D9B">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r w14:paraId="2A12E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0" w:hRule="atLeast"/>
        </w:trPr>
        <w:tc>
          <w:tcPr>
            <w:tcW w:w="600" w:type="dxa"/>
            <w:vAlign w:val="center"/>
          </w:tcPr>
          <w:p w14:paraId="4248300B">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9120" w:type="dxa"/>
            <w:gridSpan w:val="5"/>
            <w:vAlign w:val="center"/>
          </w:tcPr>
          <w:p w14:paraId="2498308F">
            <w:pPr>
              <w:keepNext w:val="0"/>
              <w:keepLines w:val="0"/>
              <w:pageBreakBefore w:val="0"/>
              <w:suppressLineNumbers w:val="0"/>
              <w:tabs>
                <w:tab w:val="left" w:pos="1980"/>
              </w:tabs>
              <w:overflowPunct/>
              <w:topLinePunct w:val="0"/>
              <w:bidi w:val="0"/>
              <w:spacing w:before="0" w:beforeAutospacing="0" w:after="0" w:afterAutospacing="0" w:line="360" w:lineRule="auto"/>
              <w:ind w:left="0" w:right="0" w:firstLine="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其他需要说明的情况</w:t>
            </w:r>
          </w:p>
        </w:tc>
      </w:tr>
    </w:tbl>
    <w:p w14:paraId="5EEED214">
      <w:pPr>
        <w:pStyle w:val="4"/>
        <w:pageBreakBefore w:val="0"/>
        <w:overflowPunct/>
        <w:topLinePunct w:val="0"/>
        <w:bidi w:val="0"/>
        <w:spacing w:before="0" w:after="0" w:line="360" w:lineRule="auto"/>
        <w:ind w:firstLine="0" w:firstLineChars="0"/>
        <w:jc w:val="both"/>
        <w:rPr>
          <w:rFonts w:hint="eastAsia" w:ascii="仿宋" w:hAnsi="仿宋" w:eastAsia="仿宋" w:cs="仿宋"/>
          <w:color w:val="auto"/>
          <w:sz w:val="24"/>
          <w:szCs w:val="24"/>
          <w:highlight w:val="none"/>
        </w:rPr>
      </w:pPr>
      <w:bookmarkStart w:id="270" w:name="_Toc3969342"/>
      <w:r>
        <w:rPr>
          <w:rFonts w:hint="eastAsia" w:ascii="仿宋" w:hAnsi="仿宋" w:eastAsia="仿宋" w:cs="仿宋"/>
          <w:color w:val="auto"/>
          <w:sz w:val="24"/>
          <w:szCs w:val="24"/>
          <w:highlight w:val="none"/>
        </w:rPr>
        <w:t>注：本表后附有效的法人或者其他组织的营业执照等证明文件加盖电子公章。</w:t>
      </w:r>
    </w:p>
    <w:p w14:paraId="4A135BFB">
      <w:pPr>
        <w:pStyle w:val="4"/>
        <w:pageBreakBefore w:val="0"/>
        <w:overflowPunct/>
        <w:topLinePunct w:val="0"/>
        <w:bidi w:val="0"/>
        <w:spacing w:before="0" w:after="0" w:line="360" w:lineRule="auto"/>
        <w:jc w:val="center"/>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br w:type="page"/>
      </w:r>
      <w:bookmarkStart w:id="271" w:name="_Toc140565062"/>
      <w:bookmarkStart w:id="272" w:name="_Toc22740"/>
      <w:r>
        <w:rPr>
          <w:rFonts w:hint="eastAsia" w:ascii="仿宋" w:hAnsi="仿宋" w:eastAsia="仿宋" w:cs="仿宋"/>
          <w:color w:val="auto"/>
          <w:sz w:val="24"/>
          <w:szCs w:val="24"/>
          <w:highlight w:val="none"/>
        </w:rPr>
        <w:t>2.</w:t>
      </w:r>
      <w:bookmarkEnd w:id="270"/>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须具有良好的商业信誉和健全的财务会计制度</w:t>
      </w:r>
      <w:bookmarkEnd w:id="271"/>
      <w:bookmarkEnd w:id="272"/>
    </w:p>
    <w:p w14:paraId="1492C72F">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须提供证明材料，内容可为以下三者之一：①提供2022年度至今任意1年度经第三方审计的财务报告及报表（报表至少应包括资产负债表、利润表（损益表）、现金流量表），如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执行的财政部门印发的会计制度或准则有其他要求的，以其要求为准；新成立不满1年的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提供自成立至今的财务报表；②提供自投标文件提交截止时间前三个月内基本开户银行出具的资信证明；③提供财政部门认可的政府采购专业担保机构出具的投标担保函</w:t>
      </w:r>
      <w:r>
        <w:rPr>
          <w:rFonts w:hint="eastAsia" w:ascii="仿宋" w:hAnsi="仿宋" w:eastAsia="仿宋" w:cs="仿宋"/>
          <w:color w:val="auto"/>
          <w:sz w:val="24"/>
          <w:highlight w:val="none"/>
        </w:rPr>
        <w:t>。</w:t>
      </w:r>
    </w:p>
    <w:p w14:paraId="31B76F4C">
      <w:pPr>
        <w:pStyle w:val="12"/>
        <w:pageBreakBefore w:val="0"/>
        <w:overflowPunct/>
        <w:topLinePunct w:val="0"/>
        <w:bidi w:val="0"/>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sz w:val="24"/>
          <w:highlight w:val="none"/>
        </w:rPr>
        <w:t>(附</w:t>
      </w:r>
      <w:r>
        <w:rPr>
          <w:rFonts w:hint="eastAsia" w:ascii="仿宋" w:hAnsi="仿宋" w:eastAsia="仿宋" w:cs="仿宋"/>
          <w:color w:val="auto"/>
          <w:sz w:val="24"/>
          <w:szCs w:val="24"/>
          <w:highlight w:val="none"/>
        </w:rPr>
        <w:t>原件或复印件并加盖</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w:t>
      </w:r>
      <w:r>
        <w:rPr>
          <w:rFonts w:hint="eastAsia" w:ascii="仿宋" w:hAnsi="仿宋" w:eastAsia="仿宋" w:cs="仿宋"/>
          <w:color w:val="auto"/>
          <w:sz w:val="24"/>
          <w:highlight w:val="none"/>
        </w:rPr>
        <w:t>)</w:t>
      </w:r>
    </w:p>
    <w:p w14:paraId="6F137E17">
      <w:pPr>
        <w:pStyle w:val="12"/>
        <w:pageBreakBefore w:val="0"/>
        <w:overflowPunct/>
        <w:topLinePunct w:val="0"/>
        <w:bidi w:val="0"/>
        <w:spacing w:line="360" w:lineRule="auto"/>
        <w:rPr>
          <w:rFonts w:hint="eastAsia" w:ascii="仿宋" w:hAnsi="仿宋" w:eastAsia="仿宋" w:cs="仿宋"/>
          <w:color w:val="auto"/>
          <w:highlight w:val="none"/>
        </w:rPr>
      </w:pPr>
    </w:p>
    <w:p w14:paraId="32C0DE7E">
      <w:pPr>
        <w:pStyle w:val="12"/>
        <w:pageBreakBefore w:val="0"/>
        <w:overflowPunct/>
        <w:topLinePunct w:val="0"/>
        <w:bidi w:val="0"/>
        <w:spacing w:line="360" w:lineRule="auto"/>
        <w:rPr>
          <w:rFonts w:hint="eastAsia" w:ascii="仿宋" w:hAnsi="仿宋" w:eastAsia="仿宋" w:cs="仿宋"/>
          <w:color w:val="auto"/>
          <w:highlight w:val="none"/>
        </w:rPr>
      </w:pPr>
    </w:p>
    <w:p w14:paraId="1A74BF27">
      <w:pPr>
        <w:pStyle w:val="12"/>
        <w:pageBreakBefore w:val="0"/>
        <w:overflowPunct/>
        <w:topLinePunct w:val="0"/>
        <w:bidi w:val="0"/>
        <w:spacing w:line="360" w:lineRule="auto"/>
        <w:rPr>
          <w:rFonts w:hint="eastAsia" w:ascii="仿宋" w:hAnsi="仿宋" w:eastAsia="仿宋" w:cs="仿宋"/>
          <w:color w:val="auto"/>
          <w:highlight w:val="none"/>
        </w:rPr>
      </w:pPr>
    </w:p>
    <w:p w14:paraId="06CD5955">
      <w:pPr>
        <w:pStyle w:val="12"/>
        <w:pageBreakBefore w:val="0"/>
        <w:overflowPunct/>
        <w:topLinePunct w:val="0"/>
        <w:bidi w:val="0"/>
        <w:spacing w:line="360" w:lineRule="auto"/>
        <w:rPr>
          <w:rFonts w:hint="eastAsia" w:ascii="仿宋" w:hAnsi="仿宋" w:eastAsia="仿宋" w:cs="仿宋"/>
          <w:color w:val="auto"/>
          <w:highlight w:val="none"/>
        </w:rPr>
      </w:pPr>
    </w:p>
    <w:p w14:paraId="09A0FAB3">
      <w:pPr>
        <w:pStyle w:val="12"/>
        <w:pageBreakBefore w:val="0"/>
        <w:overflowPunct/>
        <w:topLinePunct w:val="0"/>
        <w:bidi w:val="0"/>
        <w:spacing w:line="360" w:lineRule="auto"/>
        <w:rPr>
          <w:rFonts w:hint="eastAsia" w:ascii="仿宋" w:hAnsi="仿宋" w:eastAsia="仿宋" w:cs="仿宋"/>
          <w:color w:val="auto"/>
          <w:highlight w:val="none"/>
        </w:rPr>
      </w:pPr>
    </w:p>
    <w:p w14:paraId="1FB8D076">
      <w:pPr>
        <w:pStyle w:val="12"/>
        <w:pageBreakBefore w:val="0"/>
        <w:overflowPunct/>
        <w:topLinePunct w:val="0"/>
        <w:bidi w:val="0"/>
        <w:spacing w:line="360" w:lineRule="auto"/>
        <w:rPr>
          <w:rFonts w:hint="eastAsia" w:ascii="仿宋" w:hAnsi="仿宋" w:eastAsia="仿宋" w:cs="仿宋"/>
          <w:color w:val="auto"/>
          <w:highlight w:val="none"/>
        </w:rPr>
      </w:pPr>
    </w:p>
    <w:p w14:paraId="6136FCEB">
      <w:pPr>
        <w:pStyle w:val="12"/>
        <w:pageBreakBefore w:val="0"/>
        <w:overflowPunct/>
        <w:topLinePunct w:val="0"/>
        <w:bidi w:val="0"/>
        <w:spacing w:line="360" w:lineRule="auto"/>
        <w:rPr>
          <w:rFonts w:hint="eastAsia" w:ascii="仿宋" w:hAnsi="仿宋" w:eastAsia="仿宋" w:cs="仿宋"/>
          <w:color w:val="auto"/>
          <w:highlight w:val="none"/>
        </w:rPr>
      </w:pPr>
    </w:p>
    <w:p w14:paraId="69006FE8">
      <w:pPr>
        <w:pStyle w:val="12"/>
        <w:pageBreakBefore w:val="0"/>
        <w:overflowPunct/>
        <w:topLinePunct w:val="0"/>
        <w:bidi w:val="0"/>
        <w:spacing w:line="360" w:lineRule="auto"/>
        <w:rPr>
          <w:rFonts w:hint="eastAsia" w:ascii="仿宋" w:hAnsi="仿宋" w:eastAsia="仿宋" w:cs="仿宋"/>
          <w:color w:val="auto"/>
          <w:highlight w:val="none"/>
        </w:rPr>
      </w:pPr>
    </w:p>
    <w:p w14:paraId="284484AD">
      <w:pPr>
        <w:pStyle w:val="12"/>
        <w:pageBreakBefore w:val="0"/>
        <w:overflowPunct/>
        <w:topLinePunct w:val="0"/>
        <w:bidi w:val="0"/>
        <w:spacing w:line="360" w:lineRule="auto"/>
        <w:rPr>
          <w:rFonts w:hint="eastAsia" w:ascii="仿宋" w:hAnsi="仿宋" w:eastAsia="仿宋" w:cs="仿宋"/>
          <w:color w:val="auto"/>
          <w:highlight w:val="none"/>
        </w:rPr>
      </w:pPr>
    </w:p>
    <w:p w14:paraId="1CBB3B28">
      <w:pPr>
        <w:pStyle w:val="12"/>
        <w:pageBreakBefore w:val="0"/>
        <w:overflowPunct/>
        <w:topLinePunct w:val="0"/>
        <w:bidi w:val="0"/>
        <w:spacing w:line="360" w:lineRule="auto"/>
        <w:rPr>
          <w:rFonts w:hint="eastAsia" w:ascii="仿宋" w:hAnsi="仿宋" w:eastAsia="仿宋" w:cs="仿宋"/>
          <w:color w:val="auto"/>
          <w:highlight w:val="none"/>
        </w:rPr>
      </w:pPr>
    </w:p>
    <w:p w14:paraId="2C28FA59">
      <w:pPr>
        <w:pStyle w:val="12"/>
        <w:pageBreakBefore w:val="0"/>
        <w:overflowPunct/>
        <w:topLinePunct w:val="0"/>
        <w:bidi w:val="0"/>
        <w:spacing w:line="360" w:lineRule="auto"/>
        <w:rPr>
          <w:rFonts w:hint="eastAsia" w:ascii="仿宋" w:hAnsi="仿宋" w:eastAsia="仿宋" w:cs="仿宋"/>
          <w:color w:val="auto"/>
          <w:highlight w:val="none"/>
        </w:rPr>
      </w:pPr>
    </w:p>
    <w:p w14:paraId="3D66C378">
      <w:pPr>
        <w:pStyle w:val="12"/>
        <w:pageBreakBefore w:val="0"/>
        <w:overflowPunct/>
        <w:topLinePunct w:val="0"/>
        <w:bidi w:val="0"/>
        <w:spacing w:line="360" w:lineRule="auto"/>
        <w:rPr>
          <w:rFonts w:hint="eastAsia" w:ascii="仿宋" w:hAnsi="仿宋" w:eastAsia="仿宋" w:cs="仿宋"/>
          <w:color w:val="auto"/>
          <w:highlight w:val="none"/>
        </w:rPr>
      </w:pPr>
    </w:p>
    <w:p w14:paraId="7C62A7DA">
      <w:pPr>
        <w:pageBreakBefore w:val="0"/>
        <w:overflowPunct/>
        <w:topLinePunct w:val="0"/>
        <w:bidi w:val="0"/>
        <w:spacing w:line="360" w:lineRule="auto"/>
        <w:rPr>
          <w:rFonts w:hint="eastAsia" w:ascii="仿宋" w:hAnsi="仿宋" w:eastAsia="仿宋" w:cs="仿宋"/>
          <w:color w:val="auto"/>
          <w:sz w:val="36"/>
          <w:highlight w:val="none"/>
        </w:rPr>
      </w:pPr>
    </w:p>
    <w:p w14:paraId="09F07F77">
      <w:pPr>
        <w:pageBreakBefore w:val="0"/>
        <w:overflowPunct/>
        <w:topLinePunct w:val="0"/>
        <w:bidi w:val="0"/>
        <w:spacing w:line="360" w:lineRule="auto"/>
        <w:rPr>
          <w:rFonts w:hint="eastAsia" w:ascii="仿宋" w:hAnsi="仿宋" w:eastAsia="仿宋" w:cs="仿宋"/>
          <w:color w:val="auto"/>
          <w:sz w:val="36"/>
          <w:highlight w:val="none"/>
        </w:rPr>
      </w:pPr>
    </w:p>
    <w:p w14:paraId="52F53D1C">
      <w:pPr>
        <w:pageBreakBefore w:val="0"/>
        <w:overflowPunct/>
        <w:topLinePunct w:val="0"/>
        <w:bidi w:val="0"/>
        <w:spacing w:line="360" w:lineRule="auto"/>
        <w:rPr>
          <w:rFonts w:hint="eastAsia" w:ascii="仿宋" w:hAnsi="仿宋" w:eastAsia="仿宋" w:cs="仿宋"/>
          <w:color w:val="auto"/>
          <w:sz w:val="36"/>
          <w:highlight w:val="none"/>
        </w:rPr>
      </w:pPr>
    </w:p>
    <w:p w14:paraId="067BE67B">
      <w:pPr>
        <w:pageBreakBefore w:val="0"/>
        <w:overflowPunct/>
        <w:topLinePunct w:val="0"/>
        <w:bidi w:val="0"/>
        <w:spacing w:line="360" w:lineRule="auto"/>
        <w:rPr>
          <w:rFonts w:hint="eastAsia" w:ascii="仿宋" w:hAnsi="仿宋" w:eastAsia="仿宋" w:cs="仿宋"/>
          <w:color w:val="auto"/>
          <w:sz w:val="36"/>
          <w:highlight w:val="none"/>
        </w:rPr>
      </w:pPr>
    </w:p>
    <w:p w14:paraId="47741FF2">
      <w:pPr>
        <w:pageBreakBefore w:val="0"/>
        <w:overflowPunct/>
        <w:topLinePunct w:val="0"/>
        <w:bidi w:val="0"/>
        <w:spacing w:line="360" w:lineRule="auto"/>
        <w:rPr>
          <w:rFonts w:hint="eastAsia" w:ascii="仿宋" w:hAnsi="仿宋" w:eastAsia="仿宋" w:cs="仿宋"/>
          <w:color w:val="auto"/>
          <w:sz w:val="36"/>
          <w:highlight w:val="none"/>
        </w:rPr>
      </w:pPr>
    </w:p>
    <w:p w14:paraId="46360299">
      <w:pPr>
        <w:pageBreakBefore w:val="0"/>
        <w:overflowPunct/>
        <w:topLinePunct w:val="0"/>
        <w:bidi w:val="0"/>
        <w:spacing w:line="360" w:lineRule="auto"/>
        <w:rPr>
          <w:rFonts w:hint="eastAsia" w:ascii="仿宋" w:hAnsi="仿宋" w:eastAsia="仿宋" w:cs="仿宋"/>
          <w:color w:val="auto"/>
          <w:sz w:val="36"/>
          <w:highlight w:val="none"/>
        </w:rPr>
      </w:pPr>
    </w:p>
    <w:p w14:paraId="59DB597A">
      <w:pPr>
        <w:pageBreakBefore w:val="0"/>
        <w:overflowPunct/>
        <w:topLinePunct w:val="0"/>
        <w:bidi w:val="0"/>
        <w:spacing w:line="360" w:lineRule="auto"/>
        <w:rPr>
          <w:rFonts w:hint="eastAsia" w:ascii="仿宋" w:hAnsi="仿宋" w:eastAsia="仿宋" w:cs="仿宋"/>
          <w:color w:val="auto"/>
          <w:sz w:val="36"/>
          <w:highlight w:val="none"/>
        </w:rPr>
      </w:pPr>
    </w:p>
    <w:p w14:paraId="1756A88E">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273" w:name="_Toc3969344"/>
      <w:r>
        <w:rPr>
          <w:rFonts w:hint="eastAsia" w:ascii="仿宋" w:hAnsi="仿宋" w:eastAsia="仿宋" w:cs="仿宋"/>
          <w:color w:val="auto"/>
          <w:sz w:val="24"/>
          <w:szCs w:val="24"/>
          <w:highlight w:val="none"/>
        </w:rPr>
        <w:br w:type="page"/>
      </w:r>
      <w:bookmarkStart w:id="274" w:name="_Toc32523"/>
      <w:bookmarkStart w:id="275" w:name="_Toc140565063"/>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.具有履行合同所必需的设备和专业技术能力</w:t>
      </w:r>
      <w:bookmarkEnd w:id="274"/>
      <w:bookmarkEnd w:id="275"/>
    </w:p>
    <w:p w14:paraId="4173AD2A">
      <w:pPr>
        <w:pStyle w:val="134"/>
        <w:pageBreakBefore w:val="0"/>
        <w:overflowPunct/>
        <w:topLinePunct w:val="0"/>
        <w:bidi w:val="0"/>
        <w:spacing w:before="156" w:after="156" w:line="360" w:lineRule="auto"/>
        <w:ind w:firstLine="480"/>
        <w:rPr>
          <w:rFonts w:hint="eastAsia" w:ascii="仿宋" w:hAnsi="仿宋" w:eastAsia="仿宋" w:cs="仿宋"/>
          <w:color w:val="auto"/>
          <w:highlight w:val="none"/>
        </w:rPr>
      </w:pPr>
      <w:r>
        <w:rPr>
          <w:rFonts w:hint="eastAsia" w:ascii="仿宋" w:hAnsi="仿宋" w:eastAsia="仿宋" w:cs="仿宋"/>
          <w:bCs/>
          <w:color w:val="auto"/>
          <w:highlight w:val="none"/>
        </w:rPr>
        <w:t>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须提供具有履行合同所必需的设备和专业技术能力证明材料（复印件加盖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lang w:val="en-US" w:eastAsia="zh-CN"/>
        </w:rPr>
        <w:t>电子</w:t>
      </w:r>
      <w:r>
        <w:rPr>
          <w:rFonts w:hint="eastAsia" w:ascii="仿宋" w:hAnsi="仿宋" w:eastAsia="仿宋" w:cs="仿宋"/>
          <w:color w:val="auto"/>
          <w:highlight w:val="none"/>
        </w:rPr>
        <w:t>公章）或书面声明（加盖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lang w:val="en-US" w:eastAsia="zh-CN"/>
        </w:rPr>
        <w:t>电子</w:t>
      </w:r>
      <w:r>
        <w:rPr>
          <w:rFonts w:hint="eastAsia" w:ascii="仿宋" w:hAnsi="仿宋" w:eastAsia="仿宋" w:cs="仿宋"/>
          <w:color w:val="auto"/>
          <w:highlight w:val="none"/>
        </w:rPr>
        <w:t>公章）。</w:t>
      </w:r>
    </w:p>
    <w:p w14:paraId="2CAC81C5">
      <w:pPr>
        <w:pStyle w:val="134"/>
        <w:pageBreakBefore w:val="0"/>
        <w:overflowPunct/>
        <w:topLinePunct w:val="0"/>
        <w:bidi w:val="0"/>
        <w:spacing w:before="156" w:after="156" w:line="360" w:lineRule="auto"/>
        <w:ind w:firstLine="480"/>
        <w:jc w:val="center"/>
        <w:outlineLvl w:val="2"/>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276" w:name="_Toc4727"/>
      <w:r>
        <w:rPr>
          <w:rFonts w:hint="eastAsia" w:ascii="仿宋" w:hAnsi="仿宋" w:eastAsia="仿宋" w:cs="仿宋"/>
          <w:color w:val="auto"/>
          <w:highlight w:val="none"/>
          <w:lang w:val="en-US" w:eastAsia="zh-CN"/>
        </w:rPr>
        <w:t>4</w:t>
      </w:r>
      <w:r>
        <w:rPr>
          <w:rFonts w:hint="eastAsia" w:ascii="仿宋" w:hAnsi="仿宋" w:eastAsia="仿宋" w:cs="仿宋"/>
          <w:b/>
          <w:bCs/>
          <w:color w:val="auto"/>
          <w:highlight w:val="none"/>
        </w:rPr>
        <w:t>.</w:t>
      </w:r>
      <w:bookmarkEnd w:id="273"/>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须具有依法缴纳税收和社会保障资金的良好记录</w:t>
      </w:r>
      <w:bookmarkEnd w:id="276"/>
    </w:p>
    <w:p w14:paraId="57AE11BA">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一</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须提供缴税所属时间在202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年0</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月至本项目投标文件提交截止时间前任意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个月的税务局税收通用缴款书或银行电子缴税（费）凭证或税务局出具纳税情况的相关证明，依法免税的，应提供依法免税的相关证明文件;</w:t>
      </w:r>
    </w:p>
    <w:p w14:paraId="26D6E94B">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须提供缴费所属时间在202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年0</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月至本项目投标文件提交截止时间前任意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个月的社会保险费缴款书或银行电子缴税（费）凭证或社保管理部门出具的有效的缴款证明，依法免缴的，应提供依法免缴的相关证明文件;（成立未满</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个月的，提供成立以来的税收和社会保障资金缴纳凭证或相关情况说明）</w:t>
      </w:r>
      <w:r>
        <w:rPr>
          <w:rFonts w:hint="eastAsia" w:ascii="仿宋" w:hAnsi="仿宋" w:eastAsia="仿宋" w:cs="仿宋"/>
          <w:bCs/>
          <w:color w:val="auto"/>
          <w:sz w:val="24"/>
          <w:szCs w:val="24"/>
          <w:highlight w:val="none"/>
        </w:rPr>
        <w:t>。</w:t>
      </w:r>
    </w:p>
    <w:p w14:paraId="610193D0">
      <w:pPr>
        <w:pageBreakBefore w:val="0"/>
        <w:overflowPunct/>
        <w:topLinePunct w:val="0"/>
        <w:bidi w:val="0"/>
        <w:spacing w:line="360" w:lineRule="auto"/>
        <w:ind w:firstLine="480" w:firstLineChars="20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（附</w:t>
      </w:r>
      <w:r>
        <w:rPr>
          <w:rFonts w:hint="eastAsia" w:ascii="仿宋" w:hAnsi="仿宋" w:eastAsia="仿宋" w:cs="仿宋"/>
          <w:color w:val="auto"/>
          <w:sz w:val="24"/>
          <w:szCs w:val="24"/>
          <w:highlight w:val="none"/>
        </w:rPr>
        <w:t>复印件并加盖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w:t>
      </w:r>
      <w:r>
        <w:rPr>
          <w:rFonts w:hint="eastAsia" w:ascii="仿宋" w:hAnsi="仿宋" w:eastAsia="仿宋" w:cs="仿宋"/>
          <w:color w:val="auto"/>
          <w:sz w:val="24"/>
          <w:highlight w:val="none"/>
        </w:rPr>
        <w:t>）</w:t>
      </w:r>
    </w:p>
    <w:p w14:paraId="2376D1E2">
      <w:pPr>
        <w:pageBreakBefore w:val="0"/>
        <w:overflowPunct/>
        <w:topLinePunct w:val="0"/>
        <w:bidi w:val="0"/>
        <w:spacing w:line="360" w:lineRule="auto"/>
        <w:jc w:val="center"/>
        <w:rPr>
          <w:rFonts w:hint="eastAsia" w:ascii="仿宋" w:hAnsi="仿宋" w:eastAsia="仿宋" w:cs="仿宋"/>
          <w:b/>
          <w:color w:val="auto"/>
          <w:sz w:val="24"/>
          <w:szCs w:val="24"/>
          <w:highlight w:val="none"/>
        </w:rPr>
      </w:pPr>
    </w:p>
    <w:p w14:paraId="6DA14517">
      <w:pPr>
        <w:pageBreakBefore w:val="0"/>
        <w:overflowPunct/>
        <w:topLinePunct w:val="0"/>
        <w:bidi w:val="0"/>
        <w:spacing w:line="360" w:lineRule="auto"/>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（二）承诺书</w:t>
      </w:r>
    </w:p>
    <w:p w14:paraId="4DB8A8D9">
      <w:pPr>
        <w:pageBreakBefore w:val="0"/>
        <w:overflowPunct/>
        <w:topLinePunct w:val="0"/>
        <w:bidi w:val="0"/>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依法缴纳税收和社会保障资金的良好记录的承诺</w:t>
      </w:r>
    </w:p>
    <w:p w14:paraId="0C4B447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我公司承诺为 </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（项目编号）所提供的依法缴纳税收和社会保障资金证明材料都是真实、有效、合法的。</w:t>
      </w:r>
    </w:p>
    <w:p w14:paraId="3E345C5F">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如违反上述行为，自愿承担相应责任。</w:t>
      </w:r>
    </w:p>
    <w:p w14:paraId="25A22EE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5DAC3B2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208F6BAD">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16A9896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1CA00D04">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________________________</w:t>
      </w:r>
    </w:p>
    <w:p w14:paraId="0E9410D2">
      <w:pPr>
        <w:pageBreakBefore w:val="0"/>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p>
    <w:p w14:paraId="689D1892">
      <w:pPr>
        <w:pageBreakBefore w:val="0"/>
        <w:overflowPunct/>
        <w:topLinePunct w:val="0"/>
        <w:bidi w:val="0"/>
        <w:spacing w:line="360" w:lineRule="auto"/>
        <w:rPr>
          <w:rFonts w:hint="eastAsia" w:ascii="仿宋" w:hAnsi="仿宋" w:eastAsia="仿宋" w:cs="仿宋"/>
          <w:color w:val="auto"/>
          <w:highlight w:val="none"/>
        </w:rPr>
      </w:pPr>
    </w:p>
    <w:p w14:paraId="0532A6FD">
      <w:pPr>
        <w:pageBreakBefore w:val="0"/>
        <w:overflowPunct/>
        <w:topLinePunct w:val="0"/>
        <w:bidi w:val="0"/>
        <w:spacing w:line="360" w:lineRule="auto"/>
        <w:rPr>
          <w:rFonts w:hint="eastAsia" w:ascii="仿宋" w:hAnsi="仿宋" w:eastAsia="仿宋" w:cs="仿宋"/>
          <w:color w:val="auto"/>
          <w:highlight w:val="none"/>
        </w:rPr>
      </w:pPr>
    </w:p>
    <w:p w14:paraId="5ED4033B">
      <w:pPr>
        <w:pageBreakBefore w:val="0"/>
        <w:overflowPunct/>
        <w:topLinePunct w:val="0"/>
        <w:bidi w:val="0"/>
        <w:spacing w:line="360" w:lineRule="auto"/>
        <w:rPr>
          <w:rFonts w:hint="eastAsia" w:ascii="仿宋" w:hAnsi="仿宋" w:eastAsia="仿宋" w:cs="仿宋"/>
          <w:color w:val="auto"/>
          <w:highlight w:val="none"/>
        </w:rPr>
      </w:pPr>
    </w:p>
    <w:p w14:paraId="44E9E65F">
      <w:pPr>
        <w:pageBreakBefore w:val="0"/>
        <w:overflowPunct/>
        <w:topLinePunct w:val="0"/>
        <w:bidi w:val="0"/>
        <w:spacing w:line="360" w:lineRule="auto"/>
        <w:rPr>
          <w:rFonts w:hint="eastAsia" w:ascii="仿宋" w:hAnsi="仿宋" w:eastAsia="仿宋" w:cs="仿宋"/>
          <w:color w:val="auto"/>
          <w:highlight w:val="none"/>
        </w:rPr>
      </w:pPr>
    </w:p>
    <w:p w14:paraId="2340E9CF">
      <w:pPr>
        <w:pageBreakBefore w:val="0"/>
        <w:overflowPunct/>
        <w:topLinePunct w:val="0"/>
        <w:bidi w:val="0"/>
        <w:spacing w:line="360" w:lineRule="auto"/>
        <w:rPr>
          <w:rFonts w:hint="eastAsia" w:ascii="仿宋" w:hAnsi="仿宋" w:eastAsia="仿宋" w:cs="仿宋"/>
          <w:color w:val="auto"/>
          <w:highlight w:val="none"/>
        </w:rPr>
      </w:pPr>
    </w:p>
    <w:p w14:paraId="2FD36BDC">
      <w:pPr>
        <w:pageBreakBefore w:val="0"/>
        <w:overflowPunct/>
        <w:topLinePunct w:val="0"/>
        <w:bidi w:val="0"/>
        <w:spacing w:line="360" w:lineRule="auto"/>
        <w:rPr>
          <w:rFonts w:hint="eastAsia" w:ascii="仿宋" w:hAnsi="仿宋" w:eastAsia="仿宋" w:cs="仿宋"/>
          <w:color w:val="auto"/>
          <w:highlight w:val="none"/>
        </w:rPr>
      </w:pPr>
    </w:p>
    <w:p w14:paraId="2A0EBD02">
      <w:pPr>
        <w:pageBreakBefore w:val="0"/>
        <w:overflowPunct/>
        <w:topLinePunct w:val="0"/>
        <w:bidi w:val="0"/>
        <w:spacing w:line="360" w:lineRule="auto"/>
        <w:rPr>
          <w:rFonts w:hint="eastAsia" w:ascii="仿宋" w:hAnsi="仿宋" w:eastAsia="仿宋" w:cs="仿宋"/>
          <w:color w:val="auto"/>
          <w:highlight w:val="none"/>
        </w:rPr>
      </w:pPr>
    </w:p>
    <w:p w14:paraId="142DCC37">
      <w:pPr>
        <w:pageBreakBefore w:val="0"/>
        <w:overflowPunct/>
        <w:topLinePunct w:val="0"/>
        <w:bidi w:val="0"/>
        <w:spacing w:line="360" w:lineRule="auto"/>
        <w:rPr>
          <w:rFonts w:hint="eastAsia" w:ascii="仿宋" w:hAnsi="仿宋" w:eastAsia="仿宋" w:cs="仿宋"/>
          <w:color w:val="auto"/>
          <w:highlight w:val="none"/>
        </w:rPr>
      </w:pPr>
    </w:p>
    <w:p w14:paraId="3E84EB06">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277" w:name="_Toc3969345"/>
      <w:r>
        <w:rPr>
          <w:rFonts w:hint="eastAsia" w:ascii="仿宋" w:hAnsi="仿宋" w:eastAsia="仿宋" w:cs="仿宋"/>
          <w:color w:val="auto"/>
          <w:sz w:val="24"/>
          <w:szCs w:val="24"/>
          <w:highlight w:val="none"/>
        </w:rPr>
        <w:br w:type="page"/>
      </w:r>
      <w:bookmarkEnd w:id="277"/>
      <w:bookmarkStart w:id="278" w:name="_Toc140565064"/>
      <w:bookmarkStart w:id="279" w:name="_Toc31661"/>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参加政府采购活动前三年内，在经营活动中没有重大违法记录</w:t>
      </w:r>
      <w:bookmarkEnd w:id="278"/>
    </w:p>
    <w:p w14:paraId="0BE19FF4">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注：</w:t>
      </w:r>
      <w:bookmarkEnd w:id="279"/>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参加政府采购活动前三年内，在经营活动中没有重大违法记录（重大违法记录，是指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因违法经营受到刑事处罚或者责令停产停业、吊销许可证或者执照、较大数额罚款等行政处罚）的书面声明（加盖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w:t>
      </w:r>
    </w:p>
    <w:p w14:paraId="5382B78D">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01BBF3E0">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2562CF86">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74073CD">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7BA2E136">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724BC8C7">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FA502BC">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2648FB39">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401FA319">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3F263559">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3A1C942C">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CF53B40">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33CFFAD1">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2DD81CD0">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A422634">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32CDDB40">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295A9E2">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3E35D915">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57117B2A">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5BC5E817">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45261D15">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0276DE40">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4EF1E855">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0EF437D">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0F4A6CCE">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563DC888">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0B18B1DF">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53866865">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6ED5BECA">
      <w:pPr>
        <w:pStyle w:val="4"/>
        <w:pageBreakBefore w:val="0"/>
        <w:overflowPunct/>
        <w:topLinePunct w:val="0"/>
        <w:bidi w:val="0"/>
        <w:spacing w:before="0" w:after="0" w:line="360" w:lineRule="auto"/>
        <w:jc w:val="center"/>
        <w:rPr>
          <w:rFonts w:hint="eastAsia" w:ascii="仿宋" w:hAnsi="仿宋" w:eastAsia="仿宋" w:cs="仿宋"/>
          <w:bCs w:val="0"/>
          <w:color w:val="auto"/>
          <w:sz w:val="24"/>
          <w:szCs w:val="24"/>
          <w:highlight w:val="none"/>
        </w:rPr>
      </w:pPr>
      <w:bookmarkStart w:id="280" w:name="_Toc3969346"/>
      <w:bookmarkStart w:id="281" w:name="_Toc29834"/>
      <w:bookmarkStart w:id="282" w:name="_Toc140565065"/>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bookmarkEnd w:id="280"/>
      <w:r>
        <w:rPr>
          <w:rFonts w:hint="eastAsia" w:ascii="仿宋" w:hAnsi="仿宋" w:eastAsia="仿宋" w:cs="仿宋"/>
          <w:color w:val="auto"/>
          <w:sz w:val="24"/>
          <w:szCs w:val="24"/>
          <w:highlight w:val="none"/>
        </w:rPr>
        <w:t>法律、行政法规规定的其他条件</w:t>
      </w:r>
      <w:bookmarkEnd w:id="281"/>
      <w:bookmarkEnd w:id="282"/>
    </w:p>
    <w:p w14:paraId="4B6D87FC">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注：</w:t>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信用中国”网站（www.creditchina.gov.cn）中未被列入政府采购严重违法失信行为记录名单、严重失信主体名单和重大税收违法失信主体（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人、代理机构查询结果为准，并将查询记录和证据留存）；</w:t>
      </w:r>
    </w:p>
    <w:p w14:paraId="716CDA3C">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本项目响应文件提交截止时间前在中国政府采购网（www.ccgp.gov.cn）政府采购严重违法失信行为记录名单中无不良信息记录（被禁止在一定期限内参加采购活动但期限届满的，或仅被处于非较大数额罚款的除外，查询时间为评审会议当天，查询结果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代理机构查询结果为准，并将查询记录和证据留存）；</w:t>
      </w:r>
    </w:p>
    <w:p w14:paraId="256EF426">
      <w:pPr>
        <w:pageBreakBefore w:val="0"/>
        <w:overflowPunct/>
        <w:topLinePunct w:val="0"/>
        <w:bidi w:val="0"/>
        <w:spacing w:line="360" w:lineRule="auto"/>
        <w:ind w:firstLine="480" w:firstLineChars="2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③单位负责人为同一人或者存在直接控股、管理关系的不同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，不得参加同一合同项下的</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活动的承诺（原件加盖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w:t>
      </w:r>
      <w:r>
        <w:rPr>
          <w:rFonts w:hint="eastAsia" w:ascii="仿宋" w:hAnsi="仿宋" w:eastAsia="仿宋" w:cs="仿宋"/>
          <w:color w:val="auto"/>
          <w:sz w:val="24"/>
          <w:szCs w:val="24"/>
          <w:highlight w:val="none"/>
          <w:lang w:eastAsia="zh-CN"/>
        </w:rPr>
        <w:t>；</w:t>
      </w:r>
    </w:p>
    <w:p w14:paraId="541FF343">
      <w:pPr>
        <w:pageBreakBefore w:val="0"/>
        <w:overflowPunct/>
        <w:topLinePunct w:val="0"/>
        <w:bidi w:val="0"/>
        <w:spacing w:line="360" w:lineRule="auto"/>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④</w:t>
      </w:r>
      <w:r>
        <w:rPr>
          <w:rFonts w:hint="eastAsia" w:ascii="仿宋" w:hAnsi="仿宋" w:eastAsia="仿宋" w:cs="仿宋"/>
          <w:color w:val="auto"/>
          <w:sz w:val="24"/>
          <w:szCs w:val="24"/>
          <w:highlight w:val="none"/>
        </w:rPr>
        <w:t>为本项目提供整体设计、规范编制或者项目管理、监理、检测等服务的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不得</w:t>
      </w:r>
      <w:r>
        <w:rPr>
          <w:rFonts w:hint="eastAsia" w:ascii="仿宋" w:hAnsi="仿宋" w:eastAsia="仿宋" w:cs="仿宋"/>
          <w:color w:val="auto"/>
          <w:sz w:val="24"/>
          <w:szCs w:val="24"/>
          <w:highlight w:val="none"/>
        </w:rPr>
        <w:t>参加本项目投标的承诺（原件加盖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lang w:val="en-US" w:eastAsia="zh-CN"/>
        </w:rPr>
        <w:t>电子</w:t>
      </w:r>
      <w:r>
        <w:rPr>
          <w:rFonts w:hint="eastAsia" w:ascii="仿宋" w:hAnsi="仿宋" w:eastAsia="仿宋" w:cs="仿宋"/>
          <w:color w:val="auto"/>
          <w:sz w:val="24"/>
          <w:szCs w:val="24"/>
          <w:highlight w:val="none"/>
        </w:rPr>
        <w:t>公章）</w:t>
      </w:r>
    </w:p>
    <w:p w14:paraId="1A2A0ADD">
      <w:pPr>
        <w:pageBreakBefore w:val="0"/>
        <w:overflowPunct/>
        <w:topLinePunct w:val="0"/>
        <w:bidi w:val="0"/>
        <w:spacing w:line="360" w:lineRule="auto"/>
        <w:ind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上述①、②由采购人、采购代理机构查询，</w:t>
      </w: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无需提供证明。</w:t>
      </w:r>
    </w:p>
    <w:p w14:paraId="3E51E703">
      <w:pPr>
        <w:pageBreakBefore w:val="0"/>
        <w:overflowPunct/>
        <w:topLinePunct w:val="0"/>
        <w:bidi w:val="0"/>
        <w:spacing w:line="360" w:lineRule="auto"/>
        <w:ind w:firstLine="480" w:firstLineChars="200"/>
        <w:jc w:val="left"/>
        <w:rPr>
          <w:rFonts w:hint="eastAsia" w:ascii="仿宋" w:hAnsi="仿宋" w:eastAsia="仿宋" w:cs="仿宋"/>
          <w:bCs/>
          <w:color w:val="auto"/>
          <w:sz w:val="24"/>
          <w:szCs w:val="24"/>
          <w:highlight w:val="none"/>
        </w:rPr>
      </w:pPr>
    </w:p>
    <w:p w14:paraId="1D6F2D65">
      <w:pPr>
        <w:pStyle w:val="4"/>
        <w:pageBreakBefore w:val="0"/>
        <w:overflowPunct/>
        <w:topLinePunct w:val="0"/>
        <w:bidi w:val="0"/>
        <w:spacing w:line="360" w:lineRule="auto"/>
        <w:jc w:val="center"/>
        <w:rPr>
          <w:rFonts w:hint="eastAsia" w:ascii="仿宋" w:hAnsi="仿宋" w:eastAsia="仿宋" w:cs="仿宋"/>
          <w:color w:val="auto"/>
          <w:sz w:val="28"/>
          <w:highlight w:val="none"/>
        </w:rPr>
      </w:pPr>
      <w:r>
        <w:rPr>
          <w:rFonts w:hint="eastAsia" w:ascii="仿宋" w:hAnsi="仿宋" w:eastAsia="仿宋" w:cs="仿宋"/>
          <w:color w:val="auto"/>
          <w:highlight w:val="none"/>
        </w:rPr>
        <w:br w:type="page"/>
      </w:r>
      <w:bookmarkStart w:id="283" w:name="_Toc19825"/>
      <w:bookmarkStart w:id="284" w:name="_Toc20391"/>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.关于投标和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资格承诺书</w:t>
      </w:r>
      <w:bookmarkEnd w:id="283"/>
      <w:bookmarkEnd w:id="284"/>
    </w:p>
    <w:p w14:paraId="690E2758">
      <w:pPr>
        <w:pageBreakBefore w:val="0"/>
        <w:overflowPunct/>
        <w:topLinePunct w:val="0"/>
        <w:bidi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(采购人名称)   </w:t>
      </w:r>
    </w:p>
    <w:p w14:paraId="20179A9D">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针对本项目投标，我单位承诺如下：</w:t>
      </w:r>
    </w:p>
    <w:p w14:paraId="44F61D45">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1.我单位投标文件中提供的所有资料和内容都是真实的。</w:t>
      </w:r>
    </w:p>
    <w:p w14:paraId="727B9272">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2.与我单位负责人为同一人或者存在控股、管理关系的不同</w:t>
      </w:r>
      <w:r>
        <w:rPr>
          <w:rFonts w:hint="eastAsia" w:ascii="仿宋" w:hAnsi="仿宋" w:eastAsia="仿宋" w:cs="仿宋"/>
          <w:bCs/>
          <w:color w:val="auto"/>
          <w:sz w:val="24"/>
          <w:szCs w:val="24"/>
          <w:highlight w:val="none"/>
          <w:lang w:eastAsia="zh-CN"/>
        </w:rPr>
        <w:t>投标人</w:t>
      </w:r>
      <w:r>
        <w:rPr>
          <w:rFonts w:hint="eastAsia" w:ascii="仿宋" w:hAnsi="仿宋" w:eastAsia="仿宋" w:cs="仿宋"/>
          <w:bCs/>
          <w:color w:val="auto"/>
          <w:sz w:val="24"/>
          <w:szCs w:val="24"/>
          <w:highlight w:val="none"/>
        </w:rPr>
        <w:t>，未参加同一合同项下的政府采购活动。</w:t>
      </w:r>
    </w:p>
    <w:p w14:paraId="4A4C8EC0">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我单位</w:t>
      </w:r>
      <w:r>
        <w:rPr>
          <w:rFonts w:hint="eastAsia" w:ascii="仿宋" w:hAnsi="仿宋" w:eastAsia="仿宋" w:cs="仿宋"/>
          <w:color w:val="auto"/>
          <w:sz w:val="24"/>
          <w:szCs w:val="24"/>
          <w:highlight w:val="none"/>
          <w:lang w:val="en-US" w:eastAsia="zh-CN"/>
        </w:rPr>
        <w:t>未参与</w:t>
      </w:r>
      <w:r>
        <w:rPr>
          <w:rFonts w:hint="eastAsia" w:ascii="仿宋" w:hAnsi="仿宋" w:eastAsia="仿宋" w:cs="仿宋"/>
          <w:color w:val="auto"/>
          <w:sz w:val="24"/>
          <w:szCs w:val="24"/>
          <w:highlight w:val="none"/>
        </w:rPr>
        <w:t>本项目提供整体设计、规范编制或者项目管理、监理、检测等服务的</w:t>
      </w:r>
      <w:r>
        <w:rPr>
          <w:rFonts w:hint="eastAsia" w:ascii="仿宋" w:hAnsi="仿宋" w:eastAsia="仿宋" w:cs="仿宋"/>
          <w:color w:val="auto"/>
          <w:sz w:val="24"/>
          <w:szCs w:val="24"/>
          <w:highlight w:val="none"/>
          <w:lang w:eastAsia="zh-CN"/>
        </w:rPr>
        <w:t>投标人。</w:t>
      </w:r>
    </w:p>
    <w:p w14:paraId="1BAA7A4C">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.我单位在以往履约过程中均未发生转包、违法分包、违反廉政相关规定等情形。</w:t>
      </w:r>
    </w:p>
    <w:p w14:paraId="5097260F">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.我单位在以往投标过程中均未发生为达到中标目的而出现低于成本报价、串标、围标等恶性竞争行为。</w:t>
      </w:r>
    </w:p>
    <w:p w14:paraId="4E01C179">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.本次招标，我单位为独立投标，无联合体。</w:t>
      </w:r>
    </w:p>
    <w:p w14:paraId="280919CB">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.目前我单位处于正常生产经营状态。</w:t>
      </w:r>
    </w:p>
    <w:p w14:paraId="7E8CB85E">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.我单位没有处于责令停业状态。</w:t>
      </w:r>
    </w:p>
    <w:p w14:paraId="09E3C4B9">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.我单位投标资格未被取消。</w:t>
      </w:r>
    </w:p>
    <w:p w14:paraId="51B52E07">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10</w:t>
      </w:r>
      <w:r>
        <w:rPr>
          <w:rFonts w:hint="eastAsia" w:ascii="仿宋" w:hAnsi="仿宋" w:eastAsia="仿宋" w:cs="仿宋"/>
          <w:bCs/>
          <w:color w:val="auto"/>
          <w:sz w:val="24"/>
          <w:szCs w:val="24"/>
          <w:highlight w:val="none"/>
        </w:rPr>
        <w:t>.我单位目前没有处于财产被接管、冻结，破产状态。</w:t>
      </w:r>
    </w:p>
    <w:p w14:paraId="3CC6CECA">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.我单位没有处于被法院强制执行的情况。</w:t>
      </w:r>
    </w:p>
    <w:p w14:paraId="46A1E85F">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.我单位无被禁止市场准入的情形。</w:t>
      </w:r>
    </w:p>
    <w:p w14:paraId="1FEE494B">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w:t>
      </w:r>
    </w:p>
    <w:p w14:paraId="42974454">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若发现我单位未按以上承诺内容执行，贵单位可视为我单位虚假应标，我单位接受按招标文件的相关规定进行处理。</w:t>
      </w:r>
    </w:p>
    <w:p w14:paraId="439F3796">
      <w:pPr>
        <w:pageBreakBefore w:val="0"/>
        <w:overflowPunct/>
        <w:topLinePunct w:val="0"/>
        <w:bidi w:val="0"/>
        <w:spacing w:line="360" w:lineRule="auto"/>
        <w:rPr>
          <w:rFonts w:hint="eastAsia" w:ascii="仿宋" w:hAnsi="仿宋" w:eastAsia="仿宋" w:cs="仿宋"/>
          <w:bCs/>
          <w:color w:val="auto"/>
          <w:sz w:val="24"/>
          <w:szCs w:val="24"/>
          <w:highlight w:val="none"/>
        </w:rPr>
      </w:pPr>
    </w:p>
    <w:p w14:paraId="023751B3">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投标人全称</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（加盖</w:t>
      </w:r>
      <w:r>
        <w:rPr>
          <w:rFonts w:hint="eastAsia" w:ascii="仿宋" w:hAnsi="仿宋" w:eastAsia="仿宋" w:cs="仿宋"/>
          <w:bCs/>
          <w:color w:val="auto"/>
          <w:sz w:val="24"/>
          <w:szCs w:val="24"/>
          <w:highlight w:val="none"/>
          <w:lang w:val="en-US" w:eastAsia="zh-CN"/>
        </w:rPr>
        <w:t>电子</w:t>
      </w:r>
      <w:r>
        <w:rPr>
          <w:rFonts w:hint="eastAsia" w:ascii="仿宋" w:hAnsi="仿宋" w:eastAsia="仿宋" w:cs="仿宋"/>
          <w:bCs/>
          <w:color w:val="auto"/>
          <w:sz w:val="24"/>
          <w:szCs w:val="24"/>
          <w:highlight w:val="none"/>
        </w:rPr>
        <w:t>公章）</w:t>
      </w:r>
    </w:p>
    <w:p w14:paraId="3F6182B1">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法定代表人或其委托代理人：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（签字或签章）</w:t>
      </w:r>
    </w:p>
    <w:p w14:paraId="2C51F893">
      <w:pPr>
        <w:pageBreakBefore w:val="0"/>
        <w:overflowPunct/>
        <w:topLinePunct w:val="0"/>
        <w:bidi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日  期：</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w:t>
      </w:r>
    </w:p>
    <w:p w14:paraId="543CE799">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285" w:name="_Toc140565067"/>
      <w:bookmarkStart w:id="286" w:name="_Toc936"/>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.资格其它部分</w:t>
      </w:r>
      <w:bookmarkEnd w:id="285"/>
      <w:bookmarkEnd w:id="286"/>
    </w:p>
    <w:p w14:paraId="3CD07BD1">
      <w:pPr>
        <w:pStyle w:val="12"/>
        <w:pageBreakBefore w:val="0"/>
        <w:overflowPunct/>
        <w:topLinePunct w:val="0"/>
        <w:bidi w:val="0"/>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（招标文件中规定的其它或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认为应该提供的其它资料）</w:t>
      </w:r>
    </w:p>
    <w:p w14:paraId="55486BAA">
      <w:pPr>
        <w:pStyle w:val="12"/>
        <w:pageBreakBefore w:val="0"/>
        <w:overflowPunct/>
        <w:topLinePunct w:val="0"/>
        <w:bidi w:val="0"/>
        <w:spacing w:line="360" w:lineRule="auto"/>
        <w:ind w:firstLine="0"/>
        <w:rPr>
          <w:rFonts w:hint="eastAsia" w:ascii="仿宋" w:hAnsi="仿宋" w:eastAsia="仿宋" w:cs="仿宋"/>
          <w:color w:val="auto"/>
          <w:highlight w:val="none"/>
        </w:rPr>
      </w:pPr>
    </w:p>
    <w:p w14:paraId="1886EA10">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bookmarkStart w:id="287" w:name="_Toc5198"/>
      <w:bookmarkStart w:id="288" w:name="_Toc140565068"/>
      <w:bookmarkStart w:id="289" w:name="_Toc140565244"/>
      <w:bookmarkStart w:id="290" w:name="_Toc857"/>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lang w:val="en-US" w:eastAsia="zh-CN"/>
        </w:rPr>
        <w:t>技术</w:t>
      </w:r>
      <w:r>
        <w:rPr>
          <w:rFonts w:hint="eastAsia" w:ascii="仿宋" w:hAnsi="仿宋" w:eastAsia="仿宋" w:cs="仿宋"/>
          <w:color w:val="auto"/>
          <w:sz w:val="28"/>
          <w:szCs w:val="28"/>
          <w:highlight w:val="none"/>
        </w:rPr>
        <w:t>部分</w:t>
      </w:r>
      <w:bookmarkEnd w:id="287"/>
      <w:bookmarkEnd w:id="288"/>
      <w:bookmarkEnd w:id="289"/>
      <w:bookmarkEnd w:id="290"/>
    </w:p>
    <w:p w14:paraId="561671F3">
      <w:pPr>
        <w:pStyle w:val="4"/>
        <w:pageBreakBefore w:val="0"/>
        <w:overflowPunct/>
        <w:topLinePunct w:val="0"/>
        <w:bidi w:val="0"/>
        <w:spacing w:line="360" w:lineRule="auto"/>
        <w:jc w:val="center"/>
        <w:rPr>
          <w:rFonts w:hint="eastAsia" w:ascii="仿宋" w:hAnsi="仿宋" w:eastAsia="仿宋" w:cs="仿宋"/>
          <w:color w:val="auto"/>
          <w:sz w:val="24"/>
          <w:szCs w:val="24"/>
          <w:highlight w:val="none"/>
        </w:rPr>
      </w:pPr>
      <w:bookmarkStart w:id="291" w:name="_Toc140565069"/>
      <w:bookmarkStart w:id="292" w:name="_Toc9807"/>
      <w:r>
        <w:rPr>
          <w:rFonts w:hint="eastAsia" w:ascii="仿宋" w:hAnsi="仿宋" w:eastAsia="仿宋" w:cs="仿宋"/>
          <w:color w:val="auto"/>
          <w:sz w:val="24"/>
          <w:szCs w:val="24"/>
          <w:highlight w:val="none"/>
        </w:rPr>
        <w:t>1.</w:t>
      </w:r>
      <w:bookmarkEnd w:id="291"/>
      <w:bookmarkEnd w:id="292"/>
      <w:r>
        <w:rPr>
          <w:rFonts w:hint="eastAsia" w:ascii="仿宋" w:hAnsi="仿宋" w:eastAsia="仿宋" w:cs="仿宋"/>
          <w:color w:val="auto"/>
          <w:sz w:val="24"/>
          <w:szCs w:val="24"/>
          <w:highlight w:val="none"/>
        </w:rPr>
        <w:t>服务方案</w:t>
      </w:r>
    </w:p>
    <w:p w14:paraId="3B6A1F9D">
      <w:pPr>
        <w:pStyle w:val="12"/>
        <w:pageBreakBefore w:val="0"/>
        <w:overflowPunct/>
        <w:topLinePunct w:val="0"/>
        <w:bidi w:val="0"/>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（结合本文件“评标办法”要求及“第六章 采购需求及要求”进行描述。可使用表格、图片、文字等多种形式，格式自拟。）</w:t>
      </w:r>
    </w:p>
    <w:p w14:paraId="296BA12C">
      <w:pPr>
        <w:pStyle w:val="4"/>
        <w:pageBreakBefore w:val="0"/>
        <w:overflowPunct/>
        <w:topLinePunct w:val="0"/>
        <w:bidi w:val="0"/>
        <w:spacing w:before="0" w:after="0" w:line="360" w:lineRule="auto"/>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br w:type="page"/>
      </w:r>
      <w:bookmarkStart w:id="293" w:name="_Toc1699"/>
      <w:bookmarkStart w:id="294" w:name="_Toc140565071"/>
      <w:r>
        <w:rPr>
          <w:rFonts w:hint="eastAsia" w:ascii="仿宋" w:hAnsi="仿宋" w:eastAsia="仿宋" w:cs="仿宋"/>
          <w:color w:val="auto"/>
          <w:sz w:val="24"/>
          <w:szCs w:val="24"/>
          <w:highlight w:val="none"/>
        </w:rPr>
        <w:t>2.</w:t>
      </w:r>
      <w:bookmarkEnd w:id="293"/>
      <w:bookmarkEnd w:id="294"/>
      <w:r>
        <w:rPr>
          <w:rFonts w:hint="eastAsia" w:ascii="仿宋" w:hAnsi="仿宋" w:eastAsia="仿宋" w:cs="仿宋"/>
          <w:color w:val="auto"/>
          <w:sz w:val="24"/>
          <w:szCs w:val="24"/>
          <w:highlight w:val="none"/>
        </w:rPr>
        <w:t>人事管理措施</w:t>
      </w:r>
    </w:p>
    <w:p w14:paraId="7AE93269">
      <w:pPr>
        <w:pStyle w:val="12"/>
        <w:pageBreakBefore w:val="0"/>
        <w:overflowPunct/>
        <w:topLinePunct w:val="0"/>
        <w:bidi w:val="0"/>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（结合本文件“评标办法”要求及“第六章 采购需求及要求”进行描述。可使用表格、图片、文字等多种形式，格式自拟。）</w:t>
      </w:r>
    </w:p>
    <w:p w14:paraId="3B2ECD0C">
      <w:pPr>
        <w:pageBreakBefore w:val="0"/>
        <w:overflowPunct/>
        <w:topLinePunct w:val="0"/>
        <w:bidi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p>
    <w:p w14:paraId="62968768">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3.服务质量保证措施</w:t>
      </w:r>
    </w:p>
    <w:p w14:paraId="6A208C06">
      <w:pPr>
        <w:pStyle w:val="12"/>
        <w:pageBreakBefore w:val="0"/>
        <w:overflowPunct/>
        <w:topLinePunct w:val="0"/>
        <w:bidi w:val="0"/>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（结合本文件“评标办法”要求及“第六章 采购需求及要求”进行描述。可使用表格、图片、文字等多种形式，格式自拟。）</w:t>
      </w:r>
    </w:p>
    <w:p w14:paraId="01E74D3F">
      <w:pPr>
        <w:pageBreakBefore w:val="0"/>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0889F6B">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4.风险管理及控制</w:t>
      </w:r>
    </w:p>
    <w:p w14:paraId="3EE51CB5">
      <w:pPr>
        <w:pageBreakBefore w:val="0"/>
        <w:overflowPunct/>
        <w:topLinePunct w:val="0"/>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（结合本文件“评标办法”要求及“第六章 采购需求及要求”进行描述。可使用表格、图片、文字等多种形式，格式自拟。）</w:t>
      </w:r>
    </w:p>
    <w:p w14:paraId="7C0D351C">
      <w:pPr>
        <w:pageBreakBefore w:val="0"/>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9799A90">
      <w:pPr>
        <w:pStyle w:val="4"/>
        <w:pageBreakBefore w:val="0"/>
        <w:overflowPunct/>
        <w:topLinePunct w:val="0"/>
        <w:bidi w:val="0"/>
        <w:spacing w:line="360" w:lineRule="auto"/>
        <w:jc w:val="center"/>
        <w:rPr>
          <w:rFonts w:hint="eastAsia" w:ascii="仿宋" w:hAnsi="仿宋" w:eastAsia="仿宋" w:cs="仿宋"/>
          <w:color w:val="auto"/>
          <w:sz w:val="24"/>
          <w:szCs w:val="24"/>
          <w:highlight w:val="none"/>
        </w:rPr>
      </w:pPr>
      <w:bookmarkStart w:id="295" w:name="_Toc140565072"/>
      <w:bookmarkStart w:id="296" w:name="_Toc7345"/>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技术</w:t>
      </w:r>
      <w:r>
        <w:rPr>
          <w:rFonts w:hint="eastAsia" w:ascii="仿宋" w:hAnsi="仿宋" w:eastAsia="仿宋" w:cs="仿宋"/>
          <w:color w:val="auto"/>
          <w:sz w:val="24"/>
          <w:szCs w:val="24"/>
          <w:highlight w:val="none"/>
        </w:rPr>
        <w:t>部分其它资料</w:t>
      </w:r>
      <w:bookmarkEnd w:id="295"/>
      <w:bookmarkEnd w:id="296"/>
    </w:p>
    <w:p w14:paraId="7647A826">
      <w:pPr>
        <w:pageBreakBefore w:val="0"/>
        <w:overflowPunct/>
        <w:topLinePunct w:val="0"/>
        <w:bidi w:val="0"/>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（招标文件中规定的其它或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认为应该提供的其它资料）</w:t>
      </w:r>
    </w:p>
    <w:p w14:paraId="19E9BEE3">
      <w:pPr>
        <w:pageBreakBefore w:val="0"/>
        <w:overflowPunct/>
        <w:topLinePunct w:val="0"/>
        <w:bidi w:val="0"/>
        <w:spacing w:line="360" w:lineRule="auto"/>
        <w:rPr>
          <w:rFonts w:hint="eastAsia" w:ascii="仿宋" w:hAnsi="仿宋" w:eastAsia="仿宋" w:cs="仿宋"/>
          <w:color w:val="auto"/>
          <w:highlight w:val="none"/>
        </w:rPr>
      </w:pPr>
    </w:p>
    <w:p w14:paraId="73E26F4B">
      <w:pPr>
        <w:pageBreakBefore w:val="0"/>
        <w:overflowPunct/>
        <w:topLinePunct w:val="0"/>
        <w:bidi w:val="0"/>
        <w:spacing w:line="360" w:lineRule="auto"/>
        <w:rPr>
          <w:rFonts w:hint="eastAsia" w:ascii="仿宋" w:hAnsi="仿宋" w:eastAsia="仿宋" w:cs="仿宋"/>
          <w:color w:val="auto"/>
          <w:highlight w:val="none"/>
        </w:rPr>
      </w:pPr>
    </w:p>
    <w:p w14:paraId="0DDD1C68">
      <w:pPr>
        <w:pageBreakBefore w:val="0"/>
        <w:overflowPunct/>
        <w:topLinePunct w:val="0"/>
        <w:bidi w:val="0"/>
        <w:spacing w:line="360" w:lineRule="auto"/>
        <w:rPr>
          <w:rFonts w:hint="eastAsia" w:ascii="仿宋" w:hAnsi="仿宋" w:eastAsia="仿宋" w:cs="仿宋"/>
          <w:color w:val="auto"/>
          <w:highlight w:val="none"/>
        </w:rPr>
      </w:pPr>
    </w:p>
    <w:p w14:paraId="22D6C3F9">
      <w:pPr>
        <w:pageBreakBefore w:val="0"/>
        <w:overflowPunct/>
        <w:topLinePunct w:val="0"/>
        <w:bidi w:val="0"/>
        <w:spacing w:line="360" w:lineRule="auto"/>
        <w:rPr>
          <w:rFonts w:hint="eastAsia" w:ascii="仿宋" w:hAnsi="仿宋" w:eastAsia="仿宋" w:cs="仿宋"/>
          <w:color w:val="auto"/>
          <w:highlight w:val="none"/>
        </w:rPr>
      </w:pPr>
    </w:p>
    <w:p w14:paraId="616A891C">
      <w:pPr>
        <w:pageBreakBefore w:val="0"/>
        <w:overflowPunct/>
        <w:topLinePunct w:val="0"/>
        <w:bidi w:val="0"/>
        <w:spacing w:line="360" w:lineRule="auto"/>
        <w:rPr>
          <w:rFonts w:hint="eastAsia" w:ascii="仿宋" w:hAnsi="仿宋" w:eastAsia="仿宋" w:cs="仿宋"/>
          <w:color w:val="auto"/>
          <w:highlight w:val="none"/>
        </w:rPr>
      </w:pPr>
    </w:p>
    <w:p w14:paraId="4D58DA9C">
      <w:pPr>
        <w:pageBreakBefore w:val="0"/>
        <w:overflowPunct/>
        <w:topLinePunct w:val="0"/>
        <w:bidi w:val="0"/>
        <w:spacing w:line="360" w:lineRule="auto"/>
        <w:rPr>
          <w:rFonts w:hint="eastAsia" w:ascii="仿宋" w:hAnsi="仿宋" w:eastAsia="仿宋" w:cs="仿宋"/>
          <w:color w:val="auto"/>
          <w:highlight w:val="none"/>
        </w:rPr>
      </w:pPr>
    </w:p>
    <w:p w14:paraId="46D44A17">
      <w:pPr>
        <w:pageBreakBefore w:val="0"/>
        <w:overflowPunct/>
        <w:topLinePunct w:val="0"/>
        <w:bidi w:val="0"/>
        <w:spacing w:line="360" w:lineRule="auto"/>
        <w:rPr>
          <w:rFonts w:hint="eastAsia" w:ascii="仿宋" w:hAnsi="仿宋" w:eastAsia="仿宋" w:cs="仿宋"/>
          <w:color w:val="auto"/>
          <w:highlight w:val="none"/>
        </w:rPr>
      </w:pPr>
    </w:p>
    <w:p w14:paraId="65A22777">
      <w:pPr>
        <w:pageBreakBefore w:val="0"/>
        <w:overflowPunct/>
        <w:topLinePunct w:val="0"/>
        <w:bidi w:val="0"/>
        <w:spacing w:line="360" w:lineRule="auto"/>
        <w:rPr>
          <w:rFonts w:hint="eastAsia" w:ascii="仿宋" w:hAnsi="仿宋" w:eastAsia="仿宋" w:cs="仿宋"/>
          <w:color w:val="auto"/>
          <w:highlight w:val="none"/>
        </w:rPr>
      </w:pPr>
    </w:p>
    <w:p w14:paraId="43E3F034">
      <w:pPr>
        <w:pageBreakBefore w:val="0"/>
        <w:overflowPunct/>
        <w:topLinePunct w:val="0"/>
        <w:bidi w:val="0"/>
        <w:spacing w:line="360" w:lineRule="auto"/>
        <w:rPr>
          <w:rFonts w:hint="eastAsia" w:ascii="仿宋" w:hAnsi="仿宋" w:eastAsia="仿宋" w:cs="仿宋"/>
          <w:color w:val="auto"/>
          <w:highlight w:val="none"/>
        </w:rPr>
      </w:pPr>
    </w:p>
    <w:p w14:paraId="40445D17">
      <w:pPr>
        <w:pageBreakBefore w:val="0"/>
        <w:overflowPunct/>
        <w:topLinePunct w:val="0"/>
        <w:bidi w:val="0"/>
        <w:spacing w:line="360" w:lineRule="auto"/>
        <w:rPr>
          <w:rFonts w:hint="eastAsia" w:ascii="仿宋" w:hAnsi="仿宋" w:eastAsia="仿宋" w:cs="仿宋"/>
          <w:color w:val="auto"/>
          <w:highlight w:val="none"/>
        </w:rPr>
      </w:pPr>
    </w:p>
    <w:p w14:paraId="4CF508EC">
      <w:pPr>
        <w:pageBreakBefore w:val="0"/>
        <w:overflowPunct/>
        <w:topLinePunct w:val="0"/>
        <w:bidi w:val="0"/>
        <w:spacing w:line="360" w:lineRule="auto"/>
        <w:rPr>
          <w:rFonts w:hint="eastAsia" w:ascii="仿宋" w:hAnsi="仿宋" w:eastAsia="仿宋" w:cs="仿宋"/>
          <w:color w:val="auto"/>
          <w:highlight w:val="none"/>
        </w:rPr>
      </w:pPr>
    </w:p>
    <w:p w14:paraId="7C677C05">
      <w:pPr>
        <w:pageBreakBefore w:val="0"/>
        <w:overflowPunct/>
        <w:topLinePunct w:val="0"/>
        <w:bidi w:val="0"/>
        <w:spacing w:line="360" w:lineRule="auto"/>
        <w:rPr>
          <w:rFonts w:hint="eastAsia" w:ascii="仿宋" w:hAnsi="仿宋" w:eastAsia="仿宋" w:cs="仿宋"/>
          <w:color w:val="auto"/>
          <w:highlight w:val="none"/>
        </w:rPr>
      </w:pPr>
    </w:p>
    <w:p w14:paraId="7B203CBC">
      <w:pPr>
        <w:pageBreakBefore w:val="0"/>
        <w:overflowPunct/>
        <w:topLinePunct w:val="0"/>
        <w:bidi w:val="0"/>
        <w:spacing w:line="360" w:lineRule="auto"/>
        <w:rPr>
          <w:rFonts w:hint="eastAsia" w:ascii="仿宋" w:hAnsi="仿宋" w:eastAsia="仿宋" w:cs="仿宋"/>
          <w:color w:val="auto"/>
          <w:highlight w:val="none"/>
        </w:rPr>
      </w:pPr>
    </w:p>
    <w:p w14:paraId="3DB3E101">
      <w:pPr>
        <w:pageBreakBefore w:val="0"/>
        <w:overflowPunct/>
        <w:topLinePunct w:val="0"/>
        <w:bidi w:val="0"/>
        <w:spacing w:line="360" w:lineRule="auto"/>
        <w:rPr>
          <w:rFonts w:hint="eastAsia" w:ascii="仿宋" w:hAnsi="仿宋" w:eastAsia="仿宋" w:cs="仿宋"/>
          <w:color w:val="auto"/>
          <w:highlight w:val="none"/>
        </w:rPr>
      </w:pPr>
    </w:p>
    <w:p w14:paraId="1BCC2142">
      <w:pPr>
        <w:pageBreakBefore w:val="0"/>
        <w:overflowPunct/>
        <w:topLinePunct w:val="0"/>
        <w:bidi w:val="0"/>
        <w:spacing w:line="360" w:lineRule="auto"/>
        <w:rPr>
          <w:rFonts w:hint="eastAsia" w:ascii="仿宋" w:hAnsi="仿宋" w:eastAsia="仿宋" w:cs="仿宋"/>
          <w:color w:val="auto"/>
          <w:highlight w:val="none"/>
        </w:rPr>
      </w:pPr>
    </w:p>
    <w:p w14:paraId="107A6218">
      <w:pPr>
        <w:pageBreakBefore w:val="0"/>
        <w:overflowPunct/>
        <w:topLinePunct w:val="0"/>
        <w:bidi w:val="0"/>
        <w:spacing w:line="360" w:lineRule="auto"/>
        <w:rPr>
          <w:rFonts w:hint="eastAsia" w:ascii="仿宋" w:hAnsi="仿宋" w:eastAsia="仿宋" w:cs="仿宋"/>
          <w:color w:val="auto"/>
          <w:highlight w:val="none"/>
        </w:rPr>
      </w:pPr>
    </w:p>
    <w:p w14:paraId="2A801CCE">
      <w:pPr>
        <w:pageBreakBefore w:val="0"/>
        <w:overflowPunct/>
        <w:topLinePunct w:val="0"/>
        <w:bidi w:val="0"/>
        <w:spacing w:line="360" w:lineRule="auto"/>
        <w:rPr>
          <w:rFonts w:hint="eastAsia" w:ascii="仿宋" w:hAnsi="仿宋" w:eastAsia="仿宋" w:cs="仿宋"/>
          <w:color w:val="auto"/>
          <w:highlight w:val="none"/>
        </w:rPr>
      </w:pPr>
    </w:p>
    <w:p w14:paraId="3FA5C7E0">
      <w:pPr>
        <w:pageBreakBefore w:val="0"/>
        <w:overflowPunct/>
        <w:topLinePunct w:val="0"/>
        <w:bidi w:val="0"/>
        <w:spacing w:line="360" w:lineRule="auto"/>
        <w:rPr>
          <w:rFonts w:hint="eastAsia" w:ascii="仿宋" w:hAnsi="仿宋" w:eastAsia="仿宋" w:cs="仿宋"/>
          <w:color w:val="auto"/>
          <w:highlight w:val="none"/>
        </w:rPr>
      </w:pPr>
    </w:p>
    <w:p w14:paraId="4F398C9A">
      <w:pPr>
        <w:pageBreakBefore w:val="0"/>
        <w:overflowPunct/>
        <w:topLinePunct w:val="0"/>
        <w:bidi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877711C">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bookmarkStart w:id="297" w:name="_Toc9536"/>
      <w:bookmarkStart w:id="298" w:name="_Toc140565073"/>
      <w:bookmarkStart w:id="299" w:name="_Toc140565245"/>
      <w:bookmarkStart w:id="300" w:name="_Toc23916"/>
      <w:r>
        <w:rPr>
          <w:rFonts w:hint="eastAsia" w:ascii="仿宋" w:hAnsi="仿宋" w:eastAsia="仿宋" w:cs="仿宋"/>
          <w:color w:val="auto"/>
          <w:sz w:val="28"/>
          <w:szCs w:val="28"/>
          <w:highlight w:val="none"/>
        </w:rPr>
        <w:t>三、商务部分</w:t>
      </w:r>
      <w:bookmarkEnd w:id="297"/>
      <w:bookmarkEnd w:id="298"/>
      <w:bookmarkEnd w:id="299"/>
      <w:bookmarkEnd w:id="300"/>
    </w:p>
    <w:p w14:paraId="4F07B7CA">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301" w:name="_Toc140565074"/>
      <w:bookmarkStart w:id="302" w:name="_Toc6872"/>
      <w:r>
        <w:rPr>
          <w:rFonts w:hint="eastAsia" w:ascii="仿宋" w:hAnsi="仿宋" w:eastAsia="仿宋" w:cs="仿宋"/>
          <w:color w:val="auto"/>
          <w:sz w:val="24"/>
          <w:szCs w:val="24"/>
          <w:highlight w:val="none"/>
        </w:rPr>
        <w:t>1.开标一览表</w:t>
      </w:r>
      <w:bookmarkEnd w:id="301"/>
      <w:bookmarkEnd w:id="302"/>
    </w:p>
    <w:p w14:paraId="6D5B663C">
      <w:pPr>
        <w:pageBreakBefore w:val="0"/>
        <w:overflowPunct/>
        <w:topLinePunct w:val="0"/>
        <w:bidi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szCs w:val="24"/>
          <w:highlight w:val="none"/>
          <w:u w:val="single"/>
        </w:rPr>
        <w:t xml:space="preserve">      </w:t>
      </w:r>
    </w:p>
    <w:p w14:paraId="1A8ACB22">
      <w:pPr>
        <w:pageBreakBefore w:val="0"/>
        <w:overflowPunct/>
        <w:topLinePunct w:val="0"/>
        <w:bidi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06890560">
      <w:pPr>
        <w:pageBreakBefore w:val="0"/>
        <w:overflowPunct/>
        <w:topLinePunct w:val="0"/>
        <w:bidi w:val="0"/>
        <w:spacing w:line="360" w:lineRule="auto"/>
        <w:jc w:val="left"/>
        <w:rPr>
          <w:rFonts w:hint="eastAsia" w:ascii="仿宋" w:hAnsi="仿宋" w:eastAsia="仿宋" w:cs="仿宋"/>
          <w:bCs/>
          <w:color w:val="auto"/>
          <w:sz w:val="24"/>
          <w:szCs w:val="24"/>
          <w:highlight w:val="none"/>
          <w:u w:val="none"/>
        </w:rPr>
      </w:pPr>
      <w:r>
        <w:rPr>
          <w:rFonts w:hint="eastAsia" w:ascii="仿宋" w:hAnsi="仿宋" w:eastAsia="仿宋" w:cs="仿宋"/>
          <w:bCs/>
          <w:color w:val="auto"/>
          <w:sz w:val="24"/>
          <w:szCs w:val="24"/>
          <w:highlight w:val="none"/>
          <w:u w:val="none"/>
        </w:rPr>
        <w:t>货币及单位：人民币· 元</w:t>
      </w:r>
    </w:p>
    <w:tbl>
      <w:tblPr>
        <w:tblStyle w:val="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3"/>
        <w:gridCol w:w="7842"/>
      </w:tblGrid>
      <w:tr w14:paraId="2C8C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061" w:type="pct"/>
            <w:vMerge w:val="restart"/>
            <w:vAlign w:val="center"/>
          </w:tcPr>
          <w:p w14:paraId="6703E99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投标</w:t>
            </w:r>
            <w:r>
              <w:rPr>
                <w:rFonts w:hint="eastAsia" w:ascii="仿宋" w:hAnsi="仿宋" w:eastAsia="仿宋" w:cs="仿宋"/>
                <w:color w:val="auto"/>
                <w:spacing w:val="10"/>
                <w:sz w:val="24"/>
                <w:szCs w:val="24"/>
                <w:highlight w:val="none"/>
                <w:lang w:val="en-US" w:eastAsia="zh-CN"/>
              </w:rPr>
              <w:t>总</w:t>
            </w:r>
            <w:r>
              <w:rPr>
                <w:rFonts w:hint="eastAsia" w:ascii="仿宋" w:hAnsi="仿宋" w:eastAsia="仿宋" w:cs="仿宋"/>
                <w:color w:val="auto"/>
                <w:spacing w:val="10"/>
                <w:sz w:val="24"/>
                <w:szCs w:val="24"/>
                <w:highlight w:val="none"/>
              </w:rPr>
              <w:t>报价</w:t>
            </w:r>
          </w:p>
        </w:tc>
        <w:tc>
          <w:tcPr>
            <w:tcW w:w="3938" w:type="pct"/>
            <w:vAlign w:val="center"/>
          </w:tcPr>
          <w:p w14:paraId="4A2AD14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highlight w:val="none"/>
              </w:rPr>
            </w:pPr>
            <w:r>
              <w:rPr>
                <w:rFonts w:hint="eastAsia" w:ascii="仿宋" w:hAnsi="仿宋" w:eastAsia="仿宋" w:cs="仿宋"/>
                <w:color w:val="auto"/>
                <w:spacing w:val="10"/>
                <w:sz w:val="24"/>
                <w:szCs w:val="24"/>
                <w:highlight w:val="none"/>
              </w:rPr>
              <w:t>大写：</w:t>
            </w:r>
          </w:p>
        </w:tc>
      </w:tr>
      <w:tr w14:paraId="6AF92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1061" w:type="pct"/>
            <w:vMerge w:val="continue"/>
            <w:vAlign w:val="center"/>
          </w:tcPr>
          <w:p w14:paraId="19EC633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highlight w:val="none"/>
              </w:rPr>
            </w:pPr>
          </w:p>
        </w:tc>
        <w:tc>
          <w:tcPr>
            <w:tcW w:w="3938" w:type="pct"/>
            <w:vAlign w:val="center"/>
          </w:tcPr>
          <w:p w14:paraId="0F139E8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小写：</w:t>
            </w:r>
          </w:p>
        </w:tc>
      </w:tr>
      <w:tr w14:paraId="1AB4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1061" w:type="pct"/>
            <w:vAlign w:val="center"/>
          </w:tcPr>
          <w:p w14:paraId="39C6409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lang w:eastAsia="zh-CN"/>
              </w:rPr>
            </w:pPr>
            <w:r>
              <w:rPr>
                <w:rFonts w:hint="eastAsia" w:ascii="仿宋" w:hAnsi="仿宋" w:eastAsia="仿宋" w:cs="仿宋"/>
                <w:color w:val="auto"/>
                <w:sz w:val="24"/>
                <w:szCs w:val="24"/>
                <w:highlight w:val="none"/>
              </w:rPr>
              <w:t>合同履行期限</w:t>
            </w:r>
          </w:p>
        </w:tc>
        <w:tc>
          <w:tcPr>
            <w:tcW w:w="3938" w:type="pct"/>
            <w:vAlign w:val="center"/>
          </w:tcPr>
          <w:p w14:paraId="074B4B9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r w14:paraId="5025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1061" w:type="pct"/>
            <w:vAlign w:val="center"/>
          </w:tcPr>
          <w:p w14:paraId="2C43577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服务地点</w:t>
            </w:r>
          </w:p>
        </w:tc>
        <w:tc>
          <w:tcPr>
            <w:tcW w:w="3938" w:type="pct"/>
            <w:vAlign w:val="center"/>
          </w:tcPr>
          <w:p w14:paraId="6D543EB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pacing w:val="10"/>
                <w:sz w:val="24"/>
                <w:szCs w:val="24"/>
                <w:highlight w:val="none"/>
              </w:rPr>
            </w:pPr>
          </w:p>
        </w:tc>
      </w:tr>
      <w:tr w14:paraId="1348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1061" w:type="pct"/>
            <w:vAlign w:val="center"/>
          </w:tcPr>
          <w:p w14:paraId="165AB4D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项目范围</w:t>
            </w:r>
          </w:p>
        </w:tc>
        <w:tc>
          <w:tcPr>
            <w:tcW w:w="3938" w:type="pct"/>
            <w:vAlign w:val="center"/>
          </w:tcPr>
          <w:p w14:paraId="0D729DC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pacing w:val="10"/>
                <w:sz w:val="24"/>
                <w:szCs w:val="24"/>
                <w:highlight w:val="none"/>
              </w:rPr>
            </w:pPr>
          </w:p>
        </w:tc>
      </w:tr>
      <w:tr w14:paraId="7A656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8" w:hRule="atLeast"/>
          <w:jc w:val="center"/>
        </w:trPr>
        <w:tc>
          <w:tcPr>
            <w:tcW w:w="1061" w:type="pct"/>
            <w:vAlign w:val="center"/>
          </w:tcPr>
          <w:p w14:paraId="28C4380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服务质量要求</w:t>
            </w:r>
          </w:p>
        </w:tc>
        <w:tc>
          <w:tcPr>
            <w:tcW w:w="3938" w:type="pct"/>
            <w:vAlign w:val="center"/>
          </w:tcPr>
          <w:p w14:paraId="24A1B3F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pacing w:val="10"/>
                <w:sz w:val="24"/>
                <w:szCs w:val="24"/>
                <w:highlight w:val="none"/>
              </w:rPr>
            </w:pPr>
          </w:p>
        </w:tc>
      </w:tr>
      <w:tr w14:paraId="202D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061" w:type="pct"/>
            <w:vAlign w:val="center"/>
          </w:tcPr>
          <w:p w14:paraId="56FBBEF9">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r>
              <w:rPr>
                <w:rFonts w:hint="eastAsia" w:ascii="仿宋" w:hAnsi="仿宋" w:eastAsia="仿宋" w:cs="仿宋"/>
                <w:color w:val="auto"/>
                <w:spacing w:val="10"/>
                <w:sz w:val="24"/>
                <w:szCs w:val="24"/>
                <w:highlight w:val="none"/>
              </w:rPr>
              <w:t>其他说明</w:t>
            </w:r>
          </w:p>
        </w:tc>
        <w:tc>
          <w:tcPr>
            <w:tcW w:w="3938" w:type="pct"/>
            <w:vAlign w:val="center"/>
          </w:tcPr>
          <w:p w14:paraId="56163C1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pacing w:val="10"/>
                <w:sz w:val="24"/>
                <w:szCs w:val="24"/>
                <w:highlight w:val="none"/>
              </w:rPr>
            </w:pPr>
          </w:p>
        </w:tc>
      </w:tr>
    </w:tbl>
    <w:p w14:paraId="23F2167F">
      <w:pPr>
        <w:pageBreakBefore w:val="0"/>
        <w:overflowPunct/>
        <w:topLinePunct w:val="0"/>
        <w:bidi w:val="0"/>
        <w:spacing w:line="360" w:lineRule="auto"/>
        <w:rPr>
          <w:rFonts w:hint="eastAsia" w:ascii="仿宋" w:hAnsi="仿宋" w:eastAsia="仿宋" w:cs="仿宋"/>
          <w:b/>
          <w:color w:val="auto"/>
          <w:spacing w:val="10"/>
          <w:sz w:val="24"/>
          <w:szCs w:val="24"/>
          <w:highlight w:val="none"/>
          <w:lang w:eastAsia="zh-CN"/>
        </w:rPr>
      </w:pPr>
      <w:r>
        <w:rPr>
          <w:rFonts w:hint="eastAsia" w:ascii="仿宋" w:hAnsi="仿宋" w:eastAsia="仿宋" w:cs="仿宋"/>
          <w:b/>
          <w:color w:val="auto"/>
          <w:spacing w:val="10"/>
          <w:sz w:val="24"/>
          <w:szCs w:val="24"/>
          <w:highlight w:val="none"/>
        </w:rPr>
        <w:t>注：此表中的投标报价即为最终报价，不允许另有折扣说明</w:t>
      </w:r>
      <w:r>
        <w:rPr>
          <w:rFonts w:hint="eastAsia" w:ascii="仿宋" w:hAnsi="仿宋" w:eastAsia="仿宋" w:cs="仿宋"/>
          <w:b/>
          <w:color w:val="auto"/>
          <w:spacing w:val="10"/>
          <w:sz w:val="24"/>
          <w:szCs w:val="24"/>
          <w:highlight w:val="none"/>
          <w:lang w:eastAsia="zh-CN"/>
        </w:rPr>
        <w:t>。</w:t>
      </w:r>
    </w:p>
    <w:p w14:paraId="658A3E7F">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59B3ED11">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599470E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________________________</w:t>
      </w:r>
    </w:p>
    <w:p w14:paraId="24B6C88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bookmarkStart w:id="303" w:name="_Toc21425"/>
    </w:p>
    <w:p w14:paraId="1E24C5E5">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.分项报价表</w:t>
      </w:r>
    </w:p>
    <w:p w14:paraId="202BBD29">
      <w:pPr>
        <w:pageBreakBefore w:val="0"/>
        <w:overflowPunct/>
        <w:topLinePunct w:val="0"/>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 xml:space="preserve">                                                           </w:t>
      </w:r>
    </w:p>
    <w:p w14:paraId="7457A73E">
      <w:pPr>
        <w:pageBreakBefore w:val="0"/>
        <w:overflowPunct/>
        <w:topLinePunct w:val="0"/>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     </w:t>
      </w:r>
    </w:p>
    <w:tbl>
      <w:tblPr>
        <w:tblStyle w:val="3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961"/>
        <w:gridCol w:w="605"/>
        <w:gridCol w:w="987"/>
        <w:gridCol w:w="1608"/>
        <w:gridCol w:w="1610"/>
        <w:gridCol w:w="1598"/>
        <w:gridCol w:w="1624"/>
      </w:tblGrid>
      <w:tr w14:paraId="1926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41767134">
            <w:pPr>
              <w:keepNext w:val="0"/>
              <w:keepLines w:val="0"/>
              <w:pageBreakBefore w:val="0"/>
              <w:suppressLineNumbers w:val="0"/>
              <w:overflowPunct/>
              <w:topLinePunct w:val="0"/>
              <w:bidi w:val="0"/>
              <w:spacing w:before="120" w:beforeLines="50" w:beforeAutospacing="0" w:after="120" w:afterLines="5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483" w:type="pct"/>
            <w:shd w:val="clear" w:color="auto" w:fill="FFFFFF"/>
            <w:noWrap w:val="0"/>
            <w:vAlign w:val="center"/>
          </w:tcPr>
          <w:p w14:paraId="4FE9CC1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品名</w:t>
            </w:r>
          </w:p>
        </w:tc>
        <w:tc>
          <w:tcPr>
            <w:tcW w:w="304" w:type="pct"/>
            <w:shd w:val="clear" w:color="auto" w:fill="FFFFFF"/>
            <w:noWrap w:val="0"/>
            <w:vAlign w:val="center"/>
          </w:tcPr>
          <w:p w14:paraId="16D45CA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单位</w:t>
            </w:r>
          </w:p>
        </w:tc>
        <w:tc>
          <w:tcPr>
            <w:tcW w:w="496" w:type="pct"/>
            <w:noWrap w:val="0"/>
            <w:vAlign w:val="center"/>
          </w:tcPr>
          <w:p w14:paraId="10EEF52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控制    单价</w:t>
            </w:r>
          </w:p>
        </w:tc>
        <w:tc>
          <w:tcPr>
            <w:tcW w:w="808" w:type="pct"/>
            <w:noWrap w:val="0"/>
            <w:vAlign w:val="center"/>
          </w:tcPr>
          <w:p w14:paraId="10D5C97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单价报价（元）</w:t>
            </w:r>
          </w:p>
        </w:tc>
        <w:tc>
          <w:tcPr>
            <w:tcW w:w="809" w:type="pct"/>
            <w:noWrap w:val="0"/>
            <w:vAlign w:val="center"/>
          </w:tcPr>
          <w:p w14:paraId="7E5A598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数量</w:t>
            </w:r>
          </w:p>
        </w:tc>
        <w:tc>
          <w:tcPr>
            <w:tcW w:w="803" w:type="pct"/>
            <w:noWrap w:val="0"/>
            <w:vAlign w:val="center"/>
          </w:tcPr>
          <w:p w14:paraId="0B8DFDB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合计金额（元）</w:t>
            </w:r>
          </w:p>
        </w:tc>
        <w:tc>
          <w:tcPr>
            <w:tcW w:w="810" w:type="pct"/>
            <w:noWrap w:val="0"/>
            <w:vAlign w:val="center"/>
          </w:tcPr>
          <w:p w14:paraId="671E71B5">
            <w:pPr>
              <w:keepNext w:val="0"/>
              <w:keepLines w:val="0"/>
              <w:pageBreakBefore w:val="0"/>
              <w:suppressLineNumbers w:val="0"/>
              <w:overflowPunct/>
              <w:topLinePunct w:val="0"/>
              <w:bidi w:val="0"/>
              <w:spacing w:before="120" w:beforeLines="50" w:beforeAutospacing="0" w:after="120" w:afterLines="5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40DD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9EFC851">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5AADB9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枕套</w:t>
            </w:r>
          </w:p>
        </w:tc>
        <w:tc>
          <w:tcPr>
            <w:tcW w:w="304" w:type="pct"/>
            <w:shd w:val="clear" w:color="auto" w:fill="FFFFFF"/>
            <w:noWrap w:val="0"/>
            <w:vAlign w:val="center"/>
          </w:tcPr>
          <w:p w14:paraId="02DC533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A1679A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0.83</w:t>
            </w:r>
          </w:p>
        </w:tc>
        <w:tc>
          <w:tcPr>
            <w:tcW w:w="808" w:type="pct"/>
            <w:shd w:val="clear" w:color="auto" w:fill="FFFFFF"/>
            <w:noWrap w:val="0"/>
            <w:vAlign w:val="center"/>
          </w:tcPr>
          <w:p w14:paraId="26E45C3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B6B452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116742</w:t>
            </w:r>
          </w:p>
        </w:tc>
        <w:tc>
          <w:tcPr>
            <w:tcW w:w="803" w:type="pct"/>
            <w:noWrap w:val="0"/>
            <w:vAlign w:val="center"/>
          </w:tcPr>
          <w:p w14:paraId="02132BB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center"/>
          </w:tcPr>
          <w:p w14:paraId="0B6AC1A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2CA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CC82D1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5EE3CC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被套</w:t>
            </w:r>
          </w:p>
        </w:tc>
        <w:tc>
          <w:tcPr>
            <w:tcW w:w="304" w:type="pct"/>
            <w:shd w:val="clear" w:color="auto" w:fill="FFFFFF"/>
            <w:noWrap w:val="0"/>
            <w:vAlign w:val="center"/>
          </w:tcPr>
          <w:p w14:paraId="2E3404F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0B8C69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3.3</w:t>
            </w:r>
          </w:p>
        </w:tc>
        <w:tc>
          <w:tcPr>
            <w:tcW w:w="808" w:type="pct"/>
            <w:shd w:val="clear" w:color="auto" w:fill="FFFFFF"/>
            <w:noWrap w:val="0"/>
            <w:vAlign w:val="center"/>
          </w:tcPr>
          <w:p w14:paraId="4CD02EE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FB6A12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139263</w:t>
            </w:r>
          </w:p>
        </w:tc>
        <w:tc>
          <w:tcPr>
            <w:tcW w:w="803" w:type="pct"/>
            <w:noWrap w:val="0"/>
            <w:vAlign w:val="center"/>
          </w:tcPr>
          <w:p w14:paraId="7E27CA4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center"/>
          </w:tcPr>
          <w:p w14:paraId="0AD63E7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4F3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7BFB965">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864A2B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大单</w:t>
            </w:r>
          </w:p>
        </w:tc>
        <w:tc>
          <w:tcPr>
            <w:tcW w:w="304" w:type="pct"/>
            <w:shd w:val="clear" w:color="auto" w:fill="FFFFFF"/>
            <w:noWrap w:val="0"/>
            <w:vAlign w:val="center"/>
          </w:tcPr>
          <w:p w14:paraId="3C7971D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7A341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2.5</w:t>
            </w:r>
          </w:p>
        </w:tc>
        <w:tc>
          <w:tcPr>
            <w:tcW w:w="808" w:type="pct"/>
            <w:shd w:val="clear" w:color="auto" w:fill="FFFFFF"/>
            <w:noWrap w:val="0"/>
            <w:vAlign w:val="center"/>
          </w:tcPr>
          <w:p w14:paraId="3D19DB0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DECAA4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218721</w:t>
            </w:r>
          </w:p>
        </w:tc>
        <w:tc>
          <w:tcPr>
            <w:tcW w:w="803" w:type="pct"/>
            <w:noWrap w:val="0"/>
            <w:vAlign w:val="top"/>
          </w:tcPr>
          <w:p w14:paraId="7BC974C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020F3DB">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F63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5161E632">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9D17A4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中单</w:t>
            </w:r>
          </w:p>
        </w:tc>
        <w:tc>
          <w:tcPr>
            <w:tcW w:w="304" w:type="pct"/>
            <w:shd w:val="clear" w:color="auto" w:fill="FFFFFF"/>
            <w:noWrap w:val="0"/>
            <w:vAlign w:val="center"/>
          </w:tcPr>
          <w:p w14:paraId="0F86A73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0344CB2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1.73</w:t>
            </w:r>
          </w:p>
        </w:tc>
        <w:tc>
          <w:tcPr>
            <w:tcW w:w="808" w:type="pct"/>
            <w:shd w:val="clear" w:color="auto" w:fill="FFFFFF"/>
            <w:noWrap w:val="0"/>
            <w:vAlign w:val="center"/>
          </w:tcPr>
          <w:p w14:paraId="1F21A74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CDD07A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67104</w:t>
            </w:r>
          </w:p>
        </w:tc>
        <w:tc>
          <w:tcPr>
            <w:tcW w:w="803" w:type="pct"/>
            <w:noWrap w:val="0"/>
            <w:vAlign w:val="top"/>
          </w:tcPr>
          <w:p w14:paraId="0CED2AA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0DDE925">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C57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870A5CA">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E6FA34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毛毯</w:t>
            </w:r>
          </w:p>
        </w:tc>
        <w:tc>
          <w:tcPr>
            <w:tcW w:w="304" w:type="pct"/>
            <w:shd w:val="clear" w:color="auto" w:fill="FFFFFF"/>
            <w:noWrap w:val="0"/>
            <w:vAlign w:val="center"/>
          </w:tcPr>
          <w:p w14:paraId="4F2817F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991EA1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w:t>
            </w:r>
          </w:p>
        </w:tc>
        <w:tc>
          <w:tcPr>
            <w:tcW w:w="808" w:type="pct"/>
            <w:shd w:val="clear" w:color="auto" w:fill="FFFFFF"/>
            <w:noWrap w:val="0"/>
            <w:vAlign w:val="center"/>
          </w:tcPr>
          <w:p w14:paraId="35591C0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153606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560FEC6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93CF4B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3C8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A0A53C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lang w:val="en-US" w:eastAsia="zh-CN"/>
              </w:rPr>
            </w:pPr>
          </w:p>
        </w:tc>
        <w:tc>
          <w:tcPr>
            <w:tcW w:w="483" w:type="pct"/>
            <w:shd w:val="clear" w:color="auto" w:fill="FFFFFF"/>
            <w:noWrap w:val="0"/>
            <w:vAlign w:val="center"/>
          </w:tcPr>
          <w:p w14:paraId="6B8B21D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车套</w:t>
            </w:r>
          </w:p>
        </w:tc>
        <w:tc>
          <w:tcPr>
            <w:tcW w:w="304" w:type="pct"/>
            <w:shd w:val="clear" w:color="auto" w:fill="FFFFFF"/>
            <w:noWrap w:val="0"/>
            <w:vAlign w:val="center"/>
          </w:tcPr>
          <w:p w14:paraId="70D8BB9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8E0029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w:t>
            </w:r>
          </w:p>
        </w:tc>
        <w:tc>
          <w:tcPr>
            <w:tcW w:w="808" w:type="pct"/>
            <w:shd w:val="clear" w:color="auto" w:fill="FFFFFF"/>
            <w:noWrap w:val="0"/>
            <w:vAlign w:val="center"/>
          </w:tcPr>
          <w:p w14:paraId="737CB3E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F0F360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582</w:t>
            </w:r>
          </w:p>
        </w:tc>
        <w:tc>
          <w:tcPr>
            <w:tcW w:w="803" w:type="pct"/>
            <w:noWrap w:val="0"/>
            <w:vAlign w:val="top"/>
          </w:tcPr>
          <w:p w14:paraId="07E415A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F3C8B6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9D6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5AF2191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lang w:val="en-US" w:eastAsia="zh-CN"/>
              </w:rPr>
            </w:pPr>
          </w:p>
        </w:tc>
        <w:tc>
          <w:tcPr>
            <w:tcW w:w="483" w:type="pct"/>
            <w:shd w:val="clear" w:color="auto" w:fill="FFFFFF"/>
            <w:noWrap w:val="0"/>
            <w:vAlign w:val="center"/>
          </w:tcPr>
          <w:p w14:paraId="4714026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床套</w:t>
            </w:r>
          </w:p>
        </w:tc>
        <w:tc>
          <w:tcPr>
            <w:tcW w:w="304" w:type="pct"/>
            <w:shd w:val="clear" w:color="auto" w:fill="FFFFFF"/>
            <w:noWrap w:val="0"/>
            <w:vAlign w:val="center"/>
          </w:tcPr>
          <w:p w14:paraId="3CE58C3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20CF5C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2.6</w:t>
            </w:r>
          </w:p>
        </w:tc>
        <w:tc>
          <w:tcPr>
            <w:tcW w:w="808" w:type="pct"/>
            <w:shd w:val="clear" w:color="auto" w:fill="FFFFFF"/>
            <w:noWrap w:val="0"/>
            <w:vAlign w:val="center"/>
          </w:tcPr>
          <w:p w14:paraId="4CA2487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2209CE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32556</w:t>
            </w:r>
          </w:p>
        </w:tc>
        <w:tc>
          <w:tcPr>
            <w:tcW w:w="803" w:type="pct"/>
            <w:noWrap w:val="0"/>
            <w:vAlign w:val="top"/>
          </w:tcPr>
          <w:p w14:paraId="5739680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9EB47A1">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D11C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6FB81AE">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lang w:val="en-US" w:eastAsia="zh-CN"/>
              </w:rPr>
            </w:pPr>
          </w:p>
        </w:tc>
        <w:tc>
          <w:tcPr>
            <w:tcW w:w="483" w:type="pct"/>
            <w:shd w:val="clear" w:color="auto" w:fill="FFFFFF"/>
            <w:noWrap w:val="0"/>
            <w:vAlign w:val="center"/>
          </w:tcPr>
          <w:p w14:paraId="41C88FB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机器套</w:t>
            </w:r>
          </w:p>
        </w:tc>
        <w:tc>
          <w:tcPr>
            <w:tcW w:w="304" w:type="pct"/>
            <w:shd w:val="clear" w:color="auto" w:fill="FFFFFF"/>
            <w:noWrap w:val="0"/>
            <w:vAlign w:val="center"/>
          </w:tcPr>
          <w:p w14:paraId="02C396D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69C6CA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w:t>
            </w:r>
          </w:p>
        </w:tc>
        <w:tc>
          <w:tcPr>
            <w:tcW w:w="808" w:type="pct"/>
            <w:shd w:val="clear" w:color="auto" w:fill="FFFFFF"/>
            <w:noWrap w:val="0"/>
            <w:vAlign w:val="center"/>
          </w:tcPr>
          <w:p w14:paraId="2CB75FA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AC5ABE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w:t>
            </w:r>
          </w:p>
        </w:tc>
        <w:tc>
          <w:tcPr>
            <w:tcW w:w="803" w:type="pct"/>
            <w:noWrap w:val="0"/>
            <w:vAlign w:val="top"/>
          </w:tcPr>
          <w:p w14:paraId="3487003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12FC49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9D7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57B8824">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lang w:val="en-US" w:eastAsia="zh-CN"/>
              </w:rPr>
            </w:pPr>
          </w:p>
        </w:tc>
        <w:tc>
          <w:tcPr>
            <w:tcW w:w="483" w:type="pct"/>
            <w:shd w:val="clear" w:color="auto" w:fill="FFFFFF"/>
            <w:noWrap w:val="0"/>
            <w:vAlign w:val="center"/>
          </w:tcPr>
          <w:p w14:paraId="6268026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脚套</w:t>
            </w:r>
          </w:p>
        </w:tc>
        <w:tc>
          <w:tcPr>
            <w:tcW w:w="304" w:type="pct"/>
            <w:shd w:val="clear" w:color="auto" w:fill="FFFFFF"/>
            <w:noWrap w:val="0"/>
            <w:vAlign w:val="center"/>
          </w:tcPr>
          <w:p w14:paraId="5F30081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34AF89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0.45</w:t>
            </w:r>
          </w:p>
        </w:tc>
        <w:tc>
          <w:tcPr>
            <w:tcW w:w="808" w:type="pct"/>
            <w:shd w:val="clear" w:color="auto" w:fill="FFFFFF"/>
            <w:noWrap w:val="0"/>
            <w:vAlign w:val="center"/>
          </w:tcPr>
          <w:p w14:paraId="7F434EE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C5365F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1550</w:t>
            </w:r>
          </w:p>
        </w:tc>
        <w:tc>
          <w:tcPr>
            <w:tcW w:w="803" w:type="pct"/>
            <w:noWrap w:val="0"/>
            <w:vAlign w:val="top"/>
          </w:tcPr>
          <w:p w14:paraId="7E8B944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8A5AAD6">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9444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4B615BB7">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E5E236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毛毯套</w:t>
            </w:r>
          </w:p>
        </w:tc>
        <w:tc>
          <w:tcPr>
            <w:tcW w:w="304" w:type="pct"/>
            <w:shd w:val="clear" w:color="auto" w:fill="FFFFFF"/>
            <w:noWrap w:val="0"/>
            <w:vAlign w:val="center"/>
          </w:tcPr>
          <w:p w14:paraId="6302EF3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EC3FBD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2.5</w:t>
            </w:r>
          </w:p>
        </w:tc>
        <w:tc>
          <w:tcPr>
            <w:tcW w:w="808" w:type="pct"/>
            <w:shd w:val="clear" w:color="auto" w:fill="FFFFFF"/>
            <w:noWrap w:val="0"/>
            <w:vAlign w:val="center"/>
          </w:tcPr>
          <w:p w14:paraId="19E074D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3D5B47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w:t>
            </w:r>
          </w:p>
        </w:tc>
        <w:tc>
          <w:tcPr>
            <w:tcW w:w="803" w:type="pct"/>
            <w:noWrap w:val="0"/>
            <w:vAlign w:val="top"/>
          </w:tcPr>
          <w:p w14:paraId="5A6B706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A9B01F6">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7B8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C2A444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B9AD59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纱布套</w:t>
            </w:r>
          </w:p>
        </w:tc>
        <w:tc>
          <w:tcPr>
            <w:tcW w:w="304" w:type="pct"/>
            <w:shd w:val="clear" w:color="auto" w:fill="FFFFFF"/>
            <w:noWrap w:val="0"/>
            <w:vAlign w:val="center"/>
          </w:tcPr>
          <w:p w14:paraId="14DF8DA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059E48C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0.8</w:t>
            </w:r>
          </w:p>
        </w:tc>
        <w:tc>
          <w:tcPr>
            <w:tcW w:w="808" w:type="pct"/>
            <w:shd w:val="clear" w:color="auto" w:fill="FFFFFF"/>
            <w:noWrap w:val="0"/>
            <w:vAlign w:val="center"/>
          </w:tcPr>
          <w:p w14:paraId="2B8F5F6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F32E42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3089E9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7AB2EC21">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57F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ADA8165">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6E84AE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纱发套</w:t>
            </w:r>
          </w:p>
        </w:tc>
        <w:tc>
          <w:tcPr>
            <w:tcW w:w="304" w:type="pct"/>
            <w:shd w:val="clear" w:color="auto" w:fill="FFFFFF"/>
            <w:noWrap w:val="0"/>
            <w:vAlign w:val="center"/>
          </w:tcPr>
          <w:p w14:paraId="3D75C7C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31ED93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w:t>
            </w:r>
          </w:p>
        </w:tc>
        <w:tc>
          <w:tcPr>
            <w:tcW w:w="808" w:type="pct"/>
            <w:shd w:val="clear" w:color="auto" w:fill="FFFFFF"/>
            <w:noWrap w:val="0"/>
            <w:vAlign w:val="center"/>
          </w:tcPr>
          <w:p w14:paraId="0C1B96A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D3F13A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50</w:t>
            </w:r>
          </w:p>
        </w:tc>
        <w:tc>
          <w:tcPr>
            <w:tcW w:w="803" w:type="pct"/>
            <w:noWrap w:val="0"/>
            <w:vAlign w:val="top"/>
          </w:tcPr>
          <w:p w14:paraId="1BFFDB5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EF3D61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C56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E0FFEE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E375A8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小被套</w:t>
            </w:r>
          </w:p>
        </w:tc>
        <w:tc>
          <w:tcPr>
            <w:tcW w:w="304" w:type="pct"/>
            <w:shd w:val="clear" w:color="auto" w:fill="FFFFFF"/>
            <w:noWrap w:val="0"/>
            <w:vAlign w:val="center"/>
          </w:tcPr>
          <w:p w14:paraId="4DF7123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DBBEB6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1.8</w:t>
            </w:r>
          </w:p>
        </w:tc>
        <w:tc>
          <w:tcPr>
            <w:tcW w:w="808" w:type="pct"/>
            <w:shd w:val="clear" w:color="auto" w:fill="FFFFFF"/>
            <w:noWrap w:val="0"/>
            <w:vAlign w:val="center"/>
          </w:tcPr>
          <w:p w14:paraId="672D6FD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9F0D35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15314</w:t>
            </w:r>
          </w:p>
        </w:tc>
        <w:tc>
          <w:tcPr>
            <w:tcW w:w="803" w:type="pct"/>
            <w:noWrap w:val="0"/>
            <w:vAlign w:val="top"/>
          </w:tcPr>
          <w:p w14:paraId="6DD8860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CCD2915">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1EA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45AB82B0">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003B7D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氧气套</w:t>
            </w:r>
          </w:p>
        </w:tc>
        <w:tc>
          <w:tcPr>
            <w:tcW w:w="304" w:type="pct"/>
            <w:shd w:val="clear" w:color="auto" w:fill="FFFFFF"/>
            <w:noWrap w:val="0"/>
            <w:vAlign w:val="center"/>
          </w:tcPr>
          <w:p w14:paraId="6A63C8D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FAA5F7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0.92</w:t>
            </w:r>
          </w:p>
        </w:tc>
        <w:tc>
          <w:tcPr>
            <w:tcW w:w="808" w:type="pct"/>
            <w:shd w:val="clear" w:color="auto" w:fill="FFFFFF"/>
            <w:noWrap w:val="0"/>
            <w:vAlign w:val="center"/>
          </w:tcPr>
          <w:p w14:paraId="0A22E7D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17AE6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39</w:t>
            </w:r>
          </w:p>
        </w:tc>
        <w:tc>
          <w:tcPr>
            <w:tcW w:w="803" w:type="pct"/>
            <w:noWrap w:val="0"/>
            <w:vAlign w:val="top"/>
          </w:tcPr>
          <w:p w14:paraId="2AD14FD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C0ADD44">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E4D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706A527">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CF9427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椅子套</w:t>
            </w:r>
          </w:p>
        </w:tc>
        <w:tc>
          <w:tcPr>
            <w:tcW w:w="304" w:type="pct"/>
            <w:shd w:val="clear" w:color="auto" w:fill="FFFFFF"/>
            <w:noWrap w:val="0"/>
            <w:vAlign w:val="center"/>
          </w:tcPr>
          <w:p w14:paraId="218AFC9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E4B8B4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0.92</w:t>
            </w:r>
          </w:p>
        </w:tc>
        <w:tc>
          <w:tcPr>
            <w:tcW w:w="808" w:type="pct"/>
            <w:shd w:val="clear" w:color="auto" w:fill="FFFFFF"/>
            <w:noWrap w:val="0"/>
            <w:vAlign w:val="center"/>
          </w:tcPr>
          <w:p w14:paraId="2A1C03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2D50D0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w:t>
            </w:r>
          </w:p>
        </w:tc>
        <w:tc>
          <w:tcPr>
            <w:tcW w:w="803" w:type="pct"/>
            <w:noWrap w:val="0"/>
            <w:vAlign w:val="top"/>
          </w:tcPr>
          <w:p w14:paraId="631E131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0F63EC2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AE4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7CED29A">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E86F7A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氧气袋</w:t>
            </w:r>
          </w:p>
        </w:tc>
        <w:tc>
          <w:tcPr>
            <w:tcW w:w="304" w:type="pct"/>
            <w:shd w:val="clear" w:color="auto" w:fill="FFFFFF"/>
            <w:noWrap w:val="0"/>
            <w:vAlign w:val="center"/>
          </w:tcPr>
          <w:p w14:paraId="4A5FD1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3E3778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0.92</w:t>
            </w:r>
          </w:p>
        </w:tc>
        <w:tc>
          <w:tcPr>
            <w:tcW w:w="808" w:type="pct"/>
            <w:shd w:val="clear" w:color="auto" w:fill="FFFFFF"/>
            <w:noWrap w:val="0"/>
            <w:vAlign w:val="center"/>
          </w:tcPr>
          <w:p w14:paraId="02EBF51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3FE90C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w:t>
            </w:r>
          </w:p>
        </w:tc>
        <w:tc>
          <w:tcPr>
            <w:tcW w:w="803" w:type="pct"/>
            <w:noWrap w:val="0"/>
            <w:vAlign w:val="top"/>
          </w:tcPr>
          <w:p w14:paraId="6AB402F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3884BA3">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D1A5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D7A4849">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6B65479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婴儿衣</w:t>
            </w:r>
          </w:p>
        </w:tc>
        <w:tc>
          <w:tcPr>
            <w:tcW w:w="304" w:type="pct"/>
            <w:shd w:val="clear" w:color="auto" w:fill="FFFFFF"/>
            <w:noWrap w:val="0"/>
            <w:vAlign w:val="center"/>
          </w:tcPr>
          <w:p w14:paraId="70B1F9F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4532CC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0.58</w:t>
            </w:r>
          </w:p>
        </w:tc>
        <w:tc>
          <w:tcPr>
            <w:tcW w:w="808" w:type="pct"/>
            <w:shd w:val="clear" w:color="auto" w:fill="FFFFFF"/>
            <w:noWrap w:val="0"/>
            <w:vAlign w:val="center"/>
          </w:tcPr>
          <w:p w14:paraId="3FAD316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4990FE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19580</w:t>
            </w:r>
          </w:p>
        </w:tc>
        <w:tc>
          <w:tcPr>
            <w:tcW w:w="803" w:type="pct"/>
            <w:noWrap w:val="0"/>
            <w:vAlign w:val="top"/>
          </w:tcPr>
          <w:p w14:paraId="00AA618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A49FA67">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C0E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5441A69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B53888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绒衣</w:t>
            </w:r>
          </w:p>
        </w:tc>
        <w:tc>
          <w:tcPr>
            <w:tcW w:w="304" w:type="pct"/>
            <w:shd w:val="clear" w:color="auto" w:fill="FFFFFF"/>
            <w:noWrap w:val="0"/>
            <w:vAlign w:val="center"/>
          </w:tcPr>
          <w:p w14:paraId="6AEE02E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141FBC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2.88</w:t>
            </w:r>
          </w:p>
        </w:tc>
        <w:tc>
          <w:tcPr>
            <w:tcW w:w="808" w:type="pct"/>
            <w:shd w:val="clear" w:color="auto" w:fill="FFFFFF"/>
            <w:noWrap w:val="0"/>
            <w:vAlign w:val="center"/>
          </w:tcPr>
          <w:p w14:paraId="48F6CFB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029D2D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245</w:t>
            </w:r>
          </w:p>
        </w:tc>
        <w:tc>
          <w:tcPr>
            <w:tcW w:w="803" w:type="pct"/>
            <w:noWrap w:val="0"/>
            <w:vAlign w:val="top"/>
          </w:tcPr>
          <w:p w14:paraId="3342DEA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DFA6EC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7A74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D54274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7578D1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绒裤</w:t>
            </w:r>
          </w:p>
        </w:tc>
        <w:tc>
          <w:tcPr>
            <w:tcW w:w="304" w:type="pct"/>
            <w:shd w:val="clear" w:color="auto" w:fill="FFFFFF"/>
            <w:noWrap w:val="0"/>
            <w:vAlign w:val="center"/>
          </w:tcPr>
          <w:p w14:paraId="2325E14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66021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1.52</w:t>
            </w:r>
          </w:p>
        </w:tc>
        <w:tc>
          <w:tcPr>
            <w:tcW w:w="808" w:type="pct"/>
            <w:shd w:val="clear" w:color="auto" w:fill="FFFFFF"/>
            <w:noWrap w:val="0"/>
            <w:vAlign w:val="center"/>
          </w:tcPr>
          <w:p w14:paraId="5E3717C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76CBD0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245</w:t>
            </w:r>
          </w:p>
        </w:tc>
        <w:tc>
          <w:tcPr>
            <w:tcW w:w="803" w:type="pct"/>
            <w:noWrap w:val="0"/>
            <w:vAlign w:val="top"/>
          </w:tcPr>
          <w:p w14:paraId="55335A9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A4D19B9">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937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47F0B0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CCA2D8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工作服</w:t>
            </w:r>
          </w:p>
        </w:tc>
        <w:tc>
          <w:tcPr>
            <w:tcW w:w="304" w:type="pct"/>
            <w:shd w:val="clear" w:color="auto" w:fill="FFFFFF"/>
            <w:noWrap w:val="0"/>
            <w:vAlign w:val="center"/>
          </w:tcPr>
          <w:p w14:paraId="3E3D7F5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9390D4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3.2</w:t>
            </w:r>
          </w:p>
        </w:tc>
        <w:tc>
          <w:tcPr>
            <w:tcW w:w="808" w:type="pct"/>
            <w:shd w:val="clear" w:color="auto" w:fill="FFFFFF"/>
            <w:noWrap w:val="0"/>
            <w:vAlign w:val="center"/>
          </w:tcPr>
          <w:p w14:paraId="000CD60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1D8B02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64229</w:t>
            </w:r>
          </w:p>
        </w:tc>
        <w:tc>
          <w:tcPr>
            <w:tcW w:w="803" w:type="pct"/>
            <w:noWrap w:val="0"/>
            <w:vAlign w:val="top"/>
          </w:tcPr>
          <w:p w14:paraId="46055FB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77C42A25">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12BC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C6F3EC8">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21CBE5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工作裤</w:t>
            </w:r>
          </w:p>
        </w:tc>
        <w:tc>
          <w:tcPr>
            <w:tcW w:w="304" w:type="pct"/>
            <w:shd w:val="clear" w:color="auto" w:fill="FFFFFF"/>
            <w:noWrap w:val="0"/>
            <w:vAlign w:val="center"/>
          </w:tcPr>
          <w:p w14:paraId="66EE7DA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C88DDF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w:t>
            </w:r>
          </w:p>
        </w:tc>
        <w:tc>
          <w:tcPr>
            <w:tcW w:w="808" w:type="pct"/>
            <w:shd w:val="clear" w:color="auto" w:fill="FFFFFF"/>
            <w:noWrap w:val="0"/>
            <w:vAlign w:val="center"/>
          </w:tcPr>
          <w:p w14:paraId="054AF7B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031BB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41563</w:t>
            </w:r>
          </w:p>
        </w:tc>
        <w:tc>
          <w:tcPr>
            <w:tcW w:w="803" w:type="pct"/>
            <w:noWrap w:val="0"/>
            <w:vAlign w:val="top"/>
          </w:tcPr>
          <w:p w14:paraId="5E14FC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E26F1C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89D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086F588">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E3DF47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手术衣</w:t>
            </w:r>
          </w:p>
        </w:tc>
        <w:tc>
          <w:tcPr>
            <w:tcW w:w="304" w:type="pct"/>
            <w:shd w:val="clear" w:color="auto" w:fill="FFFFFF"/>
            <w:noWrap w:val="0"/>
            <w:vAlign w:val="center"/>
          </w:tcPr>
          <w:p w14:paraId="12DA770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4DA294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2.4</w:t>
            </w:r>
          </w:p>
        </w:tc>
        <w:tc>
          <w:tcPr>
            <w:tcW w:w="808" w:type="pct"/>
            <w:shd w:val="clear" w:color="auto" w:fill="FFFFFF"/>
            <w:noWrap w:val="0"/>
            <w:vAlign w:val="center"/>
          </w:tcPr>
          <w:p w14:paraId="1AC8382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E8E06C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91633</w:t>
            </w:r>
          </w:p>
        </w:tc>
        <w:tc>
          <w:tcPr>
            <w:tcW w:w="803" w:type="pct"/>
            <w:noWrap w:val="0"/>
            <w:vAlign w:val="top"/>
          </w:tcPr>
          <w:p w14:paraId="6146795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048BD293">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15B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9370FC0">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0EC188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洗手衣</w:t>
            </w:r>
          </w:p>
        </w:tc>
        <w:tc>
          <w:tcPr>
            <w:tcW w:w="304" w:type="pct"/>
            <w:shd w:val="clear" w:color="auto" w:fill="FFFFFF"/>
            <w:noWrap w:val="0"/>
            <w:vAlign w:val="center"/>
          </w:tcPr>
          <w:p w14:paraId="5207C94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3F2350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1.8</w:t>
            </w:r>
          </w:p>
        </w:tc>
        <w:tc>
          <w:tcPr>
            <w:tcW w:w="808" w:type="pct"/>
            <w:shd w:val="clear" w:color="auto" w:fill="FFFFFF"/>
            <w:noWrap w:val="0"/>
            <w:vAlign w:val="center"/>
          </w:tcPr>
          <w:p w14:paraId="39A3D67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4074D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114167</w:t>
            </w:r>
          </w:p>
        </w:tc>
        <w:tc>
          <w:tcPr>
            <w:tcW w:w="803" w:type="pct"/>
            <w:noWrap w:val="0"/>
            <w:vAlign w:val="top"/>
          </w:tcPr>
          <w:p w14:paraId="36753B7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5070B5C">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27EF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4F8BA39">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D92B47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洗手裤</w:t>
            </w:r>
          </w:p>
        </w:tc>
        <w:tc>
          <w:tcPr>
            <w:tcW w:w="304" w:type="pct"/>
            <w:shd w:val="clear" w:color="auto" w:fill="FFFFFF"/>
            <w:noWrap w:val="0"/>
            <w:vAlign w:val="center"/>
          </w:tcPr>
          <w:p w14:paraId="5B01FA2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0441B0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w:t>
            </w:r>
          </w:p>
        </w:tc>
        <w:tc>
          <w:tcPr>
            <w:tcW w:w="808" w:type="pct"/>
            <w:shd w:val="clear" w:color="auto" w:fill="FFFFFF"/>
            <w:noWrap w:val="0"/>
            <w:vAlign w:val="center"/>
          </w:tcPr>
          <w:p w14:paraId="2B0B200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236F1B3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121690</w:t>
            </w:r>
          </w:p>
        </w:tc>
        <w:tc>
          <w:tcPr>
            <w:tcW w:w="803" w:type="pct"/>
            <w:noWrap w:val="0"/>
            <w:vAlign w:val="top"/>
          </w:tcPr>
          <w:p w14:paraId="561DAC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4636514">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1A1A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487D6CA9">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07B6E4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大号毛巾</w:t>
            </w:r>
          </w:p>
        </w:tc>
        <w:tc>
          <w:tcPr>
            <w:tcW w:w="304" w:type="pct"/>
            <w:shd w:val="clear" w:color="auto" w:fill="FFFFFF"/>
            <w:noWrap w:val="0"/>
            <w:vAlign w:val="center"/>
          </w:tcPr>
          <w:p w14:paraId="090514B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E770C2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1.45</w:t>
            </w:r>
          </w:p>
        </w:tc>
        <w:tc>
          <w:tcPr>
            <w:tcW w:w="808" w:type="pct"/>
            <w:shd w:val="clear" w:color="auto" w:fill="FFFFFF"/>
            <w:noWrap w:val="0"/>
            <w:vAlign w:val="center"/>
          </w:tcPr>
          <w:p w14:paraId="63BC0A0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4D4F70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23347</w:t>
            </w:r>
          </w:p>
        </w:tc>
        <w:tc>
          <w:tcPr>
            <w:tcW w:w="803" w:type="pct"/>
            <w:noWrap w:val="0"/>
            <w:vAlign w:val="top"/>
          </w:tcPr>
          <w:p w14:paraId="3AAE1C4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DAB600A">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920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1A7ED0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9386F2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小号毛巾</w:t>
            </w:r>
          </w:p>
        </w:tc>
        <w:tc>
          <w:tcPr>
            <w:tcW w:w="304" w:type="pct"/>
            <w:shd w:val="clear" w:color="auto" w:fill="FFFFFF"/>
            <w:noWrap w:val="0"/>
            <w:vAlign w:val="center"/>
          </w:tcPr>
          <w:p w14:paraId="676D6EC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CD7101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0.6</w:t>
            </w:r>
          </w:p>
        </w:tc>
        <w:tc>
          <w:tcPr>
            <w:tcW w:w="808" w:type="pct"/>
            <w:shd w:val="clear" w:color="auto" w:fill="FFFFFF"/>
            <w:noWrap w:val="0"/>
            <w:vAlign w:val="center"/>
          </w:tcPr>
          <w:p w14:paraId="01BC270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8AFB2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19483</w:t>
            </w:r>
          </w:p>
        </w:tc>
        <w:tc>
          <w:tcPr>
            <w:tcW w:w="803" w:type="pct"/>
            <w:noWrap w:val="0"/>
            <w:vAlign w:val="top"/>
          </w:tcPr>
          <w:p w14:paraId="176B77C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D45675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974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DD7E97D">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A217D9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大洞巾</w:t>
            </w:r>
          </w:p>
        </w:tc>
        <w:tc>
          <w:tcPr>
            <w:tcW w:w="304" w:type="pct"/>
            <w:shd w:val="clear" w:color="auto" w:fill="FFFFFF"/>
            <w:noWrap w:val="0"/>
            <w:vAlign w:val="center"/>
          </w:tcPr>
          <w:p w14:paraId="4889917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BF0722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2.2</w:t>
            </w:r>
          </w:p>
        </w:tc>
        <w:tc>
          <w:tcPr>
            <w:tcW w:w="808" w:type="pct"/>
            <w:shd w:val="clear" w:color="auto" w:fill="FFFFFF"/>
            <w:noWrap w:val="0"/>
            <w:vAlign w:val="center"/>
          </w:tcPr>
          <w:p w14:paraId="00EB19A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423C35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16790</w:t>
            </w:r>
          </w:p>
        </w:tc>
        <w:tc>
          <w:tcPr>
            <w:tcW w:w="803" w:type="pct"/>
            <w:noWrap w:val="0"/>
            <w:vAlign w:val="top"/>
          </w:tcPr>
          <w:p w14:paraId="5C52D3E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0F52ECEE">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0671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44A75DF">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AE342E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中洞巾</w:t>
            </w:r>
          </w:p>
        </w:tc>
        <w:tc>
          <w:tcPr>
            <w:tcW w:w="304" w:type="pct"/>
            <w:shd w:val="clear" w:color="auto" w:fill="FFFFFF"/>
            <w:noWrap w:val="0"/>
            <w:vAlign w:val="center"/>
          </w:tcPr>
          <w:p w14:paraId="4D0B008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193303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1.8</w:t>
            </w:r>
          </w:p>
        </w:tc>
        <w:tc>
          <w:tcPr>
            <w:tcW w:w="808" w:type="pct"/>
            <w:shd w:val="clear" w:color="auto" w:fill="FFFFFF"/>
            <w:noWrap w:val="0"/>
            <w:vAlign w:val="center"/>
          </w:tcPr>
          <w:p w14:paraId="1F7854D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6AAE5C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7432</w:t>
            </w:r>
          </w:p>
        </w:tc>
        <w:tc>
          <w:tcPr>
            <w:tcW w:w="803" w:type="pct"/>
            <w:noWrap w:val="0"/>
            <w:vAlign w:val="top"/>
          </w:tcPr>
          <w:p w14:paraId="273D85C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0D21986">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E16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B9B70C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CE08F1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开刀巾</w:t>
            </w:r>
          </w:p>
        </w:tc>
        <w:tc>
          <w:tcPr>
            <w:tcW w:w="304" w:type="pct"/>
            <w:shd w:val="clear" w:color="auto" w:fill="FFFFFF"/>
            <w:noWrap w:val="0"/>
            <w:vAlign w:val="center"/>
          </w:tcPr>
          <w:p w14:paraId="20E34A2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72D1B4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w:t>
            </w:r>
          </w:p>
        </w:tc>
        <w:tc>
          <w:tcPr>
            <w:tcW w:w="808" w:type="pct"/>
            <w:shd w:val="clear" w:color="auto" w:fill="FFFFFF"/>
            <w:noWrap w:val="0"/>
            <w:vAlign w:val="center"/>
          </w:tcPr>
          <w:p w14:paraId="524A7A9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942328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12068</w:t>
            </w:r>
          </w:p>
        </w:tc>
        <w:tc>
          <w:tcPr>
            <w:tcW w:w="803" w:type="pct"/>
            <w:noWrap w:val="0"/>
            <w:vAlign w:val="top"/>
          </w:tcPr>
          <w:p w14:paraId="371B2EF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C5B4E2B">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F82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475A814">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629FA8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消毒巾</w:t>
            </w:r>
          </w:p>
        </w:tc>
        <w:tc>
          <w:tcPr>
            <w:tcW w:w="304" w:type="pct"/>
            <w:shd w:val="clear" w:color="auto" w:fill="FFFFFF"/>
            <w:noWrap w:val="0"/>
            <w:vAlign w:val="center"/>
          </w:tcPr>
          <w:p w14:paraId="3BCC1DF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9569CF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w:t>
            </w:r>
          </w:p>
        </w:tc>
        <w:tc>
          <w:tcPr>
            <w:tcW w:w="808" w:type="pct"/>
            <w:shd w:val="clear" w:color="auto" w:fill="FFFFFF"/>
            <w:noWrap w:val="0"/>
            <w:vAlign w:val="center"/>
          </w:tcPr>
          <w:p w14:paraId="1224FB8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C7585A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136541</w:t>
            </w:r>
          </w:p>
        </w:tc>
        <w:tc>
          <w:tcPr>
            <w:tcW w:w="803" w:type="pct"/>
            <w:noWrap w:val="0"/>
            <w:vAlign w:val="top"/>
          </w:tcPr>
          <w:p w14:paraId="08EBE33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45A0035">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E7F3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98B59A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41293B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尿布</w:t>
            </w:r>
          </w:p>
        </w:tc>
        <w:tc>
          <w:tcPr>
            <w:tcW w:w="304" w:type="pct"/>
            <w:shd w:val="clear" w:color="auto" w:fill="FFFFFF"/>
            <w:noWrap w:val="0"/>
            <w:vAlign w:val="center"/>
          </w:tcPr>
          <w:p w14:paraId="44CA41C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9389C6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w:t>
            </w:r>
          </w:p>
        </w:tc>
        <w:tc>
          <w:tcPr>
            <w:tcW w:w="808" w:type="pct"/>
            <w:shd w:val="clear" w:color="auto" w:fill="FFFFFF"/>
            <w:noWrap w:val="0"/>
            <w:vAlign w:val="center"/>
          </w:tcPr>
          <w:p w14:paraId="1AFA8AB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EBE73A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009A5D9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003E27C">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9FF2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FC15BAA">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4B2F60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大包布</w:t>
            </w:r>
          </w:p>
        </w:tc>
        <w:tc>
          <w:tcPr>
            <w:tcW w:w="304" w:type="pct"/>
            <w:shd w:val="clear" w:color="auto" w:fill="FFFFFF"/>
            <w:noWrap w:val="0"/>
            <w:vAlign w:val="center"/>
          </w:tcPr>
          <w:p w14:paraId="1341A32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7492C5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1.9</w:t>
            </w:r>
          </w:p>
        </w:tc>
        <w:tc>
          <w:tcPr>
            <w:tcW w:w="808" w:type="pct"/>
            <w:shd w:val="clear" w:color="auto" w:fill="FFFFFF"/>
            <w:noWrap w:val="0"/>
            <w:vAlign w:val="center"/>
          </w:tcPr>
          <w:p w14:paraId="609AFD8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77BC01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15089</w:t>
            </w:r>
          </w:p>
        </w:tc>
        <w:tc>
          <w:tcPr>
            <w:tcW w:w="803" w:type="pct"/>
            <w:noWrap w:val="0"/>
            <w:vAlign w:val="top"/>
          </w:tcPr>
          <w:p w14:paraId="38782BE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59D6FF3">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070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A429A2D">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73EECA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中包布</w:t>
            </w:r>
          </w:p>
        </w:tc>
        <w:tc>
          <w:tcPr>
            <w:tcW w:w="304" w:type="pct"/>
            <w:shd w:val="clear" w:color="auto" w:fill="FFFFFF"/>
            <w:noWrap w:val="0"/>
            <w:vAlign w:val="center"/>
          </w:tcPr>
          <w:p w14:paraId="0F0D357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28383C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w:t>
            </w:r>
          </w:p>
        </w:tc>
        <w:tc>
          <w:tcPr>
            <w:tcW w:w="808" w:type="pct"/>
            <w:shd w:val="clear" w:color="auto" w:fill="FFFFFF"/>
            <w:noWrap w:val="0"/>
            <w:vAlign w:val="center"/>
          </w:tcPr>
          <w:p w14:paraId="5C795EA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66A33A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17248</w:t>
            </w:r>
          </w:p>
        </w:tc>
        <w:tc>
          <w:tcPr>
            <w:tcW w:w="803" w:type="pct"/>
            <w:noWrap w:val="0"/>
            <w:vAlign w:val="top"/>
          </w:tcPr>
          <w:p w14:paraId="440ADE0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AB51D5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2737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FE65BC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43A3CB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口袋</w:t>
            </w:r>
          </w:p>
        </w:tc>
        <w:tc>
          <w:tcPr>
            <w:tcW w:w="304" w:type="pct"/>
            <w:shd w:val="clear" w:color="auto" w:fill="FFFFFF"/>
            <w:noWrap w:val="0"/>
            <w:vAlign w:val="center"/>
          </w:tcPr>
          <w:p w14:paraId="1465768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DFEBF0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0.52</w:t>
            </w:r>
          </w:p>
        </w:tc>
        <w:tc>
          <w:tcPr>
            <w:tcW w:w="808" w:type="pct"/>
            <w:shd w:val="clear" w:color="auto" w:fill="FFFFFF"/>
            <w:noWrap w:val="0"/>
            <w:vAlign w:val="center"/>
          </w:tcPr>
          <w:p w14:paraId="795B91C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08DE7B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37754</w:t>
            </w:r>
          </w:p>
        </w:tc>
        <w:tc>
          <w:tcPr>
            <w:tcW w:w="803" w:type="pct"/>
            <w:noWrap w:val="0"/>
            <w:vAlign w:val="top"/>
          </w:tcPr>
          <w:p w14:paraId="5AD12C7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7F61FB4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970A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06C0C60">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67DC08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固定带</w:t>
            </w:r>
          </w:p>
        </w:tc>
        <w:tc>
          <w:tcPr>
            <w:tcW w:w="304" w:type="pct"/>
            <w:shd w:val="clear" w:color="auto" w:fill="FFFFFF"/>
            <w:noWrap w:val="0"/>
            <w:vAlign w:val="center"/>
          </w:tcPr>
          <w:p w14:paraId="08DA94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223C47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w:t>
            </w:r>
          </w:p>
        </w:tc>
        <w:tc>
          <w:tcPr>
            <w:tcW w:w="808" w:type="pct"/>
            <w:shd w:val="clear" w:color="auto" w:fill="FFFFFF"/>
            <w:noWrap w:val="0"/>
            <w:vAlign w:val="center"/>
          </w:tcPr>
          <w:p w14:paraId="06D306F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2902A66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3494</w:t>
            </w:r>
          </w:p>
        </w:tc>
        <w:tc>
          <w:tcPr>
            <w:tcW w:w="803" w:type="pct"/>
            <w:noWrap w:val="0"/>
            <w:vAlign w:val="top"/>
          </w:tcPr>
          <w:p w14:paraId="0FD51CA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69F058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A61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B7854EF">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E9F44D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窗帘</w:t>
            </w:r>
          </w:p>
        </w:tc>
        <w:tc>
          <w:tcPr>
            <w:tcW w:w="304" w:type="pct"/>
            <w:shd w:val="clear" w:color="auto" w:fill="FFFFFF"/>
            <w:noWrap w:val="0"/>
            <w:vAlign w:val="center"/>
          </w:tcPr>
          <w:p w14:paraId="6F3070D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48C45A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3.6</w:t>
            </w:r>
          </w:p>
        </w:tc>
        <w:tc>
          <w:tcPr>
            <w:tcW w:w="808" w:type="pct"/>
            <w:shd w:val="clear" w:color="auto" w:fill="FFFFFF"/>
            <w:noWrap w:val="0"/>
            <w:vAlign w:val="center"/>
          </w:tcPr>
          <w:p w14:paraId="23D7A36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51E105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12317</w:t>
            </w:r>
          </w:p>
        </w:tc>
        <w:tc>
          <w:tcPr>
            <w:tcW w:w="803" w:type="pct"/>
            <w:noWrap w:val="0"/>
            <w:vAlign w:val="top"/>
          </w:tcPr>
          <w:p w14:paraId="1B23545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03BD2E2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E19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178CCDC">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E60332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袖套</w:t>
            </w:r>
          </w:p>
        </w:tc>
        <w:tc>
          <w:tcPr>
            <w:tcW w:w="304" w:type="pct"/>
            <w:shd w:val="clear" w:color="auto" w:fill="FFFFFF"/>
            <w:noWrap w:val="0"/>
            <w:vAlign w:val="center"/>
          </w:tcPr>
          <w:p w14:paraId="4A65633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8C3D98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0.45</w:t>
            </w:r>
          </w:p>
        </w:tc>
        <w:tc>
          <w:tcPr>
            <w:tcW w:w="808" w:type="pct"/>
            <w:shd w:val="clear" w:color="auto" w:fill="FFFFFF"/>
            <w:noWrap w:val="0"/>
            <w:vAlign w:val="center"/>
          </w:tcPr>
          <w:p w14:paraId="1151458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7658DE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592</w:t>
            </w:r>
          </w:p>
        </w:tc>
        <w:tc>
          <w:tcPr>
            <w:tcW w:w="803" w:type="pct"/>
            <w:noWrap w:val="0"/>
            <w:vAlign w:val="top"/>
          </w:tcPr>
          <w:p w14:paraId="2F767F2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86D65E0">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8D2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3F4C3C0">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4A61FD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棉衣</w:t>
            </w:r>
          </w:p>
        </w:tc>
        <w:tc>
          <w:tcPr>
            <w:tcW w:w="304" w:type="pct"/>
            <w:shd w:val="clear" w:color="auto" w:fill="FFFFFF"/>
            <w:noWrap w:val="0"/>
            <w:vAlign w:val="center"/>
          </w:tcPr>
          <w:p w14:paraId="3117EE4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2D0843E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3.45</w:t>
            </w:r>
          </w:p>
        </w:tc>
        <w:tc>
          <w:tcPr>
            <w:tcW w:w="808" w:type="pct"/>
            <w:shd w:val="clear" w:color="auto" w:fill="FFFFFF"/>
            <w:noWrap w:val="0"/>
            <w:vAlign w:val="center"/>
          </w:tcPr>
          <w:p w14:paraId="76C1542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7CF364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w:t>
            </w:r>
          </w:p>
        </w:tc>
        <w:tc>
          <w:tcPr>
            <w:tcW w:w="803" w:type="pct"/>
            <w:noWrap w:val="0"/>
            <w:vAlign w:val="top"/>
          </w:tcPr>
          <w:p w14:paraId="228FA03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71463946">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3FC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F60D6D2">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0644EC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病服</w:t>
            </w:r>
          </w:p>
        </w:tc>
        <w:tc>
          <w:tcPr>
            <w:tcW w:w="304" w:type="pct"/>
            <w:shd w:val="clear" w:color="auto" w:fill="FFFFFF"/>
            <w:noWrap w:val="0"/>
            <w:vAlign w:val="center"/>
          </w:tcPr>
          <w:p w14:paraId="7AE344E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C6E84A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1.8</w:t>
            </w:r>
          </w:p>
        </w:tc>
        <w:tc>
          <w:tcPr>
            <w:tcW w:w="808" w:type="pct"/>
            <w:shd w:val="clear" w:color="auto" w:fill="FFFFFF"/>
            <w:noWrap w:val="0"/>
            <w:vAlign w:val="center"/>
          </w:tcPr>
          <w:p w14:paraId="28EFC18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C91FAE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52576</w:t>
            </w:r>
          </w:p>
        </w:tc>
        <w:tc>
          <w:tcPr>
            <w:tcW w:w="803" w:type="pct"/>
            <w:noWrap w:val="0"/>
            <w:vAlign w:val="top"/>
          </w:tcPr>
          <w:p w14:paraId="0F59213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4464604">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C05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5441156D">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DAFDBB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病裤</w:t>
            </w:r>
          </w:p>
        </w:tc>
        <w:tc>
          <w:tcPr>
            <w:tcW w:w="304" w:type="pct"/>
            <w:shd w:val="clear" w:color="auto" w:fill="FFFFFF"/>
            <w:noWrap w:val="0"/>
            <w:vAlign w:val="center"/>
          </w:tcPr>
          <w:p w14:paraId="3B22B20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0C6357D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1.35</w:t>
            </w:r>
          </w:p>
        </w:tc>
        <w:tc>
          <w:tcPr>
            <w:tcW w:w="808" w:type="pct"/>
            <w:shd w:val="clear" w:color="auto" w:fill="FFFFFF"/>
            <w:noWrap w:val="0"/>
            <w:vAlign w:val="center"/>
          </w:tcPr>
          <w:p w14:paraId="35E3238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0580EA8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45878</w:t>
            </w:r>
          </w:p>
        </w:tc>
        <w:tc>
          <w:tcPr>
            <w:tcW w:w="803" w:type="pct"/>
            <w:noWrap w:val="0"/>
            <w:vAlign w:val="top"/>
          </w:tcPr>
          <w:p w14:paraId="47D8B31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27E7DD1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EA4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DF7DCF5">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0D94ECD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隔帘</w:t>
            </w:r>
          </w:p>
        </w:tc>
        <w:tc>
          <w:tcPr>
            <w:tcW w:w="304" w:type="pct"/>
            <w:shd w:val="clear" w:color="auto" w:fill="FFFFFF"/>
            <w:noWrap w:val="0"/>
            <w:vAlign w:val="center"/>
          </w:tcPr>
          <w:p w14:paraId="52A2E5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CE7B2B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2.88</w:t>
            </w:r>
          </w:p>
        </w:tc>
        <w:tc>
          <w:tcPr>
            <w:tcW w:w="808" w:type="pct"/>
            <w:shd w:val="clear" w:color="auto" w:fill="FFFFFF"/>
            <w:noWrap w:val="0"/>
            <w:vAlign w:val="center"/>
          </w:tcPr>
          <w:p w14:paraId="7AE180C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E8D22F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4356</w:t>
            </w:r>
          </w:p>
        </w:tc>
        <w:tc>
          <w:tcPr>
            <w:tcW w:w="803" w:type="pct"/>
            <w:noWrap w:val="0"/>
            <w:vAlign w:val="top"/>
          </w:tcPr>
          <w:p w14:paraId="5076279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8E8690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17EE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E1393E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0F3F13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约束带</w:t>
            </w:r>
          </w:p>
        </w:tc>
        <w:tc>
          <w:tcPr>
            <w:tcW w:w="304" w:type="pct"/>
            <w:shd w:val="clear" w:color="auto" w:fill="FFFFFF"/>
            <w:noWrap w:val="0"/>
            <w:vAlign w:val="center"/>
          </w:tcPr>
          <w:p w14:paraId="2327C8F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8E514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0.87</w:t>
            </w:r>
          </w:p>
        </w:tc>
        <w:tc>
          <w:tcPr>
            <w:tcW w:w="808" w:type="pct"/>
            <w:shd w:val="clear" w:color="auto" w:fill="FFFFFF"/>
            <w:noWrap w:val="0"/>
            <w:vAlign w:val="center"/>
          </w:tcPr>
          <w:p w14:paraId="6E31EC3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2BA57D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500</w:t>
            </w:r>
          </w:p>
        </w:tc>
        <w:tc>
          <w:tcPr>
            <w:tcW w:w="803" w:type="pct"/>
            <w:noWrap w:val="0"/>
            <w:vAlign w:val="top"/>
          </w:tcPr>
          <w:p w14:paraId="637804A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0B1B1A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7D1A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EF9499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6BB9459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婴儿小床套</w:t>
            </w:r>
          </w:p>
        </w:tc>
        <w:tc>
          <w:tcPr>
            <w:tcW w:w="304" w:type="pct"/>
            <w:shd w:val="clear" w:color="auto" w:fill="FFFFFF"/>
            <w:noWrap w:val="0"/>
            <w:vAlign w:val="center"/>
          </w:tcPr>
          <w:p w14:paraId="7D19B6D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6A6214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1.5</w:t>
            </w:r>
          </w:p>
        </w:tc>
        <w:tc>
          <w:tcPr>
            <w:tcW w:w="808" w:type="pct"/>
            <w:shd w:val="clear" w:color="auto" w:fill="FFFFFF"/>
            <w:noWrap w:val="0"/>
            <w:vAlign w:val="center"/>
          </w:tcPr>
          <w:p w14:paraId="160D8CA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28E067B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210</w:t>
            </w:r>
          </w:p>
        </w:tc>
        <w:tc>
          <w:tcPr>
            <w:tcW w:w="803" w:type="pct"/>
            <w:noWrap w:val="0"/>
            <w:vAlign w:val="top"/>
          </w:tcPr>
          <w:p w14:paraId="5AC46E5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0D10C5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8D75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C9E04D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5F4BAE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防寒服</w:t>
            </w:r>
          </w:p>
        </w:tc>
        <w:tc>
          <w:tcPr>
            <w:tcW w:w="304" w:type="pct"/>
            <w:shd w:val="clear" w:color="auto" w:fill="FFFFFF"/>
            <w:noWrap w:val="0"/>
            <w:vAlign w:val="center"/>
          </w:tcPr>
          <w:p w14:paraId="15476D5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8DFE15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2.82</w:t>
            </w:r>
          </w:p>
        </w:tc>
        <w:tc>
          <w:tcPr>
            <w:tcW w:w="808" w:type="pct"/>
            <w:shd w:val="clear" w:color="auto" w:fill="FFFFFF"/>
            <w:noWrap w:val="0"/>
            <w:vAlign w:val="center"/>
          </w:tcPr>
          <w:p w14:paraId="1A91098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AA23F8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246</w:t>
            </w:r>
          </w:p>
        </w:tc>
        <w:tc>
          <w:tcPr>
            <w:tcW w:w="803" w:type="pct"/>
            <w:noWrap w:val="0"/>
            <w:vAlign w:val="top"/>
          </w:tcPr>
          <w:p w14:paraId="24DA169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3569FFA">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F73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549DC086">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8C97B0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床垫套</w:t>
            </w:r>
          </w:p>
        </w:tc>
        <w:tc>
          <w:tcPr>
            <w:tcW w:w="304" w:type="pct"/>
            <w:shd w:val="clear" w:color="auto" w:fill="FFFFFF"/>
            <w:noWrap w:val="0"/>
            <w:vAlign w:val="center"/>
          </w:tcPr>
          <w:p w14:paraId="41B0258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3C776A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2.5</w:t>
            </w:r>
          </w:p>
        </w:tc>
        <w:tc>
          <w:tcPr>
            <w:tcW w:w="808" w:type="pct"/>
            <w:shd w:val="clear" w:color="auto" w:fill="FFFFFF"/>
            <w:noWrap w:val="0"/>
            <w:vAlign w:val="center"/>
          </w:tcPr>
          <w:p w14:paraId="0BE6858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64ABAB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567</w:t>
            </w:r>
          </w:p>
        </w:tc>
        <w:tc>
          <w:tcPr>
            <w:tcW w:w="803" w:type="pct"/>
            <w:noWrap w:val="0"/>
            <w:vAlign w:val="top"/>
          </w:tcPr>
          <w:p w14:paraId="6FED627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7727F82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F7B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6BA08BE">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6B5409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值班室被套</w:t>
            </w:r>
          </w:p>
        </w:tc>
        <w:tc>
          <w:tcPr>
            <w:tcW w:w="304" w:type="pct"/>
            <w:shd w:val="clear" w:color="auto" w:fill="FFFFFF"/>
            <w:noWrap w:val="0"/>
            <w:vAlign w:val="center"/>
          </w:tcPr>
          <w:p w14:paraId="4805926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5126E9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3.3</w:t>
            </w:r>
          </w:p>
        </w:tc>
        <w:tc>
          <w:tcPr>
            <w:tcW w:w="808" w:type="pct"/>
            <w:shd w:val="clear" w:color="auto" w:fill="FFFFFF"/>
            <w:noWrap w:val="0"/>
            <w:vAlign w:val="center"/>
          </w:tcPr>
          <w:p w14:paraId="6326218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B149C1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20146</w:t>
            </w:r>
          </w:p>
        </w:tc>
        <w:tc>
          <w:tcPr>
            <w:tcW w:w="803" w:type="pct"/>
            <w:noWrap w:val="0"/>
            <w:vAlign w:val="top"/>
          </w:tcPr>
          <w:p w14:paraId="67FAD77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26A63F0">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78CA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B326E9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9C3C1B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值班室床单</w:t>
            </w:r>
          </w:p>
        </w:tc>
        <w:tc>
          <w:tcPr>
            <w:tcW w:w="304" w:type="pct"/>
            <w:shd w:val="clear" w:color="auto" w:fill="FFFFFF"/>
            <w:noWrap w:val="0"/>
            <w:vAlign w:val="center"/>
          </w:tcPr>
          <w:p w14:paraId="512D473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15A99D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2.5</w:t>
            </w:r>
          </w:p>
        </w:tc>
        <w:tc>
          <w:tcPr>
            <w:tcW w:w="808" w:type="pct"/>
            <w:shd w:val="clear" w:color="auto" w:fill="FFFFFF"/>
            <w:noWrap w:val="0"/>
            <w:vAlign w:val="center"/>
          </w:tcPr>
          <w:p w14:paraId="17ACB29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FBC0BE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20146</w:t>
            </w:r>
          </w:p>
        </w:tc>
        <w:tc>
          <w:tcPr>
            <w:tcW w:w="803" w:type="pct"/>
            <w:noWrap w:val="0"/>
            <w:vAlign w:val="top"/>
          </w:tcPr>
          <w:p w14:paraId="584FCD3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7505A6A">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9BF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1D9804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68A0D9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值班室枕套</w:t>
            </w:r>
          </w:p>
        </w:tc>
        <w:tc>
          <w:tcPr>
            <w:tcW w:w="304" w:type="pct"/>
            <w:shd w:val="clear" w:color="auto" w:fill="FFFFFF"/>
            <w:noWrap w:val="0"/>
            <w:vAlign w:val="center"/>
          </w:tcPr>
          <w:p w14:paraId="4EAEC93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C41A1B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0.83</w:t>
            </w:r>
          </w:p>
        </w:tc>
        <w:tc>
          <w:tcPr>
            <w:tcW w:w="808" w:type="pct"/>
            <w:shd w:val="clear" w:color="auto" w:fill="FFFFFF"/>
            <w:noWrap w:val="0"/>
            <w:vAlign w:val="center"/>
          </w:tcPr>
          <w:p w14:paraId="2C1E006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16ADFD4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20146</w:t>
            </w:r>
          </w:p>
        </w:tc>
        <w:tc>
          <w:tcPr>
            <w:tcW w:w="803" w:type="pct"/>
            <w:noWrap w:val="0"/>
            <w:vAlign w:val="top"/>
          </w:tcPr>
          <w:p w14:paraId="060FBA3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9C2985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590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823086B">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805CC8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蓝光纱布</w:t>
            </w:r>
          </w:p>
        </w:tc>
        <w:tc>
          <w:tcPr>
            <w:tcW w:w="304" w:type="pct"/>
            <w:shd w:val="clear" w:color="auto" w:fill="FFFFFF"/>
            <w:noWrap w:val="0"/>
            <w:vAlign w:val="center"/>
          </w:tcPr>
          <w:p w14:paraId="30EA23E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5AB3A7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w:t>
            </w:r>
          </w:p>
        </w:tc>
        <w:tc>
          <w:tcPr>
            <w:tcW w:w="808" w:type="pct"/>
            <w:shd w:val="clear" w:color="auto" w:fill="FFFFFF"/>
            <w:noWrap w:val="0"/>
            <w:vAlign w:val="center"/>
          </w:tcPr>
          <w:p w14:paraId="14300F1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21D6E24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200</w:t>
            </w:r>
          </w:p>
        </w:tc>
        <w:tc>
          <w:tcPr>
            <w:tcW w:w="803" w:type="pct"/>
            <w:noWrap w:val="0"/>
            <w:vAlign w:val="top"/>
          </w:tcPr>
          <w:p w14:paraId="6B215A6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4D586E8">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FBC9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0FC0C28">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AC1286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长颈鹿暖箱罩</w:t>
            </w:r>
          </w:p>
        </w:tc>
        <w:tc>
          <w:tcPr>
            <w:tcW w:w="304" w:type="pct"/>
            <w:shd w:val="clear" w:color="auto" w:fill="FFFFFF"/>
            <w:noWrap w:val="0"/>
            <w:vAlign w:val="center"/>
          </w:tcPr>
          <w:p w14:paraId="5040678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3136464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1.16</w:t>
            </w:r>
          </w:p>
        </w:tc>
        <w:tc>
          <w:tcPr>
            <w:tcW w:w="808" w:type="pct"/>
            <w:shd w:val="clear" w:color="auto" w:fill="FFFFFF"/>
            <w:noWrap w:val="0"/>
            <w:vAlign w:val="center"/>
          </w:tcPr>
          <w:p w14:paraId="4D1CF6B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1EA66F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230</w:t>
            </w:r>
          </w:p>
        </w:tc>
        <w:tc>
          <w:tcPr>
            <w:tcW w:w="803" w:type="pct"/>
            <w:noWrap w:val="0"/>
            <w:vAlign w:val="top"/>
          </w:tcPr>
          <w:p w14:paraId="752EB07A">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6E1579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1512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C40C31C">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5C4FFAC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小包被</w:t>
            </w:r>
          </w:p>
        </w:tc>
        <w:tc>
          <w:tcPr>
            <w:tcW w:w="304" w:type="pct"/>
            <w:shd w:val="clear" w:color="auto" w:fill="FFFFFF"/>
            <w:noWrap w:val="0"/>
            <w:vAlign w:val="center"/>
          </w:tcPr>
          <w:p w14:paraId="251BBC1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1F0651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1.35</w:t>
            </w:r>
          </w:p>
        </w:tc>
        <w:tc>
          <w:tcPr>
            <w:tcW w:w="808" w:type="pct"/>
            <w:shd w:val="clear" w:color="auto" w:fill="FFFFFF"/>
            <w:noWrap w:val="0"/>
            <w:vAlign w:val="center"/>
          </w:tcPr>
          <w:p w14:paraId="4B9ED18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E688FF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400</w:t>
            </w:r>
          </w:p>
        </w:tc>
        <w:tc>
          <w:tcPr>
            <w:tcW w:w="803" w:type="pct"/>
            <w:noWrap w:val="0"/>
            <w:vAlign w:val="top"/>
          </w:tcPr>
          <w:p w14:paraId="3A98E1E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46A4C1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977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037B700A">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A13AFB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外出包被</w:t>
            </w:r>
          </w:p>
        </w:tc>
        <w:tc>
          <w:tcPr>
            <w:tcW w:w="304" w:type="pct"/>
            <w:shd w:val="clear" w:color="auto" w:fill="FFFFFF"/>
            <w:noWrap w:val="0"/>
            <w:vAlign w:val="center"/>
          </w:tcPr>
          <w:p w14:paraId="3E64C8C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6BBDC2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2.8</w:t>
            </w:r>
          </w:p>
        </w:tc>
        <w:tc>
          <w:tcPr>
            <w:tcW w:w="808" w:type="pct"/>
            <w:shd w:val="clear" w:color="auto" w:fill="FFFFFF"/>
            <w:noWrap w:val="0"/>
            <w:vAlign w:val="center"/>
          </w:tcPr>
          <w:p w14:paraId="3A46BFA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4D548B3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53694F5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6C5D1F1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FDE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8C99204">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113E5A9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外出包被套</w:t>
            </w:r>
          </w:p>
        </w:tc>
        <w:tc>
          <w:tcPr>
            <w:tcW w:w="304" w:type="pct"/>
            <w:shd w:val="clear" w:color="auto" w:fill="FFFFFF"/>
            <w:noWrap w:val="0"/>
            <w:vAlign w:val="center"/>
          </w:tcPr>
          <w:p w14:paraId="6682E25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1D5DEDC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2.19</w:t>
            </w:r>
          </w:p>
        </w:tc>
        <w:tc>
          <w:tcPr>
            <w:tcW w:w="808" w:type="pct"/>
            <w:shd w:val="clear" w:color="auto" w:fill="FFFFFF"/>
            <w:noWrap w:val="0"/>
            <w:vAlign w:val="center"/>
          </w:tcPr>
          <w:p w14:paraId="19527EA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7A6DD2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0F1AE80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5CEE0B0">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0A1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77553207">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376AE98">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暖箱罩</w:t>
            </w:r>
          </w:p>
        </w:tc>
        <w:tc>
          <w:tcPr>
            <w:tcW w:w="304" w:type="pct"/>
            <w:shd w:val="clear" w:color="auto" w:fill="FFFFFF"/>
            <w:noWrap w:val="0"/>
            <w:vAlign w:val="center"/>
          </w:tcPr>
          <w:p w14:paraId="5FAAA893">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066A1B0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0.92</w:t>
            </w:r>
          </w:p>
        </w:tc>
        <w:tc>
          <w:tcPr>
            <w:tcW w:w="808" w:type="pct"/>
            <w:shd w:val="clear" w:color="auto" w:fill="FFFFFF"/>
            <w:noWrap w:val="0"/>
            <w:vAlign w:val="center"/>
          </w:tcPr>
          <w:p w14:paraId="07A4308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A46CFB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50</w:t>
            </w:r>
          </w:p>
        </w:tc>
        <w:tc>
          <w:tcPr>
            <w:tcW w:w="803" w:type="pct"/>
            <w:noWrap w:val="0"/>
            <w:vAlign w:val="top"/>
          </w:tcPr>
          <w:p w14:paraId="4FE5496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1812072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EFE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2A7D1AB9">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38CBB7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中号毛巾</w:t>
            </w:r>
          </w:p>
        </w:tc>
        <w:tc>
          <w:tcPr>
            <w:tcW w:w="304" w:type="pct"/>
            <w:shd w:val="clear" w:color="auto" w:fill="FFFFFF"/>
            <w:noWrap w:val="0"/>
            <w:vAlign w:val="center"/>
          </w:tcPr>
          <w:p w14:paraId="24CB1EF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147AF9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1.1</w:t>
            </w:r>
          </w:p>
        </w:tc>
        <w:tc>
          <w:tcPr>
            <w:tcW w:w="808" w:type="pct"/>
            <w:shd w:val="clear" w:color="auto" w:fill="FFFFFF"/>
            <w:noWrap w:val="0"/>
            <w:vAlign w:val="center"/>
          </w:tcPr>
          <w:p w14:paraId="6620783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53064A8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300</w:t>
            </w:r>
          </w:p>
        </w:tc>
        <w:tc>
          <w:tcPr>
            <w:tcW w:w="803" w:type="pct"/>
            <w:noWrap w:val="0"/>
            <w:vAlign w:val="top"/>
          </w:tcPr>
          <w:p w14:paraId="0D71EA2C">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FD4194A">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84D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A6BA2F0">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4D7CF23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污物袋</w:t>
            </w:r>
          </w:p>
        </w:tc>
        <w:tc>
          <w:tcPr>
            <w:tcW w:w="304" w:type="pct"/>
            <w:shd w:val="clear" w:color="auto" w:fill="FFFFFF"/>
            <w:noWrap w:val="0"/>
            <w:vAlign w:val="center"/>
          </w:tcPr>
          <w:p w14:paraId="4A3D3C25">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92C367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w:t>
            </w:r>
          </w:p>
        </w:tc>
        <w:tc>
          <w:tcPr>
            <w:tcW w:w="808" w:type="pct"/>
            <w:shd w:val="clear" w:color="auto" w:fill="FFFFFF"/>
            <w:noWrap w:val="0"/>
            <w:vAlign w:val="center"/>
          </w:tcPr>
          <w:p w14:paraId="26DA25F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8EB56C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1000</w:t>
            </w:r>
          </w:p>
        </w:tc>
        <w:tc>
          <w:tcPr>
            <w:tcW w:w="803" w:type="pct"/>
            <w:noWrap w:val="0"/>
            <w:vAlign w:val="top"/>
          </w:tcPr>
          <w:p w14:paraId="3191B97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086A0AA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B23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3157F953">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3A36CFF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婴儿绑带</w:t>
            </w:r>
          </w:p>
        </w:tc>
        <w:tc>
          <w:tcPr>
            <w:tcW w:w="304" w:type="pct"/>
            <w:shd w:val="clear" w:color="auto" w:fill="FFFFFF"/>
            <w:noWrap w:val="0"/>
            <w:vAlign w:val="center"/>
          </w:tcPr>
          <w:p w14:paraId="1A435A8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7BC1285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w:t>
            </w:r>
          </w:p>
        </w:tc>
        <w:tc>
          <w:tcPr>
            <w:tcW w:w="808" w:type="pct"/>
            <w:shd w:val="clear" w:color="auto" w:fill="FFFFFF"/>
            <w:noWrap w:val="0"/>
            <w:vAlign w:val="center"/>
          </w:tcPr>
          <w:p w14:paraId="5C31509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6B2379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w:t>
            </w:r>
          </w:p>
        </w:tc>
        <w:tc>
          <w:tcPr>
            <w:tcW w:w="803" w:type="pct"/>
            <w:noWrap w:val="0"/>
            <w:vAlign w:val="top"/>
          </w:tcPr>
          <w:p w14:paraId="0C2647DF">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268D657">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B57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1F07AAE5">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BC1DEE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治疗巾</w:t>
            </w:r>
          </w:p>
        </w:tc>
        <w:tc>
          <w:tcPr>
            <w:tcW w:w="304" w:type="pct"/>
            <w:shd w:val="clear" w:color="auto" w:fill="FFFFFF"/>
            <w:noWrap w:val="0"/>
            <w:vAlign w:val="center"/>
          </w:tcPr>
          <w:p w14:paraId="205247A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61A80A1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0.59</w:t>
            </w:r>
          </w:p>
        </w:tc>
        <w:tc>
          <w:tcPr>
            <w:tcW w:w="808" w:type="pct"/>
            <w:shd w:val="clear" w:color="auto" w:fill="FFFFFF"/>
            <w:noWrap w:val="0"/>
            <w:vAlign w:val="center"/>
          </w:tcPr>
          <w:p w14:paraId="0F261B22">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6AF7F77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200</w:t>
            </w:r>
          </w:p>
        </w:tc>
        <w:tc>
          <w:tcPr>
            <w:tcW w:w="803" w:type="pct"/>
            <w:noWrap w:val="0"/>
            <w:vAlign w:val="top"/>
          </w:tcPr>
          <w:p w14:paraId="5BE9E704">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40E74E1D">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D85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6AF46467">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2C275947">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三角巾</w:t>
            </w:r>
          </w:p>
        </w:tc>
        <w:tc>
          <w:tcPr>
            <w:tcW w:w="304" w:type="pct"/>
            <w:shd w:val="clear" w:color="auto" w:fill="FFFFFF"/>
            <w:noWrap w:val="0"/>
            <w:vAlign w:val="center"/>
          </w:tcPr>
          <w:p w14:paraId="0E352F7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46090EB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0.5</w:t>
            </w:r>
          </w:p>
        </w:tc>
        <w:tc>
          <w:tcPr>
            <w:tcW w:w="808" w:type="pct"/>
            <w:shd w:val="clear" w:color="auto" w:fill="FFFFFF"/>
            <w:noWrap w:val="0"/>
            <w:vAlign w:val="center"/>
          </w:tcPr>
          <w:p w14:paraId="09F2C4F0">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7FE028A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100</w:t>
            </w:r>
          </w:p>
        </w:tc>
        <w:tc>
          <w:tcPr>
            <w:tcW w:w="803" w:type="pct"/>
            <w:noWrap w:val="0"/>
            <w:vAlign w:val="top"/>
          </w:tcPr>
          <w:p w14:paraId="07445996">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5BA2BCD2">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F71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noWrap w:val="0"/>
            <w:vAlign w:val="center"/>
          </w:tcPr>
          <w:p w14:paraId="4A9FEE47">
            <w:pPr>
              <w:keepNext w:val="0"/>
              <w:keepLines w:val="0"/>
              <w:pageBreakBefore w:val="0"/>
              <w:numPr>
                <w:ilvl w:val="0"/>
                <w:numId w:val="4"/>
              </w:numPr>
              <w:suppressLineNumbers w:val="0"/>
              <w:overflowPunct/>
              <w:topLinePunct w:val="0"/>
              <w:bidi w:val="0"/>
              <w:spacing w:before="120" w:beforeAutospacing="0" w:after="120" w:afterAutospacing="0" w:line="360" w:lineRule="auto"/>
              <w:ind w:left="425" w:leftChars="0" w:right="0" w:hanging="425" w:firstLineChars="0"/>
              <w:jc w:val="center"/>
              <w:rPr>
                <w:rFonts w:hint="eastAsia" w:ascii="仿宋" w:hAnsi="仿宋" w:eastAsia="仿宋" w:cs="仿宋"/>
                <w:color w:val="auto"/>
                <w:sz w:val="24"/>
                <w:szCs w:val="24"/>
                <w:highlight w:val="none"/>
              </w:rPr>
            </w:pPr>
          </w:p>
        </w:tc>
        <w:tc>
          <w:tcPr>
            <w:tcW w:w="483" w:type="pct"/>
            <w:shd w:val="clear" w:color="auto" w:fill="FFFFFF"/>
            <w:noWrap w:val="0"/>
            <w:vAlign w:val="center"/>
          </w:tcPr>
          <w:p w14:paraId="7AD4EEA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辐射台套</w:t>
            </w:r>
          </w:p>
        </w:tc>
        <w:tc>
          <w:tcPr>
            <w:tcW w:w="304" w:type="pct"/>
            <w:shd w:val="clear" w:color="auto" w:fill="FFFFFF"/>
            <w:noWrap w:val="0"/>
            <w:vAlign w:val="center"/>
          </w:tcPr>
          <w:p w14:paraId="3397EE3E">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件</w:t>
            </w:r>
          </w:p>
        </w:tc>
        <w:tc>
          <w:tcPr>
            <w:tcW w:w="496" w:type="pct"/>
            <w:shd w:val="clear" w:color="auto" w:fill="FFFFFF"/>
            <w:noWrap w:val="0"/>
            <w:vAlign w:val="center"/>
          </w:tcPr>
          <w:p w14:paraId="04671B81">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1.2</w:t>
            </w:r>
          </w:p>
        </w:tc>
        <w:tc>
          <w:tcPr>
            <w:tcW w:w="808" w:type="pct"/>
            <w:shd w:val="clear" w:color="auto" w:fill="FFFFFF"/>
            <w:noWrap w:val="0"/>
            <w:vAlign w:val="center"/>
          </w:tcPr>
          <w:p w14:paraId="32B8D39D">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09" w:type="pct"/>
            <w:shd w:val="clear" w:color="auto" w:fill="FFFFFF"/>
            <w:noWrap w:val="0"/>
            <w:vAlign w:val="center"/>
          </w:tcPr>
          <w:p w14:paraId="3FA0F61B">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rPr>
              <w:t>240</w:t>
            </w:r>
          </w:p>
        </w:tc>
        <w:tc>
          <w:tcPr>
            <w:tcW w:w="803" w:type="pct"/>
            <w:noWrap w:val="0"/>
            <w:vAlign w:val="top"/>
          </w:tcPr>
          <w:p w14:paraId="6399BEE9">
            <w:pPr>
              <w:keepNext w:val="0"/>
              <w:keepLines w:val="0"/>
              <w:pageBreakBefore w:val="0"/>
              <w:widowControl/>
              <w:suppressLineNumbers w:val="0"/>
              <w:overflowPunct/>
              <w:topLinePunct w:val="0"/>
              <w:bidi w:val="0"/>
              <w:spacing w:before="0" w:beforeAutospacing="0" w:after="0" w:afterAutospacing="0" w:line="360" w:lineRule="auto"/>
              <w:ind w:left="0" w:leftChars="0" w:right="0" w:rightChars="0"/>
              <w:jc w:val="center"/>
              <w:textAlignment w:val="center"/>
              <w:rPr>
                <w:rFonts w:hint="eastAsia" w:ascii="仿宋" w:hAnsi="仿宋" w:eastAsia="仿宋" w:cs="仿宋"/>
                <w:color w:val="auto"/>
                <w:kern w:val="0"/>
                <w:sz w:val="24"/>
                <w:szCs w:val="24"/>
                <w:highlight w:val="none"/>
              </w:rPr>
            </w:pPr>
          </w:p>
        </w:tc>
        <w:tc>
          <w:tcPr>
            <w:tcW w:w="810" w:type="pct"/>
            <w:noWrap w:val="0"/>
            <w:vAlign w:val="top"/>
          </w:tcPr>
          <w:p w14:paraId="31F2E9BF">
            <w:pPr>
              <w:keepNext w:val="0"/>
              <w:keepLines w:val="0"/>
              <w:pageBreakBefore w:val="0"/>
              <w:suppressLineNumbers w:val="0"/>
              <w:overflowPunct/>
              <w:topLinePunct w:val="0"/>
              <w:bidi w:val="0"/>
              <w:snapToGrid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3ADE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74AA0D8E">
            <w:pPr>
              <w:keepNext w:val="0"/>
              <w:keepLines w:val="0"/>
              <w:pageBreakBefore w:val="0"/>
              <w:suppressLineNumbers w:val="0"/>
              <w:overflowPunct/>
              <w:topLinePunct w:val="0"/>
              <w:bidi w:val="0"/>
              <w:snapToGrid w:val="0"/>
              <w:spacing w:before="0" w:beforeAutospacing="0" w:after="0" w:afterAutospacing="0" w:line="360" w:lineRule="auto"/>
              <w:ind w:left="0" w:right="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r>
    </w:tbl>
    <w:p w14:paraId="7681B91A">
      <w:pPr>
        <w:pageBreakBefore w:val="0"/>
        <w:overflowPunct/>
        <w:topLinePunct w:val="0"/>
        <w:bidi w:val="0"/>
        <w:snapToGrid w:val="0"/>
        <w:spacing w:line="360" w:lineRule="auto"/>
        <w:jc w:val="left"/>
        <w:rPr>
          <w:rFonts w:hint="eastAsia" w:ascii="仿宋" w:hAnsi="仿宋" w:eastAsia="仿宋" w:cs="仿宋"/>
          <w:color w:val="auto"/>
          <w:sz w:val="24"/>
          <w:szCs w:val="24"/>
          <w:highlight w:val="none"/>
        </w:rPr>
      </w:pPr>
    </w:p>
    <w:p w14:paraId="161CBF09">
      <w:pPr>
        <w:pageBreakBefore w:val="0"/>
        <w:overflowPunct/>
        <w:topLinePunct w:val="0"/>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7E16E61C">
      <w:pPr>
        <w:pageBreakBefore w:val="0"/>
        <w:overflowPunct/>
        <w:topLinePunct w:val="0"/>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（1）投标人需严格按照</w:t>
      </w:r>
      <w:r>
        <w:rPr>
          <w:rFonts w:hint="eastAsia" w:ascii="仿宋" w:hAnsi="仿宋" w:eastAsia="仿宋" w:cs="仿宋"/>
          <w:b/>
          <w:bCs/>
          <w:color w:val="auto"/>
          <w:sz w:val="24"/>
          <w:szCs w:val="24"/>
          <w:highlight w:val="none"/>
          <w:lang w:val="en-US" w:eastAsia="zh-CN"/>
        </w:rPr>
        <w:t>上表</w:t>
      </w:r>
      <w:r>
        <w:rPr>
          <w:rFonts w:hint="eastAsia" w:ascii="仿宋" w:hAnsi="仿宋" w:eastAsia="仿宋" w:cs="仿宋"/>
          <w:b/>
          <w:bCs/>
          <w:color w:val="auto"/>
          <w:sz w:val="24"/>
          <w:szCs w:val="24"/>
          <w:highlight w:val="none"/>
        </w:rPr>
        <w:t>编写分项报价。</w:t>
      </w:r>
    </w:p>
    <w:p w14:paraId="3CA31284">
      <w:pPr>
        <w:pageBreakBefore w:val="0"/>
        <w:overflowPunct/>
        <w:topLinePunct w:val="0"/>
        <w:bidi w:val="0"/>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（2）</w:t>
      </w:r>
      <w:r>
        <w:rPr>
          <w:rFonts w:hint="eastAsia" w:ascii="仿宋" w:hAnsi="仿宋" w:eastAsia="仿宋" w:cs="仿宋"/>
          <w:b/>
          <w:bCs/>
          <w:color w:val="auto"/>
          <w:sz w:val="24"/>
          <w:szCs w:val="24"/>
          <w:highlight w:val="none"/>
          <w:lang w:val="en-US" w:eastAsia="zh-CN"/>
        </w:rPr>
        <w:t>报价包含项目正常完成、处置应急突发事件、人工服务、运输、科室配送、税费等一切费用。</w:t>
      </w:r>
    </w:p>
    <w:p w14:paraId="7E27AB5D">
      <w:pPr>
        <w:pageBreakBefore w:val="0"/>
        <w:overflowPunct/>
        <w:topLinePunct w:val="0"/>
        <w:bidi w:val="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（3）投标总报价应与开标一览表投标总报价一致。</w:t>
      </w:r>
    </w:p>
    <w:p w14:paraId="19EB117F">
      <w:pPr>
        <w:pageBreakBefore w:val="0"/>
        <w:overflowPunct/>
        <w:topLinePunct w:val="0"/>
        <w:bidi w:val="0"/>
        <w:snapToGrid w:val="0"/>
        <w:spacing w:line="360" w:lineRule="auto"/>
        <w:jc w:val="left"/>
        <w:rPr>
          <w:rFonts w:hint="eastAsia" w:ascii="仿宋" w:hAnsi="仿宋" w:eastAsia="仿宋" w:cs="仿宋"/>
          <w:color w:val="auto"/>
          <w:sz w:val="24"/>
          <w:szCs w:val="24"/>
          <w:highlight w:val="none"/>
        </w:rPr>
      </w:pPr>
    </w:p>
    <w:p w14:paraId="73FFF53F">
      <w:pPr>
        <w:pageBreakBefore w:val="0"/>
        <w:overflowPunct/>
        <w:topLinePunct w:val="0"/>
        <w:bidi w:val="0"/>
        <w:spacing w:line="360" w:lineRule="auto"/>
        <w:rPr>
          <w:rFonts w:hint="eastAsia" w:ascii="仿宋" w:hAnsi="仿宋" w:eastAsia="仿宋" w:cs="仿宋"/>
          <w:color w:val="auto"/>
          <w:sz w:val="24"/>
          <w:szCs w:val="24"/>
          <w:highlight w:val="none"/>
        </w:rPr>
      </w:pPr>
    </w:p>
    <w:p w14:paraId="2199F106">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________________________</w:t>
      </w:r>
    </w:p>
    <w:p w14:paraId="55CB2D1B">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法定代表人或委托代理人签字或签章：</w:t>
      </w:r>
      <w:r>
        <w:rPr>
          <w:rFonts w:hint="eastAsia" w:ascii="仿宋" w:hAnsi="仿宋" w:eastAsia="仿宋" w:cs="仿宋"/>
          <w:color w:val="auto"/>
          <w:sz w:val="24"/>
          <w:szCs w:val="24"/>
          <w:highlight w:val="none"/>
          <w:u w:val="single"/>
        </w:rPr>
        <w:t>__________________</w:t>
      </w:r>
    </w:p>
    <w:p w14:paraId="5E201499">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_______</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____</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_____</w:t>
      </w:r>
      <w:r>
        <w:rPr>
          <w:rFonts w:hint="eastAsia" w:ascii="仿宋" w:hAnsi="仿宋" w:eastAsia="仿宋" w:cs="仿宋"/>
          <w:color w:val="auto"/>
          <w:sz w:val="24"/>
          <w:szCs w:val="24"/>
          <w:highlight w:val="none"/>
        </w:rPr>
        <w:t>日</w:t>
      </w:r>
    </w:p>
    <w:p w14:paraId="7369887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3D68A228">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304" w:name="_Toc140565075"/>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.投标书</w:t>
      </w:r>
      <w:bookmarkEnd w:id="303"/>
      <w:bookmarkEnd w:id="304"/>
    </w:p>
    <w:p w14:paraId="6D4213F0">
      <w:pPr>
        <w:pageBreakBefore w:val="0"/>
        <w:overflowPunct/>
        <w:topLinePunct w:val="0"/>
        <w:bidi w:val="0"/>
        <w:spacing w:after="12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昆明市第一人民医院</w:t>
      </w:r>
      <w:r>
        <w:rPr>
          <w:rFonts w:hint="eastAsia" w:ascii="仿宋" w:hAnsi="仿宋" w:eastAsia="仿宋" w:cs="仿宋"/>
          <w:b/>
          <w:color w:val="auto"/>
          <w:sz w:val="24"/>
          <w:highlight w:val="none"/>
        </w:rPr>
        <w:t>/云南中招招标有限公司：</w:t>
      </w:r>
    </w:p>
    <w:p w14:paraId="55133BBD">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根据对贵方代理的</w:t>
      </w:r>
      <w:r>
        <w:rPr>
          <w:rFonts w:hint="eastAsia" w:ascii="仿宋" w:hAnsi="仿宋" w:eastAsia="仿宋" w:cs="仿宋"/>
          <w:b/>
          <w:bCs/>
          <w:color w:val="auto"/>
          <w:sz w:val="24"/>
          <w:highlight w:val="none"/>
          <w:u w:val="single"/>
        </w:rPr>
        <w:t>（项目名称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
          <w:bCs/>
          <w:color w:val="auto"/>
          <w:sz w:val="24"/>
          <w:highlight w:val="none"/>
          <w:u w:val="single"/>
        </w:rPr>
        <w:t>）</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招标文件的研究，我单位（公司）决定参加投标，经法定代表人</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color w:val="auto"/>
          <w:sz w:val="24"/>
          <w:highlight w:val="none"/>
        </w:rPr>
        <w:t>（或法定代表人正式授权的委托代理人</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color w:val="auto"/>
          <w:sz w:val="24"/>
          <w:highlight w:val="none"/>
        </w:rPr>
        <w:t>）提交投标文件，包括以下文件：</w:t>
      </w:r>
    </w:p>
    <w:p w14:paraId="5AE239A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一、资格审查部分</w:t>
      </w:r>
    </w:p>
    <w:p w14:paraId="0C294E08">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hint="eastAsia" w:ascii="仿宋" w:hAnsi="仿宋" w:eastAsia="仿宋" w:cs="仿宋"/>
          <w:color w:val="auto"/>
          <w:sz w:val="24"/>
          <w:highlight w:val="none"/>
          <w:lang w:val="en-US" w:eastAsia="zh-CN"/>
        </w:rPr>
        <w:t>技术</w:t>
      </w:r>
      <w:r>
        <w:rPr>
          <w:rFonts w:hint="eastAsia" w:ascii="仿宋" w:hAnsi="仿宋" w:eastAsia="仿宋" w:cs="仿宋"/>
          <w:color w:val="auto"/>
          <w:sz w:val="24"/>
          <w:highlight w:val="none"/>
        </w:rPr>
        <w:t>部分</w:t>
      </w:r>
    </w:p>
    <w:p w14:paraId="740042FD">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r>
        <w:rPr>
          <w:rFonts w:hint="eastAsia" w:ascii="仿宋" w:hAnsi="仿宋" w:eastAsia="仿宋" w:cs="仿宋"/>
          <w:color w:val="auto"/>
          <w:sz w:val="24"/>
          <w:highlight w:val="none"/>
          <w:lang w:val="en-US" w:eastAsia="zh-CN"/>
        </w:rPr>
        <w:t>商务</w:t>
      </w:r>
      <w:r>
        <w:rPr>
          <w:rFonts w:hint="eastAsia" w:ascii="仿宋" w:hAnsi="仿宋" w:eastAsia="仿宋" w:cs="仿宋"/>
          <w:color w:val="auto"/>
          <w:sz w:val="24"/>
          <w:highlight w:val="none"/>
        </w:rPr>
        <w:t>部分</w:t>
      </w:r>
    </w:p>
    <w:p w14:paraId="2ED1EDEA">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四、招标文件要求或</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认为需要提交的其他资料</w:t>
      </w:r>
    </w:p>
    <w:p w14:paraId="769A30A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我单位（或公司）同意以下事项：</w:t>
      </w:r>
    </w:p>
    <w:p w14:paraId="1D97CF7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1、我公司愿意以开标一览表所报价格承接本次项目所有实施内容。</w:t>
      </w:r>
    </w:p>
    <w:p w14:paraId="46389FC2">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2、遵守招标文件的各项条款及一切有关规定；</w:t>
      </w:r>
    </w:p>
    <w:p w14:paraId="41484D8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3、向贵方提供所有与所投项目有关的真实有效的数据、情况和技术资料；</w:t>
      </w:r>
    </w:p>
    <w:p w14:paraId="4D98C5D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4、如我方投标被接受，我方将按招标文件的规定履行合同责任和义务，保证在合同生效后按时按量完成本项目具体实施；</w:t>
      </w:r>
    </w:p>
    <w:p w14:paraId="022E799A">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5、本投标书自贵方收到之日生效，有效期至开标后90日，在此期间本投标书之规定对我方具有约束力；</w:t>
      </w:r>
    </w:p>
    <w:p w14:paraId="48B9E894">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6、如果我方投标被接受，则至合同履行完成和质量保证期满为止，本投标书保持有效。</w:t>
      </w:r>
    </w:p>
    <w:p w14:paraId="3C762021">
      <w:pPr>
        <w:pageBreakBefore w:val="0"/>
        <w:overflowPunct/>
        <w:topLinePunct w:val="0"/>
        <w:bidi w:val="0"/>
        <w:spacing w:before="60" w:after="60" w:line="360" w:lineRule="auto"/>
        <w:rPr>
          <w:rFonts w:hint="eastAsia" w:ascii="仿宋" w:hAnsi="仿宋" w:eastAsia="仿宋" w:cs="仿宋"/>
          <w:color w:val="auto"/>
          <w:sz w:val="24"/>
          <w:highlight w:val="none"/>
        </w:rPr>
      </w:pPr>
    </w:p>
    <w:p w14:paraId="6D5F5ADD">
      <w:pPr>
        <w:pageBreakBefore w:val="0"/>
        <w:overflowPunct/>
        <w:topLinePunct w:val="0"/>
        <w:bidi w:val="0"/>
        <w:spacing w:before="60" w:after="60" w:line="360" w:lineRule="auto"/>
        <w:rPr>
          <w:rFonts w:hint="eastAsia" w:ascii="仿宋" w:hAnsi="仿宋" w:eastAsia="仿宋" w:cs="仿宋"/>
          <w:color w:val="auto"/>
          <w:sz w:val="24"/>
          <w:highlight w:val="none"/>
        </w:rPr>
      </w:pPr>
    </w:p>
    <w:p w14:paraId="28129593">
      <w:pPr>
        <w:pageBreakBefore w:val="0"/>
        <w:overflowPunct/>
        <w:topLinePunct w:val="0"/>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0CA45375">
      <w:pPr>
        <w:pageBreakBefore w:val="0"/>
        <w:overflowPunct/>
        <w:topLinePunct w:val="0"/>
        <w:bidi w:val="0"/>
        <w:spacing w:line="360" w:lineRule="auto"/>
        <w:ind w:firstLine="5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________________________</w:t>
      </w:r>
      <w:r>
        <w:rPr>
          <w:rFonts w:hint="eastAsia" w:ascii="仿宋" w:hAnsi="仿宋" w:eastAsia="仿宋" w:cs="仿宋"/>
          <w:color w:val="auto"/>
          <w:sz w:val="24"/>
          <w:highlight w:val="none"/>
        </w:rPr>
        <w:t xml:space="preserve"> 电  话：</w:t>
      </w:r>
      <w:r>
        <w:rPr>
          <w:rFonts w:hint="eastAsia" w:ascii="仿宋" w:hAnsi="仿宋" w:eastAsia="仿宋" w:cs="仿宋"/>
          <w:color w:val="auto"/>
          <w:sz w:val="24"/>
          <w:highlight w:val="none"/>
          <w:u w:val="single"/>
        </w:rPr>
        <w:t>________________________</w:t>
      </w:r>
    </w:p>
    <w:p w14:paraId="24F3C2BB">
      <w:pPr>
        <w:pageBreakBefore w:val="0"/>
        <w:overflowPunct/>
        <w:topLinePunct w:val="0"/>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邮  编：</w:t>
      </w:r>
      <w:r>
        <w:rPr>
          <w:rFonts w:hint="eastAsia" w:ascii="仿宋" w:hAnsi="仿宋" w:eastAsia="仿宋" w:cs="仿宋"/>
          <w:color w:val="auto"/>
          <w:sz w:val="24"/>
          <w:highlight w:val="none"/>
          <w:u w:val="single"/>
        </w:rPr>
        <w:t>________________________</w:t>
      </w:r>
      <w:r>
        <w:rPr>
          <w:rFonts w:hint="eastAsia" w:ascii="仿宋" w:hAnsi="仿宋" w:eastAsia="仿宋" w:cs="仿宋"/>
          <w:color w:val="auto"/>
          <w:sz w:val="24"/>
          <w:highlight w:val="none"/>
        </w:rPr>
        <w:t xml:space="preserve"> 传  真：</w:t>
      </w:r>
      <w:r>
        <w:rPr>
          <w:rFonts w:hint="eastAsia" w:ascii="仿宋" w:hAnsi="仿宋" w:eastAsia="仿宋" w:cs="仿宋"/>
          <w:color w:val="auto"/>
          <w:sz w:val="24"/>
          <w:highlight w:val="none"/>
          <w:u w:val="single"/>
        </w:rPr>
        <w:t>________________________</w:t>
      </w:r>
    </w:p>
    <w:p w14:paraId="1C2B1B23">
      <w:pPr>
        <w:pageBreakBefore w:val="0"/>
        <w:overflowPunct/>
        <w:topLinePunct w:val="0"/>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rPr>
        <w:tab/>
      </w:r>
      <w:r>
        <w:rPr>
          <w:rFonts w:hint="eastAsia" w:ascii="仿宋" w:hAnsi="仿宋" w:eastAsia="仿宋" w:cs="仿宋"/>
          <w:color w:val="auto"/>
          <w:sz w:val="24"/>
          <w:highlight w:val="none"/>
          <w:u w:val="single"/>
        </w:rPr>
        <w:t>________________________</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w:t>
      </w:r>
    </w:p>
    <w:p w14:paraId="531EBD29">
      <w:pPr>
        <w:pageBreakBefore w:val="0"/>
        <w:overflowPunct/>
        <w:topLinePunct w:val="0"/>
        <w:bidi w:val="0"/>
        <w:spacing w:line="360" w:lineRule="auto"/>
        <w:ind w:firstLine="510"/>
        <w:rPr>
          <w:rFonts w:hint="eastAsia" w:ascii="仿宋" w:hAnsi="仿宋" w:eastAsia="仿宋" w:cs="仿宋"/>
          <w:color w:val="auto"/>
          <w:sz w:val="24"/>
          <w:highlight w:val="none"/>
        </w:rPr>
      </w:pPr>
    </w:p>
    <w:p w14:paraId="6F92CFA5">
      <w:pPr>
        <w:pageBreakBefore w:val="0"/>
        <w:overflowPunct/>
        <w:topLinePunct w:val="0"/>
        <w:bidi w:val="0"/>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p>
    <w:p w14:paraId="7F81951F">
      <w:pPr>
        <w:pageBreakBefore w:val="0"/>
        <w:overflowPunct/>
        <w:topLinePunct w:val="0"/>
        <w:bidi w:val="0"/>
        <w:spacing w:line="360" w:lineRule="auto"/>
        <w:ind w:firstLine="510"/>
        <w:rPr>
          <w:rFonts w:hint="eastAsia" w:ascii="仿宋" w:hAnsi="仿宋" w:eastAsia="仿宋" w:cs="仿宋"/>
          <w:color w:val="auto"/>
          <w:sz w:val="24"/>
          <w:highlight w:val="none"/>
        </w:rPr>
      </w:pPr>
    </w:p>
    <w:p w14:paraId="4C62F7DE">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305" w:name="_Toc140565076"/>
      <w:bookmarkStart w:id="306" w:name="_Toc17914"/>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.投标保证书</w:t>
      </w:r>
      <w:bookmarkEnd w:id="305"/>
      <w:bookmarkEnd w:id="306"/>
    </w:p>
    <w:p w14:paraId="6D3A8AA7">
      <w:pPr>
        <w:pageBreakBefore w:val="0"/>
        <w:overflowPunct/>
        <w:topLinePunct w:val="0"/>
        <w:bidi w:val="0"/>
        <w:spacing w:after="12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昆明市第一人民医院</w:t>
      </w:r>
      <w:r>
        <w:rPr>
          <w:rFonts w:hint="eastAsia" w:ascii="仿宋" w:hAnsi="仿宋" w:eastAsia="仿宋" w:cs="仿宋"/>
          <w:b/>
          <w:color w:val="auto"/>
          <w:sz w:val="24"/>
          <w:highlight w:val="none"/>
        </w:rPr>
        <w:t>/云南中招招标有限公司：</w:t>
      </w:r>
    </w:p>
    <w:p w14:paraId="6AF9007F">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本书作为</w:t>
      </w:r>
      <w:r>
        <w:rPr>
          <w:rFonts w:hint="eastAsia" w:ascii="仿宋" w:hAnsi="仿宋" w:eastAsia="仿宋" w:cs="仿宋"/>
          <w:color w:val="auto"/>
          <w:sz w:val="24"/>
          <w:szCs w:val="24"/>
          <w:highlight w:val="none"/>
          <w:u w:val="single"/>
        </w:rPr>
        <w:t>____________</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w:t>
      </w:r>
      <w:r>
        <w:rPr>
          <w:rFonts w:hint="eastAsia" w:ascii="仿宋" w:hAnsi="仿宋" w:eastAsia="仿宋" w:cs="仿宋"/>
          <w:b/>
          <w:bCs/>
          <w:color w:val="auto"/>
          <w:sz w:val="24"/>
          <w:szCs w:val="24"/>
          <w:highlight w:val="none"/>
          <w:u w:val="single"/>
        </w:rPr>
        <w:t>（项目名称）</w:t>
      </w:r>
      <w:r>
        <w:rPr>
          <w:rFonts w:hint="eastAsia" w:ascii="仿宋" w:hAnsi="仿宋" w:eastAsia="仿宋" w:cs="仿宋"/>
          <w:b/>
          <w:bCs/>
          <w:color w:val="auto"/>
          <w:sz w:val="24"/>
          <w:szCs w:val="24"/>
          <w:highlight w:val="none"/>
        </w:rPr>
        <w:t>（项目编号：</w:t>
      </w:r>
      <w:r>
        <w:rPr>
          <w:rFonts w:hint="eastAsia" w:ascii="仿宋" w:hAnsi="仿宋" w:eastAsia="仿宋" w:cs="仿宋"/>
          <w:b/>
          <w:bCs/>
          <w:color w:val="auto"/>
          <w:sz w:val="24"/>
          <w:szCs w:val="24"/>
          <w:highlight w:val="none"/>
          <w:u w:val="single"/>
          <w:lang w:val="zh-CN"/>
        </w:rPr>
        <w:t xml:space="preserve">       </w:t>
      </w: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的投标保证。</w:t>
      </w:r>
    </w:p>
    <w:p w14:paraId="48EE0B11">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一旦发生下述行为，我单位（或公司）视为无效投标：</w:t>
      </w:r>
    </w:p>
    <w:p w14:paraId="77B1B9DC">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（1）从开标日起到投标文件有效期满前，投标人撤回投标；</w:t>
      </w:r>
    </w:p>
    <w:p w14:paraId="1C0C08F8">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（2）开标、评标到定标期间发生违反招标文件规定的行为；</w:t>
      </w:r>
    </w:p>
    <w:p w14:paraId="7D7D1820">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（3）在收到《中标通知书》后未能按中标通知书规定的时间地点与采购人签订合同；</w:t>
      </w:r>
    </w:p>
    <w:p w14:paraId="523A6B73">
      <w:pPr>
        <w:pageBreakBefore w:val="0"/>
        <w:overflowPunct/>
        <w:topLinePunct w:val="0"/>
        <w:bidi w:val="0"/>
        <w:spacing w:before="60" w:after="60" w:line="360" w:lineRule="auto"/>
        <w:ind w:firstLine="5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（4）中标后未按规定交付采购代理服务费。</w:t>
      </w:r>
    </w:p>
    <w:p w14:paraId="56FD80C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本保证书自开标日起90日有效，除非贵方提前终止或解除本保证书。</w:t>
      </w:r>
    </w:p>
    <w:p w14:paraId="4E10771E">
      <w:pPr>
        <w:pageBreakBefore w:val="0"/>
        <w:overflowPunct/>
        <w:topLinePunct w:val="0"/>
        <w:bidi w:val="0"/>
        <w:spacing w:before="60" w:after="60" w:line="360" w:lineRule="auto"/>
        <w:rPr>
          <w:rFonts w:hint="eastAsia" w:ascii="仿宋" w:hAnsi="仿宋" w:eastAsia="仿宋" w:cs="仿宋"/>
          <w:color w:val="auto"/>
          <w:sz w:val="24"/>
          <w:highlight w:val="none"/>
        </w:rPr>
      </w:pPr>
    </w:p>
    <w:p w14:paraId="654A9D06">
      <w:pPr>
        <w:pageBreakBefore w:val="0"/>
        <w:overflowPunct/>
        <w:topLinePunct w:val="0"/>
        <w:bidi w:val="0"/>
        <w:spacing w:before="60" w:after="60" w:line="360" w:lineRule="auto"/>
        <w:rPr>
          <w:rFonts w:hint="eastAsia" w:ascii="仿宋" w:hAnsi="仿宋" w:eastAsia="仿宋" w:cs="仿宋"/>
          <w:color w:val="auto"/>
          <w:sz w:val="24"/>
          <w:highlight w:val="none"/>
        </w:rPr>
      </w:pPr>
    </w:p>
    <w:p w14:paraId="062DFFDF">
      <w:pPr>
        <w:pageBreakBefore w:val="0"/>
        <w:overflowPunct/>
        <w:topLinePunct w:val="0"/>
        <w:bidi w:val="0"/>
        <w:spacing w:before="60" w:after="60" w:line="360" w:lineRule="auto"/>
        <w:rPr>
          <w:rFonts w:hint="eastAsia" w:ascii="仿宋" w:hAnsi="仿宋" w:eastAsia="仿宋" w:cs="仿宋"/>
          <w:color w:val="auto"/>
          <w:sz w:val="24"/>
          <w:highlight w:val="none"/>
        </w:rPr>
      </w:pPr>
    </w:p>
    <w:p w14:paraId="628FF24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3E75FF9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w:t>
      </w:r>
    </w:p>
    <w:p w14:paraId="54869682">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p>
    <w:p w14:paraId="268B163F">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59DBFAD7">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58CF8AFA">
      <w:pPr>
        <w:pageBreakBefore w:val="0"/>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307" w:name="_Toc140565077"/>
      <w:bookmarkStart w:id="308" w:name="_Toc2065"/>
    </w:p>
    <w:p w14:paraId="11F0C455">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法定代表人身份证明书及法定代表人授权委托书</w:t>
      </w:r>
      <w:bookmarkEnd w:id="307"/>
      <w:bookmarkEnd w:id="308"/>
    </w:p>
    <w:p w14:paraId="43812378">
      <w:pPr>
        <w:pStyle w:val="4"/>
        <w:pageBreakBefore w:val="0"/>
        <w:overflowPunct/>
        <w:topLinePunct w:val="0"/>
        <w:bidi w:val="0"/>
        <w:spacing w:before="0" w:after="0" w:line="360" w:lineRule="auto"/>
        <w:jc w:val="center"/>
        <w:rPr>
          <w:rFonts w:hint="eastAsia" w:ascii="仿宋" w:hAnsi="仿宋" w:eastAsia="仿宋" w:cs="仿宋"/>
          <w:b w:val="0"/>
          <w:color w:val="auto"/>
          <w:kern w:val="0"/>
          <w:sz w:val="36"/>
          <w:szCs w:val="20"/>
          <w:highlight w:val="none"/>
        </w:rPr>
      </w:pPr>
      <w:bookmarkStart w:id="309" w:name="_Toc140565078"/>
      <w:bookmarkStart w:id="310" w:name="_Toc8275"/>
      <w:bookmarkStart w:id="311" w:name="_Toc26792"/>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.1法定代表人身份证明书</w:t>
      </w:r>
      <w:bookmarkEnd w:id="309"/>
      <w:bookmarkEnd w:id="310"/>
      <w:bookmarkEnd w:id="311"/>
    </w:p>
    <w:p w14:paraId="75835127">
      <w:pPr>
        <w:pageBreakBefore w:val="0"/>
        <w:overflowPunct/>
        <w:topLinePunct w:val="0"/>
        <w:bidi w:val="0"/>
        <w:spacing w:line="360" w:lineRule="auto"/>
        <w:ind w:firstLine="612"/>
        <w:rPr>
          <w:rFonts w:hint="eastAsia" w:ascii="仿宋" w:hAnsi="仿宋" w:eastAsia="仿宋" w:cs="仿宋"/>
          <w:color w:val="auto"/>
          <w:sz w:val="24"/>
          <w:highlight w:val="none"/>
        </w:rPr>
      </w:pPr>
      <w:r>
        <w:rPr>
          <w:rFonts w:hint="eastAsia" w:ascii="仿宋" w:hAnsi="仿宋" w:eastAsia="仿宋" w:cs="仿宋"/>
          <w:color w:val="auto"/>
          <w:sz w:val="24"/>
          <w:highlight w:val="none"/>
        </w:rPr>
        <w:t>单位名称：</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051A1E22">
      <w:pPr>
        <w:pageBreakBefore w:val="0"/>
        <w:overflowPunct/>
        <w:topLinePunct w:val="0"/>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5447969B">
      <w:pPr>
        <w:pageBreakBefore w:val="0"/>
        <w:overflowPunct/>
        <w:topLinePunct w:val="0"/>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7B481598">
      <w:pPr>
        <w:pageBreakBefore w:val="0"/>
        <w:overflowPunct/>
        <w:topLinePunct w:val="0"/>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B894B43">
      <w:pPr>
        <w:pageBreakBefore w:val="0"/>
        <w:overflowPunct/>
        <w:topLinePunct w:val="0"/>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p>
    <w:p w14:paraId="4FCB2BC1">
      <w:pPr>
        <w:pageBreakBefore w:val="0"/>
        <w:overflowPunct/>
        <w:topLinePunct w:val="0"/>
        <w:bidi w:val="0"/>
        <w:spacing w:line="360" w:lineRule="auto"/>
        <w:ind w:firstLine="6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职务：</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52496F1F">
      <w:pPr>
        <w:pageBreakBefore w:val="0"/>
        <w:overflowPunct/>
        <w:topLinePunct w:val="0"/>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单位名称）    </w:t>
      </w:r>
      <w:r>
        <w:rPr>
          <w:rFonts w:hint="eastAsia" w:ascii="仿宋" w:hAnsi="仿宋" w:eastAsia="仿宋" w:cs="仿宋"/>
          <w:color w:val="auto"/>
          <w:sz w:val="24"/>
          <w:highlight w:val="none"/>
        </w:rPr>
        <w:t>的法定代表人。</w:t>
      </w:r>
    </w:p>
    <w:p w14:paraId="32390170">
      <w:pPr>
        <w:pageBreakBefore w:val="0"/>
        <w:overflowPunct/>
        <w:topLinePunct w:val="0"/>
        <w:bidi w:val="0"/>
        <w:spacing w:line="360" w:lineRule="auto"/>
        <w:ind w:firstLine="610"/>
        <w:rPr>
          <w:rFonts w:hint="eastAsia" w:ascii="仿宋" w:hAnsi="仿宋" w:eastAsia="仿宋" w:cs="仿宋"/>
          <w:color w:val="auto"/>
          <w:sz w:val="24"/>
          <w:highlight w:val="none"/>
        </w:rPr>
      </w:pPr>
    </w:p>
    <w:p w14:paraId="34E6DF2D">
      <w:pPr>
        <w:pageBreakBefore w:val="0"/>
        <w:overflowPunct/>
        <w:topLinePunct w:val="0"/>
        <w:bidi w:val="0"/>
        <w:spacing w:line="360" w:lineRule="auto"/>
        <w:ind w:firstLine="61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特此证明。</w:t>
      </w:r>
    </w:p>
    <w:p w14:paraId="65062A92">
      <w:pPr>
        <w:pageBreakBefore w:val="0"/>
        <w:tabs>
          <w:tab w:val="left" w:pos="720"/>
          <w:tab w:val="left" w:pos="900"/>
        </w:tabs>
        <w:overflowPunct/>
        <w:topLinePunct w:val="0"/>
        <w:bidi w:val="0"/>
        <w:spacing w:line="360" w:lineRule="auto"/>
        <w:ind w:right="1124"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法定代表人身份证扫描件国徽面、人像面</w:t>
      </w:r>
    </w:p>
    <w:p w14:paraId="0910CEA4">
      <w:pPr>
        <w:pageBreakBefore w:val="0"/>
        <w:tabs>
          <w:tab w:val="left" w:pos="720"/>
          <w:tab w:val="left" w:pos="900"/>
        </w:tabs>
        <w:overflowPunct/>
        <w:topLinePunct w:val="0"/>
        <w:bidi w:val="0"/>
        <w:spacing w:line="360" w:lineRule="auto"/>
        <w:ind w:right="1124" w:firstLine="4252" w:firstLineChars="1772"/>
        <w:rPr>
          <w:rFonts w:hint="eastAsia" w:ascii="仿宋" w:hAnsi="仿宋" w:eastAsia="仿宋" w:cs="仿宋"/>
          <w:color w:val="auto"/>
          <w:sz w:val="24"/>
          <w:highlight w:val="none"/>
          <w:lang w:eastAsia="zh-CN"/>
        </w:rPr>
      </w:pPr>
    </w:p>
    <w:p w14:paraId="3695FC73">
      <w:pPr>
        <w:pageBreakBefore w:val="0"/>
        <w:tabs>
          <w:tab w:val="left" w:pos="720"/>
          <w:tab w:val="left" w:pos="900"/>
        </w:tabs>
        <w:overflowPunct/>
        <w:topLinePunct w:val="0"/>
        <w:bidi w:val="0"/>
        <w:spacing w:line="360" w:lineRule="auto"/>
        <w:ind w:right="1124" w:firstLine="4252" w:firstLineChars="1772"/>
        <w:rPr>
          <w:rFonts w:hint="eastAsia" w:ascii="仿宋" w:hAnsi="仿宋" w:eastAsia="仿宋" w:cs="仿宋"/>
          <w:color w:val="auto"/>
          <w:sz w:val="24"/>
          <w:highlight w:val="none"/>
          <w:lang w:eastAsia="zh-CN"/>
        </w:rPr>
      </w:pPr>
    </w:p>
    <w:p w14:paraId="1A4A202C">
      <w:pPr>
        <w:pageBreakBefore w:val="0"/>
        <w:tabs>
          <w:tab w:val="left" w:pos="720"/>
          <w:tab w:val="left" w:pos="900"/>
        </w:tabs>
        <w:overflowPunct/>
        <w:topLinePunct w:val="0"/>
        <w:bidi w:val="0"/>
        <w:spacing w:line="360" w:lineRule="auto"/>
        <w:ind w:right="1124" w:firstLine="4252" w:firstLineChars="1772"/>
        <w:rPr>
          <w:rFonts w:hint="eastAsia" w:ascii="仿宋" w:hAnsi="仿宋" w:eastAsia="仿宋" w:cs="仿宋"/>
          <w:color w:val="auto"/>
          <w:sz w:val="24"/>
          <w:highlight w:val="none"/>
          <w:lang w:eastAsia="zh-CN"/>
        </w:rPr>
      </w:pPr>
    </w:p>
    <w:p w14:paraId="0D2FF7EB">
      <w:pPr>
        <w:pageBreakBefore w:val="0"/>
        <w:tabs>
          <w:tab w:val="left" w:pos="720"/>
          <w:tab w:val="left" w:pos="900"/>
        </w:tabs>
        <w:overflowPunct/>
        <w:topLinePunct w:val="0"/>
        <w:bidi w:val="0"/>
        <w:spacing w:line="360" w:lineRule="auto"/>
        <w:ind w:right="1124" w:firstLine="4252" w:firstLineChars="1772"/>
        <w:rPr>
          <w:rFonts w:hint="eastAsia" w:ascii="仿宋" w:hAnsi="仿宋" w:eastAsia="仿宋" w:cs="仿宋"/>
          <w:color w:val="auto"/>
          <w:sz w:val="24"/>
          <w:highlight w:val="none"/>
          <w:lang w:eastAsia="zh-CN"/>
        </w:rPr>
      </w:pPr>
    </w:p>
    <w:p w14:paraId="5EED6A27">
      <w:pPr>
        <w:pageBreakBefore w:val="0"/>
        <w:tabs>
          <w:tab w:val="left" w:pos="720"/>
          <w:tab w:val="left" w:pos="900"/>
        </w:tabs>
        <w:overflowPunct/>
        <w:topLinePunct w:val="0"/>
        <w:bidi w:val="0"/>
        <w:spacing w:line="360" w:lineRule="auto"/>
        <w:ind w:right="1124" w:firstLine="4252" w:firstLineChars="1772"/>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5B76BD37">
      <w:pPr>
        <w:pageBreakBefore w:val="0"/>
        <w:tabs>
          <w:tab w:val="left" w:pos="720"/>
          <w:tab w:val="left" w:pos="900"/>
        </w:tabs>
        <w:overflowPunct/>
        <w:topLinePunct w:val="0"/>
        <w:bidi w:val="0"/>
        <w:spacing w:line="360" w:lineRule="auto"/>
        <w:ind w:right="1440" w:firstLine="4252" w:firstLineChars="1772"/>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D8BC338">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312" w:name="_Toc15674"/>
      <w:bookmarkStart w:id="313" w:name="_Toc140565079"/>
      <w:bookmarkStart w:id="314" w:name="_Toc1073"/>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2法定代表人授权委托书</w:t>
      </w:r>
      <w:bookmarkEnd w:id="312"/>
      <w:bookmarkEnd w:id="313"/>
      <w:bookmarkEnd w:id="314"/>
    </w:p>
    <w:p w14:paraId="037EB2A8">
      <w:pPr>
        <w:pageBreakBefore w:val="0"/>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（法定代表人亲自参加投标则不需提供）</w:t>
      </w:r>
    </w:p>
    <w:p w14:paraId="4EA56969">
      <w:pPr>
        <w:pageBreakBefore w:val="0"/>
        <w:overflowPunct/>
        <w:topLinePunct w:val="0"/>
        <w:bidi w:val="0"/>
        <w:spacing w:line="360" w:lineRule="auto"/>
        <w:ind w:firstLine="42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 xml:space="preserve">)的法定代表人，现授权委托我单位的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(姓名)为我公司代理人，以公司名义参加云南中招招标有限公司代理的</w:t>
      </w:r>
      <w:r>
        <w:rPr>
          <w:rFonts w:hint="eastAsia" w:ascii="仿宋" w:hAnsi="仿宋" w:eastAsia="仿宋" w:cs="仿宋"/>
          <w:b/>
          <w:bCs/>
          <w:color w:val="auto"/>
          <w:sz w:val="24"/>
          <w:highlight w:val="none"/>
          <w:u w:val="single"/>
        </w:rPr>
        <w:t>（项目名称</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
          <w:bCs/>
          <w:color w:val="auto"/>
          <w:sz w:val="24"/>
          <w:highlight w:val="none"/>
          <w:u w:val="single"/>
        </w:rPr>
        <w:t>）</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bCs/>
          <w:color w:val="auto"/>
          <w:sz w:val="24"/>
          <w:szCs w:val="36"/>
          <w:highlight w:val="none"/>
        </w:rPr>
        <w:t>（项目编号：</w:t>
      </w:r>
      <w:r>
        <w:rPr>
          <w:rFonts w:hint="eastAsia" w:ascii="仿宋" w:hAnsi="仿宋" w:eastAsia="仿宋" w:cs="仿宋"/>
          <w:b/>
          <w:bCs/>
          <w:color w:val="auto"/>
          <w:sz w:val="24"/>
          <w:szCs w:val="36"/>
          <w:highlight w:val="none"/>
          <w:u w:val="single"/>
          <w:lang w:val="zh-CN"/>
        </w:rPr>
        <w:t xml:space="preserve">       </w:t>
      </w:r>
      <w:r>
        <w:rPr>
          <w:rFonts w:hint="eastAsia" w:ascii="仿宋" w:hAnsi="仿宋" w:eastAsia="仿宋" w:cs="仿宋"/>
          <w:b/>
          <w:bCs/>
          <w:color w:val="auto"/>
          <w:sz w:val="24"/>
          <w:szCs w:val="36"/>
          <w:highlight w:val="none"/>
        </w:rPr>
        <w:t>）</w:t>
      </w:r>
      <w:r>
        <w:rPr>
          <w:rFonts w:hint="eastAsia" w:ascii="仿宋" w:hAnsi="仿宋" w:eastAsia="仿宋" w:cs="仿宋"/>
          <w:color w:val="auto"/>
          <w:sz w:val="24"/>
          <w:highlight w:val="none"/>
        </w:rPr>
        <w:t>的投标活动。代理人在开标、评标、合同谈判过程中所签署的一切文件和处理与之有关的一切事务，我均予以承认。</w:t>
      </w:r>
    </w:p>
    <w:p w14:paraId="0C7863A9">
      <w:pPr>
        <w:pageBreakBefore w:val="0"/>
        <w:overflowPunct/>
        <w:topLinePunct w:val="0"/>
        <w:bidi w:val="0"/>
        <w:spacing w:before="156" w:beforeLines="50" w:line="360" w:lineRule="auto"/>
        <w:rPr>
          <w:rFonts w:hint="eastAsia" w:ascii="仿宋" w:hAnsi="仿宋" w:eastAsia="仿宋" w:cs="仿宋"/>
          <w:color w:val="auto"/>
          <w:sz w:val="24"/>
          <w:highlight w:val="none"/>
        </w:rPr>
      </w:pPr>
    </w:p>
    <w:p w14:paraId="573D1539">
      <w:pPr>
        <w:pageBreakBefore w:val="0"/>
        <w:overflowPunct/>
        <w:topLinePunct w:val="0"/>
        <w:bidi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代理人签字：                 性别：                   年龄：</w:t>
      </w:r>
    </w:p>
    <w:p w14:paraId="4F2DF69A">
      <w:pPr>
        <w:pageBreakBefore w:val="0"/>
        <w:overflowPunct/>
        <w:topLinePunct w:val="0"/>
        <w:bidi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部    门：                      职务：</w:t>
      </w:r>
    </w:p>
    <w:p w14:paraId="3D4C1813">
      <w:pPr>
        <w:pageBreakBefore w:val="0"/>
        <w:overflowPunct/>
        <w:topLinePunct w:val="0"/>
        <w:bidi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代理人无转委权。特此委托。</w:t>
      </w:r>
    </w:p>
    <w:p w14:paraId="62807893">
      <w:pPr>
        <w:pageBreakBefore w:val="0"/>
        <w:overflowPunct/>
        <w:topLinePunct w:val="0"/>
        <w:bidi w:val="0"/>
        <w:spacing w:before="156" w:beforeLines="5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法定代表人（签章或签字）： </w:t>
      </w:r>
    </w:p>
    <w:p w14:paraId="4A13F0F6">
      <w:pPr>
        <w:pageBreakBefore w:val="0"/>
        <w:overflowPunct/>
        <w:topLinePunct w:val="0"/>
        <w:bidi w:val="0"/>
        <w:spacing w:before="60" w:after="6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附代理人身份证扫描件国徽面、人像面</w:t>
      </w:r>
    </w:p>
    <w:p w14:paraId="0CAB45B9">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lang w:eastAsia="zh-CN"/>
        </w:rPr>
      </w:pPr>
    </w:p>
    <w:p w14:paraId="6BDCB1FC">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lang w:eastAsia="zh-CN"/>
        </w:rPr>
      </w:pPr>
    </w:p>
    <w:p w14:paraId="6AA23A45">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lang w:eastAsia="zh-CN"/>
        </w:rPr>
      </w:pPr>
    </w:p>
    <w:p w14:paraId="3B29301B">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lang w:eastAsia="zh-CN"/>
        </w:rPr>
      </w:pPr>
    </w:p>
    <w:p w14:paraId="1A6E3C1E">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9BA5267">
      <w:pPr>
        <w:pageBreakBefore w:val="0"/>
        <w:overflowPunct/>
        <w:topLinePunct w:val="0"/>
        <w:bidi w:val="0"/>
        <w:spacing w:before="60" w:after="60" w:line="360" w:lineRule="auto"/>
        <w:ind w:firstLine="4108" w:firstLineChars="1712"/>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315" w:name="_Toc3969347"/>
    </w:p>
    <w:p w14:paraId="659AFA61">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bookmarkStart w:id="316" w:name="_Toc140565080"/>
      <w:bookmarkStart w:id="317" w:name="_Toc23474"/>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.投标质量保证书</w:t>
      </w:r>
      <w:bookmarkEnd w:id="315"/>
      <w:bookmarkEnd w:id="316"/>
      <w:bookmarkEnd w:id="317"/>
    </w:p>
    <w:p w14:paraId="50FB5BE5">
      <w:pPr>
        <w:pageBreakBefore w:val="0"/>
        <w:overflowPunct/>
        <w:topLinePunct w:val="0"/>
        <w:bidi w:val="0"/>
        <w:spacing w:line="360" w:lineRule="auto"/>
        <w:rPr>
          <w:rFonts w:hint="eastAsia" w:ascii="仿宋" w:hAnsi="仿宋" w:eastAsia="仿宋" w:cs="仿宋"/>
          <w:color w:val="auto"/>
          <w:sz w:val="24"/>
          <w:highlight w:val="none"/>
        </w:rPr>
      </w:pPr>
    </w:p>
    <w:p w14:paraId="357FF6A2">
      <w:pPr>
        <w:pageBreakBefore w:val="0"/>
        <w:overflowPunct/>
        <w:topLinePunct w:val="0"/>
        <w:bidi w:val="0"/>
        <w:spacing w:after="12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昆明市第一人民医院</w:t>
      </w:r>
      <w:r>
        <w:rPr>
          <w:rFonts w:hint="eastAsia" w:ascii="仿宋" w:hAnsi="仿宋" w:eastAsia="仿宋" w:cs="仿宋"/>
          <w:b/>
          <w:color w:val="auto"/>
          <w:sz w:val="24"/>
          <w:highlight w:val="none"/>
        </w:rPr>
        <w:t>/云南中招招标有限公司：</w:t>
      </w:r>
    </w:p>
    <w:p w14:paraId="39978CEA">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6AE22C7C">
      <w:pPr>
        <w:pageBreakBefore w:val="0"/>
        <w:overflowPunct/>
        <w:topLinePunct w:val="0"/>
        <w:bidi w:val="0"/>
        <w:spacing w:before="60" w:after="60" w:line="360" w:lineRule="auto"/>
        <w:ind w:firstLine="510"/>
        <w:rPr>
          <w:rFonts w:hint="eastAsia" w:ascii="仿宋" w:hAnsi="仿宋" w:eastAsia="仿宋" w:cs="仿宋"/>
          <w:b/>
          <w:bCs/>
          <w:color w:val="auto"/>
          <w:sz w:val="24"/>
          <w:highlight w:val="none"/>
          <w:u w:val="single"/>
        </w:rPr>
      </w:pPr>
      <w:r>
        <w:rPr>
          <w:rFonts w:hint="eastAsia" w:ascii="仿宋" w:hAnsi="仿宋" w:eastAsia="仿宋" w:cs="仿宋"/>
          <w:color w:val="auto"/>
          <w:sz w:val="24"/>
          <w:highlight w:val="none"/>
        </w:rPr>
        <w:t>本书作为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昆明市第一人民医院</w:t>
      </w:r>
      <w:r>
        <w:rPr>
          <w:rFonts w:hint="eastAsia" w:ascii="仿宋" w:hAnsi="仿宋" w:eastAsia="仿宋" w:cs="仿宋"/>
          <w:color w:val="auto"/>
          <w:sz w:val="24"/>
          <w:highlight w:val="none"/>
        </w:rPr>
        <w:t>委托贵方组织的项目编号为</w:t>
      </w:r>
      <w:r>
        <w:rPr>
          <w:rFonts w:hint="eastAsia" w:ascii="仿宋" w:hAnsi="仿宋" w:eastAsia="仿宋" w:cs="仿宋"/>
          <w:b/>
          <w:bCs/>
          <w:color w:val="auto"/>
          <w:sz w:val="24"/>
          <w:szCs w:val="36"/>
          <w:highlight w:val="none"/>
          <w:u w:val="single"/>
        </w:rPr>
        <w:t xml:space="preserve">                </w:t>
      </w:r>
      <w:r>
        <w:rPr>
          <w:rFonts w:hint="eastAsia" w:ascii="仿宋" w:hAnsi="仿宋" w:eastAsia="仿宋" w:cs="仿宋"/>
          <w:color w:val="auto"/>
          <w:sz w:val="24"/>
          <w:highlight w:val="none"/>
        </w:rPr>
        <w:t>的</w:t>
      </w:r>
      <w:r>
        <w:rPr>
          <w:rFonts w:hint="eastAsia" w:ascii="仿宋" w:hAnsi="仿宋" w:eastAsia="仿宋" w:cs="仿宋"/>
          <w:b/>
          <w:bCs/>
          <w:color w:val="auto"/>
          <w:sz w:val="24"/>
          <w:highlight w:val="none"/>
          <w:u w:val="single"/>
        </w:rPr>
        <w:t xml:space="preserve">                 </w:t>
      </w:r>
      <w:r>
        <w:rPr>
          <w:rFonts w:hint="eastAsia" w:ascii="仿宋" w:hAnsi="仿宋" w:eastAsia="仿宋" w:cs="仿宋"/>
          <w:color w:val="auto"/>
          <w:sz w:val="24"/>
          <w:highlight w:val="none"/>
        </w:rPr>
        <w:t>招标提供质量保证的证明。</w:t>
      </w:r>
    </w:p>
    <w:p w14:paraId="31D625F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我方承诺提供以下质量保证并承担相应的法律责任：</w:t>
      </w:r>
    </w:p>
    <w:p w14:paraId="5E0F34CA">
      <w:pPr>
        <w:pageBreakBefore w:val="0"/>
        <w:overflowPunct/>
        <w:topLinePunct w:val="0"/>
        <w:bidi w:val="0"/>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1.提供的产品或服务满足招标文件的质量要求和所签合同规定的要求；</w:t>
      </w:r>
    </w:p>
    <w:p w14:paraId="5452742C">
      <w:pPr>
        <w:pageBreakBefore w:val="0"/>
        <w:overflowPunct/>
        <w:topLinePunct w:val="0"/>
        <w:bidi w:val="0"/>
        <w:spacing w:line="360" w:lineRule="auto"/>
        <w:ind w:firstLine="540"/>
        <w:rPr>
          <w:rFonts w:hint="eastAsia" w:ascii="仿宋" w:hAnsi="仿宋" w:eastAsia="仿宋" w:cs="仿宋"/>
          <w:color w:val="auto"/>
          <w:sz w:val="24"/>
          <w:highlight w:val="none"/>
        </w:rPr>
      </w:pPr>
      <w:r>
        <w:rPr>
          <w:rFonts w:hint="eastAsia" w:ascii="仿宋" w:hAnsi="仿宋" w:eastAsia="仿宋" w:cs="仿宋"/>
          <w:color w:val="auto"/>
          <w:sz w:val="24"/>
          <w:highlight w:val="none"/>
        </w:rPr>
        <w:t>2.保证承诺全部内容的满足。</w:t>
      </w:r>
    </w:p>
    <w:p w14:paraId="282451B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本保证书自开标日起90日内有效。</w:t>
      </w:r>
    </w:p>
    <w:p w14:paraId="190F779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2256A444">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4AAF9EFD">
      <w:pPr>
        <w:pageBreakBefore w:val="0"/>
        <w:overflowPunct/>
        <w:topLinePunct w:val="0"/>
        <w:bidi w:val="0"/>
        <w:spacing w:before="60" w:after="60" w:line="360" w:lineRule="auto"/>
        <w:ind w:firstLine="51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43B898E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________________________</w:t>
      </w:r>
    </w:p>
    <w:p w14:paraId="0DB93EFD">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________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p>
    <w:p w14:paraId="04C94259">
      <w:pPr>
        <w:pageBreakBefore w:val="0"/>
        <w:overflowPunct/>
        <w:topLinePunct w:val="0"/>
        <w:bidi w:val="0"/>
        <w:spacing w:before="60" w:after="60" w:line="360" w:lineRule="auto"/>
        <w:ind w:firstLine="510"/>
        <w:rPr>
          <w:rFonts w:hint="eastAsia" w:ascii="仿宋" w:hAnsi="仿宋" w:eastAsia="仿宋" w:cs="仿宋"/>
          <w:b/>
          <w:color w:val="auto"/>
          <w:sz w:val="28"/>
          <w:szCs w:val="28"/>
          <w:highlight w:val="none"/>
        </w:rPr>
      </w:pPr>
    </w:p>
    <w:p w14:paraId="62209677">
      <w:pPr>
        <w:pageBreakBefore w:val="0"/>
        <w:overflowPunct/>
        <w:topLinePunct w:val="0"/>
        <w:bidi w:val="0"/>
        <w:spacing w:before="60" w:after="60" w:line="360" w:lineRule="auto"/>
        <w:ind w:firstLine="510"/>
        <w:rPr>
          <w:rFonts w:hint="eastAsia" w:ascii="仿宋" w:hAnsi="仿宋" w:eastAsia="仿宋" w:cs="仿宋"/>
          <w:b/>
          <w:color w:val="auto"/>
          <w:sz w:val="28"/>
          <w:szCs w:val="28"/>
          <w:highlight w:val="none"/>
        </w:rPr>
      </w:pPr>
    </w:p>
    <w:p w14:paraId="655E870D">
      <w:pPr>
        <w:pageBreakBefore w:val="0"/>
        <w:overflowPunct/>
        <w:topLinePunct w:val="0"/>
        <w:bidi w:val="0"/>
        <w:spacing w:before="60" w:after="60" w:line="360" w:lineRule="auto"/>
        <w:ind w:firstLine="510"/>
        <w:rPr>
          <w:rFonts w:hint="eastAsia" w:ascii="仿宋" w:hAnsi="仿宋" w:eastAsia="仿宋" w:cs="仿宋"/>
          <w:b/>
          <w:color w:val="auto"/>
          <w:sz w:val="28"/>
          <w:szCs w:val="28"/>
          <w:highlight w:val="none"/>
        </w:rPr>
      </w:pPr>
    </w:p>
    <w:p w14:paraId="234C4115">
      <w:pPr>
        <w:pageBreakBefore w:val="0"/>
        <w:overflowPunct/>
        <w:topLinePunct w:val="0"/>
        <w:bidi w:val="0"/>
        <w:spacing w:before="0" w:after="0" w:line="360" w:lineRule="auto"/>
        <w:ind w:firstLine="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6F57D193">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bookmarkStart w:id="318" w:name="_Toc28209"/>
      <w:bookmarkStart w:id="319" w:name="_Toc3969348"/>
      <w:bookmarkStart w:id="320" w:name="_Toc140565081"/>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廉政承诺</w:t>
      </w:r>
      <w:bookmarkEnd w:id="318"/>
      <w:bookmarkEnd w:id="319"/>
      <w:bookmarkEnd w:id="320"/>
    </w:p>
    <w:p w14:paraId="47C958D0">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（采购人）</w:t>
      </w:r>
    </w:p>
    <w:p w14:paraId="69CE2D32">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若我公司有幸中标，我公司承诺以下事宜：</w:t>
      </w:r>
    </w:p>
    <w:p w14:paraId="00D03461">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1、我公司在接到领取中标/成交通知书的通知后，在   个工作日内到采购代理机构领取中标/成交通知书。领取中标/成交通知书后在   个工作日内按照</w:t>
      </w:r>
      <w:r>
        <w:rPr>
          <w:rFonts w:hint="eastAsia" w:ascii="仿宋" w:hAnsi="仿宋" w:eastAsia="仿宋" w:cs="仿宋"/>
          <w:color w:val="auto"/>
          <w:sz w:val="24"/>
          <w:highlight w:val="none"/>
          <w:lang w:eastAsia="zh-CN"/>
        </w:rPr>
        <w:t>昆明市第一人民医院</w:t>
      </w:r>
      <w:r>
        <w:rPr>
          <w:rFonts w:hint="eastAsia" w:ascii="仿宋" w:hAnsi="仿宋" w:eastAsia="仿宋" w:cs="仿宋"/>
          <w:color w:val="auto"/>
          <w:sz w:val="24"/>
          <w:highlight w:val="none"/>
        </w:rPr>
        <w:t>要求在   个工作日内洽谈合同签订事宜。</w:t>
      </w:r>
    </w:p>
    <w:p w14:paraId="2E1C45D8">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（1）如因我公司无正当理由放弃中标（成交）或因我公司自身原因导致项目未能在法定期限内完成合同签订或拒不签订项目合同的，采购人或采购代理机构有权取消中标（成交）资格。</w:t>
      </w:r>
    </w:p>
    <w:p w14:paraId="3302C8C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3B2103B8">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2、在合同履行过程中，我公司严格按照合同约定进行交货/完成相关服务工作并达到项目验收标准。</w:t>
      </w:r>
    </w:p>
    <w:p w14:paraId="1A82B5D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如非采购人和不可抗力原因我公司未能按照合同约定交货（如不按时供货、供货产品与投标（响应）文件中响应产品情况不一致等）/完成相关服务工作，或交付设备/服务工作质量未能达到验收标准，给采购人造成损失的，我公司予以赔偿。</w:t>
      </w:r>
    </w:p>
    <w:p w14:paraId="66603275">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67BD568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2AA3E696">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40A1793E">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投标人全称（加盖电子公章）：________________________</w:t>
      </w:r>
    </w:p>
    <w:p w14:paraId="6A843198">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法定代表人或委托代理人签字或签章：__________________</w:t>
      </w:r>
    </w:p>
    <w:p w14:paraId="1BC4E86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日期：_______年____月_____日</w:t>
      </w:r>
    </w:p>
    <w:p w14:paraId="61664991">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321" w:name="_Toc140565082"/>
      <w:bookmarkStart w:id="322" w:name="_Toc26031"/>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bookmarkEnd w:id="321"/>
      <w:bookmarkEnd w:id="322"/>
      <w:r>
        <w:rPr>
          <w:rFonts w:hint="eastAsia" w:ascii="仿宋" w:hAnsi="仿宋" w:eastAsia="仿宋" w:cs="仿宋"/>
          <w:color w:val="auto"/>
          <w:sz w:val="24"/>
          <w:szCs w:val="24"/>
          <w:highlight w:val="none"/>
        </w:rPr>
        <w:t>投标人廉政承诺</w:t>
      </w:r>
    </w:p>
    <w:p w14:paraId="33FF46C1">
      <w:pPr>
        <w:pageBreakBefore w:val="0"/>
        <w:overflowPunct/>
        <w:topLinePunct w:val="0"/>
        <w:bidi w:val="0"/>
        <w:spacing w:line="360" w:lineRule="auto"/>
        <w:rPr>
          <w:rFonts w:hint="eastAsia" w:ascii="仿宋" w:hAnsi="仿宋" w:eastAsia="仿宋" w:cs="仿宋"/>
          <w:color w:val="auto"/>
          <w:highlight w:val="none"/>
        </w:rPr>
      </w:pPr>
    </w:p>
    <w:p w14:paraId="43E45F05">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            采购人名称                    </w:t>
      </w:r>
    </w:p>
    <w:p w14:paraId="2AAFE322">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p>
    <w:p w14:paraId="47F413AD">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本企业参与            （填写项目名称）的投标，现作如下承诺：</w:t>
      </w:r>
    </w:p>
    <w:p w14:paraId="0EADF3CB">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1、我公司参与此次投标活动所提交的所有资料都是合法、真实、有效的。</w:t>
      </w:r>
    </w:p>
    <w:p w14:paraId="7463F9F6">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2、不与其他投标人串通投标、围标，依法、依规公平竞争，不损害采购人或其他投标人的合法权益。</w:t>
      </w:r>
    </w:p>
    <w:p w14:paraId="05D5B932">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3、不转让、出租、出借资质证书、人员岗位证书，不以法律、法规禁止的方式投标。</w:t>
      </w:r>
    </w:p>
    <w:p w14:paraId="305E2817">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4、不与采购人或采购代理机构串通投标，不损害国家利益、社会公共利益或其他当事人的合法权益。</w:t>
      </w:r>
    </w:p>
    <w:p w14:paraId="49EF2DDA">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5、不向采购人、评标委员会成员、监督人员行贿。</w:t>
      </w:r>
    </w:p>
    <w:p w14:paraId="4D07D129">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6、不扰乱招投标交易活动正常秩序。</w:t>
      </w:r>
    </w:p>
    <w:p w14:paraId="745F92F8">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7、不进行虚假恶意投诉。</w:t>
      </w:r>
    </w:p>
    <w:p w14:paraId="57A4E5CC">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8、因违反法律、法规或相关规定被查处的，不干预案件查处。</w:t>
      </w:r>
    </w:p>
    <w:p w14:paraId="2F52EBEC">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如出现违法、违规或不良行为，甘愿接受相关部门调查处理。违法、违规或不良行为事实成立的，承担相关责任。给采购人造成损失的，依法承担赔偿责任。</w:t>
      </w:r>
    </w:p>
    <w:p w14:paraId="41A17554">
      <w:pPr>
        <w:pageBreakBefore w:val="0"/>
        <w:overflowPunct/>
        <w:topLinePunct w:val="0"/>
        <w:bidi w:val="0"/>
        <w:spacing w:before="60" w:after="60"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43C9C26C">
      <w:pPr>
        <w:pageBreakBefore w:val="0"/>
        <w:overflowPunct/>
        <w:topLinePunct w:val="0"/>
        <w:bidi w:val="0"/>
        <w:spacing w:before="60" w:after="60" w:line="360" w:lineRule="auto"/>
        <w:ind w:firstLine="960" w:firstLineChars="400"/>
        <w:jc w:val="left"/>
        <w:rPr>
          <w:rFonts w:hint="eastAsia" w:ascii="仿宋" w:hAnsi="仿宋" w:eastAsia="仿宋" w:cs="仿宋"/>
          <w:color w:val="auto"/>
          <w:sz w:val="24"/>
          <w:highlight w:val="none"/>
        </w:rPr>
      </w:pPr>
    </w:p>
    <w:p w14:paraId="18E8C0BE">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投标人全称（加盖电子公章）：________________________</w:t>
      </w:r>
    </w:p>
    <w:p w14:paraId="1897D07B">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法定代表人或委托代理人签字或签章：__________________</w:t>
      </w:r>
    </w:p>
    <w:p w14:paraId="0E985DCD">
      <w:pPr>
        <w:pageBreakBefore w:val="0"/>
        <w:overflowPunct/>
        <w:topLinePunct w:val="0"/>
        <w:bidi w:val="0"/>
        <w:spacing w:before="60" w:after="60" w:line="360" w:lineRule="auto"/>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日期：_______年____月_____日</w:t>
      </w:r>
    </w:p>
    <w:p w14:paraId="7A7CB9AE">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0CE131D6">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1977A417">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3772E34B">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1D0D21AB">
      <w:pPr>
        <w:pageBreakBefore w:val="0"/>
        <w:overflowPunct/>
        <w:topLinePunct w:val="0"/>
        <w:bidi w:val="0"/>
        <w:spacing w:before="60" w:after="60" w:line="360" w:lineRule="auto"/>
        <w:rPr>
          <w:rFonts w:hint="eastAsia" w:ascii="仿宋" w:hAnsi="仿宋" w:eastAsia="仿宋" w:cs="仿宋"/>
          <w:color w:val="auto"/>
          <w:sz w:val="24"/>
          <w:highlight w:val="none"/>
        </w:rPr>
      </w:pPr>
    </w:p>
    <w:p w14:paraId="387DCEEF">
      <w:pPr>
        <w:pageBreakBefore w:val="0"/>
        <w:overflowPunct/>
        <w:topLinePunct w:val="0"/>
        <w:bidi w:val="0"/>
        <w:spacing w:line="360" w:lineRule="auto"/>
        <w:rPr>
          <w:rFonts w:hint="eastAsia" w:ascii="仿宋" w:hAnsi="仿宋" w:eastAsia="仿宋" w:cs="仿宋"/>
          <w:b/>
          <w:bCs/>
          <w:color w:val="auto"/>
          <w:sz w:val="24"/>
          <w:szCs w:val="24"/>
          <w:highlight w:val="none"/>
          <w:lang w:val="en-US" w:eastAsia="zh-CN"/>
        </w:rPr>
      </w:pPr>
      <w:bookmarkStart w:id="323" w:name="_Toc140565083"/>
      <w:r>
        <w:rPr>
          <w:rFonts w:hint="eastAsia" w:ascii="仿宋" w:hAnsi="仿宋" w:eastAsia="仿宋" w:cs="仿宋"/>
          <w:b/>
          <w:bCs/>
          <w:color w:val="auto"/>
          <w:sz w:val="24"/>
          <w:szCs w:val="24"/>
          <w:highlight w:val="none"/>
          <w:lang w:val="en-US" w:eastAsia="zh-CN"/>
        </w:rPr>
        <w:br w:type="page"/>
      </w:r>
    </w:p>
    <w:p w14:paraId="4BC71B68">
      <w:pPr>
        <w:pStyle w:val="4"/>
        <w:pageBreakBefore w:val="0"/>
        <w:overflowPunct/>
        <w:topLinePunct w:val="0"/>
        <w:bidi w:val="0"/>
        <w:spacing w:before="0" w:after="0"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9.保密承诺</w:t>
      </w:r>
    </w:p>
    <w:p w14:paraId="4137D732">
      <w:pPr>
        <w:pageBreakBefore w:val="0"/>
        <w:overflowPunct/>
        <w:topLinePunct w:val="0"/>
        <w:bidi w:val="0"/>
        <w:spacing w:line="360" w:lineRule="auto"/>
        <w:jc w:val="left"/>
        <w:rPr>
          <w:rFonts w:hint="eastAsia" w:ascii="仿宋" w:hAnsi="仿宋" w:eastAsia="仿宋" w:cs="仿宋"/>
          <w:color w:val="auto"/>
          <w:sz w:val="24"/>
          <w:highlight w:val="none"/>
        </w:rPr>
      </w:pPr>
      <w:bookmarkStart w:id="324" w:name="_Hlk53244724"/>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采购人名称</w:t>
      </w:r>
      <w:bookmarkEnd w:id="324"/>
    </w:p>
    <w:p w14:paraId="0EF0E6CC">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鉴于（项目名称）招投标过程中，涉及到贵单位的商业或技术秘密，为保证秘密不致外泄，我方做出以下保密承诺：</w:t>
      </w:r>
    </w:p>
    <w:p w14:paraId="49375BB8">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1、此所述及的保密信息是指我方在投标过程中直接或间接获得的所有商业或技术信息(包括口头、书面信息及资料)。</w:t>
      </w:r>
    </w:p>
    <w:p w14:paraId="3616B86A">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2、我方获得的保密信息只用于本次招标工作，绝不用于其它用途。</w:t>
      </w:r>
    </w:p>
    <w:p w14:paraId="4D83F426">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3、我方将对从贵单位处得到的信息进行保密管理，采取措施防止信息的全部或任一部分泄露给第三方。</w:t>
      </w:r>
    </w:p>
    <w:p w14:paraId="7633A3F8">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4、我方采取严格措施防止与本次投标工作无关的我方人员接触保密信息，防止其泄露信息，如果发生泄密，我方承担一切相关职责。</w:t>
      </w:r>
    </w:p>
    <w:p w14:paraId="4375B2F2">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5、我方对内部因工作原因接触到保密信息人员，进行保密教育，防止泄露信息。</w:t>
      </w:r>
    </w:p>
    <w:p w14:paraId="364F43EA">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6、如我方有幸中标，此承诺书将持续生效。</w:t>
      </w:r>
    </w:p>
    <w:p w14:paraId="64FCACA1">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p>
    <w:p w14:paraId="03ECBD71">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p>
    <w:p w14:paraId="46E6C10B">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p>
    <w:p w14:paraId="780E2EFF">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投标人全称（加盖电子公章）：</w:t>
      </w:r>
      <w:r>
        <w:rPr>
          <w:rFonts w:hint="eastAsia" w:ascii="仿宋" w:hAnsi="仿宋" w:eastAsia="仿宋" w:cs="仿宋"/>
          <w:color w:val="auto"/>
          <w:sz w:val="24"/>
          <w:highlight w:val="none"/>
          <w:u w:val="single"/>
        </w:rPr>
        <w:t>________________________</w:t>
      </w:r>
    </w:p>
    <w:p w14:paraId="7E71FFFD">
      <w:pPr>
        <w:pageBreakBefore w:val="0"/>
        <w:overflowPunct/>
        <w:topLinePunct w:val="0"/>
        <w:bidi w:val="0"/>
        <w:spacing w:before="60" w:after="60"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__________________</w:t>
      </w:r>
    </w:p>
    <w:p w14:paraId="297061BA">
      <w:pPr>
        <w:pageBreakBefore w:val="0"/>
        <w:overflowPunct/>
        <w:topLinePunct w:val="0"/>
        <w:bidi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日期：_______年____月_____日</w:t>
      </w:r>
    </w:p>
    <w:p w14:paraId="0042D647">
      <w:pPr>
        <w:pageBreakBefore w:val="0"/>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9A6BC23">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10.</w:t>
      </w:r>
      <w:bookmarkEnd w:id="323"/>
      <w:r>
        <w:rPr>
          <w:rFonts w:hint="eastAsia" w:ascii="仿宋" w:hAnsi="仿宋" w:eastAsia="仿宋" w:cs="仿宋"/>
          <w:color w:val="auto"/>
          <w:sz w:val="24"/>
          <w:szCs w:val="24"/>
          <w:highlight w:val="none"/>
        </w:rPr>
        <w:t>商务条款偏离表</w:t>
      </w:r>
    </w:p>
    <w:p w14:paraId="5BED2374">
      <w:pPr>
        <w:pageBreakBefore w:val="0"/>
        <w:overflowPunct/>
        <w:topLinePunct w:val="0"/>
        <w:bidi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p w14:paraId="567CD3E6">
      <w:pPr>
        <w:pageBreakBefore w:val="0"/>
        <w:overflowPunct/>
        <w:topLinePunct w:val="0"/>
        <w:bidi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098"/>
        <w:gridCol w:w="2055"/>
        <w:gridCol w:w="2191"/>
        <w:gridCol w:w="1369"/>
        <w:gridCol w:w="2124"/>
      </w:tblGrid>
      <w:tr w14:paraId="2C45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55949EA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98" w:type="dxa"/>
            <w:noWrap w:val="0"/>
            <w:vAlign w:val="center"/>
          </w:tcPr>
          <w:p w14:paraId="1849D5C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2055" w:type="dxa"/>
            <w:noWrap w:val="0"/>
            <w:vAlign w:val="center"/>
          </w:tcPr>
          <w:p w14:paraId="02AC2AA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191" w:type="dxa"/>
            <w:noWrap w:val="0"/>
            <w:vAlign w:val="center"/>
          </w:tcPr>
          <w:p w14:paraId="52979D3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投标文件响应</w:t>
            </w:r>
          </w:p>
        </w:tc>
        <w:tc>
          <w:tcPr>
            <w:tcW w:w="1369" w:type="dxa"/>
            <w:noWrap w:val="0"/>
            <w:vAlign w:val="center"/>
          </w:tcPr>
          <w:p w14:paraId="5E08CF2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偏离情况</w:t>
            </w:r>
          </w:p>
        </w:tc>
        <w:tc>
          <w:tcPr>
            <w:tcW w:w="2124" w:type="dxa"/>
            <w:noWrap w:val="0"/>
            <w:vAlign w:val="center"/>
          </w:tcPr>
          <w:p w14:paraId="5CF9A96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tc>
      </w:tr>
      <w:tr w14:paraId="3B0D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3B34B24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98" w:type="dxa"/>
            <w:noWrap w:val="0"/>
            <w:vAlign w:val="center"/>
          </w:tcPr>
          <w:p w14:paraId="430C623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055" w:type="dxa"/>
            <w:noWrap w:val="0"/>
            <w:vAlign w:val="center"/>
          </w:tcPr>
          <w:p w14:paraId="002B5BE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1" w:type="dxa"/>
            <w:noWrap w:val="0"/>
            <w:vAlign w:val="center"/>
          </w:tcPr>
          <w:p w14:paraId="399EE6F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369" w:type="dxa"/>
            <w:noWrap w:val="0"/>
            <w:vAlign w:val="center"/>
          </w:tcPr>
          <w:p w14:paraId="7086EC4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4" w:type="dxa"/>
            <w:noWrap w:val="0"/>
            <w:vAlign w:val="center"/>
          </w:tcPr>
          <w:p w14:paraId="1A128F6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0F9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2290E6F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98" w:type="dxa"/>
            <w:noWrap w:val="0"/>
            <w:vAlign w:val="center"/>
          </w:tcPr>
          <w:p w14:paraId="76DADD8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055" w:type="dxa"/>
            <w:noWrap w:val="0"/>
            <w:vAlign w:val="center"/>
          </w:tcPr>
          <w:p w14:paraId="08C8568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1" w:type="dxa"/>
            <w:noWrap w:val="0"/>
            <w:vAlign w:val="center"/>
          </w:tcPr>
          <w:p w14:paraId="42C2F14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369" w:type="dxa"/>
            <w:noWrap w:val="0"/>
            <w:vAlign w:val="center"/>
          </w:tcPr>
          <w:p w14:paraId="596C4C9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4" w:type="dxa"/>
            <w:noWrap w:val="0"/>
            <w:vAlign w:val="center"/>
          </w:tcPr>
          <w:p w14:paraId="4A092F1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066C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416D9DDE">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98" w:type="dxa"/>
            <w:noWrap w:val="0"/>
            <w:vAlign w:val="center"/>
          </w:tcPr>
          <w:p w14:paraId="4019145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055" w:type="dxa"/>
            <w:noWrap w:val="0"/>
            <w:vAlign w:val="center"/>
          </w:tcPr>
          <w:p w14:paraId="4DF2D8CF">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1" w:type="dxa"/>
            <w:noWrap w:val="0"/>
            <w:vAlign w:val="center"/>
          </w:tcPr>
          <w:p w14:paraId="37D51AA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369" w:type="dxa"/>
            <w:noWrap w:val="0"/>
            <w:vAlign w:val="center"/>
          </w:tcPr>
          <w:p w14:paraId="569BBBA2">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4" w:type="dxa"/>
            <w:noWrap w:val="0"/>
            <w:vAlign w:val="center"/>
          </w:tcPr>
          <w:p w14:paraId="4FCD1F7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F0A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4B4194C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98" w:type="dxa"/>
            <w:noWrap w:val="0"/>
            <w:vAlign w:val="center"/>
          </w:tcPr>
          <w:p w14:paraId="4755F4E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055" w:type="dxa"/>
            <w:noWrap w:val="0"/>
            <w:vAlign w:val="center"/>
          </w:tcPr>
          <w:p w14:paraId="5F41088C">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1" w:type="dxa"/>
            <w:noWrap w:val="0"/>
            <w:vAlign w:val="center"/>
          </w:tcPr>
          <w:p w14:paraId="79CFACD6">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369" w:type="dxa"/>
            <w:noWrap w:val="0"/>
            <w:vAlign w:val="center"/>
          </w:tcPr>
          <w:p w14:paraId="43035017">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4" w:type="dxa"/>
            <w:noWrap w:val="0"/>
            <w:vAlign w:val="center"/>
          </w:tcPr>
          <w:p w14:paraId="3759A360">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397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91" w:type="dxa"/>
            <w:noWrap w:val="0"/>
            <w:vAlign w:val="center"/>
          </w:tcPr>
          <w:p w14:paraId="32D28031">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98" w:type="dxa"/>
            <w:noWrap w:val="0"/>
            <w:vAlign w:val="center"/>
          </w:tcPr>
          <w:p w14:paraId="6C4998E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055" w:type="dxa"/>
            <w:noWrap w:val="0"/>
            <w:vAlign w:val="center"/>
          </w:tcPr>
          <w:p w14:paraId="08D62BA8">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91" w:type="dxa"/>
            <w:noWrap w:val="0"/>
            <w:vAlign w:val="center"/>
          </w:tcPr>
          <w:p w14:paraId="19BF877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369" w:type="dxa"/>
            <w:noWrap w:val="0"/>
            <w:vAlign w:val="center"/>
          </w:tcPr>
          <w:p w14:paraId="7EE5C3D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2124" w:type="dxa"/>
            <w:noWrap w:val="0"/>
            <w:vAlign w:val="center"/>
          </w:tcPr>
          <w:p w14:paraId="39CEADDD">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bl>
    <w:p w14:paraId="79986E87">
      <w:pPr>
        <w:pageBreakBefore w:val="0"/>
        <w:overflowPunct/>
        <w:topLinePunct w:val="0"/>
        <w:bidi w:val="0"/>
        <w:spacing w:line="360" w:lineRule="auto"/>
        <w:ind w:firstLine="48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4D410081">
      <w:pPr>
        <w:pageBreakBefore w:val="0"/>
        <w:overflowPunct/>
        <w:topLinePunct w:val="0"/>
        <w:bidi w:val="0"/>
        <w:spacing w:line="360" w:lineRule="auto"/>
        <w:ind w:firstLine="48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商务条款指：招标文件中对合同履行期限、服务地点（项目交付及实施地点）、售后服务要求等内容，投标人应仔细阅读招标文件中的各项商务要求，若由于投标人的疏忽大意或未能完整、如实填写，视为投标人全部满足。</w:t>
      </w:r>
    </w:p>
    <w:p w14:paraId="65B6FBA3">
      <w:pPr>
        <w:pageBreakBefore w:val="0"/>
        <w:overflowPunct/>
        <w:topLinePunct w:val="0"/>
        <w:bidi w:val="0"/>
        <w:spacing w:line="360" w:lineRule="auto"/>
        <w:ind w:firstLine="48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（2）“偏离情况”请如实填写：“有偏离”并填写说明。</w:t>
      </w:r>
    </w:p>
    <w:p w14:paraId="7F0A1EF5">
      <w:pPr>
        <w:pageBreakBefore w:val="0"/>
        <w:overflowPunct/>
        <w:topLinePunct w:val="0"/>
        <w:bidi w:val="0"/>
        <w:spacing w:line="360" w:lineRule="auto"/>
        <w:ind w:firstLine="420"/>
        <w:rPr>
          <w:rFonts w:hint="eastAsia" w:ascii="仿宋" w:hAnsi="仿宋" w:eastAsia="仿宋" w:cs="仿宋"/>
          <w:color w:val="auto"/>
          <w:sz w:val="24"/>
          <w:szCs w:val="24"/>
          <w:highlight w:val="none"/>
        </w:rPr>
      </w:pPr>
    </w:p>
    <w:p w14:paraId="2C2FD130">
      <w:pPr>
        <w:pageBreakBefore w:val="0"/>
        <w:overflowPunct/>
        <w:topLinePunct w:val="0"/>
        <w:bidi w:val="0"/>
        <w:spacing w:before="60" w:after="6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投标人全称（加盖电子公章）：</w:t>
      </w:r>
      <w:r>
        <w:rPr>
          <w:rFonts w:hint="eastAsia" w:ascii="仿宋" w:hAnsi="仿宋" w:eastAsia="仿宋" w:cs="仿宋"/>
          <w:color w:val="auto"/>
          <w:sz w:val="24"/>
          <w:szCs w:val="24"/>
          <w:highlight w:val="none"/>
          <w:u w:val="single"/>
        </w:rPr>
        <w:t>________________________</w:t>
      </w:r>
    </w:p>
    <w:p w14:paraId="1ADC4DCE">
      <w:pPr>
        <w:pageBreakBefore w:val="0"/>
        <w:overflowPunct/>
        <w:topLinePunct w:val="0"/>
        <w:bidi w:val="0"/>
        <w:spacing w:before="60" w:after="6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法定代表人或委托代理人签字或签章：</w:t>
      </w:r>
      <w:r>
        <w:rPr>
          <w:rFonts w:hint="eastAsia" w:ascii="仿宋" w:hAnsi="仿宋" w:eastAsia="仿宋" w:cs="仿宋"/>
          <w:color w:val="auto"/>
          <w:sz w:val="24"/>
          <w:szCs w:val="24"/>
          <w:highlight w:val="none"/>
          <w:u w:val="single"/>
        </w:rPr>
        <w:t>__________________</w:t>
      </w:r>
    </w:p>
    <w:p w14:paraId="6314834C">
      <w:pPr>
        <w:pageBreakBefore w:val="0"/>
        <w:overflowPunct/>
        <w:topLinePunct w:val="0"/>
        <w:bidi w:val="0"/>
        <w:spacing w:before="60" w:after="6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_______</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____</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_____</w:t>
      </w:r>
      <w:r>
        <w:rPr>
          <w:rFonts w:hint="eastAsia" w:ascii="仿宋" w:hAnsi="仿宋" w:eastAsia="仿宋" w:cs="仿宋"/>
          <w:color w:val="auto"/>
          <w:sz w:val="24"/>
          <w:szCs w:val="24"/>
          <w:highlight w:val="none"/>
        </w:rPr>
        <w:t>日</w:t>
      </w:r>
    </w:p>
    <w:p w14:paraId="33562376">
      <w:pPr>
        <w:pageBreakBefore w:val="0"/>
        <w:overflowPunct/>
        <w:topLinePunct w:val="0"/>
        <w:bidi w:val="0"/>
        <w:spacing w:before="60" w:after="60" w:line="360" w:lineRule="auto"/>
        <w:ind w:firstLine="480"/>
        <w:rPr>
          <w:rFonts w:hint="eastAsia" w:ascii="仿宋" w:hAnsi="仿宋" w:eastAsia="仿宋" w:cs="仿宋"/>
          <w:color w:val="auto"/>
          <w:sz w:val="24"/>
          <w:szCs w:val="24"/>
          <w:highlight w:val="none"/>
        </w:rPr>
      </w:pPr>
    </w:p>
    <w:p w14:paraId="4767CB83">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59195590">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70931551">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2029A2BA">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25308DCC">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50AF5CFB">
      <w:pPr>
        <w:pStyle w:val="16"/>
        <w:pageBreakBefore w:val="0"/>
        <w:overflowPunct/>
        <w:topLinePunct w:val="0"/>
        <w:bidi w:val="0"/>
        <w:spacing w:line="360" w:lineRule="auto"/>
        <w:rPr>
          <w:rFonts w:hint="eastAsia" w:ascii="仿宋" w:hAnsi="仿宋" w:eastAsia="仿宋" w:cs="仿宋"/>
          <w:color w:val="auto"/>
          <w:sz w:val="24"/>
          <w:szCs w:val="24"/>
          <w:highlight w:val="none"/>
        </w:rPr>
      </w:pPr>
    </w:p>
    <w:p w14:paraId="330FDE52">
      <w:pPr>
        <w:pStyle w:val="16"/>
        <w:pageBreakBefore w:val="0"/>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DD4C45A">
      <w:pPr>
        <w:pageBreakBefore w:val="0"/>
        <w:overflowPunct/>
        <w:topLinePunct w:val="0"/>
        <w:bidi w:val="0"/>
        <w:spacing w:line="360" w:lineRule="auto"/>
        <w:rPr>
          <w:rFonts w:hint="eastAsia" w:ascii="仿宋" w:hAnsi="仿宋" w:eastAsia="仿宋" w:cs="仿宋"/>
          <w:b/>
          <w:bCs/>
          <w:color w:val="auto"/>
          <w:sz w:val="24"/>
          <w:szCs w:val="24"/>
          <w:highlight w:val="none"/>
        </w:rPr>
      </w:pPr>
    </w:p>
    <w:p w14:paraId="507849EC">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11.服务承诺</w:t>
      </w:r>
    </w:p>
    <w:p w14:paraId="718DAEED">
      <w:pPr>
        <w:pageBreakBefore w:val="0"/>
        <w:overflowPunct/>
        <w:topLinePunct w:val="0"/>
        <w:bidi w:val="0"/>
        <w:spacing w:before="60" w:after="60" w:line="360" w:lineRule="auto"/>
        <w:ind w:firstLine="51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（由投标人提供，格式自拟）</w:t>
      </w:r>
    </w:p>
    <w:p w14:paraId="4E859004">
      <w:pPr>
        <w:pageBreakBefore w:val="0"/>
        <w:overflowPunct/>
        <w:topLinePunct w:val="0"/>
        <w:bidi w:val="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br w:type="page"/>
      </w:r>
    </w:p>
    <w:p w14:paraId="4DE6B8E7">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12.</w:t>
      </w:r>
      <w:r>
        <w:rPr>
          <w:rFonts w:hint="eastAsia" w:ascii="仿宋" w:hAnsi="仿宋" w:eastAsia="仿宋" w:cs="仿宋"/>
          <w:b/>
          <w:bCs/>
          <w:color w:val="auto"/>
          <w:sz w:val="24"/>
          <w:szCs w:val="24"/>
          <w:highlight w:val="none"/>
        </w:rPr>
        <w:t>服务团队配置及管理</w:t>
      </w:r>
    </w:p>
    <w:p w14:paraId="37B422ED">
      <w:pPr>
        <w:pageBreakBefore w:val="0"/>
        <w:overflowPunct/>
        <w:topLinePunct w:val="0"/>
        <w:bidi w:val="0"/>
        <w:spacing w:before="60" w:after="60" w:line="360" w:lineRule="auto"/>
        <w:ind w:firstLine="51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（由投标人提供，格式自拟）</w:t>
      </w:r>
    </w:p>
    <w:p w14:paraId="249C4EB2">
      <w:pPr>
        <w:pageBreakBefore w:val="0"/>
        <w:overflowPunct/>
        <w:topLinePunct w:val="0"/>
        <w:bidi w:val="0"/>
        <w:spacing w:before="60" w:after="60"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注：附相关证明材料（具体请按评标办法提供），未附证明材料的将不作为评审依据。</w:t>
      </w:r>
      <w:bookmarkStart w:id="325" w:name="_Toc11355"/>
      <w:bookmarkStart w:id="326" w:name="_Toc140565085"/>
    </w:p>
    <w:p w14:paraId="10CCDD58">
      <w:pPr>
        <w:pageBreakBefore w:val="0"/>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1005AF0">
      <w:pPr>
        <w:pStyle w:val="4"/>
        <w:pageBreakBefore w:val="0"/>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13</w:t>
      </w:r>
      <w:r>
        <w:rPr>
          <w:rFonts w:hint="eastAsia" w:ascii="仿宋" w:hAnsi="仿宋" w:eastAsia="仿宋" w:cs="仿宋"/>
          <w:b/>
          <w:bCs/>
          <w:color w:val="auto"/>
          <w:sz w:val="24"/>
          <w:szCs w:val="24"/>
          <w:highlight w:val="none"/>
        </w:rPr>
        <w:t>.</w:t>
      </w:r>
      <w:bookmarkEnd w:id="325"/>
      <w:bookmarkEnd w:id="326"/>
      <w:r>
        <w:rPr>
          <w:rFonts w:hint="eastAsia" w:ascii="仿宋" w:hAnsi="仿宋" w:eastAsia="仿宋" w:cs="仿宋"/>
          <w:b/>
          <w:bCs/>
          <w:color w:val="auto"/>
          <w:sz w:val="24"/>
          <w:szCs w:val="24"/>
          <w:highlight w:val="none"/>
        </w:rPr>
        <w:t>近三年（2022年1月1日起至今）类似业绩</w:t>
      </w:r>
    </w:p>
    <w:p w14:paraId="1A30C1D4">
      <w:pPr>
        <w:pageBreakBefore w:val="0"/>
        <w:overflowPunct/>
        <w:topLinePunct w:val="0"/>
        <w:bidi w:val="0"/>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项目名称:</w:t>
      </w:r>
      <w:r>
        <w:rPr>
          <w:rFonts w:hint="eastAsia" w:ascii="仿宋" w:hAnsi="仿宋" w:eastAsia="仿宋" w:cs="仿宋"/>
          <w:color w:val="auto"/>
          <w:sz w:val="24"/>
          <w:highlight w:val="none"/>
          <w:u w:val="single"/>
        </w:rPr>
        <w:t xml:space="preserve"> （项目名称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w:t>
      </w:r>
      <w:r>
        <w:rPr>
          <w:rFonts w:hint="eastAsia" w:ascii="仿宋" w:hAnsi="仿宋" w:eastAsia="仿宋" w:cs="仿宋"/>
          <w:color w:val="auto"/>
          <w:sz w:val="24"/>
          <w:szCs w:val="24"/>
          <w:highlight w:val="none"/>
          <w:u w:val="single"/>
        </w:rPr>
        <w:t xml:space="preserve">       </w:t>
      </w:r>
    </w:p>
    <w:p w14:paraId="48B8BF0C">
      <w:pPr>
        <w:pageBreakBefore w:val="0"/>
        <w:overflowPunct/>
        <w:topLinePunct w:val="0"/>
        <w:bidi w:val="0"/>
        <w:spacing w:line="360" w:lineRule="auto"/>
        <w:jc w:val="left"/>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u w:val="single"/>
        </w:rPr>
        <w:t xml:space="preserve">                      </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
        <w:gridCol w:w="1751"/>
        <w:gridCol w:w="1753"/>
        <w:gridCol w:w="2086"/>
        <w:gridCol w:w="1726"/>
        <w:gridCol w:w="1635"/>
      </w:tblGrid>
      <w:tr w14:paraId="763EB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264F1935">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879" w:type="pct"/>
            <w:noWrap w:val="0"/>
            <w:vAlign w:val="center"/>
          </w:tcPr>
          <w:p w14:paraId="1D45C223">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880" w:type="pct"/>
            <w:noWrap w:val="0"/>
            <w:vAlign w:val="center"/>
          </w:tcPr>
          <w:p w14:paraId="16463B7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业主名称</w:t>
            </w:r>
          </w:p>
        </w:tc>
        <w:tc>
          <w:tcPr>
            <w:tcW w:w="1047" w:type="pct"/>
            <w:noWrap w:val="0"/>
            <w:vAlign w:val="center"/>
          </w:tcPr>
          <w:p w14:paraId="31180FB4">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w:t>
            </w:r>
          </w:p>
        </w:tc>
        <w:tc>
          <w:tcPr>
            <w:tcW w:w="866" w:type="pct"/>
            <w:noWrap w:val="0"/>
            <w:vAlign w:val="center"/>
          </w:tcPr>
          <w:p w14:paraId="5E5CE1FA">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tc>
        <w:tc>
          <w:tcPr>
            <w:tcW w:w="820" w:type="pct"/>
            <w:noWrap w:val="0"/>
            <w:vAlign w:val="center"/>
          </w:tcPr>
          <w:p w14:paraId="2FB9FCDB">
            <w:pPr>
              <w:keepNext w:val="0"/>
              <w:keepLines w:val="0"/>
              <w:pageBreakBefore w:val="0"/>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22BA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5415F6DD">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2862443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56E5DF4E">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13C4D7D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44229B6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71F27EE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34CB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5899AF6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6C776532">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3D335367">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66A175A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51F1D9A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39371A12">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72887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32A0C15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3992554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74DF2DB3">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45D8F22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5A0B0E64">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3F02D66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57C9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7D4D4B4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031F48E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2623C56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498B326B">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12FFDD34">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6F119F3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7273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65E4106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0C963D84">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6917A124">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6975DE4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23992001">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4972A2B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06A79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3ABC79A7">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2D9FF999">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4D7443E6">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2A6A78F8">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5E6CADB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3AEEB16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r w14:paraId="7EDC8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5" w:type="pct"/>
            <w:noWrap w:val="0"/>
            <w:vAlign w:val="center"/>
          </w:tcPr>
          <w:p w14:paraId="1666878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79" w:type="pct"/>
            <w:noWrap w:val="0"/>
            <w:vAlign w:val="center"/>
          </w:tcPr>
          <w:p w14:paraId="4CA70A00">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80" w:type="pct"/>
            <w:noWrap w:val="0"/>
            <w:vAlign w:val="center"/>
          </w:tcPr>
          <w:p w14:paraId="03A02E37">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1047" w:type="pct"/>
            <w:noWrap w:val="0"/>
            <w:vAlign w:val="center"/>
          </w:tcPr>
          <w:p w14:paraId="3BF18B5F">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66" w:type="pct"/>
            <w:noWrap w:val="0"/>
            <w:vAlign w:val="center"/>
          </w:tcPr>
          <w:p w14:paraId="5C00C8CA">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c>
          <w:tcPr>
            <w:tcW w:w="820" w:type="pct"/>
            <w:noWrap w:val="0"/>
            <w:vAlign w:val="center"/>
          </w:tcPr>
          <w:p w14:paraId="5221B97C">
            <w:pPr>
              <w:keepNext w:val="0"/>
              <w:keepLines w:val="0"/>
              <w:pageBreakBefore w:val="0"/>
              <w:suppressLineNumbers w:val="0"/>
              <w:overflowPunct/>
              <w:topLinePunct w:val="0"/>
              <w:bidi w:val="0"/>
              <w:spacing w:before="0" w:beforeAutospacing="0" w:after="0" w:afterAutospacing="0" w:line="360" w:lineRule="auto"/>
              <w:ind w:left="0" w:right="0"/>
              <w:jc w:val="left"/>
              <w:rPr>
                <w:rFonts w:hint="eastAsia" w:ascii="仿宋" w:hAnsi="仿宋" w:eastAsia="仿宋" w:cs="仿宋"/>
                <w:b/>
                <w:color w:val="auto"/>
                <w:kern w:val="0"/>
                <w:sz w:val="24"/>
                <w:szCs w:val="24"/>
                <w:highlight w:val="none"/>
              </w:rPr>
            </w:pPr>
          </w:p>
        </w:tc>
      </w:tr>
    </w:tbl>
    <w:p w14:paraId="6012FADD">
      <w:pPr>
        <w:pageBreakBefore w:val="0"/>
        <w:overflowPunct/>
        <w:topLinePunct w:val="0"/>
        <w:bidi w:val="0"/>
        <w:spacing w:before="60" w:after="6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注：本表后附业绩证明材料（具体请按评标办法提供），未附业绩证明材料的将不作为评审依据。</w:t>
      </w:r>
    </w:p>
    <w:p w14:paraId="3BCA0B9A">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1A245562">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投标人全称</w:t>
      </w:r>
      <w:r>
        <w:rPr>
          <w:rFonts w:hint="eastAsia" w:ascii="仿宋" w:hAnsi="仿宋" w:eastAsia="仿宋" w:cs="仿宋"/>
          <w:color w:val="auto"/>
          <w:sz w:val="24"/>
          <w:highlight w:val="none"/>
        </w:rPr>
        <w:t>（加盖</w:t>
      </w:r>
      <w:r>
        <w:rPr>
          <w:rFonts w:hint="eastAsia" w:ascii="仿宋" w:hAnsi="仿宋" w:eastAsia="仿宋" w:cs="仿宋"/>
          <w:color w:val="auto"/>
          <w:sz w:val="24"/>
          <w:highlight w:val="none"/>
          <w:lang w:val="en-US" w:eastAsia="zh-CN"/>
        </w:rPr>
        <w:t>电子</w:t>
      </w:r>
      <w:r>
        <w:rPr>
          <w:rFonts w:hint="eastAsia" w:ascii="仿宋" w:hAnsi="仿宋" w:eastAsia="仿宋" w:cs="仿宋"/>
          <w:color w:val="auto"/>
          <w:sz w:val="24"/>
          <w:highlight w:val="none"/>
        </w:rPr>
        <w:t>公章）：</w:t>
      </w:r>
      <w:r>
        <w:rPr>
          <w:rFonts w:hint="eastAsia" w:ascii="仿宋" w:hAnsi="仿宋" w:eastAsia="仿宋" w:cs="仿宋"/>
          <w:color w:val="auto"/>
          <w:sz w:val="24"/>
          <w:highlight w:val="none"/>
          <w:u w:val="single"/>
        </w:rPr>
        <w:t>________________________</w:t>
      </w:r>
    </w:p>
    <w:p w14:paraId="7BD2658E">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法定代表人或委托代理人签字或签章：</w:t>
      </w:r>
      <w:r>
        <w:rPr>
          <w:rFonts w:hint="eastAsia" w:ascii="仿宋" w:hAnsi="仿宋" w:eastAsia="仿宋" w:cs="仿宋"/>
          <w:color w:val="auto"/>
          <w:sz w:val="24"/>
          <w:highlight w:val="none"/>
          <w:u w:val="single"/>
        </w:rPr>
        <w:t>_____________</w:t>
      </w:r>
    </w:p>
    <w:p w14:paraId="7A2456EC">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_______</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____</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_____</w:t>
      </w:r>
      <w:r>
        <w:rPr>
          <w:rFonts w:hint="eastAsia" w:ascii="仿宋" w:hAnsi="仿宋" w:eastAsia="仿宋" w:cs="仿宋"/>
          <w:color w:val="auto"/>
          <w:sz w:val="24"/>
          <w:highlight w:val="none"/>
        </w:rPr>
        <w:t>日</w:t>
      </w:r>
    </w:p>
    <w:p w14:paraId="1A75D74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0FA36D24">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4B05C99E">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7AFFEF5A">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452EDDD8">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3A441CCE">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2936AD43">
      <w:pPr>
        <w:pageBreakBefore w:val="0"/>
        <w:overflowPunct/>
        <w:topLinePunct w:val="0"/>
        <w:bidi w:val="0"/>
        <w:spacing w:before="60" w:after="60" w:line="360" w:lineRule="auto"/>
        <w:ind w:firstLine="510"/>
        <w:rPr>
          <w:rFonts w:hint="eastAsia" w:ascii="仿宋" w:hAnsi="仿宋" w:eastAsia="仿宋" w:cs="仿宋"/>
          <w:color w:val="auto"/>
          <w:sz w:val="24"/>
          <w:highlight w:val="none"/>
        </w:rPr>
      </w:pPr>
    </w:p>
    <w:p w14:paraId="4B6D9A0E">
      <w:pPr>
        <w:pStyle w:val="4"/>
        <w:pageBreakBefore w:val="0"/>
        <w:overflowPunct/>
        <w:topLinePunct w:val="0"/>
        <w:bidi w:val="0"/>
        <w:spacing w:before="0"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bookmarkStart w:id="327" w:name="_Toc140565089"/>
      <w:bookmarkStart w:id="328" w:name="_Toc16449"/>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.商务部分其他资料</w:t>
      </w:r>
      <w:bookmarkEnd w:id="327"/>
      <w:bookmarkEnd w:id="328"/>
    </w:p>
    <w:p w14:paraId="1C87488B">
      <w:pPr>
        <w:pageBreakBefore w:val="0"/>
        <w:overflowPunct/>
        <w:topLinePunct w:val="0"/>
        <w:bidi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highlight w:val="none"/>
        </w:rPr>
        <w:t>（招标文件中规定的其它或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认为应该提供的其它资料）</w:t>
      </w:r>
    </w:p>
    <w:p w14:paraId="084E5C99">
      <w:pPr>
        <w:pageBreakBefore w:val="0"/>
        <w:overflowPunct/>
        <w:topLinePunct w:val="0"/>
        <w:bidi w:val="0"/>
        <w:spacing w:line="360" w:lineRule="auto"/>
        <w:rPr>
          <w:rFonts w:hint="eastAsia" w:ascii="仿宋" w:hAnsi="仿宋" w:eastAsia="仿宋" w:cs="仿宋"/>
          <w:color w:val="auto"/>
          <w:sz w:val="24"/>
          <w:szCs w:val="24"/>
          <w:highlight w:val="none"/>
        </w:rPr>
      </w:pPr>
    </w:p>
    <w:p w14:paraId="5F7AA46C">
      <w:pPr>
        <w:pageBreakBefore w:val="0"/>
        <w:overflowPunct/>
        <w:topLinePunct w:val="0"/>
        <w:bidi w:val="0"/>
        <w:spacing w:line="360" w:lineRule="auto"/>
        <w:rPr>
          <w:rFonts w:hint="eastAsia" w:ascii="仿宋" w:hAnsi="仿宋" w:eastAsia="仿宋" w:cs="仿宋"/>
          <w:color w:val="auto"/>
          <w:sz w:val="24"/>
          <w:szCs w:val="24"/>
          <w:highlight w:val="none"/>
        </w:rPr>
      </w:pPr>
    </w:p>
    <w:p w14:paraId="1647C560">
      <w:pPr>
        <w:pageBreakBefore w:val="0"/>
        <w:overflowPunct/>
        <w:topLinePunct w:val="0"/>
        <w:bidi w:val="0"/>
        <w:spacing w:line="360" w:lineRule="auto"/>
        <w:rPr>
          <w:rFonts w:hint="eastAsia" w:ascii="仿宋" w:hAnsi="仿宋" w:eastAsia="仿宋" w:cs="仿宋"/>
          <w:color w:val="auto"/>
          <w:sz w:val="24"/>
          <w:szCs w:val="24"/>
          <w:highlight w:val="none"/>
        </w:rPr>
      </w:pPr>
    </w:p>
    <w:p w14:paraId="4756813E">
      <w:pPr>
        <w:pageBreakBefore w:val="0"/>
        <w:overflowPunct/>
        <w:topLinePunct w:val="0"/>
        <w:bidi w:val="0"/>
        <w:spacing w:line="360" w:lineRule="auto"/>
        <w:rPr>
          <w:rFonts w:hint="eastAsia" w:ascii="仿宋" w:hAnsi="仿宋" w:eastAsia="仿宋" w:cs="仿宋"/>
          <w:color w:val="auto"/>
          <w:sz w:val="24"/>
          <w:szCs w:val="24"/>
          <w:highlight w:val="none"/>
        </w:rPr>
      </w:pPr>
    </w:p>
    <w:p w14:paraId="23340A98">
      <w:pPr>
        <w:pageBreakBefore w:val="0"/>
        <w:overflowPunct/>
        <w:topLinePunct w:val="0"/>
        <w:bidi w:val="0"/>
        <w:spacing w:line="360" w:lineRule="auto"/>
        <w:rPr>
          <w:rFonts w:hint="eastAsia" w:ascii="仿宋" w:hAnsi="仿宋" w:eastAsia="仿宋" w:cs="仿宋"/>
          <w:color w:val="auto"/>
          <w:sz w:val="24"/>
          <w:szCs w:val="24"/>
          <w:highlight w:val="none"/>
        </w:rPr>
      </w:pPr>
    </w:p>
    <w:p w14:paraId="36CAE1C1">
      <w:pPr>
        <w:pageBreakBefore w:val="0"/>
        <w:overflowPunct/>
        <w:topLinePunct w:val="0"/>
        <w:bidi w:val="0"/>
        <w:spacing w:line="360" w:lineRule="auto"/>
        <w:rPr>
          <w:rFonts w:hint="eastAsia" w:ascii="仿宋" w:hAnsi="仿宋" w:eastAsia="仿宋" w:cs="仿宋"/>
          <w:color w:val="auto"/>
          <w:sz w:val="24"/>
          <w:szCs w:val="24"/>
          <w:highlight w:val="none"/>
        </w:rPr>
      </w:pPr>
    </w:p>
    <w:p w14:paraId="015FE52A">
      <w:pPr>
        <w:pageBreakBefore w:val="0"/>
        <w:overflowPunct/>
        <w:topLinePunct w:val="0"/>
        <w:bidi w:val="0"/>
        <w:spacing w:line="360" w:lineRule="auto"/>
        <w:rPr>
          <w:rFonts w:hint="eastAsia" w:ascii="仿宋" w:hAnsi="仿宋" w:eastAsia="仿宋" w:cs="仿宋"/>
          <w:color w:val="auto"/>
          <w:sz w:val="24"/>
          <w:szCs w:val="24"/>
          <w:highlight w:val="none"/>
        </w:rPr>
      </w:pPr>
    </w:p>
    <w:p w14:paraId="5F5229E8">
      <w:pPr>
        <w:pageBreakBefore w:val="0"/>
        <w:overflowPunct/>
        <w:topLinePunct w:val="0"/>
        <w:bidi w:val="0"/>
        <w:spacing w:line="360" w:lineRule="auto"/>
        <w:rPr>
          <w:rFonts w:hint="eastAsia" w:ascii="仿宋" w:hAnsi="仿宋" w:eastAsia="仿宋" w:cs="仿宋"/>
          <w:color w:val="auto"/>
          <w:sz w:val="24"/>
          <w:szCs w:val="24"/>
          <w:highlight w:val="none"/>
        </w:rPr>
      </w:pPr>
    </w:p>
    <w:p w14:paraId="46D4D847">
      <w:pPr>
        <w:pageBreakBefore w:val="0"/>
        <w:overflowPunct/>
        <w:topLinePunct w:val="0"/>
        <w:bidi w:val="0"/>
        <w:spacing w:line="360" w:lineRule="auto"/>
        <w:rPr>
          <w:rFonts w:hint="eastAsia" w:ascii="仿宋" w:hAnsi="仿宋" w:eastAsia="仿宋" w:cs="仿宋"/>
          <w:color w:val="auto"/>
          <w:sz w:val="24"/>
          <w:szCs w:val="24"/>
          <w:highlight w:val="none"/>
        </w:rPr>
      </w:pPr>
    </w:p>
    <w:p w14:paraId="335EDE64">
      <w:pPr>
        <w:pageBreakBefore w:val="0"/>
        <w:overflowPunct/>
        <w:topLinePunct w:val="0"/>
        <w:bidi w:val="0"/>
        <w:spacing w:line="360" w:lineRule="auto"/>
        <w:rPr>
          <w:rFonts w:hint="eastAsia" w:ascii="仿宋" w:hAnsi="仿宋" w:eastAsia="仿宋" w:cs="仿宋"/>
          <w:color w:val="auto"/>
          <w:sz w:val="24"/>
          <w:szCs w:val="24"/>
          <w:highlight w:val="none"/>
        </w:rPr>
      </w:pPr>
    </w:p>
    <w:p w14:paraId="2DD16052">
      <w:pPr>
        <w:pageBreakBefore w:val="0"/>
        <w:overflowPunct/>
        <w:topLinePunct w:val="0"/>
        <w:bidi w:val="0"/>
        <w:spacing w:line="360" w:lineRule="auto"/>
        <w:rPr>
          <w:rFonts w:hint="eastAsia" w:ascii="仿宋" w:hAnsi="仿宋" w:eastAsia="仿宋" w:cs="仿宋"/>
          <w:color w:val="auto"/>
          <w:sz w:val="24"/>
          <w:szCs w:val="24"/>
          <w:highlight w:val="none"/>
        </w:rPr>
      </w:pPr>
    </w:p>
    <w:p w14:paraId="13C76652">
      <w:pPr>
        <w:pageBreakBefore w:val="0"/>
        <w:overflowPunct/>
        <w:topLinePunct w:val="0"/>
        <w:bidi w:val="0"/>
        <w:spacing w:line="360" w:lineRule="auto"/>
        <w:rPr>
          <w:rFonts w:hint="eastAsia" w:ascii="仿宋" w:hAnsi="仿宋" w:eastAsia="仿宋" w:cs="仿宋"/>
          <w:color w:val="auto"/>
          <w:sz w:val="24"/>
          <w:szCs w:val="24"/>
          <w:highlight w:val="none"/>
        </w:rPr>
      </w:pPr>
    </w:p>
    <w:p w14:paraId="449D87B5">
      <w:pPr>
        <w:pageBreakBefore w:val="0"/>
        <w:overflowPunct/>
        <w:topLinePunct w:val="0"/>
        <w:bidi w:val="0"/>
        <w:spacing w:line="360" w:lineRule="auto"/>
        <w:rPr>
          <w:rFonts w:hint="eastAsia" w:ascii="仿宋" w:hAnsi="仿宋" w:eastAsia="仿宋" w:cs="仿宋"/>
          <w:color w:val="auto"/>
          <w:sz w:val="24"/>
          <w:szCs w:val="24"/>
          <w:highlight w:val="none"/>
        </w:rPr>
      </w:pPr>
    </w:p>
    <w:p w14:paraId="1C8F088C">
      <w:pPr>
        <w:pageBreakBefore w:val="0"/>
        <w:overflowPunct/>
        <w:topLinePunct w:val="0"/>
        <w:bidi w:val="0"/>
        <w:spacing w:line="360" w:lineRule="auto"/>
        <w:rPr>
          <w:rFonts w:hint="eastAsia" w:ascii="仿宋" w:hAnsi="仿宋" w:eastAsia="仿宋" w:cs="仿宋"/>
          <w:color w:val="auto"/>
          <w:sz w:val="24"/>
          <w:szCs w:val="24"/>
          <w:highlight w:val="none"/>
        </w:rPr>
      </w:pPr>
    </w:p>
    <w:p w14:paraId="079B62EF">
      <w:pPr>
        <w:pageBreakBefore w:val="0"/>
        <w:overflowPunct/>
        <w:topLinePunct w:val="0"/>
        <w:bidi w:val="0"/>
        <w:spacing w:line="360" w:lineRule="auto"/>
        <w:rPr>
          <w:rFonts w:hint="eastAsia" w:ascii="仿宋" w:hAnsi="仿宋" w:eastAsia="仿宋" w:cs="仿宋"/>
          <w:color w:val="auto"/>
          <w:sz w:val="24"/>
          <w:szCs w:val="24"/>
          <w:highlight w:val="none"/>
        </w:rPr>
      </w:pPr>
    </w:p>
    <w:p w14:paraId="52AE8806">
      <w:pPr>
        <w:pageBreakBefore w:val="0"/>
        <w:overflowPunct/>
        <w:topLinePunct w:val="0"/>
        <w:bidi w:val="0"/>
        <w:spacing w:line="360" w:lineRule="auto"/>
        <w:rPr>
          <w:rFonts w:hint="eastAsia" w:ascii="仿宋" w:hAnsi="仿宋" w:eastAsia="仿宋" w:cs="仿宋"/>
          <w:color w:val="auto"/>
          <w:sz w:val="24"/>
          <w:szCs w:val="24"/>
          <w:highlight w:val="none"/>
        </w:rPr>
      </w:pPr>
    </w:p>
    <w:p w14:paraId="5D28493B">
      <w:pPr>
        <w:pageBreakBefore w:val="0"/>
        <w:overflowPunct/>
        <w:topLinePunct w:val="0"/>
        <w:bidi w:val="0"/>
        <w:spacing w:line="360" w:lineRule="auto"/>
        <w:rPr>
          <w:rFonts w:hint="eastAsia" w:ascii="仿宋" w:hAnsi="仿宋" w:eastAsia="仿宋" w:cs="仿宋"/>
          <w:color w:val="auto"/>
          <w:sz w:val="24"/>
          <w:szCs w:val="24"/>
          <w:highlight w:val="none"/>
        </w:rPr>
      </w:pPr>
    </w:p>
    <w:p w14:paraId="3D5222BB">
      <w:pPr>
        <w:pageBreakBefore w:val="0"/>
        <w:overflowPunct/>
        <w:topLinePunct w:val="0"/>
        <w:bidi w:val="0"/>
        <w:spacing w:line="360" w:lineRule="auto"/>
        <w:rPr>
          <w:rFonts w:hint="eastAsia" w:ascii="仿宋" w:hAnsi="仿宋" w:eastAsia="仿宋" w:cs="仿宋"/>
          <w:color w:val="auto"/>
          <w:sz w:val="24"/>
          <w:szCs w:val="24"/>
          <w:highlight w:val="none"/>
        </w:rPr>
      </w:pPr>
    </w:p>
    <w:p w14:paraId="1BE66D16">
      <w:pPr>
        <w:pageBreakBefore w:val="0"/>
        <w:overflowPunct/>
        <w:topLinePunct w:val="0"/>
        <w:bidi w:val="0"/>
        <w:spacing w:line="360" w:lineRule="auto"/>
        <w:rPr>
          <w:rFonts w:hint="eastAsia" w:ascii="仿宋" w:hAnsi="仿宋" w:eastAsia="仿宋" w:cs="仿宋"/>
          <w:color w:val="auto"/>
          <w:sz w:val="24"/>
          <w:szCs w:val="24"/>
          <w:highlight w:val="none"/>
        </w:rPr>
      </w:pPr>
    </w:p>
    <w:p w14:paraId="7F498F0C">
      <w:pPr>
        <w:pageBreakBefore w:val="0"/>
        <w:overflowPunct/>
        <w:topLinePunct w:val="0"/>
        <w:bidi w:val="0"/>
        <w:spacing w:line="360" w:lineRule="auto"/>
        <w:rPr>
          <w:rFonts w:hint="eastAsia" w:ascii="仿宋" w:hAnsi="仿宋" w:eastAsia="仿宋" w:cs="仿宋"/>
          <w:color w:val="auto"/>
          <w:sz w:val="24"/>
          <w:szCs w:val="24"/>
          <w:highlight w:val="none"/>
        </w:rPr>
      </w:pPr>
    </w:p>
    <w:p w14:paraId="1B6F6ABE">
      <w:pPr>
        <w:pageBreakBefore w:val="0"/>
        <w:overflowPunct/>
        <w:topLinePunct w:val="0"/>
        <w:bidi w:val="0"/>
        <w:spacing w:line="360" w:lineRule="auto"/>
        <w:rPr>
          <w:rFonts w:hint="eastAsia" w:ascii="仿宋" w:hAnsi="仿宋" w:eastAsia="仿宋" w:cs="仿宋"/>
          <w:color w:val="auto"/>
          <w:sz w:val="24"/>
          <w:szCs w:val="24"/>
          <w:highlight w:val="none"/>
        </w:rPr>
      </w:pPr>
    </w:p>
    <w:p w14:paraId="17535A0E">
      <w:pPr>
        <w:pageBreakBefore w:val="0"/>
        <w:overflowPunct/>
        <w:topLinePunct w:val="0"/>
        <w:bidi w:val="0"/>
        <w:spacing w:line="360" w:lineRule="auto"/>
        <w:rPr>
          <w:rFonts w:hint="eastAsia" w:ascii="仿宋" w:hAnsi="仿宋" w:eastAsia="仿宋" w:cs="仿宋"/>
          <w:color w:val="auto"/>
          <w:sz w:val="24"/>
          <w:szCs w:val="24"/>
          <w:highlight w:val="none"/>
        </w:rPr>
      </w:pPr>
    </w:p>
    <w:p w14:paraId="19B20A2D">
      <w:pPr>
        <w:pageBreakBefore w:val="0"/>
        <w:overflowPunct/>
        <w:topLinePunct w:val="0"/>
        <w:bidi w:val="0"/>
        <w:spacing w:line="360" w:lineRule="auto"/>
        <w:rPr>
          <w:rFonts w:hint="eastAsia" w:ascii="仿宋" w:hAnsi="仿宋" w:eastAsia="仿宋" w:cs="仿宋"/>
          <w:color w:val="auto"/>
          <w:sz w:val="24"/>
          <w:szCs w:val="24"/>
          <w:highlight w:val="none"/>
        </w:rPr>
      </w:pPr>
    </w:p>
    <w:p w14:paraId="74165973">
      <w:pPr>
        <w:pageBreakBefore w:val="0"/>
        <w:overflowPunct/>
        <w:topLinePunct w:val="0"/>
        <w:bidi w:val="0"/>
        <w:spacing w:line="360" w:lineRule="auto"/>
        <w:rPr>
          <w:rFonts w:hint="eastAsia" w:ascii="仿宋" w:hAnsi="仿宋" w:eastAsia="仿宋" w:cs="仿宋"/>
          <w:color w:val="auto"/>
          <w:sz w:val="24"/>
          <w:szCs w:val="24"/>
          <w:highlight w:val="none"/>
        </w:rPr>
      </w:pPr>
    </w:p>
    <w:p w14:paraId="54081E91">
      <w:pPr>
        <w:pageBreakBefore w:val="0"/>
        <w:overflowPunct/>
        <w:topLinePunct w:val="0"/>
        <w:bidi w:val="0"/>
        <w:spacing w:line="360" w:lineRule="auto"/>
        <w:rPr>
          <w:rFonts w:hint="eastAsia" w:ascii="仿宋" w:hAnsi="仿宋" w:eastAsia="仿宋" w:cs="仿宋"/>
          <w:color w:val="auto"/>
          <w:sz w:val="24"/>
          <w:szCs w:val="24"/>
          <w:highlight w:val="none"/>
        </w:rPr>
      </w:pPr>
    </w:p>
    <w:p w14:paraId="33F49941">
      <w:pPr>
        <w:pageBreakBefore w:val="0"/>
        <w:overflowPunct/>
        <w:topLinePunct w:val="0"/>
        <w:bidi w:val="0"/>
        <w:spacing w:line="360" w:lineRule="auto"/>
        <w:rPr>
          <w:rFonts w:hint="eastAsia" w:ascii="仿宋" w:hAnsi="仿宋" w:eastAsia="仿宋" w:cs="仿宋"/>
          <w:color w:val="auto"/>
          <w:sz w:val="24"/>
          <w:szCs w:val="24"/>
          <w:highlight w:val="none"/>
        </w:rPr>
      </w:pPr>
    </w:p>
    <w:p w14:paraId="419ECBB3">
      <w:pPr>
        <w:pageBreakBefore w:val="0"/>
        <w:overflowPunct/>
        <w:topLinePunct w:val="0"/>
        <w:bidi w:val="0"/>
        <w:spacing w:line="360" w:lineRule="auto"/>
        <w:rPr>
          <w:rFonts w:hint="eastAsia" w:ascii="仿宋" w:hAnsi="仿宋" w:eastAsia="仿宋" w:cs="仿宋"/>
          <w:color w:val="auto"/>
          <w:sz w:val="28"/>
          <w:szCs w:val="28"/>
          <w:highlight w:val="none"/>
        </w:rPr>
      </w:pPr>
      <w:bookmarkStart w:id="329" w:name="_Toc26952"/>
      <w:r>
        <w:rPr>
          <w:rFonts w:hint="eastAsia" w:ascii="仿宋" w:hAnsi="仿宋" w:eastAsia="仿宋" w:cs="仿宋"/>
          <w:color w:val="auto"/>
          <w:sz w:val="28"/>
          <w:szCs w:val="28"/>
          <w:highlight w:val="none"/>
        </w:rPr>
        <w:br w:type="page"/>
      </w:r>
    </w:p>
    <w:p w14:paraId="0C95308F">
      <w:pPr>
        <w:pStyle w:val="3"/>
        <w:pageBreakBefore w:val="0"/>
        <w:overflowPunct/>
        <w:topLinePunct w:val="0"/>
        <w:bidi w:val="0"/>
        <w:spacing w:after="0" w:line="360" w:lineRule="auto"/>
        <w:jc w:val="center"/>
        <w:rPr>
          <w:rFonts w:hint="eastAsia" w:ascii="仿宋" w:hAnsi="仿宋" w:eastAsia="仿宋" w:cs="仿宋"/>
          <w:color w:val="auto"/>
          <w:sz w:val="28"/>
          <w:szCs w:val="28"/>
          <w:highlight w:val="none"/>
        </w:rPr>
      </w:pPr>
      <w:bookmarkStart w:id="330" w:name="_Toc25385"/>
      <w:r>
        <w:rPr>
          <w:rFonts w:hint="eastAsia" w:ascii="仿宋" w:hAnsi="仿宋" w:eastAsia="仿宋" w:cs="仿宋"/>
          <w:color w:val="auto"/>
          <w:sz w:val="28"/>
          <w:szCs w:val="28"/>
          <w:highlight w:val="none"/>
        </w:rPr>
        <w:t>四、招标文件要求或</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认为需要提交的其他资料</w:t>
      </w:r>
      <w:bookmarkEnd w:id="329"/>
      <w:bookmarkEnd w:id="330"/>
    </w:p>
    <w:p w14:paraId="14B03DB9">
      <w:pPr>
        <w:pStyle w:val="2"/>
        <w:pageBreakBefore w:val="0"/>
        <w:numPr>
          <w:ilvl w:val="0"/>
          <w:numId w:val="5"/>
        </w:numPr>
        <w:overflowPunct/>
        <w:topLinePunct w:val="0"/>
        <w:bidi w:val="0"/>
        <w:spacing w:line="360" w:lineRule="auto"/>
        <w:jc w:val="center"/>
        <w:rPr>
          <w:rFonts w:hint="eastAsia" w:ascii="仿宋" w:hAnsi="仿宋" w:eastAsia="仿宋" w:cs="仿宋"/>
          <w:color w:val="auto"/>
          <w:highlight w:val="none"/>
        </w:rPr>
      </w:pPr>
      <w:bookmarkStart w:id="331" w:name="_Hlk93415782"/>
      <w:bookmarkStart w:id="332" w:name="_Toc140565247"/>
      <w:bookmarkStart w:id="333" w:name="_Toc140565091"/>
      <w:bookmarkStart w:id="334" w:name="_Toc2882"/>
      <w:r>
        <w:rPr>
          <w:rFonts w:hint="eastAsia" w:ascii="仿宋" w:hAnsi="仿宋" w:eastAsia="仿宋" w:cs="仿宋"/>
          <w:color w:val="auto"/>
          <w:highlight w:val="none"/>
        </w:rPr>
        <w:br w:type="page"/>
      </w:r>
      <w:bookmarkStart w:id="335" w:name="_Toc8641"/>
      <w:r>
        <w:rPr>
          <w:rFonts w:hint="eastAsia" w:ascii="仿宋" w:hAnsi="仿宋" w:eastAsia="仿宋" w:cs="仿宋"/>
          <w:color w:val="auto"/>
          <w:highlight w:val="none"/>
        </w:rPr>
        <w:t>采购需求及要求</w:t>
      </w:r>
      <w:bookmarkEnd w:id="331"/>
      <w:bookmarkEnd w:id="332"/>
      <w:bookmarkEnd w:id="333"/>
      <w:bookmarkEnd w:id="334"/>
      <w:bookmarkEnd w:id="335"/>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1"/>
      </w:tblGrid>
      <w:tr w14:paraId="7C9E8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tcPr>
          <w:p w14:paraId="1A5896F7">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b/>
                <w:bCs/>
                <w:color w:val="auto"/>
                <w:kern w:val="0"/>
                <w:sz w:val="24"/>
                <w:szCs w:val="24"/>
                <w:highlight w:val="none"/>
              </w:rPr>
            </w:pPr>
            <w:r>
              <w:rPr>
                <w:rFonts w:hint="eastAsia" w:ascii="仿宋" w:hAnsi="仿宋" w:eastAsia="仿宋" w:cs="仿宋"/>
                <w:b/>
                <w:color w:val="auto"/>
                <w:kern w:val="0"/>
                <w:sz w:val="24"/>
                <w:szCs w:val="24"/>
                <w:highlight w:val="none"/>
              </w:rPr>
              <w:t>（一）采购项目需实现的功能和目标：</w:t>
            </w:r>
          </w:p>
          <w:p w14:paraId="5B71CFE3">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1.项目地点：昆明市第一人民医院南、北院区（昆明市青年路504号、486号；昆明市盘龙区北京路1228号）。</w:t>
            </w:r>
          </w:p>
          <w:p w14:paraId="56ADD46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2.项目名称：昆明市第一人民医院</w:t>
            </w:r>
            <w:r>
              <w:rPr>
                <w:rFonts w:hint="eastAsia" w:ascii="仿宋" w:hAnsi="仿宋" w:eastAsia="仿宋" w:cs="仿宋"/>
                <w:bCs/>
                <w:color w:val="auto"/>
                <w:kern w:val="0"/>
                <w:sz w:val="24"/>
                <w:szCs w:val="24"/>
                <w:highlight w:val="none"/>
                <w:lang w:eastAsia="zh-CN"/>
              </w:rPr>
              <w:t>布草洗涤服务</w:t>
            </w:r>
            <w:r>
              <w:rPr>
                <w:rFonts w:hint="eastAsia" w:ascii="仿宋" w:hAnsi="仿宋" w:eastAsia="仿宋" w:cs="仿宋"/>
                <w:bCs/>
                <w:color w:val="auto"/>
                <w:kern w:val="0"/>
                <w:sz w:val="24"/>
                <w:szCs w:val="24"/>
                <w:highlight w:val="none"/>
              </w:rPr>
              <w:t>项目。</w:t>
            </w:r>
          </w:p>
          <w:p w14:paraId="71D75342">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3.项目规模：</w:t>
            </w:r>
            <w:r>
              <w:rPr>
                <w:rFonts w:hint="eastAsia" w:ascii="仿宋" w:hAnsi="仿宋" w:eastAsia="仿宋" w:cs="仿宋"/>
                <w:bCs/>
                <w:color w:val="auto"/>
                <w:kern w:val="0"/>
                <w:sz w:val="24"/>
                <w:szCs w:val="24"/>
                <w:highlight w:val="none"/>
                <w:lang w:val="en-US" w:eastAsia="zh-CN"/>
              </w:rPr>
              <w:t>医院</w:t>
            </w:r>
            <w:r>
              <w:rPr>
                <w:rFonts w:hint="eastAsia" w:ascii="仿宋" w:hAnsi="仿宋" w:eastAsia="仿宋" w:cs="仿宋"/>
                <w:bCs/>
                <w:color w:val="auto"/>
                <w:kern w:val="0"/>
                <w:sz w:val="24"/>
                <w:szCs w:val="24"/>
                <w:highlight w:val="none"/>
                <w:lang w:eastAsia="zh-CN"/>
              </w:rPr>
              <w:t>所有</w:t>
            </w:r>
            <w:r>
              <w:rPr>
                <w:rFonts w:hint="eastAsia" w:ascii="仿宋" w:hAnsi="仿宋" w:eastAsia="仿宋" w:cs="仿宋"/>
                <w:bCs/>
                <w:color w:val="auto"/>
                <w:kern w:val="0"/>
                <w:sz w:val="24"/>
                <w:szCs w:val="24"/>
                <w:highlight w:val="none"/>
                <w:lang w:val="en-US" w:eastAsia="zh-CN"/>
              </w:rPr>
              <w:t>布草类</w:t>
            </w:r>
            <w:r>
              <w:rPr>
                <w:rFonts w:hint="eastAsia" w:ascii="仿宋" w:hAnsi="仿宋" w:eastAsia="仿宋" w:cs="仿宋"/>
                <w:bCs/>
                <w:color w:val="auto"/>
                <w:kern w:val="0"/>
                <w:sz w:val="24"/>
                <w:szCs w:val="24"/>
                <w:highlight w:val="none"/>
                <w:lang w:eastAsia="zh-CN"/>
              </w:rPr>
              <w:t>（包括：开腹巾、小中单、托盘套、小枕套、手术衣、大毛巾、中单、小毛巾、治疗巾、婴儿服、洗手衣裤、大包布、被套、小包布、床单、小洞巾、枕套、工作服、病人衣裤、窗帘、隔帘、小被套</w:t>
            </w:r>
            <w:r>
              <w:rPr>
                <w:rFonts w:hint="eastAsia" w:ascii="仿宋" w:hAnsi="仿宋" w:eastAsia="仿宋" w:cs="仿宋"/>
                <w:bCs/>
                <w:color w:val="auto"/>
                <w:kern w:val="0"/>
                <w:sz w:val="24"/>
                <w:szCs w:val="24"/>
                <w:highlight w:val="none"/>
                <w:lang w:val="en-US" w:eastAsia="zh-CN"/>
              </w:rPr>
              <w:t>等60余种</w:t>
            </w:r>
            <w:r>
              <w:rPr>
                <w:rFonts w:hint="eastAsia" w:ascii="仿宋" w:hAnsi="仿宋" w:eastAsia="仿宋" w:cs="仿宋"/>
                <w:bCs/>
                <w:color w:val="auto"/>
                <w:kern w:val="0"/>
                <w:sz w:val="24"/>
                <w:szCs w:val="24"/>
                <w:highlight w:val="none"/>
                <w:lang w:eastAsia="zh-CN"/>
              </w:rPr>
              <w:t>）的洗涤、消毒、灭菌、烘干（晾晒）、熨烫、缝补、折叠、打包、</w:t>
            </w:r>
            <w:r>
              <w:rPr>
                <w:rFonts w:hint="eastAsia" w:ascii="仿宋" w:hAnsi="仿宋" w:eastAsia="仿宋" w:cs="仿宋"/>
                <w:bCs/>
                <w:color w:val="auto"/>
                <w:kern w:val="0"/>
                <w:sz w:val="24"/>
                <w:szCs w:val="24"/>
                <w:highlight w:val="none"/>
                <w:lang w:val="en-US" w:eastAsia="zh-CN"/>
              </w:rPr>
              <w:t>配</w:t>
            </w:r>
            <w:r>
              <w:rPr>
                <w:rFonts w:hint="eastAsia" w:ascii="仿宋" w:hAnsi="仿宋" w:eastAsia="仿宋" w:cs="仿宋"/>
                <w:bCs/>
                <w:color w:val="auto"/>
                <w:kern w:val="0"/>
                <w:sz w:val="24"/>
                <w:szCs w:val="24"/>
                <w:highlight w:val="none"/>
                <w:lang w:eastAsia="zh-CN"/>
              </w:rPr>
              <w:t>送等服务。</w:t>
            </w:r>
          </w:p>
          <w:p w14:paraId="36CE88B9">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4.项目范围：</w:t>
            </w:r>
            <w:r>
              <w:rPr>
                <w:rFonts w:hint="eastAsia" w:ascii="仿宋" w:hAnsi="仿宋" w:eastAsia="仿宋" w:cs="仿宋"/>
                <w:color w:val="auto"/>
                <w:kern w:val="0"/>
                <w:sz w:val="24"/>
                <w:szCs w:val="24"/>
                <w:highlight w:val="none"/>
                <w:lang w:val="en-US" w:eastAsia="zh-CN"/>
              </w:rPr>
              <w:t>采购人的南、北院区（即：青年路504号、青年路486号、北京路1228号）</w:t>
            </w:r>
          </w:p>
          <w:p w14:paraId="5CB9E3BC">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bCs/>
                <w:color w:val="auto"/>
                <w:kern w:val="0"/>
                <w:sz w:val="24"/>
                <w:szCs w:val="24"/>
                <w:highlight w:val="none"/>
                <w:lang w:eastAsia="zh-CN"/>
              </w:rPr>
            </w:pPr>
            <w:r>
              <w:rPr>
                <w:rFonts w:hint="eastAsia" w:ascii="仿宋" w:hAnsi="仿宋" w:eastAsia="仿宋" w:cs="仿宋"/>
                <w:bCs/>
                <w:color w:val="auto"/>
                <w:kern w:val="0"/>
                <w:sz w:val="24"/>
                <w:szCs w:val="24"/>
                <w:highlight w:val="none"/>
              </w:rPr>
              <w:t>5.服务期限：服务期限</w:t>
            </w:r>
            <w:r>
              <w:rPr>
                <w:rFonts w:hint="eastAsia" w:ascii="仿宋" w:hAnsi="仿宋" w:eastAsia="仿宋" w:cs="仿宋"/>
                <w:bCs/>
                <w:color w:val="auto"/>
                <w:kern w:val="0"/>
                <w:sz w:val="24"/>
                <w:szCs w:val="24"/>
                <w:highlight w:val="none"/>
                <w:lang w:val="en-US" w:eastAsia="zh-CN"/>
              </w:rPr>
              <w:t>二</w:t>
            </w:r>
            <w:r>
              <w:rPr>
                <w:rFonts w:hint="eastAsia" w:ascii="仿宋" w:hAnsi="仿宋" w:eastAsia="仿宋" w:cs="仿宋"/>
                <w:bCs/>
                <w:color w:val="auto"/>
                <w:kern w:val="0"/>
                <w:sz w:val="24"/>
                <w:szCs w:val="24"/>
                <w:highlight w:val="none"/>
              </w:rPr>
              <w:t>年，合同生效后，服务一年一评价，考评合格继续履行下一年合同。对年度合同履约、考评不合格的，甲方有权终止合同。</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见附件二</w:t>
            </w:r>
            <w:r>
              <w:rPr>
                <w:rFonts w:hint="eastAsia" w:ascii="仿宋" w:hAnsi="仿宋" w:eastAsia="仿宋" w:cs="仿宋"/>
                <w:bCs/>
                <w:color w:val="auto"/>
                <w:kern w:val="0"/>
                <w:sz w:val="24"/>
                <w:szCs w:val="24"/>
                <w:highlight w:val="none"/>
                <w:lang w:eastAsia="zh-CN"/>
              </w:rPr>
              <w:t>）</w:t>
            </w:r>
          </w:p>
          <w:p w14:paraId="05A8CBA2">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6.质量要求：符合最新《中华人民共和国卫生行业标准（医院医用织物洗涤消毒技术规范）》及行业、地方现行相关技术标准及验收规定，满足采购人服务质量要求及洗涤</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配送</w:t>
            </w:r>
            <w:r>
              <w:rPr>
                <w:rFonts w:hint="eastAsia" w:ascii="仿宋" w:hAnsi="仿宋" w:eastAsia="仿宋" w:cs="仿宋"/>
                <w:bCs/>
                <w:color w:val="auto"/>
                <w:kern w:val="0"/>
                <w:sz w:val="24"/>
                <w:szCs w:val="24"/>
                <w:highlight w:val="none"/>
              </w:rPr>
              <w:t>服务流程。</w:t>
            </w:r>
          </w:p>
        </w:tc>
      </w:tr>
    </w:tbl>
    <w:tbl>
      <w:tblPr>
        <w:tblStyle w:val="36"/>
        <w:tblpPr w:leftFromText="180" w:rightFromText="180" w:vertAnchor="text" w:horzAnchor="page" w:tblpX="1158" w:tblpY="607"/>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1"/>
      </w:tblGrid>
      <w:tr w14:paraId="36A2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60B3776">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（二）技术要求：</w:t>
            </w:r>
          </w:p>
          <w:p w14:paraId="52E4143C">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1.项目名称：昆明市第一人民医院布草洗涤服务项目。</w:t>
            </w:r>
          </w:p>
          <w:p w14:paraId="7385BB66">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2.采购方式：公开招标</w:t>
            </w:r>
          </w:p>
          <w:p w14:paraId="41C375DB">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3.预算金额：287.26万元/年    </w:t>
            </w:r>
          </w:p>
          <w:p w14:paraId="058D0C66">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4.支付方式：月度支付</w:t>
            </w:r>
          </w:p>
          <w:p w14:paraId="00830623">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5.采购需求：</w:t>
            </w:r>
          </w:p>
          <w:p w14:paraId="5D9F9325">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5.1总体要求：</w:t>
            </w:r>
          </w:p>
          <w:p w14:paraId="318D2A44">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采购人所有布草类（包括：开腹巾、小中单、托盘套、小枕套、手术衣、大毛巾、中单、小毛巾、治疗巾、婴儿服、洗手衣裤、大包布、被套、小包布、床单、小洞巾、枕套、工作服、病人衣裤、窗帘、隔帘、小被套等60余种）的洗涤、消毒、灭菌、烘干（晾晒）、熨烫、缝补、折叠、打包、配送等服务。</w:t>
            </w:r>
          </w:p>
          <w:p w14:paraId="448187BA">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5.2服务标准</w:t>
            </w:r>
          </w:p>
          <w:p w14:paraId="452B870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符合最新《中华人民共和国卫生行业标准（医院医用织物洗涤消毒技术规范）》及行业、地方现行相关技术标准及验收规定，满足采购人服务质量要求及洗涤、配送服务流程。</w:t>
            </w:r>
          </w:p>
          <w:p w14:paraId="585E47D8">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具体要求：</w:t>
            </w:r>
          </w:p>
          <w:p w14:paraId="453A6D14">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（1）洗涤布草外观整洁、不变形、无破损；无水渍、无污垢、无异物、无异味。</w:t>
            </w:r>
          </w:p>
          <w:p w14:paraId="399F995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（2）病人所用布草和医务工作人员使用布草必须分机洗涤。</w:t>
            </w:r>
          </w:p>
          <w:p w14:paraId="0F1B720B">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（3）婴儿衣被应单独洗涤，不可与其他衣被混洗。</w:t>
            </w:r>
          </w:p>
          <w:p w14:paraId="0775FD3E">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（4）根据衣被受污染程度要求分别用专机洗涤。</w:t>
            </w:r>
          </w:p>
          <w:p w14:paraId="08D36B4A">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（5）有传染性的布草进行单独专机洗涤，不得与其他布草混洗。</w:t>
            </w:r>
          </w:p>
          <w:p w14:paraId="3E42F146">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（6）清洗消毒后的被服，不得有各种有害残留物。</w:t>
            </w:r>
          </w:p>
          <w:p w14:paraId="5C336630">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（7）洁净布草应熨烫平整、折叠整齐，打包封口。</w:t>
            </w:r>
          </w:p>
          <w:p w14:paraId="5F4AA0DA">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（8）对纽扣、带子发现缺失、有破口的被服及时进行修补。对标识不清的布草进行再次印刷。</w:t>
            </w:r>
          </w:p>
          <w:p w14:paraId="04961F70">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（9）送洗布草自签收起24小时内需完成洗涤并返还，中标方自检发现的返洗布草不得超过48小时返还，采购人检测发现的返洗布草不得超过24小时返还，超过5个自然日未返还布草视为布草丢失。</w:t>
            </w:r>
          </w:p>
          <w:p w14:paraId="07287466">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（10）中标人对送洗布草分拣过程中发现的严重污染、破损布草应立即向采购人进行反馈登记，若如反馈视为完好，中标人对丢失布草、洗坏布草必须按照布草原价赔偿，赔偿金从当月洗涤费用中抵扣。</w:t>
            </w:r>
          </w:p>
          <w:p w14:paraId="39B86E8A">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（11）完成采购人的每天的布草配送工作，被污染和送洗的布草必须及时运出洗涤，不得在招标人院内滞留超过24小时。</w:t>
            </w:r>
          </w:p>
          <w:p w14:paraId="739E04A9">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5.3人员要求及工作职责</w:t>
            </w:r>
          </w:p>
          <w:p w14:paraId="3C69B0AB">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标人应按采购人的实际情况配置驻点被服配送人员，配置人员必须完成采购人的每天的布草配送工作，中标人需每天到采购人收取各科室需送洗的布草不少于一次，被污染和送洗的布草必须及时运出洗涤，不得在招标人院内滞留超过24小时。</w:t>
            </w:r>
          </w:p>
          <w:p w14:paraId="0A3961B9">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5.4设施设备要求</w:t>
            </w:r>
          </w:p>
          <w:p w14:paraId="5CC452E0">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5.4.1中标人具备有符合环保、感控要求，清洁区、污染区分区明确，并有明确标识的厂房及配套设施。</w:t>
            </w:r>
          </w:p>
          <w:p w14:paraId="6BFAB16C">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5.4.2中标人须具有布草洗涤独立场地、专业布草洗涤、消毒设备及配套设施，配套设施达到国家环保标准及标准医用织物运输设备。</w:t>
            </w:r>
          </w:p>
          <w:p w14:paraId="74DCB87D">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5.4.3中标人所设置的生产车间、专用设备设施及消毒隔离管理流程，须达到《国家卫生计生委办公厅关于加强医疗机构医用织物洗涤消毒管理工作的通知》（国卫办医涵[2015]708号）及云南省质量技术监督局（DB53-2014）《医用纺织品洗涤卫生规范》规定要求。</w:t>
            </w:r>
          </w:p>
          <w:p w14:paraId="525C37B1">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5.5验收要求：</w:t>
            </w:r>
          </w:p>
          <w:p w14:paraId="10F886E5">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依据《中华人民共和国卫生行业标准WS/T508-2016》、《医院医用织物洗涤消毒技术规范》(2016 版)及《医院布草洗涤规范》的要求为采购人提供专业的洗涤服务，并在48小时内完成院方交付的洗涤任务，服从采购人的管理，遵守采购人的有关规章制度。 </w:t>
            </w:r>
          </w:p>
          <w:p w14:paraId="47DB939E">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5.6报价要求：</w:t>
            </w:r>
          </w:p>
          <w:p w14:paraId="66AD9D84">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5.6.1总服务费不得高于项目拦标价（287.26万元/年）</w:t>
            </w:r>
          </w:p>
          <w:p w14:paraId="6147C5E5">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5.6.2分项报价洗涤单价不得高于控制单价（见附件三）</w:t>
            </w:r>
          </w:p>
          <w:p w14:paraId="74DEDC8A">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5.6.3报价包含项目正常完成、处置应急突发事件、人工服务、运输、科室配送、税费等一切费用。</w:t>
            </w:r>
          </w:p>
          <w:p w14:paraId="203371B8">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5.7违约责任</w:t>
            </w:r>
          </w:p>
          <w:p w14:paraId="6A78C5A0">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5.7.1如中标人交付采购人的洗涤布草不满足本合同约定质量标准及技术要求的，采购人有权拒付费用、并要求中标人重新洗涤，因此给采购人带来损失，由中标人承担。</w:t>
            </w:r>
          </w:p>
          <w:p w14:paraId="66D8389D">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5.7.2.在合同履行期内，中标人连续3个月考核分数低于70分或年度考核低于90分的情况，视为违约，采购人有权单方面解除协议。中标人须承担违约责任，中标人应在七个日历天内向采购人支付违约金。</w:t>
            </w:r>
          </w:p>
          <w:p w14:paraId="3B81C0BE">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5.7.3未经采购人书面同意不得分包，中标人不得将布草洗涤服务以任何形式转让给第三方，一经发现视为违约，采购人有权立即解除协议。</w:t>
            </w:r>
          </w:p>
          <w:p w14:paraId="13057F44">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6.合同履行期限：二年 。服务一年一评价，考评合格继续履行下一年合同。对年度考评不合格的，采购人有权终止合同。 </w:t>
            </w:r>
          </w:p>
          <w:p w14:paraId="68A3845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7.质量要求：符合中华人民共和国卫生行业标准《医院医用织物洗涤消毒技术规范》(WS/T 508-2016)及行业、地方现行相关技术标准及验收规定，满足采购人服务质量要求及洗涤服务流程。</w:t>
            </w:r>
          </w:p>
        </w:tc>
      </w:tr>
      <w:tr w14:paraId="5ACDD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C7456C3">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 xml:space="preserve">（三）商务要求： </w:t>
            </w:r>
          </w:p>
          <w:p w14:paraId="0DC6015C">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 服务范围：满足医院内的各个区域的布草洗涤、配送服务。</w:t>
            </w:r>
          </w:p>
          <w:p w14:paraId="2C396473">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 服务时效：每天必须做到污物“日产日清”；48小时内洁净物结清。如遇特殊情况需根据招标人要求增加送洗布草趟数，完成当日送洗工作。遇到国家法定节假日，根据招标人要求开展工作。</w:t>
            </w:r>
          </w:p>
          <w:p w14:paraId="461E9A89">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3.人员配备：拟投入本项目的项目组织机构管理体系完善，针对性强，有科学严谨的管理程序；人员安排、配置合理齐全、职责分工明确、且主要管理服务人员管理经验丰富的、有驻点人员。</w:t>
            </w:r>
          </w:p>
          <w:p w14:paraId="0217A12E">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服务质量保证措施：针对本项目实际情况制定服务承诺和保证措施，内容详尽、针对性强，保证措施合理、操作性强针对本项目实际情况制定服务承诺和保证措施，内容详尽、针对性强，保证措施合理、操作性强；</w:t>
            </w:r>
          </w:p>
          <w:p w14:paraId="5DE651C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5.服务违约处罚措施：针对本项目提出的服务违约处罚措施全面、具体，针对性强，可行性强。</w:t>
            </w:r>
          </w:p>
          <w:p w14:paraId="54CC17F8">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6．科室考核：采购人管理部门在每个月的5号前根据“布草洗涤服务考核表”内容对中标人的服务进行考核。考核分数≥90分，为合格，全额支付当月布草洗涤服务费。若考核得分低于90分以下的，每下降1分，则扣除当月支付服务金额的1%，以此类推，并以最终考核结果扣减后的实际金额向中标人进行支付当月的服务费。同时要有整改措施及效果评价当月内交采购人； </w:t>
            </w:r>
          </w:p>
          <w:p w14:paraId="1A2BDDE7">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 科室投诉：采购人管理部门接到投诉后确认为中标人的责任，与中标人沟通确认后根据事件严重程度每一件投诉事件处以1000-5000元的罚款，从当月洗涤费结算款中扣除。</w:t>
            </w:r>
          </w:p>
          <w:p w14:paraId="395A5DDB">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8.合同续签：年度考核得分低于90分，采购人有权终止合同，不在签署下一年合同。</w:t>
            </w:r>
          </w:p>
          <w:p w14:paraId="7AFA0B81">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9.履约保证金要求：</w:t>
            </w:r>
          </w:p>
          <w:p w14:paraId="0E50B3CE">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中标人向采购人提交项目采购预算总额（2年）的5%作为履约保证金，履约保证金由采购人代管，待合同期满后如无违约情况，则全额无息退还。</w:t>
            </w:r>
          </w:p>
          <w:p w14:paraId="124C4D1D">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10.付款方式：</w:t>
            </w:r>
          </w:p>
          <w:p w14:paraId="0902BE4C">
            <w:pPr>
              <w:keepNext/>
              <w:keepLines w:val="0"/>
              <w:pageBreakBefore w:val="0"/>
              <w:suppressLineNumbers w:val="0"/>
              <w:overflowPunct/>
              <w:topLinePunct w:val="0"/>
              <w:bidi w:val="0"/>
              <w:spacing w:before="0" w:beforeAutospacing="0" w:after="0" w:afterAutospacing="0" w:line="360" w:lineRule="auto"/>
              <w:ind w:left="0" w:right="0"/>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根据实际洗涤量及考核结果按月支付服务费：以实际布草洗涤数量每月结算一次服务费，洗涤服务费=实际布草洗涤件数×洗涤中标合同单价，并以最终考核结果扣减后的实际金额向中标人支付当月的服务费。每月10号前双方共同做好核对上月实际洗涤数量确认无误、考核后，中标人开具等额发票，采购人在收到有效合格发票后30个工作日内支付完成，如遇其他特殊情况，支付日期顺延。</w:t>
            </w:r>
          </w:p>
        </w:tc>
      </w:tr>
    </w:tbl>
    <w:p w14:paraId="09938C48">
      <w:pPr>
        <w:pageBreakBefore w:val="0"/>
        <w:overflowPunct/>
        <w:topLinePunct w:val="0"/>
        <w:bidi w:val="0"/>
        <w:spacing w:line="360" w:lineRule="auto"/>
        <w:rPr>
          <w:rFonts w:hint="eastAsia" w:ascii="仿宋" w:hAnsi="仿宋" w:eastAsia="仿宋" w:cs="仿宋"/>
          <w:color w:val="auto"/>
          <w:kern w:val="0"/>
          <w:sz w:val="24"/>
          <w:szCs w:val="24"/>
          <w:highlight w:val="none"/>
        </w:rPr>
      </w:pPr>
    </w:p>
    <w:p w14:paraId="766C6DBB">
      <w:pPr>
        <w:pageBreakBefore w:val="0"/>
        <w:overflowPunct/>
        <w:topLinePunct w:val="0"/>
        <w:bidi w:val="0"/>
        <w:spacing w:line="360" w:lineRule="auto"/>
        <w:rPr>
          <w:rFonts w:hint="eastAsia" w:ascii="仿宋" w:hAnsi="仿宋" w:eastAsia="仿宋" w:cs="仿宋"/>
          <w:color w:val="auto"/>
          <w:kern w:val="0"/>
          <w:sz w:val="24"/>
          <w:szCs w:val="24"/>
          <w:highlight w:val="none"/>
        </w:rPr>
      </w:pPr>
    </w:p>
    <w:p w14:paraId="4BD7C996">
      <w:pPr>
        <w:pageBreakBefore w:val="0"/>
        <w:overflowPunct/>
        <w:topLinePunct w:val="0"/>
        <w:bidi w:val="0"/>
        <w:spacing w:line="360" w:lineRule="auto"/>
        <w:rPr>
          <w:rFonts w:hint="eastAsia" w:ascii="仿宋" w:hAnsi="仿宋" w:eastAsia="仿宋" w:cs="仿宋"/>
          <w:color w:val="auto"/>
          <w:kern w:val="0"/>
          <w:sz w:val="24"/>
          <w:szCs w:val="24"/>
          <w:highlight w:val="none"/>
        </w:rPr>
      </w:pPr>
    </w:p>
    <w:p w14:paraId="5D6FBD4E">
      <w:pPr>
        <w:pageBreakBefore w:val="0"/>
        <w:overflowPunct/>
        <w:topLinePunct w:val="0"/>
        <w:bidi w:val="0"/>
        <w:spacing w:line="360" w:lineRule="auto"/>
        <w:rPr>
          <w:rFonts w:hint="eastAsia" w:ascii="仿宋" w:hAnsi="仿宋" w:eastAsia="仿宋" w:cs="仿宋"/>
          <w:color w:val="auto"/>
          <w:kern w:val="0"/>
          <w:sz w:val="24"/>
          <w:szCs w:val="24"/>
          <w:highlight w:val="none"/>
        </w:rPr>
      </w:pPr>
    </w:p>
    <w:p w14:paraId="3FD2923E">
      <w:pPr>
        <w:pageBreakBefore w:val="0"/>
        <w:overflowPunct/>
        <w:topLinePunct w:val="0"/>
        <w:bidi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附件一：洗涤服务考核标准</w:t>
      </w:r>
    </w:p>
    <w:tbl>
      <w:tblPr>
        <w:tblStyle w:val="35"/>
        <w:tblW w:w="5000" w:type="pct"/>
        <w:tblInd w:w="0" w:type="dxa"/>
        <w:tblLayout w:type="autofit"/>
        <w:tblCellMar>
          <w:top w:w="0" w:type="dxa"/>
          <w:left w:w="108" w:type="dxa"/>
          <w:bottom w:w="0" w:type="dxa"/>
          <w:right w:w="108" w:type="dxa"/>
        </w:tblCellMar>
      </w:tblPr>
      <w:tblGrid>
        <w:gridCol w:w="442"/>
        <w:gridCol w:w="5660"/>
        <w:gridCol w:w="1634"/>
        <w:gridCol w:w="670"/>
        <w:gridCol w:w="443"/>
        <w:gridCol w:w="556"/>
        <w:gridCol w:w="556"/>
      </w:tblGrid>
      <w:tr w14:paraId="5EA9E98B">
        <w:tblPrEx>
          <w:tblCellMar>
            <w:top w:w="0" w:type="dxa"/>
            <w:left w:w="108" w:type="dxa"/>
            <w:bottom w:w="0" w:type="dxa"/>
            <w:right w:w="108" w:type="dxa"/>
          </w:tblCellMar>
        </w:tblPrEx>
        <w:trPr>
          <w:trHeight w:val="795" w:hRule="atLeast"/>
        </w:trPr>
        <w:tc>
          <w:tcPr>
            <w:tcW w:w="5000" w:type="pct"/>
            <w:gridSpan w:val="7"/>
            <w:tcBorders>
              <w:top w:val="single" w:color="auto" w:sz="4" w:space="0"/>
              <w:left w:val="single" w:color="auto" w:sz="4" w:space="0"/>
              <w:bottom w:val="single" w:color="auto" w:sz="4" w:space="0"/>
              <w:right w:val="single" w:color="auto" w:sz="4" w:space="0"/>
            </w:tcBorders>
            <w:noWrap/>
            <w:vAlign w:val="center"/>
          </w:tcPr>
          <w:p w14:paraId="01EE626C">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洗涤服务月度考核表</w:t>
            </w:r>
          </w:p>
        </w:tc>
      </w:tr>
      <w:tr w14:paraId="7035928F">
        <w:tblPrEx>
          <w:tblCellMar>
            <w:top w:w="0" w:type="dxa"/>
            <w:left w:w="108" w:type="dxa"/>
            <w:bottom w:w="0" w:type="dxa"/>
            <w:right w:w="108" w:type="dxa"/>
          </w:tblCellMar>
        </w:tblPrEx>
        <w:trPr>
          <w:trHeight w:val="288" w:hRule="atLeast"/>
        </w:trPr>
        <w:tc>
          <w:tcPr>
            <w:tcW w:w="217" w:type="pct"/>
            <w:tcBorders>
              <w:top w:val="nil"/>
              <w:left w:val="single" w:color="auto" w:sz="4" w:space="0"/>
              <w:bottom w:val="single" w:color="auto" w:sz="4" w:space="0"/>
              <w:right w:val="single" w:color="auto" w:sz="4" w:space="0"/>
            </w:tcBorders>
            <w:noWrap/>
            <w:vAlign w:val="center"/>
          </w:tcPr>
          <w:p w14:paraId="628670C7">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2856" w:type="pct"/>
            <w:tcBorders>
              <w:top w:val="nil"/>
              <w:left w:val="nil"/>
              <w:bottom w:val="single" w:color="auto" w:sz="4" w:space="0"/>
              <w:right w:val="single" w:color="auto" w:sz="4" w:space="0"/>
            </w:tcBorders>
            <w:noWrap/>
            <w:vAlign w:val="center"/>
          </w:tcPr>
          <w:p w14:paraId="1FEE54E7">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考核内容</w:t>
            </w:r>
          </w:p>
        </w:tc>
        <w:tc>
          <w:tcPr>
            <w:tcW w:w="820" w:type="pct"/>
            <w:tcBorders>
              <w:top w:val="nil"/>
              <w:left w:val="nil"/>
              <w:bottom w:val="single" w:color="auto" w:sz="4" w:space="0"/>
              <w:right w:val="single" w:color="auto" w:sz="4" w:space="0"/>
            </w:tcBorders>
            <w:noWrap/>
            <w:vAlign w:val="center"/>
          </w:tcPr>
          <w:p w14:paraId="16B04863">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扣分标准</w:t>
            </w:r>
          </w:p>
        </w:tc>
        <w:tc>
          <w:tcPr>
            <w:tcW w:w="332" w:type="pct"/>
            <w:tcBorders>
              <w:top w:val="nil"/>
              <w:left w:val="nil"/>
              <w:bottom w:val="single" w:color="auto" w:sz="4" w:space="0"/>
              <w:right w:val="single" w:color="auto" w:sz="4" w:space="0"/>
            </w:tcBorders>
            <w:noWrap/>
            <w:vAlign w:val="center"/>
          </w:tcPr>
          <w:p w14:paraId="5F7514D5">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扣分原因</w:t>
            </w:r>
          </w:p>
        </w:tc>
        <w:tc>
          <w:tcPr>
            <w:tcW w:w="218" w:type="pct"/>
            <w:tcBorders>
              <w:top w:val="nil"/>
              <w:left w:val="nil"/>
              <w:bottom w:val="single" w:color="auto" w:sz="4" w:space="0"/>
              <w:right w:val="single" w:color="auto" w:sz="4" w:space="0"/>
            </w:tcBorders>
            <w:noWrap/>
            <w:vAlign w:val="center"/>
          </w:tcPr>
          <w:p w14:paraId="10731AA9">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分值</w:t>
            </w:r>
          </w:p>
        </w:tc>
        <w:tc>
          <w:tcPr>
            <w:tcW w:w="275" w:type="pct"/>
            <w:tcBorders>
              <w:top w:val="nil"/>
              <w:left w:val="nil"/>
              <w:bottom w:val="single" w:color="auto" w:sz="4" w:space="0"/>
              <w:right w:val="single" w:color="auto" w:sz="4" w:space="0"/>
            </w:tcBorders>
            <w:noWrap/>
            <w:vAlign w:val="center"/>
          </w:tcPr>
          <w:p w14:paraId="1A48FAA4">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扣分值</w:t>
            </w:r>
          </w:p>
        </w:tc>
        <w:tc>
          <w:tcPr>
            <w:tcW w:w="278" w:type="pct"/>
            <w:tcBorders>
              <w:top w:val="nil"/>
              <w:left w:val="nil"/>
              <w:bottom w:val="single" w:color="auto" w:sz="4" w:space="0"/>
              <w:right w:val="single" w:color="auto" w:sz="4" w:space="0"/>
            </w:tcBorders>
            <w:noWrap/>
            <w:vAlign w:val="center"/>
          </w:tcPr>
          <w:p w14:paraId="55D9DBF2">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实得分</w:t>
            </w:r>
          </w:p>
        </w:tc>
      </w:tr>
      <w:tr w14:paraId="62A20036">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0CF49D54">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856" w:type="pct"/>
            <w:tcBorders>
              <w:top w:val="nil"/>
              <w:left w:val="nil"/>
              <w:bottom w:val="single" w:color="auto" w:sz="4" w:space="0"/>
              <w:right w:val="single" w:color="auto" w:sz="4" w:space="0"/>
            </w:tcBorders>
            <w:noWrap/>
            <w:vAlign w:val="center"/>
          </w:tcPr>
          <w:p w14:paraId="6AD38C33">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做好洗涤物品的清点，数量准确无误    </w:t>
            </w:r>
          </w:p>
        </w:tc>
        <w:tc>
          <w:tcPr>
            <w:tcW w:w="820" w:type="pct"/>
            <w:tcBorders>
              <w:top w:val="nil"/>
              <w:left w:val="nil"/>
              <w:bottom w:val="single" w:color="auto" w:sz="4" w:space="0"/>
              <w:right w:val="single" w:color="auto" w:sz="4" w:space="0"/>
            </w:tcBorders>
            <w:noWrap/>
            <w:vAlign w:val="center"/>
          </w:tcPr>
          <w:p w14:paraId="24B747B5">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发现虚报每件扣2分/次</w:t>
            </w:r>
          </w:p>
        </w:tc>
        <w:tc>
          <w:tcPr>
            <w:tcW w:w="332" w:type="pct"/>
            <w:tcBorders>
              <w:top w:val="nil"/>
              <w:left w:val="nil"/>
              <w:bottom w:val="single" w:color="auto" w:sz="4" w:space="0"/>
              <w:right w:val="single" w:color="auto" w:sz="4" w:space="0"/>
            </w:tcBorders>
            <w:noWrap/>
            <w:vAlign w:val="center"/>
          </w:tcPr>
          <w:p w14:paraId="5986DEDE">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09FE9095">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6686EA52">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6F26C01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4204E11C">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101B07B0">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2856" w:type="pct"/>
            <w:tcBorders>
              <w:top w:val="nil"/>
              <w:left w:val="nil"/>
              <w:bottom w:val="single" w:color="auto" w:sz="4" w:space="0"/>
              <w:right w:val="single" w:color="auto" w:sz="4" w:space="0"/>
            </w:tcBorders>
            <w:noWrap/>
            <w:vAlign w:val="center"/>
          </w:tcPr>
          <w:p w14:paraId="3963D72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污、洁包装袋，运送车等工具配置符合要求。工具、用品清洁消毒符合《消毒技术规范》及院感要求。</w:t>
            </w:r>
          </w:p>
        </w:tc>
        <w:tc>
          <w:tcPr>
            <w:tcW w:w="820" w:type="pct"/>
            <w:tcBorders>
              <w:top w:val="nil"/>
              <w:left w:val="nil"/>
              <w:bottom w:val="single" w:color="auto" w:sz="4" w:space="0"/>
              <w:right w:val="single" w:color="auto" w:sz="4" w:space="0"/>
            </w:tcBorders>
            <w:noWrap/>
            <w:vAlign w:val="center"/>
          </w:tcPr>
          <w:p w14:paraId="5610BC14">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一项不符合要求，扣1分/次</w:t>
            </w:r>
          </w:p>
        </w:tc>
        <w:tc>
          <w:tcPr>
            <w:tcW w:w="332" w:type="pct"/>
            <w:tcBorders>
              <w:top w:val="nil"/>
              <w:left w:val="nil"/>
              <w:bottom w:val="single" w:color="auto" w:sz="4" w:space="0"/>
              <w:right w:val="single" w:color="auto" w:sz="4" w:space="0"/>
            </w:tcBorders>
            <w:noWrap/>
            <w:vAlign w:val="center"/>
          </w:tcPr>
          <w:p w14:paraId="17888B7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5801FD20">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2B606BE5">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0311A22F">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654D9FF9">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4FBBC008">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2856" w:type="pct"/>
            <w:tcBorders>
              <w:top w:val="nil"/>
              <w:left w:val="nil"/>
              <w:bottom w:val="single" w:color="auto" w:sz="4" w:space="0"/>
              <w:right w:val="single" w:color="auto" w:sz="4" w:space="0"/>
            </w:tcBorders>
            <w:noWrap/>
            <w:vAlign w:val="center"/>
          </w:tcPr>
          <w:p w14:paraId="75767BE4">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按规定时间，地点，线路接收和运走脏污布草。暂存场所按感控要求进行清洁消毒。</w:t>
            </w:r>
          </w:p>
        </w:tc>
        <w:tc>
          <w:tcPr>
            <w:tcW w:w="820" w:type="pct"/>
            <w:tcBorders>
              <w:top w:val="nil"/>
              <w:left w:val="nil"/>
              <w:bottom w:val="single" w:color="auto" w:sz="4" w:space="0"/>
              <w:right w:val="single" w:color="auto" w:sz="4" w:space="0"/>
            </w:tcBorders>
            <w:noWrap/>
            <w:vAlign w:val="center"/>
          </w:tcPr>
          <w:p w14:paraId="7FC658BB">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一项不符合要求，扣1分/次</w:t>
            </w:r>
          </w:p>
        </w:tc>
        <w:tc>
          <w:tcPr>
            <w:tcW w:w="332" w:type="pct"/>
            <w:tcBorders>
              <w:top w:val="nil"/>
              <w:left w:val="nil"/>
              <w:bottom w:val="single" w:color="auto" w:sz="4" w:space="0"/>
              <w:right w:val="single" w:color="auto" w:sz="4" w:space="0"/>
            </w:tcBorders>
            <w:noWrap/>
            <w:vAlign w:val="center"/>
          </w:tcPr>
          <w:p w14:paraId="7F14E358">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67CB6DFB">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6A19AC53">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5F26CB4A">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1ACA3642">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4837E241">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2856" w:type="pct"/>
            <w:tcBorders>
              <w:top w:val="nil"/>
              <w:left w:val="nil"/>
              <w:bottom w:val="single" w:color="auto" w:sz="4" w:space="0"/>
              <w:right w:val="single" w:color="auto" w:sz="4" w:space="0"/>
            </w:tcBorders>
            <w:noWrap/>
            <w:vAlign w:val="center"/>
          </w:tcPr>
          <w:p w14:paraId="5ACD05B5">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收脏污布草人员需做好个人防护措施。如穿防护服，手套，口罩，帽子等。不可带污染手套触碰公用设施。</w:t>
            </w:r>
          </w:p>
        </w:tc>
        <w:tc>
          <w:tcPr>
            <w:tcW w:w="820" w:type="pct"/>
            <w:tcBorders>
              <w:top w:val="nil"/>
              <w:left w:val="nil"/>
              <w:bottom w:val="single" w:color="auto" w:sz="4" w:space="0"/>
              <w:right w:val="single" w:color="auto" w:sz="4" w:space="0"/>
            </w:tcBorders>
            <w:noWrap/>
            <w:vAlign w:val="center"/>
          </w:tcPr>
          <w:p w14:paraId="2B4392FC">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一项不符合要求，扣1分/次</w:t>
            </w:r>
          </w:p>
        </w:tc>
        <w:tc>
          <w:tcPr>
            <w:tcW w:w="332" w:type="pct"/>
            <w:tcBorders>
              <w:top w:val="nil"/>
              <w:left w:val="nil"/>
              <w:bottom w:val="single" w:color="auto" w:sz="4" w:space="0"/>
              <w:right w:val="single" w:color="auto" w:sz="4" w:space="0"/>
            </w:tcBorders>
            <w:noWrap/>
            <w:vAlign w:val="center"/>
          </w:tcPr>
          <w:p w14:paraId="48752C28">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5961B49A">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3043B2B0">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3AEFDDF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48CE74E">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1B54670B">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2856" w:type="pct"/>
            <w:tcBorders>
              <w:top w:val="nil"/>
              <w:left w:val="nil"/>
              <w:bottom w:val="single" w:color="auto" w:sz="4" w:space="0"/>
              <w:right w:val="single" w:color="auto" w:sz="4" w:space="0"/>
            </w:tcBorders>
            <w:noWrap/>
            <w:vAlign w:val="center"/>
          </w:tcPr>
          <w:p w14:paraId="4E92DE87">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布草、衣物等织物洗涤质量或洁净度符合行业标准和用户需求。</w:t>
            </w:r>
          </w:p>
        </w:tc>
        <w:tc>
          <w:tcPr>
            <w:tcW w:w="820" w:type="pct"/>
            <w:tcBorders>
              <w:top w:val="nil"/>
              <w:left w:val="nil"/>
              <w:bottom w:val="single" w:color="auto" w:sz="4" w:space="0"/>
              <w:right w:val="single" w:color="auto" w:sz="4" w:space="0"/>
            </w:tcBorders>
            <w:noWrap/>
            <w:vAlign w:val="center"/>
          </w:tcPr>
          <w:p w14:paraId="080DCD6E">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未达到标准要求1分/次</w:t>
            </w:r>
          </w:p>
        </w:tc>
        <w:tc>
          <w:tcPr>
            <w:tcW w:w="332" w:type="pct"/>
            <w:tcBorders>
              <w:top w:val="nil"/>
              <w:left w:val="nil"/>
              <w:bottom w:val="single" w:color="auto" w:sz="4" w:space="0"/>
              <w:right w:val="single" w:color="auto" w:sz="4" w:space="0"/>
            </w:tcBorders>
            <w:noWrap/>
            <w:vAlign w:val="center"/>
          </w:tcPr>
          <w:p w14:paraId="5D4CB75F">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60A38023">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2025100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0F0191C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18C624C2">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23526029">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2856" w:type="pct"/>
            <w:tcBorders>
              <w:top w:val="nil"/>
              <w:left w:val="nil"/>
              <w:bottom w:val="single" w:color="auto" w:sz="4" w:space="0"/>
              <w:right w:val="single" w:color="auto" w:sz="4" w:space="0"/>
            </w:tcBorders>
            <w:noWrap/>
            <w:vAlign w:val="center"/>
          </w:tcPr>
          <w:p w14:paraId="65AE177F">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所有布草类物资需熨烫平整，无双重折痕和不规则压痕。</w:t>
            </w:r>
          </w:p>
        </w:tc>
        <w:tc>
          <w:tcPr>
            <w:tcW w:w="820" w:type="pct"/>
            <w:tcBorders>
              <w:top w:val="nil"/>
              <w:left w:val="nil"/>
              <w:bottom w:val="single" w:color="auto" w:sz="4" w:space="0"/>
              <w:right w:val="single" w:color="auto" w:sz="4" w:space="0"/>
            </w:tcBorders>
            <w:noWrap/>
            <w:vAlign w:val="center"/>
          </w:tcPr>
          <w:p w14:paraId="18298484">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未达到标准要求1分/次</w:t>
            </w:r>
          </w:p>
        </w:tc>
        <w:tc>
          <w:tcPr>
            <w:tcW w:w="332" w:type="pct"/>
            <w:tcBorders>
              <w:top w:val="nil"/>
              <w:left w:val="nil"/>
              <w:bottom w:val="single" w:color="auto" w:sz="4" w:space="0"/>
              <w:right w:val="single" w:color="auto" w:sz="4" w:space="0"/>
            </w:tcBorders>
            <w:noWrap/>
            <w:vAlign w:val="center"/>
          </w:tcPr>
          <w:p w14:paraId="00843A2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0497D05E">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7F7F9C30">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28464F4E">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54393F17">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6CE64A81">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2856" w:type="pct"/>
            <w:tcBorders>
              <w:top w:val="nil"/>
              <w:left w:val="nil"/>
              <w:bottom w:val="single" w:color="auto" w:sz="4" w:space="0"/>
              <w:right w:val="single" w:color="auto" w:sz="4" w:space="0"/>
            </w:tcBorders>
            <w:noWrap/>
            <w:vAlign w:val="center"/>
          </w:tcPr>
          <w:p w14:paraId="742DA28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工作服、病人污衣物分开清点，分类打包运输，不得混放。运输全程保持封闭，工作服与病服分类包装运输。</w:t>
            </w:r>
          </w:p>
        </w:tc>
        <w:tc>
          <w:tcPr>
            <w:tcW w:w="820" w:type="pct"/>
            <w:tcBorders>
              <w:top w:val="nil"/>
              <w:left w:val="nil"/>
              <w:bottom w:val="single" w:color="auto" w:sz="4" w:space="0"/>
              <w:right w:val="single" w:color="auto" w:sz="4" w:space="0"/>
            </w:tcBorders>
            <w:noWrap/>
            <w:vAlign w:val="center"/>
          </w:tcPr>
          <w:p w14:paraId="06BE9577">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未达到标准要求2分/次</w:t>
            </w:r>
          </w:p>
        </w:tc>
        <w:tc>
          <w:tcPr>
            <w:tcW w:w="332" w:type="pct"/>
            <w:tcBorders>
              <w:top w:val="nil"/>
              <w:left w:val="nil"/>
              <w:bottom w:val="single" w:color="auto" w:sz="4" w:space="0"/>
              <w:right w:val="single" w:color="auto" w:sz="4" w:space="0"/>
            </w:tcBorders>
            <w:noWrap/>
            <w:vAlign w:val="center"/>
          </w:tcPr>
          <w:p w14:paraId="6C44BE1A">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6F23D078">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471F4303">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3D12972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76AD0C55">
        <w:tblPrEx>
          <w:tblCellMar>
            <w:top w:w="0" w:type="dxa"/>
            <w:left w:w="108" w:type="dxa"/>
            <w:bottom w:w="0" w:type="dxa"/>
            <w:right w:w="108" w:type="dxa"/>
          </w:tblCellMar>
        </w:tblPrEx>
        <w:trPr>
          <w:trHeight w:val="576" w:hRule="atLeast"/>
        </w:trPr>
        <w:tc>
          <w:tcPr>
            <w:tcW w:w="217" w:type="pct"/>
            <w:tcBorders>
              <w:top w:val="nil"/>
              <w:left w:val="single" w:color="auto" w:sz="4" w:space="0"/>
              <w:bottom w:val="single" w:color="auto" w:sz="4" w:space="0"/>
              <w:right w:val="single" w:color="auto" w:sz="4" w:space="0"/>
            </w:tcBorders>
            <w:noWrap/>
            <w:vAlign w:val="center"/>
          </w:tcPr>
          <w:p w14:paraId="4E40C0CB">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2856" w:type="pct"/>
            <w:tcBorders>
              <w:top w:val="nil"/>
              <w:left w:val="nil"/>
              <w:bottom w:val="single" w:color="auto" w:sz="4" w:space="0"/>
              <w:right w:val="single" w:color="auto" w:sz="4" w:space="0"/>
            </w:tcBorders>
            <w:noWrap/>
            <w:vAlign w:val="center"/>
          </w:tcPr>
          <w:p w14:paraId="321CFBEF">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科室对洗涤服务满意度平均分达到九分或以上。</w:t>
            </w:r>
          </w:p>
        </w:tc>
        <w:tc>
          <w:tcPr>
            <w:tcW w:w="820" w:type="pct"/>
            <w:tcBorders>
              <w:top w:val="nil"/>
              <w:left w:val="nil"/>
              <w:bottom w:val="single" w:color="auto" w:sz="4" w:space="0"/>
              <w:right w:val="single" w:color="auto" w:sz="4" w:space="0"/>
            </w:tcBorders>
            <w:noWrap/>
            <w:vAlign w:val="center"/>
          </w:tcPr>
          <w:p w14:paraId="0634B12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每下降一分扣1分</w:t>
            </w:r>
          </w:p>
        </w:tc>
        <w:tc>
          <w:tcPr>
            <w:tcW w:w="332" w:type="pct"/>
            <w:tcBorders>
              <w:top w:val="nil"/>
              <w:left w:val="nil"/>
              <w:bottom w:val="single" w:color="auto" w:sz="4" w:space="0"/>
              <w:right w:val="single" w:color="auto" w:sz="4" w:space="0"/>
            </w:tcBorders>
            <w:noWrap/>
            <w:vAlign w:val="center"/>
          </w:tcPr>
          <w:p w14:paraId="0ADC81D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63CE17A8">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1B659AC0">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70B98FD3">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r w14:paraId="0A846C71">
        <w:tblPrEx>
          <w:tblCellMar>
            <w:top w:w="0" w:type="dxa"/>
            <w:left w:w="108" w:type="dxa"/>
            <w:bottom w:w="0" w:type="dxa"/>
            <w:right w:w="108" w:type="dxa"/>
          </w:tblCellMar>
        </w:tblPrEx>
        <w:trPr>
          <w:trHeight w:val="576" w:hRule="atLeast"/>
        </w:trPr>
        <w:tc>
          <w:tcPr>
            <w:tcW w:w="217" w:type="pct"/>
            <w:tcBorders>
              <w:top w:val="nil"/>
              <w:left w:val="single" w:color="auto" w:sz="4" w:space="0"/>
              <w:bottom w:val="single" w:color="auto" w:sz="4" w:space="0"/>
              <w:right w:val="single" w:color="auto" w:sz="4" w:space="0"/>
            </w:tcBorders>
            <w:noWrap/>
            <w:vAlign w:val="center"/>
          </w:tcPr>
          <w:p w14:paraId="3CA612C8">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w:t>
            </w:r>
          </w:p>
        </w:tc>
        <w:tc>
          <w:tcPr>
            <w:tcW w:w="2856" w:type="pct"/>
            <w:tcBorders>
              <w:top w:val="nil"/>
              <w:left w:val="nil"/>
              <w:bottom w:val="single" w:color="auto" w:sz="4" w:space="0"/>
              <w:right w:val="single" w:color="auto" w:sz="4" w:space="0"/>
            </w:tcBorders>
            <w:noWrap/>
            <w:vAlign w:val="center"/>
          </w:tcPr>
          <w:p w14:paraId="57808C16">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配送服务需满足医院合理需求，不得延误配送或错误配送。</w:t>
            </w:r>
          </w:p>
        </w:tc>
        <w:tc>
          <w:tcPr>
            <w:tcW w:w="820" w:type="pct"/>
            <w:tcBorders>
              <w:top w:val="nil"/>
              <w:left w:val="nil"/>
              <w:bottom w:val="single" w:color="auto" w:sz="4" w:space="0"/>
              <w:right w:val="single" w:color="auto" w:sz="4" w:space="0"/>
            </w:tcBorders>
            <w:noWrap/>
            <w:vAlign w:val="center"/>
          </w:tcPr>
          <w:p w14:paraId="0EBF040B">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发现差错事件，扣1分/次</w:t>
            </w:r>
          </w:p>
        </w:tc>
        <w:tc>
          <w:tcPr>
            <w:tcW w:w="332" w:type="pct"/>
            <w:tcBorders>
              <w:top w:val="nil"/>
              <w:left w:val="nil"/>
              <w:bottom w:val="single" w:color="auto" w:sz="4" w:space="0"/>
              <w:right w:val="single" w:color="auto" w:sz="4" w:space="0"/>
            </w:tcBorders>
            <w:noWrap/>
            <w:vAlign w:val="center"/>
          </w:tcPr>
          <w:p w14:paraId="17BB2C55">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p>
        </w:tc>
        <w:tc>
          <w:tcPr>
            <w:tcW w:w="218" w:type="pct"/>
            <w:tcBorders>
              <w:top w:val="nil"/>
              <w:left w:val="nil"/>
              <w:bottom w:val="single" w:color="auto" w:sz="4" w:space="0"/>
              <w:right w:val="single" w:color="auto" w:sz="4" w:space="0"/>
            </w:tcBorders>
            <w:noWrap/>
            <w:vAlign w:val="center"/>
          </w:tcPr>
          <w:p w14:paraId="0CA46B36">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71C9D582">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p>
        </w:tc>
        <w:tc>
          <w:tcPr>
            <w:tcW w:w="278" w:type="pct"/>
            <w:tcBorders>
              <w:top w:val="nil"/>
              <w:left w:val="nil"/>
              <w:bottom w:val="single" w:color="auto" w:sz="4" w:space="0"/>
              <w:right w:val="single" w:color="auto" w:sz="4" w:space="0"/>
            </w:tcBorders>
            <w:noWrap/>
            <w:vAlign w:val="center"/>
          </w:tcPr>
          <w:p w14:paraId="6A74CE0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p>
        </w:tc>
      </w:tr>
      <w:tr w14:paraId="1A38DC1A">
        <w:tblPrEx>
          <w:tblCellMar>
            <w:top w:w="0" w:type="dxa"/>
            <w:left w:w="108" w:type="dxa"/>
            <w:bottom w:w="0" w:type="dxa"/>
            <w:right w:w="108" w:type="dxa"/>
          </w:tblCellMar>
        </w:tblPrEx>
        <w:trPr>
          <w:trHeight w:val="576" w:hRule="atLeast"/>
        </w:trPr>
        <w:tc>
          <w:tcPr>
            <w:tcW w:w="217" w:type="pct"/>
            <w:tcBorders>
              <w:top w:val="nil"/>
              <w:left w:val="single" w:color="auto" w:sz="4" w:space="0"/>
              <w:bottom w:val="single" w:color="auto" w:sz="4" w:space="0"/>
              <w:right w:val="single" w:color="auto" w:sz="4" w:space="0"/>
            </w:tcBorders>
            <w:noWrap/>
            <w:vAlign w:val="center"/>
          </w:tcPr>
          <w:p w14:paraId="1CBFEA30">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856" w:type="pct"/>
            <w:tcBorders>
              <w:top w:val="nil"/>
              <w:left w:val="nil"/>
              <w:bottom w:val="single" w:color="auto" w:sz="4" w:space="0"/>
              <w:right w:val="single" w:color="auto" w:sz="4" w:space="0"/>
            </w:tcBorders>
            <w:noWrap/>
            <w:vAlign w:val="center"/>
          </w:tcPr>
          <w:p w14:paraId="4AAEC97D">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满足合同约定的特殊服务要求</w:t>
            </w:r>
          </w:p>
        </w:tc>
        <w:tc>
          <w:tcPr>
            <w:tcW w:w="820" w:type="pct"/>
            <w:tcBorders>
              <w:top w:val="nil"/>
              <w:left w:val="nil"/>
              <w:bottom w:val="single" w:color="auto" w:sz="4" w:space="0"/>
              <w:right w:val="single" w:color="auto" w:sz="4" w:space="0"/>
            </w:tcBorders>
            <w:noWrap/>
            <w:vAlign w:val="center"/>
          </w:tcPr>
          <w:p w14:paraId="0C8A31A2">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一项不符合要求，扣1分/次</w:t>
            </w:r>
          </w:p>
        </w:tc>
        <w:tc>
          <w:tcPr>
            <w:tcW w:w="332" w:type="pct"/>
            <w:tcBorders>
              <w:top w:val="nil"/>
              <w:left w:val="nil"/>
              <w:bottom w:val="single" w:color="auto" w:sz="4" w:space="0"/>
              <w:right w:val="single" w:color="auto" w:sz="4" w:space="0"/>
            </w:tcBorders>
            <w:noWrap/>
            <w:vAlign w:val="center"/>
          </w:tcPr>
          <w:p w14:paraId="5F9DFA5E">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726B7122">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275" w:type="pct"/>
            <w:tcBorders>
              <w:top w:val="nil"/>
              <w:left w:val="nil"/>
              <w:bottom w:val="single" w:color="auto" w:sz="4" w:space="0"/>
              <w:right w:val="single" w:color="auto" w:sz="4" w:space="0"/>
            </w:tcBorders>
            <w:noWrap/>
            <w:vAlign w:val="center"/>
          </w:tcPr>
          <w:p w14:paraId="205619D4">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324F3F92">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p>
        </w:tc>
      </w:tr>
      <w:tr w14:paraId="33288095">
        <w:tblPrEx>
          <w:tblCellMar>
            <w:top w:w="0" w:type="dxa"/>
            <w:left w:w="108" w:type="dxa"/>
            <w:bottom w:w="0" w:type="dxa"/>
            <w:right w:w="108" w:type="dxa"/>
          </w:tblCellMar>
        </w:tblPrEx>
        <w:trPr>
          <w:trHeight w:val="864" w:hRule="atLeast"/>
        </w:trPr>
        <w:tc>
          <w:tcPr>
            <w:tcW w:w="217" w:type="pct"/>
            <w:tcBorders>
              <w:top w:val="nil"/>
              <w:left w:val="single" w:color="auto" w:sz="4" w:space="0"/>
              <w:bottom w:val="single" w:color="auto" w:sz="4" w:space="0"/>
              <w:right w:val="single" w:color="auto" w:sz="4" w:space="0"/>
            </w:tcBorders>
            <w:noWrap/>
            <w:vAlign w:val="center"/>
          </w:tcPr>
          <w:p w14:paraId="0C14BAF7">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p>
        </w:tc>
        <w:tc>
          <w:tcPr>
            <w:tcW w:w="2856" w:type="pct"/>
            <w:tcBorders>
              <w:top w:val="nil"/>
              <w:left w:val="nil"/>
              <w:bottom w:val="single" w:color="auto" w:sz="4" w:space="0"/>
              <w:right w:val="single" w:color="auto" w:sz="4" w:space="0"/>
            </w:tcBorders>
            <w:noWrap/>
            <w:vAlign w:val="center"/>
          </w:tcPr>
          <w:p w14:paraId="238A8017">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     计</w:t>
            </w:r>
          </w:p>
        </w:tc>
        <w:tc>
          <w:tcPr>
            <w:tcW w:w="820" w:type="pct"/>
            <w:tcBorders>
              <w:top w:val="nil"/>
              <w:left w:val="nil"/>
              <w:bottom w:val="single" w:color="auto" w:sz="4" w:space="0"/>
              <w:right w:val="single" w:color="auto" w:sz="4" w:space="0"/>
            </w:tcBorders>
            <w:noWrap/>
            <w:vAlign w:val="center"/>
          </w:tcPr>
          <w:p w14:paraId="6208EA93">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p>
        </w:tc>
        <w:tc>
          <w:tcPr>
            <w:tcW w:w="332" w:type="pct"/>
            <w:tcBorders>
              <w:top w:val="nil"/>
              <w:left w:val="nil"/>
              <w:bottom w:val="single" w:color="auto" w:sz="4" w:space="0"/>
              <w:right w:val="single" w:color="auto" w:sz="4" w:space="0"/>
            </w:tcBorders>
            <w:noWrap/>
            <w:vAlign w:val="center"/>
          </w:tcPr>
          <w:p w14:paraId="18A493E7">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18" w:type="pct"/>
            <w:tcBorders>
              <w:top w:val="nil"/>
              <w:left w:val="nil"/>
              <w:bottom w:val="single" w:color="auto" w:sz="4" w:space="0"/>
              <w:right w:val="single" w:color="auto" w:sz="4" w:space="0"/>
            </w:tcBorders>
            <w:noWrap/>
            <w:vAlign w:val="center"/>
          </w:tcPr>
          <w:p w14:paraId="44B470F5">
            <w:pPr>
              <w:keepNext w:val="0"/>
              <w:keepLines w:val="0"/>
              <w:pageBreakBefore w:val="0"/>
              <w:widowControl/>
              <w:suppressLineNumbers w:val="0"/>
              <w:overflowPunct/>
              <w:topLinePunct w:val="0"/>
              <w:bidi w:val="0"/>
              <w:spacing w:before="0" w:beforeAutospacing="0" w:after="0" w:afterAutospacing="0" w:line="360" w:lineRule="auto"/>
              <w:ind w:left="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w:t>
            </w:r>
          </w:p>
        </w:tc>
        <w:tc>
          <w:tcPr>
            <w:tcW w:w="275" w:type="pct"/>
            <w:tcBorders>
              <w:top w:val="nil"/>
              <w:left w:val="nil"/>
              <w:bottom w:val="single" w:color="auto" w:sz="4" w:space="0"/>
              <w:right w:val="single" w:color="auto" w:sz="4" w:space="0"/>
            </w:tcBorders>
            <w:noWrap/>
            <w:vAlign w:val="center"/>
          </w:tcPr>
          <w:p w14:paraId="0E880199">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278" w:type="pct"/>
            <w:tcBorders>
              <w:top w:val="nil"/>
              <w:left w:val="nil"/>
              <w:bottom w:val="single" w:color="auto" w:sz="4" w:space="0"/>
              <w:right w:val="single" w:color="auto" w:sz="4" w:space="0"/>
            </w:tcBorders>
            <w:noWrap/>
            <w:vAlign w:val="center"/>
          </w:tcPr>
          <w:p w14:paraId="75E65B31">
            <w:pPr>
              <w:keepNext w:val="0"/>
              <w:keepLines w:val="0"/>
              <w:pageBreakBefore w:val="0"/>
              <w:widowControl/>
              <w:suppressLineNumbers w:val="0"/>
              <w:overflowPunct/>
              <w:topLinePunct w:val="0"/>
              <w:bidi w:val="0"/>
              <w:spacing w:before="0" w:beforeAutospacing="0" w:after="0" w:afterAutospacing="0" w:line="360" w:lineRule="auto"/>
              <w:ind w:left="0" w:right="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r>
    </w:tbl>
    <w:p w14:paraId="5C83CD0D">
      <w:pPr>
        <w:pStyle w:val="43"/>
        <w:pageBreakBefore w:val="0"/>
        <w:overflowPunct/>
        <w:topLinePunct w:val="0"/>
        <w:bidi w:val="0"/>
        <w:spacing w:line="360" w:lineRule="auto"/>
        <w:ind w:left="0" w:leftChars="0" w:firstLine="0" w:firstLineChars="0"/>
        <w:rPr>
          <w:rFonts w:hint="eastAsia" w:ascii="仿宋" w:hAnsi="仿宋" w:eastAsia="仿宋" w:cs="仿宋"/>
          <w:color w:val="auto"/>
          <w:sz w:val="24"/>
          <w:szCs w:val="24"/>
          <w:highlight w:val="none"/>
          <w:lang w:val="en-US" w:eastAsia="zh-CN"/>
        </w:rPr>
      </w:pPr>
    </w:p>
    <w:p w14:paraId="3F5F0E96">
      <w:pPr>
        <w:keepNext/>
        <w:pageBreakBefore w:val="0"/>
        <w:overflowPunct/>
        <w:topLinePunct w:val="0"/>
        <w:bidi w:val="0"/>
        <w:spacing w:line="360" w:lineRule="auto"/>
        <w:outlineLvl w:val="2"/>
        <w:rPr>
          <w:rFonts w:hint="eastAsia" w:ascii="仿宋" w:hAnsi="仿宋" w:eastAsia="仿宋" w:cs="仿宋"/>
          <w:color w:val="auto"/>
          <w:kern w:val="0"/>
          <w:sz w:val="24"/>
          <w:szCs w:val="24"/>
          <w:highlight w:val="none"/>
          <w:lang w:val="en-US" w:eastAsia="zh-CN"/>
        </w:rPr>
      </w:pPr>
    </w:p>
    <w:p w14:paraId="3AC4BB62">
      <w:pPr>
        <w:pageBreakBefore w:val="0"/>
        <w:overflowPunct/>
        <w:topLinePunct w:val="0"/>
        <w:bidi w:val="0"/>
        <w:spacing w:line="360" w:lineRule="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br w:type="page"/>
      </w:r>
    </w:p>
    <w:p w14:paraId="1BD347C8">
      <w:pPr>
        <w:keepNext/>
        <w:pageBreakBefore w:val="0"/>
        <w:overflowPunct/>
        <w:topLinePunct w:val="0"/>
        <w:bidi w:val="0"/>
        <w:spacing w:line="360" w:lineRule="auto"/>
        <w:outlineLvl w:val="2"/>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附件二：布草洗涤服务年度质量考核评分表</w:t>
      </w:r>
    </w:p>
    <w:p w14:paraId="24E647C6">
      <w:pPr>
        <w:pageBreakBefore w:val="0"/>
        <w:widowControl/>
        <w:shd w:val="clear" w:color="auto" w:fill="FFFFFF"/>
        <w:overflowPunct/>
        <w:topLinePunct w:val="0"/>
        <w:bidi w:val="0"/>
        <w:snapToGrid w:val="0"/>
        <w:spacing w:line="360" w:lineRule="auto"/>
        <w:contextualSpacing/>
        <w:jc w:val="both"/>
        <w:rPr>
          <w:rFonts w:hint="eastAsia" w:ascii="仿宋" w:hAnsi="仿宋" w:eastAsia="仿宋" w:cs="仿宋"/>
          <w:b/>
          <w:bCs/>
          <w:color w:val="auto"/>
          <w:sz w:val="24"/>
          <w:szCs w:val="24"/>
          <w:highlight w:val="none"/>
        </w:rPr>
      </w:pPr>
    </w:p>
    <w:p w14:paraId="4B984B5A">
      <w:pPr>
        <w:pageBreakBefore w:val="0"/>
        <w:widowControl/>
        <w:shd w:val="clear" w:color="auto" w:fill="FFFFFF"/>
        <w:overflowPunct/>
        <w:topLinePunct w:val="0"/>
        <w:bidi w:val="0"/>
        <w:snapToGrid w:val="0"/>
        <w:spacing w:line="360" w:lineRule="auto"/>
        <w:contextualSpacing/>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布草洗涤服务年度质量考核评分表</w:t>
      </w:r>
    </w:p>
    <w:p w14:paraId="7ECA3567">
      <w:pPr>
        <w:pageBreakBefore w:val="0"/>
        <w:widowControl/>
        <w:shd w:val="clear" w:color="auto" w:fill="FFFFFF"/>
        <w:overflowPunct/>
        <w:topLinePunct w:val="0"/>
        <w:bidi w:val="0"/>
        <w:snapToGrid w:val="0"/>
        <w:spacing w:line="360" w:lineRule="auto"/>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考核科室：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考核时间：年  月  日</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003"/>
        <w:gridCol w:w="3058"/>
        <w:gridCol w:w="708"/>
        <w:gridCol w:w="1375"/>
        <w:gridCol w:w="941"/>
      </w:tblGrid>
      <w:tr w14:paraId="7DE8A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366217C2">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003" w:type="dxa"/>
            <w:tcBorders>
              <w:top w:val="single" w:color="auto" w:sz="4" w:space="0"/>
              <w:left w:val="single" w:color="auto" w:sz="4" w:space="0"/>
              <w:bottom w:val="single" w:color="auto" w:sz="4" w:space="0"/>
              <w:right w:val="single" w:color="auto" w:sz="4" w:space="0"/>
            </w:tcBorders>
            <w:noWrap/>
            <w:vAlign w:val="center"/>
          </w:tcPr>
          <w:p w14:paraId="4FA202EF">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考核内容</w:t>
            </w:r>
          </w:p>
        </w:tc>
        <w:tc>
          <w:tcPr>
            <w:tcW w:w="3058" w:type="dxa"/>
            <w:tcBorders>
              <w:top w:val="single" w:color="auto" w:sz="4" w:space="0"/>
              <w:left w:val="single" w:color="auto" w:sz="4" w:space="0"/>
              <w:bottom w:val="single" w:color="auto" w:sz="4" w:space="0"/>
              <w:right w:val="single" w:color="auto" w:sz="4" w:space="0"/>
            </w:tcBorders>
            <w:noWrap/>
            <w:vAlign w:val="center"/>
          </w:tcPr>
          <w:p w14:paraId="6E491012">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708" w:type="dxa"/>
            <w:tcBorders>
              <w:top w:val="single" w:color="auto" w:sz="4" w:space="0"/>
              <w:left w:val="single" w:color="auto" w:sz="4" w:space="0"/>
              <w:bottom w:val="single" w:color="auto" w:sz="4" w:space="0"/>
              <w:right w:val="single" w:color="auto" w:sz="4" w:space="0"/>
            </w:tcBorders>
            <w:noWrap/>
            <w:vAlign w:val="center"/>
          </w:tcPr>
          <w:p w14:paraId="1AE38CA9">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1375" w:type="dxa"/>
            <w:tcBorders>
              <w:top w:val="single" w:color="auto" w:sz="4" w:space="0"/>
              <w:left w:val="single" w:color="auto" w:sz="4" w:space="0"/>
              <w:bottom w:val="single" w:color="auto" w:sz="4" w:space="0"/>
              <w:right w:val="single" w:color="auto" w:sz="4" w:space="0"/>
            </w:tcBorders>
            <w:noWrap/>
            <w:vAlign w:val="center"/>
          </w:tcPr>
          <w:p w14:paraId="24C70C9F">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扣分原因</w:t>
            </w:r>
          </w:p>
        </w:tc>
        <w:tc>
          <w:tcPr>
            <w:tcW w:w="941" w:type="dxa"/>
            <w:tcBorders>
              <w:top w:val="single" w:color="auto" w:sz="4" w:space="0"/>
              <w:left w:val="single" w:color="auto" w:sz="4" w:space="0"/>
              <w:bottom w:val="single" w:color="auto" w:sz="4" w:space="0"/>
              <w:right w:val="single" w:color="auto" w:sz="4" w:space="0"/>
            </w:tcBorders>
            <w:noWrap/>
            <w:vAlign w:val="center"/>
          </w:tcPr>
          <w:p w14:paraId="7D6D0A23">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实得分</w:t>
            </w:r>
          </w:p>
        </w:tc>
      </w:tr>
      <w:tr w14:paraId="4B89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2626B5A7">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003" w:type="dxa"/>
            <w:tcBorders>
              <w:top w:val="single" w:color="auto" w:sz="4" w:space="0"/>
              <w:left w:val="single" w:color="auto" w:sz="4" w:space="0"/>
              <w:bottom w:val="single" w:color="auto" w:sz="4" w:space="0"/>
              <w:right w:val="single" w:color="auto" w:sz="4" w:space="0"/>
            </w:tcBorders>
            <w:noWrap/>
            <w:vAlign w:val="center"/>
          </w:tcPr>
          <w:p w14:paraId="632453CD">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清洗干净、无污渍残留</w:t>
            </w:r>
          </w:p>
        </w:tc>
        <w:tc>
          <w:tcPr>
            <w:tcW w:w="3058" w:type="dxa"/>
            <w:tcBorders>
              <w:top w:val="single" w:color="auto" w:sz="4" w:space="0"/>
              <w:left w:val="single" w:color="auto" w:sz="4" w:space="0"/>
              <w:bottom w:val="single" w:color="auto" w:sz="4" w:space="0"/>
              <w:right w:val="single" w:color="auto" w:sz="4" w:space="0"/>
            </w:tcBorders>
            <w:noWrap/>
            <w:vAlign w:val="center"/>
          </w:tcPr>
          <w:p w14:paraId="3A485657">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在本年度中每发现一项一次不符合要求扣0.5分</w:t>
            </w:r>
          </w:p>
        </w:tc>
        <w:tc>
          <w:tcPr>
            <w:tcW w:w="708" w:type="dxa"/>
            <w:tcBorders>
              <w:top w:val="single" w:color="auto" w:sz="4" w:space="0"/>
              <w:left w:val="single" w:color="auto" w:sz="4" w:space="0"/>
              <w:bottom w:val="single" w:color="auto" w:sz="4" w:space="0"/>
              <w:right w:val="single" w:color="auto" w:sz="4" w:space="0"/>
            </w:tcBorders>
            <w:noWrap/>
            <w:vAlign w:val="center"/>
          </w:tcPr>
          <w:p w14:paraId="3714D0B2">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375" w:type="dxa"/>
            <w:tcBorders>
              <w:top w:val="single" w:color="auto" w:sz="4" w:space="0"/>
              <w:left w:val="single" w:color="auto" w:sz="4" w:space="0"/>
              <w:bottom w:val="single" w:color="auto" w:sz="4" w:space="0"/>
              <w:right w:val="single" w:color="auto" w:sz="4" w:space="0"/>
            </w:tcBorders>
            <w:noWrap/>
            <w:vAlign w:val="center"/>
          </w:tcPr>
          <w:p w14:paraId="7CB7C0FD">
            <w:pPr>
              <w:keepNext/>
              <w:keepLines/>
              <w:pageBreakBefore w:val="0"/>
              <w:widowControl/>
              <w:suppressLineNumbers w:val="0"/>
              <w:shd w:val="clear" w:color="auto" w:fill="FFFFFF"/>
              <w:overflowPunct/>
              <w:topLinePunct w:val="0"/>
              <w:bidi w:val="0"/>
              <w:snapToGrid w:val="0"/>
              <w:spacing w:before="340" w:beforeAutospacing="0" w:after="330" w:afterAutospacing="0" w:line="360" w:lineRule="auto"/>
              <w:ind w:left="0" w:right="0"/>
              <w:contextualSpacing/>
              <w:jc w:val="center"/>
              <w:rPr>
                <w:rFonts w:hint="eastAsia" w:ascii="仿宋" w:hAnsi="仿宋" w:eastAsia="仿宋" w:cs="仿宋"/>
                <w:b w:val="0"/>
                <w:bCs w:val="0"/>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79F7D00A">
            <w:pPr>
              <w:keepNext/>
              <w:keepLines/>
              <w:pageBreakBefore w:val="0"/>
              <w:widowControl/>
              <w:suppressLineNumbers w:val="0"/>
              <w:shd w:val="clear" w:color="auto" w:fill="FFFFFF"/>
              <w:overflowPunct/>
              <w:topLinePunct w:val="0"/>
              <w:bidi w:val="0"/>
              <w:snapToGrid w:val="0"/>
              <w:spacing w:before="340" w:beforeAutospacing="0" w:after="330" w:afterAutospacing="0" w:line="360" w:lineRule="auto"/>
              <w:ind w:left="0" w:right="0"/>
              <w:contextualSpacing/>
              <w:jc w:val="center"/>
              <w:rPr>
                <w:rFonts w:hint="eastAsia" w:ascii="仿宋" w:hAnsi="仿宋" w:eastAsia="仿宋" w:cs="仿宋"/>
                <w:b w:val="0"/>
                <w:bCs w:val="0"/>
                <w:color w:val="auto"/>
                <w:sz w:val="24"/>
                <w:szCs w:val="24"/>
                <w:highlight w:val="none"/>
              </w:rPr>
            </w:pPr>
          </w:p>
        </w:tc>
      </w:tr>
      <w:tr w14:paraId="7E9F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43B8CAD2">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3003" w:type="dxa"/>
            <w:tcBorders>
              <w:top w:val="single" w:color="auto" w:sz="4" w:space="0"/>
              <w:left w:val="single" w:color="auto" w:sz="4" w:space="0"/>
              <w:bottom w:val="single" w:color="auto" w:sz="4" w:space="0"/>
              <w:right w:val="single" w:color="auto" w:sz="4" w:space="0"/>
            </w:tcBorders>
            <w:noWrap/>
            <w:vAlign w:val="center"/>
          </w:tcPr>
          <w:p w14:paraId="4EEFE99B">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熨烫平整、挺括，外观无变色、串色、脱色及颜色发灰现象</w:t>
            </w:r>
          </w:p>
        </w:tc>
        <w:tc>
          <w:tcPr>
            <w:tcW w:w="3058" w:type="dxa"/>
            <w:tcBorders>
              <w:top w:val="single" w:color="auto" w:sz="4" w:space="0"/>
              <w:left w:val="single" w:color="auto" w:sz="4" w:space="0"/>
              <w:bottom w:val="single" w:color="auto" w:sz="4" w:space="0"/>
              <w:right w:val="single" w:color="auto" w:sz="4" w:space="0"/>
            </w:tcBorders>
            <w:noWrap/>
            <w:vAlign w:val="center"/>
          </w:tcPr>
          <w:p w14:paraId="66756579">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在本年度中每发现一项一次不符合要求扣0.5分</w:t>
            </w:r>
          </w:p>
        </w:tc>
        <w:tc>
          <w:tcPr>
            <w:tcW w:w="708" w:type="dxa"/>
            <w:tcBorders>
              <w:top w:val="single" w:color="auto" w:sz="4" w:space="0"/>
              <w:left w:val="single" w:color="auto" w:sz="4" w:space="0"/>
              <w:bottom w:val="single" w:color="auto" w:sz="4" w:space="0"/>
              <w:right w:val="single" w:color="auto" w:sz="4" w:space="0"/>
            </w:tcBorders>
            <w:noWrap/>
            <w:vAlign w:val="center"/>
          </w:tcPr>
          <w:p w14:paraId="6DB7C7CD">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375" w:type="dxa"/>
            <w:tcBorders>
              <w:top w:val="single" w:color="auto" w:sz="4" w:space="0"/>
              <w:left w:val="single" w:color="auto" w:sz="4" w:space="0"/>
              <w:bottom w:val="single" w:color="auto" w:sz="4" w:space="0"/>
              <w:right w:val="single" w:color="auto" w:sz="4" w:space="0"/>
            </w:tcBorders>
            <w:noWrap/>
            <w:vAlign w:val="center"/>
          </w:tcPr>
          <w:p w14:paraId="3171E9D7">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1602FDAD">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6443C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22D9ACA4">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3003" w:type="dxa"/>
            <w:tcBorders>
              <w:top w:val="single" w:color="auto" w:sz="4" w:space="0"/>
              <w:left w:val="single" w:color="auto" w:sz="4" w:space="0"/>
              <w:bottom w:val="single" w:color="auto" w:sz="4" w:space="0"/>
              <w:right w:val="single" w:color="auto" w:sz="4" w:space="0"/>
            </w:tcBorders>
            <w:noWrap/>
            <w:vAlign w:val="center"/>
          </w:tcPr>
          <w:p w14:paraId="0A9A2F8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无残留异味</w:t>
            </w:r>
          </w:p>
        </w:tc>
        <w:tc>
          <w:tcPr>
            <w:tcW w:w="3058" w:type="dxa"/>
            <w:tcBorders>
              <w:top w:val="single" w:color="auto" w:sz="4" w:space="0"/>
              <w:left w:val="single" w:color="auto" w:sz="4" w:space="0"/>
              <w:bottom w:val="single" w:color="auto" w:sz="4" w:space="0"/>
              <w:right w:val="single" w:color="auto" w:sz="4" w:space="0"/>
            </w:tcBorders>
            <w:noWrap/>
            <w:vAlign w:val="center"/>
          </w:tcPr>
          <w:p w14:paraId="5C8A986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在本年度中每发现一项一次不符合要求扣0.5分</w:t>
            </w:r>
          </w:p>
        </w:tc>
        <w:tc>
          <w:tcPr>
            <w:tcW w:w="708" w:type="dxa"/>
            <w:tcBorders>
              <w:top w:val="single" w:color="auto" w:sz="4" w:space="0"/>
              <w:left w:val="single" w:color="auto" w:sz="4" w:space="0"/>
              <w:bottom w:val="single" w:color="auto" w:sz="4" w:space="0"/>
              <w:right w:val="single" w:color="auto" w:sz="4" w:space="0"/>
            </w:tcBorders>
            <w:noWrap/>
            <w:vAlign w:val="center"/>
          </w:tcPr>
          <w:p w14:paraId="7D3519EA">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5" w:type="dxa"/>
            <w:tcBorders>
              <w:top w:val="single" w:color="auto" w:sz="4" w:space="0"/>
              <w:left w:val="single" w:color="auto" w:sz="4" w:space="0"/>
              <w:bottom w:val="single" w:color="auto" w:sz="4" w:space="0"/>
              <w:right w:val="single" w:color="auto" w:sz="4" w:space="0"/>
            </w:tcBorders>
            <w:noWrap/>
            <w:vAlign w:val="center"/>
          </w:tcPr>
          <w:p w14:paraId="0E75E109">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3B791EAB">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6036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10EE0084">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3003" w:type="dxa"/>
            <w:tcBorders>
              <w:top w:val="single" w:color="auto" w:sz="4" w:space="0"/>
              <w:left w:val="single" w:color="auto" w:sz="4" w:space="0"/>
              <w:bottom w:val="single" w:color="auto" w:sz="4" w:space="0"/>
              <w:right w:val="single" w:color="auto" w:sz="4" w:space="0"/>
            </w:tcBorders>
            <w:noWrap/>
            <w:vAlign w:val="center"/>
          </w:tcPr>
          <w:p w14:paraId="0B233F73">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因洗涤原因造成的布草损坏</w:t>
            </w:r>
          </w:p>
        </w:tc>
        <w:tc>
          <w:tcPr>
            <w:tcW w:w="3058" w:type="dxa"/>
            <w:tcBorders>
              <w:top w:val="single" w:color="auto" w:sz="4" w:space="0"/>
              <w:left w:val="single" w:color="auto" w:sz="4" w:space="0"/>
              <w:bottom w:val="single" w:color="auto" w:sz="4" w:space="0"/>
              <w:right w:val="single" w:color="auto" w:sz="4" w:space="0"/>
            </w:tcBorders>
            <w:noWrap/>
            <w:vAlign w:val="center"/>
          </w:tcPr>
          <w:p w14:paraId="606EB10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在本年度中每发现一次不符合要求扣0.5分</w:t>
            </w:r>
          </w:p>
        </w:tc>
        <w:tc>
          <w:tcPr>
            <w:tcW w:w="708" w:type="dxa"/>
            <w:tcBorders>
              <w:top w:val="single" w:color="auto" w:sz="4" w:space="0"/>
              <w:left w:val="single" w:color="auto" w:sz="4" w:space="0"/>
              <w:bottom w:val="single" w:color="auto" w:sz="4" w:space="0"/>
              <w:right w:val="single" w:color="auto" w:sz="4" w:space="0"/>
            </w:tcBorders>
            <w:noWrap/>
            <w:vAlign w:val="center"/>
          </w:tcPr>
          <w:p w14:paraId="029DEB6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5" w:type="dxa"/>
            <w:tcBorders>
              <w:top w:val="single" w:color="auto" w:sz="4" w:space="0"/>
              <w:left w:val="single" w:color="auto" w:sz="4" w:space="0"/>
              <w:bottom w:val="single" w:color="auto" w:sz="4" w:space="0"/>
              <w:right w:val="single" w:color="auto" w:sz="4" w:space="0"/>
            </w:tcBorders>
            <w:noWrap/>
            <w:vAlign w:val="center"/>
          </w:tcPr>
          <w:p w14:paraId="305C5385">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575EA0A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1993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28BD15D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3003" w:type="dxa"/>
            <w:tcBorders>
              <w:top w:val="single" w:color="auto" w:sz="4" w:space="0"/>
              <w:left w:val="single" w:color="auto" w:sz="4" w:space="0"/>
              <w:bottom w:val="single" w:color="auto" w:sz="4" w:space="0"/>
              <w:right w:val="single" w:color="auto" w:sz="4" w:space="0"/>
            </w:tcBorders>
            <w:noWrap/>
            <w:vAlign w:val="center"/>
          </w:tcPr>
          <w:p w14:paraId="5B6E54BF">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布草破损及时给予缝补</w:t>
            </w:r>
          </w:p>
        </w:tc>
        <w:tc>
          <w:tcPr>
            <w:tcW w:w="3058" w:type="dxa"/>
            <w:tcBorders>
              <w:top w:val="single" w:color="auto" w:sz="4" w:space="0"/>
              <w:left w:val="single" w:color="auto" w:sz="4" w:space="0"/>
              <w:bottom w:val="single" w:color="auto" w:sz="4" w:space="0"/>
              <w:right w:val="single" w:color="auto" w:sz="4" w:space="0"/>
            </w:tcBorders>
            <w:noWrap/>
            <w:vAlign w:val="center"/>
          </w:tcPr>
          <w:p w14:paraId="6B9B918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在本年度中每发现一项一次不符合要求扣1分</w:t>
            </w:r>
          </w:p>
        </w:tc>
        <w:tc>
          <w:tcPr>
            <w:tcW w:w="708" w:type="dxa"/>
            <w:tcBorders>
              <w:top w:val="single" w:color="auto" w:sz="4" w:space="0"/>
              <w:left w:val="single" w:color="auto" w:sz="4" w:space="0"/>
              <w:bottom w:val="single" w:color="auto" w:sz="4" w:space="0"/>
              <w:right w:val="single" w:color="auto" w:sz="4" w:space="0"/>
            </w:tcBorders>
            <w:noWrap/>
            <w:vAlign w:val="center"/>
          </w:tcPr>
          <w:p w14:paraId="0C58C721">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375" w:type="dxa"/>
            <w:tcBorders>
              <w:top w:val="single" w:color="auto" w:sz="4" w:space="0"/>
              <w:left w:val="single" w:color="auto" w:sz="4" w:space="0"/>
              <w:bottom w:val="single" w:color="auto" w:sz="4" w:space="0"/>
              <w:right w:val="single" w:color="auto" w:sz="4" w:space="0"/>
            </w:tcBorders>
            <w:noWrap/>
            <w:vAlign w:val="center"/>
          </w:tcPr>
          <w:p w14:paraId="525FFA84">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4DE2E3C5">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1D088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445D1A51">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3003" w:type="dxa"/>
            <w:tcBorders>
              <w:top w:val="single" w:color="auto" w:sz="4" w:space="0"/>
              <w:left w:val="single" w:color="auto" w:sz="4" w:space="0"/>
              <w:bottom w:val="single" w:color="auto" w:sz="4" w:space="0"/>
              <w:right w:val="single" w:color="auto" w:sz="4" w:space="0"/>
            </w:tcBorders>
            <w:noWrap/>
            <w:vAlign w:val="center"/>
          </w:tcPr>
          <w:p w14:paraId="7570252A">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洗涤物品接收、配送记录详细、完整、数量无误</w:t>
            </w:r>
          </w:p>
        </w:tc>
        <w:tc>
          <w:tcPr>
            <w:tcW w:w="3058" w:type="dxa"/>
            <w:tcBorders>
              <w:top w:val="single" w:color="auto" w:sz="4" w:space="0"/>
              <w:left w:val="single" w:color="auto" w:sz="4" w:space="0"/>
              <w:bottom w:val="single" w:color="auto" w:sz="4" w:space="0"/>
              <w:right w:val="single" w:color="auto" w:sz="4" w:space="0"/>
            </w:tcBorders>
            <w:noWrap/>
            <w:vAlign w:val="center"/>
          </w:tcPr>
          <w:p w14:paraId="2A497D2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在本年度中发现一项一次不符合要求扣1分</w:t>
            </w:r>
          </w:p>
        </w:tc>
        <w:tc>
          <w:tcPr>
            <w:tcW w:w="708" w:type="dxa"/>
            <w:tcBorders>
              <w:top w:val="single" w:color="auto" w:sz="4" w:space="0"/>
              <w:left w:val="single" w:color="auto" w:sz="4" w:space="0"/>
              <w:bottom w:val="single" w:color="auto" w:sz="4" w:space="0"/>
              <w:right w:val="single" w:color="auto" w:sz="4" w:space="0"/>
            </w:tcBorders>
            <w:noWrap/>
            <w:vAlign w:val="center"/>
          </w:tcPr>
          <w:p w14:paraId="582666F6">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5" w:type="dxa"/>
            <w:tcBorders>
              <w:top w:val="single" w:color="auto" w:sz="4" w:space="0"/>
              <w:left w:val="single" w:color="auto" w:sz="4" w:space="0"/>
              <w:bottom w:val="single" w:color="auto" w:sz="4" w:space="0"/>
              <w:right w:val="single" w:color="auto" w:sz="4" w:space="0"/>
            </w:tcBorders>
            <w:noWrap/>
            <w:vAlign w:val="center"/>
          </w:tcPr>
          <w:p w14:paraId="08F5A173">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3B31B5B5">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5F4A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4AAD9CFD">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3003" w:type="dxa"/>
            <w:tcBorders>
              <w:top w:val="single" w:color="auto" w:sz="4" w:space="0"/>
              <w:left w:val="single" w:color="auto" w:sz="4" w:space="0"/>
              <w:bottom w:val="single" w:color="auto" w:sz="4" w:space="0"/>
              <w:right w:val="single" w:color="auto" w:sz="4" w:space="0"/>
            </w:tcBorders>
            <w:noWrap/>
            <w:vAlign w:val="center"/>
          </w:tcPr>
          <w:p w14:paraId="5965B2B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成品按规定整理叠好送回</w:t>
            </w:r>
          </w:p>
        </w:tc>
        <w:tc>
          <w:tcPr>
            <w:tcW w:w="3058" w:type="dxa"/>
            <w:tcBorders>
              <w:top w:val="single" w:color="auto" w:sz="4" w:space="0"/>
              <w:left w:val="single" w:color="auto" w:sz="4" w:space="0"/>
              <w:bottom w:val="single" w:color="auto" w:sz="4" w:space="0"/>
              <w:right w:val="single" w:color="auto" w:sz="4" w:space="0"/>
            </w:tcBorders>
            <w:noWrap/>
            <w:vAlign w:val="center"/>
          </w:tcPr>
          <w:p w14:paraId="15F65D23">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在本年度中每发现一项一次不符合要求扣0.5分</w:t>
            </w:r>
          </w:p>
        </w:tc>
        <w:tc>
          <w:tcPr>
            <w:tcW w:w="708" w:type="dxa"/>
            <w:tcBorders>
              <w:top w:val="single" w:color="auto" w:sz="4" w:space="0"/>
              <w:left w:val="single" w:color="auto" w:sz="4" w:space="0"/>
              <w:bottom w:val="single" w:color="auto" w:sz="4" w:space="0"/>
              <w:right w:val="single" w:color="auto" w:sz="4" w:space="0"/>
            </w:tcBorders>
            <w:noWrap/>
            <w:vAlign w:val="center"/>
          </w:tcPr>
          <w:p w14:paraId="0898322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5" w:type="dxa"/>
            <w:tcBorders>
              <w:top w:val="single" w:color="auto" w:sz="4" w:space="0"/>
              <w:left w:val="single" w:color="auto" w:sz="4" w:space="0"/>
              <w:bottom w:val="single" w:color="auto" w:sz="4" w:space="0"/>
              <w:right w:val="single" w:color="auto" w:sz="4" w:space="0"/>
            </w:tcBorders>
            <w:noWrap/>
            <w:vAlign w:val="center"/>
          </w:tcPr>
          <w:p w14:paraId="3ADA92DB">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2B1A719A">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0DFD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7DB7693B">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3003" w:type="dxa"/>
            <w:tcBorders>
              <w:top w:val="single" w:color="auto" w:sz="4" w:space="0"/>
              <w:left w:val="single" w:color="auto" w:sz="4" w:space="0"/>
              <w:bottom w:val="single" w:color="auto" w:sz="4" w:space="0"/>
              <w:right w:val="single" w:color="auto" w:sz="4" w:space="0"/>
            </w:tcBorders>
            <w:noWrap/>
            <w:vAlign w:val="center"/>
          </w:tcPr>
          <w:p w14:paraId="26A34D96">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布草配送及时，配送人员到位；配送人员工作认真负责，配送人员听从指挥、服从管理</w:t>
            </w:r>
          </w:p>
        </w:tc>
        <w:tc>
          <w:tcPr>
            <w:tcW w:w="3058" w:type="dxa"/>
            <w:tcBorders>
              <w:top w:val="single" w:color="auto" w:sz="4" w:space="0"/>
              <w:left w:val="single" w:color="auto" w:sz="4" w:space="0"/>
              <w:bottom w:val="single" w:color="auto" w:sz="4" w:space="0"/>
              <w:right w:val="single" w:color="auto" w:sz="4" w:space="0"/>
            </w:tcBorders>
            <w:noWrap/>
            <w:vAlign w:val="center"/>
          </w:tcPr>
          <w:p w14:paraId="7593B92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在本年度中每发现一项一次不符合要求扣1分</w:t>
            </w:r>
          </w:p>
        </w:tc>
        <w:tc>
          <w:tcPr>
            <w:tcW w:w="708" w:type="dxa"/>
            <w:tcBorders>
              <w:top w:val="single" w:color="auto" w:sz="4" w:space="0"/>
              <w:left w:val="single" w:color="auto" w:sz="4" w:space="0"/>
              <w:bottom w:val="single" w:color="auto" w:sz="4" w:space="0"/>
              <w:right w:val="single" w:color="auto" w:sz="4" w:space="0"/>
            </w:tcBorders>
            <w:noWrap/>
            <w:vAlign w:val="center"/>
          </w:tcPr>
          <w:p w14:paraId="13CD2ADE">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375" w:type="dxa"/>
            <w:tcBorders>
              <w:top w:val="single" w:color="auto" w:sz="4" w:space="0"/>
              <w:left w:val="single" w:color="auto" w:sz="4" w:space="0"/>
              <w:bottom w:val="single" w:color="auto" w:sz="4" w:space="0"/>
              <w:right w:val="single" w:color="auto" w:sz="4" w:space="0"/>
            </w:tcBorders>
            <w:noWrap/>
            <w:vAlign w:val="center"/>
          </w:tcPr>
          <w:p w14:paraId="790B911B">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65C51970">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r w14:paraId="5354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08" w:type="dxa"/>
            <w:tcBorders>
              <w:top w:val="single" w:color="auto" w:sz="4" w:space="0"/>
              <w:left w:val="single" w:color="auto" w:sz="4" w:space="0"/>
              <w:bottom w:val="single" w:color="auto" w:sz="4" w:space="0"/>
              <w:right w:val="single" w:color="auto" w:sz="4" w:space="0"/>
            </w:tcBorders>
            <w:noWrap/>
            <w:vAlign w:val="center"/>
          </w:tcPr>
          <w:p w14:paraId="2ADAAA26">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3003" w:type="dxa"/>
            <w:tcBorders>
              <w:top w:val="single" w:color="auto" w:sz="4" w:space="0"/>
              <w:left w:val="single" w:color="auto" w:sz="4" w:space="0"/>
              <w:bottom w:val="single" w:color="auto" w:sz="4" w:space="0"/>
              <w:right w:val="single" w:color="auto" w:sz="4" w:space="0"/>
            </w:tcBorders>
            <w:noWrap/>
            <w:vAlign w:val="center"/>
          </w:tcPr>
          <w:p w14:paraId="28F6CA17">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   计</w:t>
            </w:r>
          </w:p>
        </w:tc>
        <w:tc>
          <w:tcPr>
            <w:tcW w:w="3058" w:type="dxa"/>
            <w:tcBorders>
              <w:top w:val="single" w:color="auto" w:sz="4" w:space="0"/>
              <w:left w:val="single" w:color="auto" w:sz="4" w:space="0"/>
              <w:bottom w:val="single" w:color="auto" w:sz="4" w:space="0"/>
              <w:right w:val="single" w:color="auto" w:sz="4" w:space="0"/>
            </w:tcBorders>
            <w:noWrap/>
            <w:vAlign w:val="center"/>
          </w:tcPr>
          <w:p w14:paraId="3644B62B">
            <w:pPr>
              <w:keepNext/>
              <w:keepLines/>
              <w:pageBreakBefore w:val="0"/>
              <w:widowControl/>
              <w:suppressLineNumbers w:val="0"/>
              <w:shd w:val="clear" w:color="auto" w:fill="FFFFFF"/>
              <w:overflowPunct/>
              <w:topLinePunct w:val="0"/>
              <w:bidi w:val="0"/>
              <w:snapToGrid w:val="0"/>
              <w:spacing w:before="340" w:beforeAutospacing="0" w:after="330" w:afterAutospacing="0" w:line="360" w:lineRule="auto"/>
              <w:ind w:left="0" w:right="0"/>
              <w:contextualSpacing/>
              <w:jc w:val="center"/>
              <w:rPr>
                <w:rFonts w:hint="eastAsia" w:ascii="仿宋" w:hAnsi="仿宋" w:eastAsia="仿宋" w:cs="仿宋"/>
                <w:b w:val="0"/>
                <w:bCs w:val="0"/>
                <w:color w:val="auto"/>
                <w:sz w:val="24"/>
                <w:szCs w:val="24"/>
                <w:highlight w:val="none"/>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72ED4CC1">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c>
          <w:tcPr>
            <w:tcW w:w="1375" w:type="dxa"/>
            <w:tcBorders>
              <w:top w:val="single" w:color="auto" w:sz="4" w:space="0"/>
              <w:left w:val="single" w:color="auto" w:sz="4" w:space="0"/>
              <w:bottom w:val="single" w:color="auto" w:sz="4" w:space="0"/>
              <w:right w:val="single" w:color="auto" w:sz="4" w:space="0"/>
            </w:tcBorders>
            <w:noWrap/>
            <w:vAlign w:val="center"/>
          </w:tcPr>
          <w:p w14:paraId="4892ADAC">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23C5BB23">
            <w:pPr>
              <w:keepNext w:val="0"/>
              <w:keepLines w:val="0"/>
              <w:pageBreakBefore w:val="0"/>
              <w:widowControl/>
              <w:suppressLineNumbers w:val="0"/>
              <w:shd w:val="clear" w:color="auto" w:fill="FFFFFF"/>
              <w:overflowPunct/>
              <w:topLinePunct w:val="0"/>
              <w:bidi w:val="0"/>
              <w:snapToGrid w:val="0"/>
              <w:spacing w:before="0" w:beforeAutospacing="0" w:after="0" w:afterAutospacing="0" w:line="360" w:lineRule="auto"/>
              <w:ind w:left="0" w:right="0"/>
              <w:contextualSpacing/>
              <w:jc w:val="center"/>
              <w:rPr>
                <w:rFonts w:hint="eastAsia" w:ascii="仿宋" w:hAnsi="仿宋" w:eastAsia="仿宋" w:cs="仿宋"/>
                <w:color w:val="auto"/>
                <w:sz w:val="24"/>
                <w:szCs w:val="24"/>
                <w:highlight w:val="none"/>
              </w:rPr>
            </w:pPr>
          </w:p>
        </w:tc>
      </w:tr>
    </w:tbl>
    <w:p w14:paraId="069C69A1">
      <w:pPr>
        <w:pageBreakBefore w:val="0"/>
        <w:widowControl/>
        <w:shd w:val="clear" w:color="auto" w:fill="FFFFFF"/>
        <w:overflowPunct/>
        <w:topLinePunct w:val="0"/>
        <w:bidi w:val="0"/>
        <w:snapToGrid w:val="0"/>
        <w:spacing w:line="360" w:lineRule="auto"/>
        <w:contextualSpacing/>
        <w:jc w:val="left"/>
        <w:rPr>
          <w:rFonts w:hint="eastAsia" w:ascii="仿宋" w:hAnsi="仿宋" w:eastAsia="仿宋" w:cs="仿宋"/>
          <w:color w:val="auto"/>
          <w:sz w:val="24"/>
          <w:szCs w:val="24"/>
          <w:highlight w:val="none"/>
        </w:rPr>
      </w:pPr>
    </w:p>
    <w:p w14:paraId="5DFE96C3">
      <w:pPr>
        <w:pageBreakBefore w:val="0"/>
        <w:widowControl/>
        <w:shd w:val="clear" w:color="auto" w:fill="FFFFFF"/>
        <w:overflowPunct/>
        <w:topLinePunct w:val="0"/>
        <w:bidi w:val="0"/>
        <w:snapToGrid w:val="0"/>
        <w:spacing w:line="360" w:lineRule="auto"/>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考核人：                                         </w:t>
      </w:r>
    </w:p>
    <w:p w14:paraId="0D4A6550">
      <w:pPr>
        <w:pageBreakBefore w:val="0"/>
        <w:widowControl/>
        <w:shd w:val="clear" w:color="auto" w:fill="FFFFFF"/>
        <w:overflowPunct/>
        <w:topLinePunct w:val="0"/>
        <w:bidi w:val="0"/>
        <w:snapToGrid w:val="0"/>
        <w:spacing w:line="360" w:lineRule="auto"/>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13AC15A5">
      <w:pPr>
        <w:keepNext/>
        <w:pageBreakBefore w:val="0"/>
        <w:overflowPunct/>
        <w:topLinePunct w:val="0"/>
        <w:bidi w:val="0"/>
        <w:spacing w:line="360" w:lineRule="auto"/>
        <w:outlineLvl w:val="2"/>
        <w:rPr>
          <w:rFonts w:hint="eastAsia" w:ascii="仿宋" w:hAnsi="仿宋" w:eastAsia="仿宋" w:cs="仿宋"/>
          <w:b/>
          <w:bCs/>
          <w:color w:val="auto"/>
          <w:sz w:val="24"/>
          <w:szCs w:val="24"/>
          <w:highlight w:val="none"/>
        </w:rPr>
      </w:pPr>
      <w:r>
        <w:rPr>
          <w:rFonts w:hint="eastAsia" w:ascii="仿宋" w:hAnsi="仿宋" w:eastAsia="仿宋" w:cs="仿宋"/>
          <w:color w:val="auto"/>
          <w:kern w:val="0"/>
          <w:sz w:val="24"/>
          <w:szCs w:val="24"/>
          <w:highlight w:val="none"/>
          <w:lang w:val="en-US" w:eastAsia="zh-CN"/>
        </w:rPr>
        <w:t>附件三：分项报价洗涤单价表</w:t>
      </w:r>
    </w:p>
    <w:p w14:paraId="7B8008C6">
      <w:pPr>
        <w:pageBreakBefore w:val="0"/>
        <w:widowControl/>
        <w:shd w:val="clear" w:color="auto" w:fill="FFFFFF"/>
        <w:overflowPunct/>
        <w:topLinePunct w:val="0"/>
        <w:bidi w:val="0"/>
        <w:snapToGrid w:val="0"/>
        <w:spacing w:line="360" w:lineRule="auto"/>
        <w:contextualSpacing/>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分项报价洗涤单价表</w:t>
      </w:r>
    </w:p>
    <w:tbl>
      <w:tblPr>
        <w:tblStyle w:val="35"/>
        <w:tblW w:w="4997" w:type="pct"/>
        <w:tblInd w:w="0" w:type="dxa"/>
        <w:tblLayout w:type="autofit"/>
        <w:tblCellMar>
          <w:top w:w="0" w:type="dxa"/>
          <w:left w:w="108" w:type="dxa"/>
          <w:bottom w:w="0" w:type="dxa"/>
          <w:right w:w="108" w:type="dxa"/>
        </w:tblCellMar>
      </w:tblPr>
      <w:tblGrid>
        <w:gridCol w:w="456"/>
        <w:gridCol w:w="1176"/>
        <w:gridCol w:w="558"/>
        <w:gridCol w:w="809"/>
        <w:gridCol w:w="965"/>
        <w:gridCol w:w="756"/>
        <w:gridCol w:w="456"/>
        <w:gridCol w:w="1656"/>
        <w:gridCol w:w="523"/>
        <w:gridCol w:w="731"/>
        <w:gridCol w:w="816"/>
        <w:gridCol w:w="1053"/>
      </w:tblGrid>
      <w:tr w14:paraId="4C7B75B8">
        <w:tblPrEx>
          <w:tblCellMar>
            <w:top w:w="0" w:type="dxa"/>
            <w:left w:w="108" w:type="dxa"/>
            <w:bottom w:w="0" w:type="dxa"/>
            <w:right w:w="108" w:type="dxa"/>
          </w:tblCellMar>
        </w:tblPrEx>
        <w:trPr>
          <w:trHeight w:val="4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51D58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序</w:t>
            </w:r>
          </w:p>
        </w:tc>
        <w:tc>
          <w:tcPr>
            <w:tcW w:w="5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BCBFB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品名</w:t>
            </w:r>
          </w:p>
        </w:tc>
        <w:tc>
          <w:tcPr>
            <w:tcW w:w="3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445F4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单位</w:t>
            </w:r>
          </w:p>
        </w:tc>
        <w:tc>
          <w:tcPr>
            <w:tcW w:w="43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FE21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控制    单价</w:t>
            </w:r>
          </w:p>
        </w:tc>
        <w:tc>
          <w:tcPr>
            <w:tcW w:w="50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1D483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数量</w:t>
            </w:r>
          </w:p>
        </w:tc>
        <w:tc>
          <w:tcPr>
            <w:tcW w:w="4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2AECC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报价</w:t>
            </w:r>
          </w:p>
        </w:tc>
        <w:tc>
          <w:tcPr>
            <w:tcW w:w="21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8C111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序</w:t>
            </w:r>
          </w:p>
        </w:tc>
        <w:tc>
          <w:tcPr>
            <w:tcW w:w="7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82F0E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品名</w:t>
            </w:r>
          </w:p>
        </w:tc>
        <w:tc>
          <w:tcPr>
            <w:tcW w:w="28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55F75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单位</w:t>
            </w:r>
          </w:p>
        </w:tc>
        <w:tc>
          <w:tcPr>
            <w:tcW w:w="39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EAD12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控制    单价</w:t>
            </w:r>
          </w:p>
        </w:tc>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1C2B8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数量</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693B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报价</w:t>
            </w:r>
          </w:p>
        </w:tc>
      </w:tr>
      <w:tr w14:paraId="716F6007">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0B298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2090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枕套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EBFE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4F614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0.83</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6547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116742</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CB5B3">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A8DC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31</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24AB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尿布</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6411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F81B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6177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0444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52AC5D73">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1005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AFA7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被套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3F53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756E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3.3</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1E62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139263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BD8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94A3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D293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大包布</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E4B0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8391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1.9</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B892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15089</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5AB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0BF5FC0">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13E5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7E89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大单</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1B25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C37F5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D5EC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218721</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B5AD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4679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33</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18BA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中包布</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E15ED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4A37B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E72E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17248</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BFF5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928478F">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1595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AB999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中单</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A42F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DDE1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1.73</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F213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67104</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46A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B0842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1779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口袋</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B4ED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7742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0.52</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C284F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37754</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D50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0C736C78">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E354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1795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毛毯</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AC01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B7C5B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9BA8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C682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9FEE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35</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9679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固定带</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E22FE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CD96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F13E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3494</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2E46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62036811">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7DFF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6</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65443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车套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CCD9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115B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C2EED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582</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B05D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6F3D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36</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2506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窗帘</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4711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B5E0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3.6</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31131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12317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D279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71B31B14">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6D24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7</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CBB1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床套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0BC6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65FA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2.6</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0306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32556</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6FA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587D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37</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03B9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袖套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10301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12CC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0.45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761E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592</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2E6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7E5DB2A2">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D0B2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8</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8DF5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机器套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22142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9835A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B84C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F254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2820E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38</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5DEA1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棉衣</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7B4E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1EA1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D2BD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29C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6135A61F">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BD77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8C6F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脚套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5D10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7943A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0.45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25A0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1550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A0AE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83E7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39</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8938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病服</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0667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AFFB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1.8</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0BA8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52576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D6D3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6F695F65">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7DBA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E140D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毛毯套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BC2D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0FF6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BF91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F27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46AD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40</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108A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病裤</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59E6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1154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73F82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45878</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C6A03">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7F9CB81">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06983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D0D2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纱布套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B20B4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86A5B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BA9B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DFB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2BCB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41</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C0F0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隔帘</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A38C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A513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2.88</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3AAC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4356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1C5E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3E5D2116">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D346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12</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1F2B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纱发套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65EF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2DC7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4579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8F4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942C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42</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D599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约束带</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1B4B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CA49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0.87</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D75D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5B7C">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298C8713">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E8FB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6BC3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小被套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7179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BFA1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33EE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15314</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6C3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B313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43</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A529D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婴儿小床套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60B0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2B8F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F32D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210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0873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0D0DE96D">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2841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14</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6C4E1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氧气套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AE5E4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A089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0.92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6C82D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39</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DA7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4A1C0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44</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1295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防寒服</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EA47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832F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2.82</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994C9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5A838">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3DB17762">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8314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FA88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椅子套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C3C6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DA34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0.92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14D9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8087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75A13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45</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7419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床垫套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94CF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2EDD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6965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567</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526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EAAA519">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7C44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16</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8AF6B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氧气袋</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85FC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5239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0.92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63CB5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F9C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6FBF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46</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9C55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值班室被套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8E33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C4D1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3.3</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C19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20146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83A05">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0B92D131">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364F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17</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30F3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婴儿衣</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838F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9876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0D2E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19580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AE27F">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CC0A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47</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FF7E1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值班室床单</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3FF9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ED52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481E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20146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D9C6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E7E22BD">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4E3E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18</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1642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绒衣</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8FB8C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4F9C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2.88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D0B6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245</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768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D5A81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48</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EAB1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值班室枕套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3F00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2D5E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0.83</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7D47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20146</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10E0F">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5794D591">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7436C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19</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587B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绒裤</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E4A1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EEA6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E1E5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245</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D6EF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FF9A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49</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1C87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蓝光纱布</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BE78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2A6D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DA84E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5ACA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3ABB038">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9E55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E2C6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工作服</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64754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8FAD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E49AA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64229</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DFF10">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AC47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50</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1478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长颈鹿暖箱罩</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89D4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5DBC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1.16</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519E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230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B181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50FD4965">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F5E48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21</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F6A7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工作裤</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2FF5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885A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CBABA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41563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911E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2CAF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51</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6F6B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小包被</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D6B7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560F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FA23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1D94">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60CCF59">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3513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22</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1DE3A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手术衣</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9F5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4942D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8A11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91633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9E6D">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0F15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52</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B2E4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外出包被</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1E66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39ED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2.8</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AA13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D6F6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29C5AF4">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DB3B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23</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C992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洗手衣</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9CEAE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5F7A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B34B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114167</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48CA">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F1DB8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53</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0A5D7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外出包被套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6644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9ED47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2.19</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3D36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9CAC">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CB958DC">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E1ED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1825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洗手裤</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C7D05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C5E3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F863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121690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BC2DF">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9523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54</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3F7C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暖箱罩</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CF0C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89B1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0.92</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15E5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585E3">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41E45687">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B239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25</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6607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大号毛巾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13C94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F1FE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1.45</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DC316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23347</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77A2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B25B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55</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FC27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中号毛巾</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C482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21EE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C786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92F5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671FD8C2">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86A3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26</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217C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小号毛巾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AE789">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2D12B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0.6</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2201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19483</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EBA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02CA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56</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EBCFD5">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污物袋</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FDB5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1D61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3A1D4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C6E9">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1E5F6AFC">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9C45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27</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1333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大洞巾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46F74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E943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2.2</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79CC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16790</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BB17">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844D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57</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D0CF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婴儿绑带</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AE93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61772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CEC1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8ED4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37119C12">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8B89B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28</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A5FF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中洞巾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33A6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DDA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1.8</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7E4B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7432</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A530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1660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58</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C059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治疗巾</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9846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D804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0.59</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C7878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F8146">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5FED92B8">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42BC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29</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2F4CB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开刀巾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1FFD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39BAD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6EF6B">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12068</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95022">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6E9298">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59</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B3E21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三角巾</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0031E">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A940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0.5</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96DF1">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B751">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r w14:paraId="68F75E7A">
        <w:tblPrEx>
          <w:tblCellMar>
            <w:top w:w="0" w:type="dxa"/>
            <w:left w:w="108" w:type="dxa"/>
            <w:bottom w:w="0" w:type="dxa"/>
            <w:right w:w="108" w:type="dxa"/>
          </w:tblCellMar>
        </w:tblPrEx>
        <w:trPr>
          <w:trHeight w:val="260" w:hRule="atLeast"/>
        </w:trPr>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26426">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30</w:t>
            </w:r>
          </w:p>
        </w:tc>
        <w:tc>
          <w:tcPr>
            <w:tcW w:w="5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682E4">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消毒巾</w:t>
            </w:r>
          </w:p>
        </w:tc>
        <w:tc>
          <w:tcPr>
            <w:tcW w:w="3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720B43">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43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A55E0">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w:t>
            </w:r>
          </w:p>
        </w:tc>
        <w:tc>
          <w:tcPr>
            <w:tcW w:w="50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E551C">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136541</w:t>
            </w:r>
          </w:p>
        </w:tc>
        <w:tc>
          <w:tcPr>
            <w:tcW w:w="4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45DCE">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c>
          <w:tcPr>
            <w:tcW w:w="21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760A92">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60</w:t>
            </w:r>
          </w:p>
        </w:tc>
        <w:tc>
          <w:tcPr>
            <w:tcW w:w="71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49177">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辐射台套</w:t>
            </w:r>
          </w:p>
        </w:tc>
        <w:tc>
          <w:tcPr>
            <w:tcW w:w="28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EB36F">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件</w:t>
            </w:r>
          </w:p>
        </w:tc>
        <w:tc>
          <w:tcPr>
            <w:tcW w:w="39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451ED">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71A67A">
            <w:pPr>
              <w:keepNext w:val="0"/>
              <w:keepLines w:val="0"/>
              <w:pageBreakBefore w:val="0"/>
              <w:widowControl/>
              <w:suppressLineNumbers w:val="0"/>
              <w:overflowPunct/>
              <w:topLinePunct w:val="0"/>
              <w:bidi w:val="0"/>
              <w:spacing w:before="0" w:beforeAutospacing="0" w:after="0" w:afterAutospacing="0" w:line="360" w:lineRule="auto"/>
              <w:ind w:left="0" w:right="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240</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2C38B">
            <w:pPr>
              <w:keepNext w:val="0"/>
              <w:keepLines w:val="0"/>
              <w:pageBreakBefore w:val="0"/>
              <w:suppressLineNumbers w:val="0"/>
              <w:overflowPunct/>
              <w:topLinePunct w:val="0"/>
              <w:bidi w:val="0"/>
              <w:spacing w:before="0" w:beforeAutospacing="0" w:after="0" w:afterAutospacing="0" w:line="360" w:lineRule="auto"/>
              <w:ind w:left="0" w:right="0"/>
              <w:rPr>
                <w:rFonts w:hint="eastAsia" w:ascii="仿宋" w:hAnsi="仿宋" w:eastAsia="仿宋" w:cs="仿宋"/>
                <w:color w:val="auto"/>
                <w:sz w:val="24"/>
                <w:szCs w:val="24"/>
                <w:highlight w:val="none"/>
              </w:rPr>
            </w:pPr>
          </w:p>
        </w:tc>
      </w:tr>
    </w:tbl>
    <w:p w14:paraId="7934F085">
      <w:pPr>
        <w:keepNext/>
        <w:pageBreakBefore w:val="0"/>
        <w:overflowPunct/>
        <w:topLinePunct w:val="0"/>
        <w:bidi w:val="0"/>
        <w:spacing w:line="360" w:lineRule="auto"/>
        <w:outlineLvl w:val="2"/>
        <w:rPr>
          <w:rFonts w:hint="eastAsia" w:ascii="仿宋" w:hAnsi="仿宋" w:eastAsia="仿宋" w:cs="仿宋"/>
          <w:color w:val="auto"/>
          <w:kern w:val="0"/>
          <w:sz w:val="24"/>
          <w:szCs w:val="24"/>
          <w:highlight w:val="none"/>
        </w:rPr>
      </w:pPr>
    </w:p>
    <w:p w14:paraId="6F4A4410">
      <w:pPr>
        <w:keepNext/>
        <w:pageBreakBefore w:val="0"/>
        <w:overflowPunct/>
        <w:topLinePunct w:val="0"/>
        <w:bidi w:val="0"/>
        <w:spacing w:line="360" w:lineRule="auto"/>
        <w:outlineLvl w:val="2"/>
        <w:rPr>
          <w:rFonts w:hint="eastAsia" w:ascii="仿宋" w:hAnsi="仿宋" w:eastAsia="仿宋" w:cs="仿宋"/>
          <w:color w:val="auto"/>
          <w:kern w:val="0"/>
          <w:sz w:val="24"/>
          <w:szCs w:val="24"/>
          <w:highlight w:val="none"/>
        </w:rPr>
      </w:pPr>
    </w:p>
    <w:sectPr>
      <w:footerReference r:id="rId9" w:type="first"/>
      <w:footerReference r:id="rId8" w:type="default"/>
      <w:pgSz w:w="11905" w:h="16838"/>
      <w:pgMar w:top="1440" w:right="1080" w:bottom="1440" w:left="1080" w:header="907" w:footer="1191" w:gutter="0"/>
      <w:pgNumType w:fmt="decimal" w:chapStyle="1" w:chapSep="hyphen"/>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S PMincho">
    <w:altName w:val="Yu Gothic UI"/>
    <w:panose1 w:val="02020600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decorative"/>
    <w:pitch w:val="default"/>
    <w:sig w:usb0="00000000" w:usb1="00000000" w:usb2="00000000" w:usb3="00000000" w:csb0="80000000" w:csb1="00000000"/>
  </w:font>
  <w:font w:name="方正大标宋简体">
    <w:altName w:val="微软雅黑"/>
    <w:panose1 w:val="00000000000000000000"/>
    <w:charset w:val="86"/>
    <w:family w:val="script"/>
    <w:pitch w:val="default"/>
    <w:sig w:usb0="00000000" w:usb1="00000000" w:usb2="00000000" w:usb3="00000000" w:csb0="00040000" w:csb1="00000000"/>
  </w:font>
  <w:font w:name="宋体, SimSun">
    <w:altName w:val="宋体"/>
    <w:panose1 w:val="00000000000000000000"/>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793B7">
    <w:pPr>
      <w:pStyle w:val="2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CA205">
                          <w:pPr>
                            <w:pStyle w:val="2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88CA205">
                    <w:pPr>
                      <w:pStyle w:val="24"/>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6E68F">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A8007">
    <w:pPr>
      <w:spacing w:line="176" w:lineRule="auto"/>
      <w:ind w:left="4548"/>
      <w:rPr>
        <w:rFonts w:ascii="Times New Roman" w:hAnsi="Times New Roman"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1E58183">
                          <w:pPr>
                            <w:pStyle w:val="2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1E58183">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E01A1">
    <w:pPr>
      <w:pStyle w:val="2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4BCC8">
                          <w:pPr>
                            <w:pStyle w:val="24"/>
                            <w:rPr>
                              <w:rFonts w:hint="eastAsia" w:ascii="仿宋" w:hAnsi="仿宋" w:eastAsia="仿宋" w:cs="仿宋"/>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14D4BCC8">
                    <w:pPr>
                      <w:pStyle w:val="24"/>
                      <w:rPr>
                        <w:rFonts w:hint="eastAsia" w:ascii="仿宋" w:hAnsi="仿宋" w:eastAsia="仿宋" w:cs="仿宋"/>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E1DAB">
    <w:pPr>
      <w:pStyle w:val="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ED574">
                          <w:pPr>
                            <w:pStyle w:val="24"/>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B9ED574">
                    <w:pPr>
                      <w:pStyle w:val="24"/>
                    </w:pPr>
                    <w:r>
                      <w:fldChar w:fldCharType="begin"/>
                    </w:r>
                    <w:r>
                      <w:instrText xml:space="preserve"> PAGE  \* MERGEFORMAT </w:instrText>
                    </w:r>
                    <w:r>
                      <w:fldChar w:fldCharType="separate"/>
                    </w:r>
                    <w:r>
                      <w:t>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7067">
    <w:pPr>
      <w:pStyle w:val="25"/>
      <w:jc w:val="left"/>
      <w:rPr>
        <w:rFonts w:eastAsia="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433C3">
    <w:pPr>
      <w:pStyle w:val="25"/>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C17BCA"/>
    <w:multiLevelType w:val="singleLevel"/>
    <w:tmpl w:val="C2C17BCA"/>
    <w:lvl w:ilvl="0" w:tentative="0">
      <w:start w:val="1"/>
      <w:numFmt w:val="decimal"/>
      <w:pStyle w:val="7"/>
      <w:lvlText w:val="%1."/>
      <w:lvlJc w:val="left"/>
      <w:pPr>
        <w:tabs>
          <w:tab w:val="left" w:pos="780"/>
        </w:tabs>
        <w:ind w:left="780" w:hanging="360"/>
      </w:pPr>
    </w:lvl>
  </w:abstractNum>
  <w:abstractNum w:abstractNumId="1">
    <w:nsid w:val="C9C4209A"/>
    <w:multiLevelType w:val="multilevel"/>
    <w:tmpl w:val="C9C4209A"/>
    <w:lvl w:ilvl="0" w:tentative="0">
      <w:start w:val="1"/>
      <w:numFmt w:val="decimal"/>
      <w:lvlText w:val="%1."/>
      <w:lvlJc w:val="left"/>
      <w:pPr>
        <w:ind w:left="425" w:hanging="425"/>
      </w:pPr>
      <w:rPr>
        <w:rFonts w:hint="default" w:ascii="宋体" w:hAnsi="宋体" w:eastAsia="宋体" w:cs="宋体"/>
      </w:rPr>
    </w:lvl>
    <w:lvl w:ilvl="1" w:tentative="0">
      <w:start w:val="1"/>
      <w:numFmt w:val="decimal"/>
      <w:lvlText w:val="%1.%2."/>
      <w:lvlJc w:val="left"/>
      <w:pPr>
        <w:ind w:left="567" w:hanging="567"/>
      </w:pPr>
      <w:rPr>
        <w:rFonts w:hint="default" w:ascii="宋体" w:hAnsi="宋体" w:eastAsia="黑体" w:cs="宋体"/>
      </w:rPr>
    </w:lvl>
    <w:lvl w:ilvl="2" w:tentative="0">
      <w:start w:val="1"/>
      <w:numFmt w:val="decimal"/>
      <w:lvlText w:val="%1.%2.%3."/>
      <w:lvlJc w:val="left"/>
      <w:pPr>
        <w:ind w:left="709" w:hanging="709"/>
      </w:pPr>
      <w:rPr>
        <w:rFonts w:hint="default" w:ascii="宋体" w:hAnsi="宋体" w:eastAsia="黑体" w:cs="宋体"/>
      </w:rPr>
    </w:lvl>
    <w:lvl w:ilvl="3" w:tentative="0">
      <w:start w:val="1"/>
      <w:numFmt w:val="decimal"/>
      <w:lvlText w:val="%1.%2.%3.%4."/>
      <w:lvlJc w:val="left"/>
      <w:pPr>
        <w:ind w:left="850" w:hanging="850"/>
      </w:pPr>
      <w:rPr>
        <w:rFonts w:hint="default" w:ascii="宋体" w:hAnsi="宋体" w:eastAsia="宋体" w:cs="宋体"/>
      </w:rPr>
    </w:lvl>
    <w:lvl w:ilvl="4" w:tentative="0">
      <w:start w:val="1"/>
      <w:numFmt w:val="decimal"/>
      <w:pStyle w:val="6"/>
      <w:lvlText w:val="%1.%2.%3.%4.%5."/>
      <w:lvlJc w:val="left"/>
      <w:pPr>
        <w:ind w:left="991" w:hanging="991"/>
      </w:pPr>
      <w:rPr>
        <w:rFonts w:hint="default" w:ascii="宋体" w:hAnsi="宋体" w:eastAsia="宋体" w:cs="宋体"/>
      </w:rPr>
    </w:lvl>
    <w:lvl w:ilvl="5" w:tentative="0">
      <w:start w:val="1"/>
      <w:numFmt w:val="decimal"/>
      <w:lvlText w:val="%1.%2.%3.%4.%5.%6."/>
      <w:lvlJc w:val="left"/>
      <w:pPr>
        <w:ind w:left="1134" w:hanging="1134"/>
      </w:pPr>
      <w:rPr>
        <w:rFonts w:hint="default" w:ascii="宋体" w:hAnsi="宋体" w:eastAsia="宋体" w:cs="宋体"/>
      </w:rPr>
    </w:lvl>
    <w:lvl w:ilvl="6" w:tentative="0">
      <w:start w:val="1"/>
      <w:numFmt w:val="decimal"/>
      <w:lvlText w:val="%1.%2.%3.%4.%5.%6.%7."/>
      <w:lvlJc w:val="left"/>
      <w:pPr>
        <w:ind w:left="1275" w:hanging="1275"/>
      </w:pPr>
      <w:rPr>
        <w:rFonts w:hint="default" w:ascii="宋体" w:hAnsi="宋体" w:eastAsia="宋体" w:cs="宋体"/>
      </w:rPr>
    </w:lvl>
    <w:lvl w:ilvl="7" w:tentative="0">
      <w:start w:val="1"/>
      <w:numFmt w:val="decimal"/>
      <w:lvlText w:val="%1.%2.%3.%4.%5.%6.%7.%8."/>
      <w:lvlJc w:val="left"/>
      <w:pPr>
        <w:ind w:left="1418" w:hanging="1418"/>
      </w:pPr>
      <w:rPr>
        <w:rFonts w:hint="default" w:ascii="宋体" w:hAnsi="宋体" w:eastAsia="宋体" w:cs="宋体"/>
      </w:rPr>
    </w:lvl>
    <w:lvl w:ilvl="8" w:tentative="0">
      <w:start w:val="1"/>
      <w:numFmt w:val="decimal"/>
      <w:lvlText w:val="%1.%2.%3.%4.%5.%6.%7.%8.%9."/>
      <w:lvlJc w:val="left"/>
      <w:pPr>
        <w:ind w:left="1558" w:hanging="1558"/>
      </w:pPr>
      <w:rPr>
        <w:rFonts w:hint="default" w:ascii="宋体" w:hAnsi="宋体" w:eastAsia="宋体" w:cs="宋体"/>
      </w:rPr>
    </w:lvl>
  </w:abstractNum>
  <w:abstractNum w:abstractNumId="2">
    <w:nsid w:val="E821B5BC"/>
    <w:multiLevelType w:val="singleLevel"/>
    <w:tmpl w:val="E821B5BC"/>
    <w:lvl w:ilvl="0" w:tentative="0">
      <w:start w:val="1"/>
      <w:numFmt w:val="decimal"/>
      <w:lvlText w:val="%1."/>
      <w:lvlJc w:val="left"/>
      <w:pPr>
        <w:ind w:left="425" w:hanging="425"/>
      </w:pPr>
      <w:rPr>
        <w:rFonts w:hint="default"/>
      </w:rPr>
    </w:lvl>
  </w:abstractNum>
  <w:abstractNum w:abstractNumId="3">
    <w:nsid w:val="136A0A47"/>
    <w:multiLevelType w:val="singleLevel"/>
    <w:tmpl w:val="136A0A47"/>
    <w:lvl w:ilvl="0" w:tentative="0">
      <w:start w:val="6"/>
      <w:numFmt w:val="chineseCounting"/>
      <w:suff w:val="space"/>
      <w:lvlText w:val="第%1章"/>
      <w:lvlJc w:val="left"/>
      <w:rPr>
        <w:rFonts w:hint="eastAsia"/>
      </w:rPr>
    </w:lvl>
  </w:abstractNum>
  <w:abstractNum w:abstractNumId="4">
    <w:nsid w:val="1417861F"/>
    <w:multiLevelType w:val="singleLevel"/>
    <w:tmpl w:val="1417861F"/>
    <w:lvl w:ilvl="0" w:tentative="0">
      <w:start w:val="2"/>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jNThjMDlkMzhmMTdkOWE0NzU3YzVmN2VmNjJkNmEifQ=="/>
  </w:docVars>
  <w:rsids>
    <w:rsidRoot w:val="00172A27"/>
    <w:rsid w:val="00001BD1"/>
    <w:rsid w:val="00001E03"/>
    <w:rsid w:val="00004041"/>
    <w:rsid w:val="0000717C"/>
    <w:rsid w:val="00017CC0"/>
    <w:rsid w:val="000212B0"/>
    <w:rsid w:val="00022DEA"/>
    <w:rsid w:val="00023BD1"/>
    <w:rsid w:val="00024392"/>
    <w:rsid w:val="00024DAE"/>
    <w:rsid w:val="00026BDA"/>
    <w:rsid w:val="00026F93"/>
    <w:rsid w:val="00027B8D"/>
    <w:rsid w:val="000304C3"/>
    <w:rsid w:val="00031C80"/>
    <w:rsid w:val="00034BD8"/>
    <w:rsid w:val="000351D9"/>
    <w:rsid w:val="0003720B"/>
    <w:rsid w:val="0003724C"/>
    <w:rsid w:val="00041A5C"/>
    <w:rsid w:val="00043D92"/>
    <w:rsid w:val="0004444F"/>
    <w:rsid w:val="000454F6"/>
    <w:rsid w:val="0004571D"/>
    <w:rsid w:val="00046D03"/>
    <w:rsid w:val="00051F1B"/>
    <w:rsid w:val="00053F31"/>
    <w:rsid w:val="00054AE5"/>
    <w:rsid w:val="00054DAF"/>
    <w:rsid w:val="00055ACC"/>
    <w:rsid w:val="00055D3C"/>
    <w:rsid w:val="000645B6"/>
    <w:rsid w:val="000654E3"/>
    <w:rsid w:val="000657AD"/>
    <w:rsid w:val="0007009C"/>
    <w:rsid w:val="00072DA1"/>
    <w:rsid w:val="00073432"/>
    <w:rsid w:val="00076C6B"/>
    <w:rsid w:val="00080276"/>
    <w:rsid w:val="00080864"/>
    <w:rsid w:val="00081D50"/>
    <w:rsid w:val="00082B75"/>
    <w:rsid w:val="00083148"/>
    <w:rsid w:val="00085053"/>
    <w:rsid w:val="00086D39"/>
    <w:rsid w:val="000875C1"/>
    <w:rsid w:val="00092F91"/>
    <w:rsid w:val="000966C3"/>
    <w:rsid w:val="000A1272"/>
    <w:rsid w:val="000A5842"/>
    <w:rsid w:val="000A62BE"/>
    <w:rsid w:val="000A6AB6"/>
    <w:rsid w:val="000B0408"/>
    <w:rsid w:val="000B07E6"/>
    <w:rsid w:val="000B1534"/>
    <w:rsid w:val="000B2778"/>
    <w:rsid w:val="000B6169"/>
    <w:rsid w:val="000B6B9F"/>
    <w:rsid w:val="000C1210"/>
    <w:rsid w:val="000C42F5"/>
    <w:rsid w:val="000C6C0E"/>
    <w:rsid w:val="000D091D"/>
    <w:rsid w:val="000D10AB"/>
    <w:rsid w:val="000D1459"/>
    <w:rsid w:val="000E15EF"/>
    <w:rsid w:val="000E18F6"/>
    <w:rsid w:val="000E3117"/>
    <w:rsid w:val="000E351F"/>
    <w:rsid w:val="000F28B2"/>
    <w:rsid w:val="000F4515"/>
    <w:rsid w:val="00100DE9"/>
    <w:rsid w:val="0010121B"/>
    <w:rsid w:val="0010226E"/>
    <w:rsid w:val="001034B8"/>
    <w:rsid w:val="00105F00"/>
    <w:rsid w:val="001122F6"/>
    <w:rsid w:val="00115391"/>
    <w:rsid w:val="00116A49"/>
    <w:rsid w:val="00117630"/>
    <w:rsid w:val="00123C3D"/>
    <w:rsid w:val="00125B10"/>
    <w:rsid w:val="00126D17"/>
    <w:rsid w:val="00131904"/>
    <w:rsid w:val="001351B3"/>
    <w:rsid w:val="001352E8"/>
    <w:rsid w:val="00137286"/>
    <w:rsid w:val="00143829"/>
    <w:rsid w:val="0014664A"/>
    <w:rsid w:val="0014712A"/>
    <w:rsid w:val="0015053E"/>
    <w:rsid w:val="00150ACD"/>
    <w:rsid w:val="00150C82"/>
    <w:rsid w:val="001525DC"/>
    <w:rsid w:val="0015628D"/>
    <w:rsid w:val="00157050"/>
    <w:rsid w:val="00157520"/>
    <w:rsid w:val="001576DB"/>
    <w:rsid w:val="001617C2"/>
    <w:rsid w:val="00162517"/>
    <w:rsid w:val="00164F0A"/>
    <w:rsid w:val="00166CFC"/>
    <w:rsid w:val="00166E25"/>
    <w:rsid w:val="00167C36"/>
    <w:rsid w:val="00171F7D"/>
    <w:rsid w:val="00172550"/>
    <w:rsid w:val="00172A27"/>
    <w:rsid w:val="00174816"/>
    <w:rsid w:val="001751DE"/>
    <w:rsid w:val="00175FB3"/>
    <w:rsid w:val="001761B6"/>
    <w:rsid w:val="0017772D"/>
    <w:rsid w:val="0018109F"/>
    <w:rsid w:val="00181106"/>
    <w:rsid w:val="00182483"/>
    <w:rsid w:val="00182AD4"/>
    <w:rsid w:val="001832CA"/>
    <w:rsid w:val="00185935"/>
    <w:rsid w:val="00187408"/>
    <w:rsid w:val="0019246E"/>
    <w:rsid w:val="0019353D"/>
    <w:rsid w:val="0019617F"/>
    <w:rsid w:val="00197844"/>
    <w:rsid w:val="001A3B91"/>
    <w:rsid w:val="001A4341"/>
    <w:rsid w:val="001A4F4F"/>
    <w:rsid w:val="001B0303"/>
    <w:rsid w:val="001B09C7"/>
    <w:rsid w:val="001B1FA6"/>
    <w:rsid w:val="001C1504"/>
    <w:rsid w:val="001C16F5"/>
    <w:rsid w:val="001C21AC"/>
    <w:rsid w:val="001C5DFB"/>
    <w:rsid w:val="001C720C"/>
    <w:rsid w:val="001C72E1"/>
    <w:rsid w:val="001D05DB"/>
    <w:rsid w:val="001D12F0"/>
    <w:rsid w:val="001D45FF"/>
    <w:rsid w:val="001D6517"/>
    <w:rsid w:val="001D6ACC"/>
    <w:rsid w:val="001E09FE"/>
    <w:rsid w:val="001E145A"/>
    <w:rsid w:val="001E1D92"/>
    <w:rsid w:val="001E3A7A"/>
    <w:rsid w:val="001E69C6"/>
    <w:rsid w:val="001F0A14"/>
    <w:rsid w:val="001F3924"/>
    <w:rsid w:val="001F5520"/>
    <w:rsid w:val="001F585C"/>
    <w:rsid w:val="001F6BA1"/>
    <w:rsid w:val="001F6EC8"/>
    <w:rsid w:val="001F759A"/>
    <w:rsid w:val="00204C0E"/>
    <w:rsid w:val="00210ED5"/>
    <w:rsid w:val="002117D6"/>
    <w:rsid w:val="00212245"/>
    <w:rsid w:val="002155B9"/>
    <w:rsid w:val="002156D2"/>
    <w:rsid w:val="002168D4"/>
    <w:rsid w:val="0021721C"/>
    <w:rsid w:val="002176B8"/>
    <w:rsid w:val="00221286"/>
    <w:rsid w:val="00221380"/>
    <w:rsid w:val="00222BB7"/>
    <w:rsid w:val="0022312F"/>
    <w:rsid w:val="00223EF7"/>
    <w:rsid w:val="00224BB8"/>
    <w:rsid w:val="00224BFA"/>
    <w:rsid w:val="00225070"/>
    <w:rsid w:val="00225378"/>
    <w:rsid w:val="00225DE5"/>
    <w:rsid w:val="00227BF7"/>
    <w:rsid w:val="002301B3"/>
    <w:rsid w:val="00230233"/>
    <w:rsid w:val="00230256"/>
    <w:rsid w:val="00230B6B"/>
    <w:rsid w:val="002325E0"/>
    <w:rsid w:val="00232EE0"/>
    <w:rsid w:val="00234ED3"/>
    <w:rsid w:val="0023669A"/>
    <w:rsid w:val="00236777"/>
    <w:rsid w:val="00236FE6"/>
    <w:rsid w:val="00237B78"/>
    <w:rsid w:val="00237CDC"/>
    <w:rsid w:val="00241EC6"/>
    <w:rsid w:val="0024354A"/>
    <w:rsid w:val="00247223"/>
    <w:rsid w:val="00247343"/>
    <w:rsid w:val="00247DBB"/>
    <w:rsid w:val="00247FAA"/>
    <w:rsid w:val="0025376B"/>
    <w:rsid w:val="00253C16"/>
    <w:rsid w:val="00254DAC"/>
    <w:rsid w:val="00267696"/>
    <w:rsid w:val="00270374"/>
    <w:rsid w:val="00270421"/>
    <w:rsid w:val="00271489"/>
    <w:rsid w:val="0027479C"/>
    <w:rsid w:val="00274C29"/>
    <w:rsid w:val="0027719D"/>
    <w:rsid w:val="0028081B"/>
    <w:rsid w:val="00280D2F"/>
    <w:rsid w:val="00281C31"/>
    <w:rsid w:val="0028217C"/>
    <w:rsid w:val="00283244"/>
    <w:rsid w:val="00283E55"/>
    <w:rsid w:val="00284001"/>
    <w:rsid w:val="002855BB"/>
    <w:rsid w:val="0028652F"/>
    <w:rsid w:val="00287941"/>
    <w:rsid w:val="00287CE4"/>
    <w:rsid w:val="00287FB1"/>
    <w:rsid w:val="00290ED6"/>
    <w:rsid w:val="0029179C"/>
    <w:rsid w:val="00292FC1"/>
    <w:rsid w:val="002938F7"/>
    <w:rsid w:val="00297483"/>
    <w:rsid w:val="0029766B"/>
    <w:rsid w:val="002A2540"/>
    <w:rsid w:val="002A548C"/>
    <w:rsid w:val="002A7274"/>
    <w:rsid w:val="002B006B"/>
    <w:rsid w:val="002B006D"/>
    <w:rsid w:val="002B38FF"/>
    <w:rsid w:val="002B4210"/>
    <w:rsid w:val="002B5576"/>
    <w:rsid w:val="002B7EB7"/>
    <w:rsid w:val="002C0932"/>
    <w:rsid w:val="002C5B14"/>
    <w:rsid w:val="002C76C8"/>
    <w:rsid w:val="002C771E"/>
    <w:rsid w:val="002D0FC5"/>
    <w:rsid w:val="002D26A2"/>
    <w:rsid w:val="002D3D4C"/>
    <w:rsid w:val="002D4635"/>
    <w:rsid w:val="002D6393"/>
    <w:rsid w:val="002D66E4"/>
    <w:rsid w:val="002E1654"/>
    <w:rsid w:val="002E1B10"/>
    <w:rsid w:val="002F19A3"/>
    <w:rsid w:val="002F4C92"/>
    <w:rsid w:val="003003EA"/>
    <w:rsid w:val="0030146D"/>
    <w:rsid w:val="003028D8"/>
    <w:rsid w:val="00303535"/>
    <w:rsid w:val="00304D70"/>
    <w:rsid w:val="003054A8"/>
    <w:rsid w:val="00305940"/>
    <w:rsid w:val="00305B10"/>
    <w:rsid w:val="00305BF9"/>
    <w:rsid w:val="003102F9"/>
    <w:rsid w:val="00312943"/>
    <w:rsid w:val="0031460B"/>
    <w:rsid w:val="003153DD"/>
    <w:rsid w:val="003153EA"/>
    <w:rsid w:val="00315A0F"/>
    <w:rsid w:val="00317299"/>
    <w:rsid w:val="00317F9A"/>
    <w:rsid w:val="003209E2"/>
    <w:rsid w:val="003304AC"/>
    <w:rsid w:val="0033186A"/>
    <w:rsid w:val="00332F74"/>
    <w:rsid w:val="00333B91"/>
    <w:rsid w:val="00334F74"/>
    <w:rsid w:val="003373BD"/>
    <w:rsid w:val="00340796"/>
    <w:rsid w:val="0034198B"/>
    <w:rsid w:val="00342D11"/>
    <w:rsid w:val="00344796"/>
    <w:rsid w:val="0034556D"/>
    <w:rsid w:val="003470EF"/>
    <w:rsid w:val="0034764C"/>
    <w:rsid w:val="00356204"/>
    <w:rsid w:val="00356DD3"/>
    <w:rsid w:val="00362C65"/>
    <w:rsid w:val="00364BF5"/>
    <w:rsid w:val="003659F1"/>
    <w:rsid w:val="00366E44"/>
    <w:rsid w:val="0037025C"/>
    <w:rsid w:val="003715F8"/>
    <w:rsid w:val="00372CC4"/>
    <w:rsid w:val="0037496D"/>
    <w:rsid w:val="00376AAE"/>
    <w:rsid w:val="00376AF4"/>
    <w:rsid w:val="003775B8"/>
    <w:rsid w:val="003845FD"/>
    <w:rsid w:val="003860AA"/>
    <w:rsid w:val="0039064B"/>
    <w:rsid w:val="00392060"/>
    <w:rsid w:val="0039315E"/>
    <w:rsid w:val="00396AF3"/>
    <w:rsid w:val="00397A46"/>
    <w:rsid w:val="003A24A0"/>
    <w:rsid w:val="003A306D"/>
    <w:rsid w:val="003A36CF"/>
    <w:rsid w:val="003A47CD"/>
    <w:rsid w:val="003B1A1D"/>
    <w:rsid w:val="003B2B59"/>
    <w:rsid w:val="003B2DB8"/>
    <w:rsid w:val="003B6BAD"/>
    <w:rsid w:val="003C40C9"/>
    <w:rsid w:val="003C40F5"/>
    <w:rsid w:val="003C414B"/>
    <w:rsid w:val="003D2131"/>
    <w:rsid w:val="003D4C09"/>
    <w:rsid w:val="003D4F62"/>
    <w:rsid w:val="003D59EB"/>
    <w:rsid w:val="003E3A54"/>
    <w:rsid w:val="003E44B8"/>
    <w:rsid w:val="003E4852"/>
    <w:rsid w:val="003E6511"/>
    <w:rsid w:val="003F3724"/>
    <w:rsid w:val="003F3C1A"/>
    <w:rsid w:val="003F408F"/>
    <w:rsid w:val="003F6333"/>
    <w:rsid w:val="004069BA"/>
    <w:rsid w:val="00411884"/>
    <w:rsid w:val="00411AFD"/>
    <w:rsid w:val="00411D76"/>
    <w:rsid w:val="0041285D"/>
    <w:rsid w:val="00412D51"/>
    <w:rsid w:val="00413EAA"/>
    <w:rsid w:val="00414F8B"/>
    <w:rsid w:val="004240AE"/>
    <w:rsid w:val="0042478D"/>
    <w:rsid w:val="00425759"/>
    <w:rsid w:val="00426FC6"/>
    <w:rsid w:val="00430401"/>
    <w:rsid w:val="0043131A"/>
    <w:rsid w:val="00433936"/>
    <w:rsid w:val="00433A48"/>
    <w:rsid w:val="00433AE8"/>
    <w:rsid w:val="00435B79"/>
    <w:rsid w:val="004365FA"/>
    <w:rsid w:val="00440E9B"/>
    <w:rsid w:val="00441CF8"/>
    <w:rsid w:val="0044389A"/>
    <w:rsid w:val="004449E7"/>
    <w:rsid w:val="00446EA9"/>
    <w:rsid w:val="00451C24"/>
    <w:rsid w:val="004561E4"/>
    <w:rsid w:val="00463758"/>
    <w:rsid w:val="00465B1B"/>
    <w:rsid w:val="00466BA5"/>
    <w:rsid w:val="004672B5"/>
    <w:rsid w:val="00471E57"/>
    <w:rsid w:val="004721AB"/>
    <w:rsid w:val="00472F1C"/>
    <w:rsid w:val="00474F05"/>
    <w:rsid w:val="00483737"/>
    <w:rsid w:val="0048413F"/>
    <w:rsid w:val="0048487C"/>
    <w:rsid w:val="0048694E"/>
    <w:rsid w:val="0048754E"/>
    <w:rsid w:val="0049186C"/>
    <w:rsid w:val="00492466"/>
    <w:rsid w:val="00492483"/>
    <w:rsid w:val="00492CFF"/>
    <w:rsid w:val="004974AB"/>
    <w:rsid w:val="00497FF1"/>
    <w:rsid w:val="004A279D"/>
    <w:rsid w:val="004A42B9"/>
    <w:rsid w:val="004A522B"/>
    <w:rsid w:val="004B37D8"/>
    <w:rsid w:val="004B44EE"/>
    <w:rsid w:val="004B5001"/>
    <w:rsid w:val="004B5C5B"/>
    <w:rsid w:val="004C1D35"/>
    <w:rsid w:val="004C1EA4"/>
    <w:rsid w:val="004C3C7F"/>
    <w:rsid w:val="004C62B0"/>
    <w:rsid w:val="004C65F6"/>
    <w:rsid w:val="004C7153"/>
    <w:rsid w:val="004D0DF5"/>
    <w:rsid w:val="004D12BD"/>
    <w:rsid w:val="004D262E"/>
    <w:rsid w:val="004D3A29"/>
    <w:rsid w:val="004D3F18"/>
    <w:rsid w:val="004D7DC5"/>
    <w:rsid w:val="004D7E39"/>
    <w:rsid w:val="004E1BC5"/>
    <w:rsid w:val="004E418C"/>
    <w:rsid w:val="004E4FD6"/>
    <w:rsid w:val="004E5452"/>
    <w:rsid w:val="004E5BFA"/>
    <w:rsid w:val="004F0AA9"/>
    <w:rsid w:val="004F129B"/>
    <w:rsid w:val="004F47C7"/>
    <w:rsid w:val="004F71DB"/>
    <w:rsid w:val="005027CE"/>
    <w:rsid w:val="00503CD6"/>
    <w:rsid w:val="00507930"/>
    <w:rsid w:val="00511595"/>
    <w:rsid w:val="0051290D"/>
    <w:rsid w:val="005145F5"/>
    <w:rsid w:val="005204FE"/>
    <w:rsid w:val="005206BA"/>
    <w:rsid w:val="00521568"/>
    <w:rsid w:val="00521FD5"/>
    <w:rsid w:val="005223FE"/>
    <w:rsid w:val="0052293E"/>
    <w:rsid w:val="00525B91"/>
    <w:rsid w:val="00530DC8"/>
    <w:rsid w:val="0053389E"/>
    <w:rsid w:val="00536B22"/>
    <w:rsid w:val="00541046"/>
    <w:rsid w:val="00541E6C"/>
    <w:rsid w:val="00543C96"/>
    <w:rsid w:val="00546C2D"/>
    <w:rsid w:val="00552BC0"/>
    <w:rsid w:val="005547DC"/>
    <w:rsid w:val="00557D2E"/>
    <w:rsid w:val="0056019C"/>
    <w:rsid w:val="0056141D"/>
    <w:rsid w:val="00561735"/>
    <w:rsid w:val="00561804"/>
    <w:rsid w:val="005626F2"/>
    <w:rsid w:val="005637D8"/>
    <w:rsid w:val="005644F3"/>
    <w:rsid w:val="00566A2D"/>
    <w:rsid w:val="00566FF8"/>
    <w:rsid w:val="005743BB"/>
    <w:rsid w:val="00574CF6"/>
    <w:rsid w:val="00574E25"/>
    <w:rsid w:val="005778E0"/>
    <w:rsid w:val="00577E37"/>
    <w:rsid w:val="00580711"/>
    <w:rsid w:val="00580876"/>
    <w:rsid w:val="00580ACF"/>
    <w:rsid w:val="00584BDE"/>
    <w:rsid w:val="00587904"/>
    <w:rsid w:val="005901E0"/>
    <w:rsid w:val="00590443"/>
    <w:rsid w:val="0059146C"/>
    <w:rsid w:val="00591C84"/>
    <w:rsid w:val="005926BF"/>
    <w:rsid w:val="0059503B"/>
    <w:rsid w:val="005A0CFB"/>
    <w:rsid w:val="005A1149"/>
    <w:rsid w:val="005A3E53"/>
    <w:rsid w:val="005A640E"/>
    <w:rsid w:val="005A7124"/>
    <w:rsid w:val="005B021C"/>
    <w:rsid w:val="005B1B15"/>
    <w:rsid w:val="005B318F"/>
    <w:rsid w:val="005B350C"/>
    <w:rsid w:val="005B443A"/>
    <w:rsid w:val="005B52A9"/>
    <w:rsid w:val="005B5859"/>
    <w:rsid w:val="005B6731"/>
    <w:rsid w:val="005B6DB3"/>
    <w:rsid w:val="005B72F6"/>
    <w:rsid w:val="005B7D7B"/>
    <w:rsid w:val="005B7F86"/>
    <w:rsid w:val="005C10C6"/>
    <w:rsid w:val="005C2FE5"/>
    <w:rsid w:val="005C37F6"/>
    <w:rsid w:val="005C674E"/>
    <w:rsid w:val="005D00F7"/>
    <w:rsid w:val="005D5F2E"/>
    <w:rsid w:val="005E1705"/>
    <w:rsid w:val="005E1DEA"/>
    <w:rsid w:val="005E2C82"/>
    <w:rsid w:val="005E36D2"/>
    <w:rsid w:val="005F37E5"/>
    <w:rsid w:val="005F6056"/>
    <w:rsid w:val="005F629F"/>
    <w:rsid w:val="005F6E97"/>
    <w:rsid w:val="00600D83"/>
    <w:rsid w:val="00602109"/>
    <w:rsid w:val="006043E6"/>
    <w:rsid w:val="006049DC"/>
    <w:rsid w:val="00605A39"/>
    <w:rsid w:val="00607329"/>
    <w:rsid w:val="00607C55"/>
    <w:rsid w:val="0061005B"/>
    <w:rsid w:val="0061098C"/>
    <w:rsid w:val="00614400"/>
    <w:rsid w:val="00614A09"/>
    <w:rsid w:val="00621965"/>
    <w:rsid w:val="00622D39"/>
    <w:rsid w:val="00626F5D"/>
    <w:rsid w:val="006329F6"/>
    <w:rsid w:val="0063334F"/>
    <w:rsid w:val="00633E69"/>
    <w:rsid w:val="00636CC1"/>
    <w:rsid w:val="0063721D"/>
    <w:rsid w:val="006402A1"/>
    <w:rsid w:val="00642569"/>
    <w:rsid w:val="00642E32"/>
    <w:rsid w:val="0064777B"/>
    <w:rsid w:val="006514D2"/>
    <w:rsid w:val="00651723"/>
    <w:rsid w:val="0065176C"/>
    <w:rsid w:val="0065264C"/>
    <w:rsid w:val="00652BF9"/>
    <w:rsid w:val="00653404"/>
    <w:rsid w:val="006554CE"/>
    <w:rsid w:val="00656643"/>
    <w:rsid w:val="00657058"/>
    <w:rsid w:val="006610B4"/>
    <w:rsid w:val="00662431"/>
    <w:rsid w:val="00663166"/>
    <w:rsid w:val="0066356F"/>
    <w:rsid w:val="00665E1D"/>
    <w:rsid w:val="006666EE"/>
    <w:rsid w:val="00674604"/>
    <w:rsid w:val="00680BE7"/>
    <w:rsid w:val="00683E72"/>
    <w:rsid w:val="0069142F"/>
    <w:rsid w:val="0069176D"/>
    <w:rsid w:val="00692C97"/>
    <w:rsid w:val="00697868"/>
    <w:rsid w:val="006A5C2B"/>
    <w:rsid w:val="006B0288"/>
    <w:rsid w:val="006B0EC3"/>
    <w:rsid w:val="006B2C3F"/>
    <w:rsid w:val="006B7B71"/>
    <w:rsid w:val="006C0945"/>
    <w:rsid w:val="006C2E84"/>
    <w:rsid w:val="006C3CF5"/>
    <w:rsid w:val="006C6F74"/>
    <w:rsid w:val="006C7594"/>
    <w:rsid w:val="006D0204"/>
    <w:rsid w:val="006D11C3"/>
    <w:rsid w:val="006D26E5"/>
    <w:rsid w:val="006D3FA7"/>
    <w:rsid w:val="006D4B0C"/>
    <w:rsid w:val="006D67B1"/>
    <w:rsid w:val="006D777B"/>
    <w:rsid w:val="006E0625"/>
    <w:rsid w:val="006E39B2"/>
    <w:rsid w:val="006E478D"/>
    <w:rsid w:val="006F4CCF"/>
    <w:rsid w:val="006F4D4B"/>
    <w:rsid w:val="006F53E2"/>
    <w:rsid w:val="006F5DEF"/>
    <w:rsid w:val="006F5FCC"/>
    <w:rsid w:val="006F68A3"/>
    <w:rsid w:val="00700B19"/>
    <w:rsid w:val="00702669"/>
    <w:rsid w:val="00702956"/>
    <w:rsid w:val="00702D05"/>
    <w:rsid w:val="00702F43"/>
    <w:rsid w:val="0070377D"/>
    <w:rsid w:val="00704081"/>
    <w:rsid w:val="00704248"/>
    <w:rsid w:val="00706948"/>
    <w:rsid w:val="00707839"/>
    <w:rsid w:val="007111B8"/>
    <w:rsid w:val="00711F6C"/>
    <w:rsid w:val="007130AF"/>
    <w:rsid w:val="00722845"/>
    <w:rsid w:val="00725013"/>
    <w:rsid w:val="007254AC"/>
    <w:rsid w:val="007263FE"/>
    <w:rsid w:val="00732146"/>
    <w:rsid w:val="00735459"/>
    <w:rsid w:val="00735F30"/>
    <w:rsid w:val="007361B4"/>
    <w:rsid w:val="007457F9"/>
    <w:rsid w:val="00745E47"/>
    <w:rsid w:val="007460D9"/>
    <w:rsid w:val="0074661A"/>
    <w:rsid w:val="00747B56"/>
    <w:rsid w:val="00750FDB"/>
    <w:rsid w:val="00753AD9"/>
    <w:rsid w:val="00753CB9"/>
    <w:rsid w:val="00753CCC"/>
    <w:rsid w:val="00753DC9"/>
    <w:rsid w:val="0075603B"/>
    <w:rsid w:val="007574F2"/>
    <w:rsid w:val="00757F4C"/>
    <w:rsid w:val="00760A9B"/>
    <w:rsid w:val="00760F6B"/>
    <w:rsid w:val="00761508"/>
    <w:rsid w:val="0076150D"/>
    <w:rsid w:val="00761793"/>
    <w:rsid w:val="00761C0F"/>
    <w:rsid w:val="00762541"/>
    <w:rsid w:val="0076294E"/>
    <w:rsid w:val="007636C2"/>
    <w:rsid w:val="0076594F"/>
    <w:rsid w:val="00766299"/>
    <w:rsid w:val="00770AAA"/>
    <w:rsid w:val="00771B68"/>
    <w:rsid w:val="00771E9C"/>
    <w:rsid w:val="0078038C"/>
    <w:rsid w:val="00781D59"/>
    <w:rsid w:val="00781E81"/>
    <w:rsid w:val="00783981"/>
    <w:rsid w:val="0078424F"/>
    <w:rsid w:val="00786627"/>
    <w:rsid w:val="007869AC"/>
    <w:rsid w:val="00791609"/>
    <w:rsid w:val="00792687"/>
    <w:rsid w:val="00794CCE"/>
    <w:rsid w:val="00797491"/>
    <w:rsid w:val="007A133C"/>
    <w:rsid w:val="007A2764"/>
    <w:rsid w:val="007A5706"/>
    <w:rsid w:val="007A7DA9"/>
    <w:rsid w:val="007B0B43"/>
    <w:rsid w:val="007C0E77"/>
    <w:rsid w:val="007C3A54"/>
    <w:rsid w:val="007C4860"/>
    <w:rsid w:val="007C4E13"/>
    <w:rsid w:val="007C7B79"/>
    <w:rsid w:val="007C7F7C"/>
    <w:rsid w:val="007D0999"/>
    <w:rsid w:val="007D18CD"/>
    <w:rsid w:val="007D3649"/>
    <w:rsid w:val="007D52E4"/>
    <w:rsid w:val="007D597B"/>
    <w:rsid w:val="007D6E8A"/>
    <w:rsid w:val="007D6F1E"/>
    <w:rsid w:val="007D74C3"/>
    <w:rsid w:val="007D754C"/>
    <w:rsid w:val="007D766E"/>
    <w:rsid w:val="007D7715"/>
    <w:rsid w:val="007E7C50"/>
    <w:rsid w:val="007F091A"/>
    <w:rsid w:val="007F49C4"/>
    <w:rsid w:val="007F77F8"/>
    <w:rsid w:val="00801626"/>
    <w:rsid w:val="00802415"/>
    <w:rsid w:val="00803D68"/>
    <w:rsid w:val="00804195"/>
    <w:rsid w:val="00811C33"/>
    <w:rsid w:val="008167E2"/>
    <w:rsid w:val="0081740A"/>
    <w:rsid w:val="00817AD1"/>
    <w:rsid w:val="0082038A"/>
    <w:rsid w:val="00820E55"/>
    <w:rsid w:val="00821D44"/>
    <w:rsid w:val="00822DF2"/>
    <w:rsid w:val="00824DFA"/>
    <w:rsid w:val="008260E2"/>
    <w:rsid w:val="00826624"/>
    <w:rsid w:val="00832011"/>
    <w:rsid w:val="00833210"/>
    <w:rsid w:val="00835591"/>
    <w:rsid w:val="00837109"/>
    <w:rsid w:val="00841C98"/>
    <w:rsid w:val="00842ACB"/>
    <w:rsid w:val="008431FE"/>
    <w:rsid w:val="00845687"/>
    <w:rsid w:val="0084573F"/>
    <w:rsid w:val="0084602C"/>
    <w:rsid w:val="00846A09"/>
    <w:rsid w:val="00852A38"/>
    <w:rsid w:val="008542DE"/>
    <w:rsid w:val="00856228"/>
    <w:rsid w:val="008565AD"/>
    <w:rsid w:val="0086005A"/>
    <w:rsid w:val="00860F4E"/>
    <w:rsid w:val="00862934"/>
    <w:rsid w:val="008651BF"/>
    <w:rsid w:val="00867FED"/>
    <w:rsid w:val="00870DDC"/>
    <w:rsid w:val="00872E34"/>
    <w:rsid w:val="00875FD9"/>
    <w:rsid w:val="00883AB2"/>
    <w:rsid w:val="008849FD"/>
    <w:rsid w:val="008876A2"/>
    <w:rsid w:val="00890450"/>
    <w:rsid w:val="008918C4"/>
    <w:rsid w:val="0089257A"/>
    <w:rsid w:val="00892AE4"/>
    <w:rsid w:val="00894B2C"/>
    <w:rsid w:val="008962E9"/>
    <w:rsid w:val="00896625"/>
    <w:rsid w:val="00896BEB"/>
    <w:rsid w:val="008A2EF8"/>
    <w:rsid w:val="008A3A60"/>
    <w:rsid w:val="008A6976"/>
    <w:rsid w:val="008B7BB5"/>
    <w:rsid w:val="008C19D0"/>
    <w:rsid w:val="008C1BD9"/>
    <w:rsid w:val="008C23F4"/>
    <w:rsid w:val="008C517A"/>
    <w:rsid w:val="008D2279"/>
    <w:rsid w:val="008D4503"/>
    <w:rsid w:val="008E087B"/>
    <w:rsid w:val="008E2460"/>
    <w:rsid w:val="008E3544"/>
    <w:rsid w:val="008E46CA"/>
    <w:rsid w:val="008F331F"/>
    <w:rsid w:val="008F4361"/>
    <w:rsid w:val="008F4534"/>
    <w:rsid w:val="008F60D4"/>
    <w:rsid w:val="008F68B0"/>
    <w:rsid w:val="008F7D4C"/>
    <w:rsid w:val="00900307"/>
    <w:rsid w:val="009012F5"/>
    <w:rsid w:val="00901485"/>
    <w:rsid w:val="00903985"/>
    <w:rsid w:val="00903A1D"/>
    <w:rsid w:val="00903AC7"/>
    <w:rsid w:val="009052E3"/>
    <w:rsid w:val="00905C75"/>
    <w:rsid w:val="00912923"/>
    <w:rsid w:val="00916902"/>
    <w:rsid w:val="0092153A"/>
    <w:rsid w:val="0092355E"/>
    <w:rsid w:val="00923FA5"/>
    <w:rsid w:val="00925BD8"/>
    <w:rsid w:val="00927A70"/>
    <w:rsid w:val="00930AEC"/>
    <w:rsid w:val="00930F88"/>
    <w:rsid w:val="00931022"/>
    <w:rsid w:val="00932E1E"/>
    <w:rsid w:val="00934441"/>
    <w:rsid w:val="009346EB"/>
    <w:rsid w:val="00935890"/>
    <w:rsid w:val="00936BFB"/>
    <w:rsid w:val="00937613"/>
    <w:rsid w:val="00942ACB"/>
    <w:rsid w:val="00942B89"/>
    <w:rsid w:val="009439F3"/>
    <w:rsid w:val="0094504C"/>
    <w:rsid w:val="00945300"/>
    <w:rsid w:val="009475C6"/>
    <w:rsid w:val="0095093A"/>
    <w:rsid w:val="009514FD"/>
    <w:rsid w:val="009525E5"/>
    <w:rsid w:val="00952E0A"/>
    <w:rsid w:val="00954A28"/>
    <w:rsid w:val="0095505B"/>
    <w:rsid w:val="00960867"/>
    <w:rsid w:val="009623E1"/>
    <w:rsid w:val="0096445A"/>
    <w:rsid w:val="009668E6"/>
    <w:rsid w:val="00970297"/>
    <w:rsid w:val="00971629"/>
    <w:rsid w:val="00971A69"/>
    <w:rsid w:val="009729D4"/>
    <w:rsid w:val="009738A6"/>
    <w:rsid w:val="00975BA4"/>
    <w:rsid w:val="0097698F"/>
    <w:rsid w:val="00977958"/>
    <w:rsid w:val="00980F48"/>
    <w:rsid w:val="0098411C"/>
    <w:rsid w:val="0098587F"/>
    <w:rsid w:val="009876F8"/>
    <w:rsid w:val="00990A31"/>
    <w:rsid w:val="00994A8D"/>
    <w:rsid w:val="009A182C"/>
    <w:rsid w:val="009A5440"/>
    <w:rsid w:val="009A580D"/>
    <w:rsid w:val="009B121B"/>
    <w:rsid w:val="009B4B5C"/>
    <w:rsid w:val="009B524C"/>
    <w:rsid w:val="009B6B99"/>
    <w:rsid w:val="009B6CF9"/>
    <w:rsid w:val="009C2223"/>
    <w:rsid w:val="009C5453"/>
    <w:rsid w:val="009C601C"/>
    <w:rsid w:val="009C6C4C"/>
    <w:rsid w:val="009D10BF"/>
    <w:rsid w:val="009D10D4"/>
    <w:rsid w:val="009D1942"/>
    <w:rsid w:val="009D2105"/>
    <w:rsid w:val="009D2A7F"/>
    <w:rsid w:val="009D4904"/>
    <w:rsid w:val="009D70BF"/>
    <w:rsid w:val="009E2843"/>
    <w:rsid w:val="009E42AB"/>
    <w:rsid w:val="009E4B5E"/>
    <w:rsid w:val="009E5F78"/>
    <w:rsid w:val="009E66C7"/>
    <w:rsid w:val="009E6EB4"/>
    <w:rsid w:val="009F5931"/>
    <w:rsid w:val="009F789D"/>
    <w:rsid w:val="00A016DB"/>
    <w:rsid w:val="00A030C7"/>
    <w:rsid w:val="00A032C0"/>
    <w:rsid w:val="00A03F48"/>
    <w:rsid w:val="00A048D9"/>
    <w:rsid w:val="00A05175"/>
    <w:rsid w:val="00A0553E"/>
    <w:rsid w:val="00A05EF4"/>
    <w:rsid w:val="00A06294"/>
    <w:rsid w:val="00A108D0"/>
    <w:rsid w:val="00A10C4D"/>
    <w:rsid w:val="00A122CE"/>
    <w:rsid w:val="00A12AD4"/>
    <w:rsid w:val="00A16A83"/>
    <w:rsid w:val="00A171DC"/>
    <w:rsid w:val="00A21537"/>
    <w:rsid w:val="00A216D6"/>
    <w:rsid w:val="00A2501F"/>
    <w:rsid w:val="00A2511D"/>
    <w:rsid w:val="00A2702F"/>
    <w:rsid w:val="00A27959"/>
    <w:rsid w:val="00A30F3F"/>
    <w:rsid w:val="00A31A30"/>
    <w:rsid w:val="00A3405F"/>
    <w:rsid w:val="00A37F11"/>
    <w:rsid w:val="00A40047"/>
    <w:rsid w:val="00A404ED"/>
    <w:rsid w:val="00A420BD"/>
    <w:rsid w:val="00A449E2"/>
    <w:rsid w:val="00A44A6B"/>
    <w:rsid w:val="00A45116"/>
    <w:rsid w:val="00A4639B"/>
    <w:rsid w:val="00A4781A"/>
    <w:rsid w:val="00A50217"/>
    <w:rsid w:val="00A51954"/>
    <w:rsid w:val="00A54913"/>
    <w:rsid w:val="00A557E2"/>
    <w:rsid w:val="00A55CBB"/>
    <w:rsid w:val="00A606A0"/>
    <w:rsid w:val="00A6244D"/>
    <w:rsid w:val="00A626F9"/>
    <w:rsid w:val="00A629FF"/>
    <w:rsid w:val="00A639CE"/>
    <w:rsid w:val="00A70C88"/>
    <w:rsid w:val="00A72E9F"/>
    <w:rsid w:val="00A74A83"/>
    <w:rsid w:val="00A75716"/>
    <w:rsid w:val="00A75747"/>
    <w:rsid w:val="00A77487"/>
    <w:rsid w:val="00A80809"/>
    <w:rsid w:val="00A80997"/>
    <w:rsid w:val="00A8252E"/>
    <w:rsid w:val="00A830B3"/>
    <w:rsid w:val="00A84EA6"/>
    <w:rsid w:val="00A85768"/>
    <w:rsid w:val="00A86FDF"/>
    <w:rsid w:val="00A87901"/>
    <w:rsid w:val="00A91EA2"/>
    <w:rsid w:val="00A93E5E"/>
    <w:rsid w:val="00A94777"/>
    <w:rsid w:val="00A97858"/>
    <w:rsid w:val="00AA13B8"/>
    <w:rsid w:val="00AA43F6"/>
    <w:rsid w:val="00AA6FE7"/>
    <w:rsid w:val="00AA765A"/>
    <w:rsid w:val="00AB2806"/>
    <w:rsid w:val="00AB696B"/>
    <w:rsid w:val="00AC12BD"/>
    <w:rsid w:val="00AC1887"/>
    <w:rsid w:val="00AC1D6B"/>
    <w:rsid w:val="00AC3AC4"/>
    <w:rsid w:val="00AC6524"/>
    <w:rsid w:val="00AC6B76"/>
    <w:rsid w:val="00AC6D8C"/>
    <w:rsid w:val="00AD0A4A"/>
    <w:rsid w:val="00AD1593"/>
    <w:rsid w:val="00AD16F3"/>
    <w:rsid w:val="00AD6E04"/>
    <w:rsid w:val="00AE29E3"/>
    <w:rsid w:val="00AE5C69"/>
    <w:rsid w:val="00AE7169"/>
    <w:rsid w:val="00AF1082"/>
    <w:rsid w:val="00AF4577"/>
    <w:rsid w:val="00AF572E"/>
    <w:rsid w:val="00AF760C"/>
    <w:rsid w:val="00B006D9"/>
    <w:rsid w:val="00B03416"/>
    <w:rsid w:val="00B06B88"/>
    <w:rsid w:val="00B10D8F"/>
    <w:rsid w:val="00B1204F"/>
    <w:rsid w:val="00B12100"/>
    <w:rsid w:val="00B12F33"/>
    <w:rsid w:val="00B13025"/>
    <w:rsid w:val="00B1357F"/>
    <w:rsid w:val="00B1363B"/>
    <w:rsid w:val="00B158EC"/>
    <w:rsid w:val="00B17AA3"/>
    <w:rsid w:val="00B21DA3"/>
    <w:rsid w:val="00B21DCA"/>
    <w:rsid w:val="00B2203F"/>
    <w:rsid w:val="00B22938"/>
    <w:rsid w:val="00B23C75"/>
    <w:rsid w:val="00B33FB0"/>
    <w:rsid w:val="00B34F59"/>
    <w:rsid w:val="00B34FB3"/>
    <w:rsid w:val="00B41BE0"/>
    <w:rsid w:val="00B42DBC"/>
    <w:rsid w:val="00B46596"/>
    <w:rsid w:val="00B47069"/>
    <w:rsid w:val="00B507CF"/>
    <w:rsid w:val="00B50845"/>
    <w:rsid w:val="00B53471"/>
    <w:rsid w:val="00B540CF"/>
    <w:rsid w:val="00B546A7"/>
    <w:rsid w:val="00B54A13"/>
    <w:rsid w:val="00B5511C"/>
    <w:rsid w:val="00B5695A"/>
    <w:rsid w:val="00B60B9B"/>
    <w:rsid w:val="00B64896"/>
    <w:rsid w:val="00B665F2"/>
    <w:rsid w:val="00B6688E"/>
    <w:rsid w:val="00B676F2"/>
    <w:rsid w:val="00B70C85"/>
    <w:rsid w:val="00B71E9A"/>
    <w:rsid w:val="00B73207"/>
    <w:rsid w:val="00B74752"/>
    <w:rsid w:val="00B75212"/>
    <w:rsid w:val="00B80439"/>
    <w:rsid w:val="00B83401"/>
    <w:rsid w:val="00B91287"/>
    <w:rsid w:val="00B9447F"/>
    <w:rsid w:val="00B95CDD"/>
    <w:rsid w:val="00BA1576"/>
    <w:rsid w:val="00BA6D29"/>
    <w:rsid w:val="00BA7017"/>
    <w:rsid w:val="00BA7370"/>
    <w:rsid w:val="00BB3D90"/>
    <w:rsid w:val="00BB5EB1"/>
    <w:rsid w:val="00BB7DE6"/>
    <w:rsid w:val="00BC10E7"/>
    <w:rsid w:val="00BC2F89"/>
    <w:rsid w:val="00BC339B"/>
    <w:rsid w:val="00BC3FC9"/>
    <w:rsid w:val="00BD032E"/>
    <w:rsid w:val="00BD23EF"/>
    <w:rsid w:val="00BD29F7"/>
    <w:rsid w:val="00BD5FA3"/>
    <w:rsid w:val="00BD66D3"/>
    <w:rsid w:val="00BE17AA"/>
    <w:rsid w:val="00BE3188"/>
    <w:rsid w:val="00BE4378"/>
    <w:rsid w:val="00BE5479"/>
    <w:rsid w:val="00BE59D8"/>
    <w:rsid w:val="00BE6377"/>
    <w:rsid w:val="00BE71B2"/>
    <w:rsid w:val="00BF4CE7"/>
    <w:rsid w:val="00BF5A92"/>
    <w:rsid w:val="00BF7159"/>
    <w:rsid w:val="00C012E0"/>
    <w:rsid w:val="00C01CAC"/>
    <w:rsid w:val="00C0233A"/>
    <w:rsid w:val="00C0661F"/>
    <w:rsid w:val="00C06AC2"/>
    <w:rsid w:val="00C0726B"/>
    <w:rsid w:val="00C07885"/>
    <w:rsid w:val="00C1348E"/>
    <w:rsid w:val="00C15FD6"/>
    <w:rsid w:val="00C16CA6"/>
    <w:rsid w:val="00C2245B"/>
    <w:rsid w:val="00C234CE"/>
    <w:rsid w:val="00C251CA"/>
    <w:rsid w:val="00C25D1E"/>
    <w:rsid w:val="00C27BC5"/>
    <w:rsid w:val="00C30893"/>
    <w:rsid w:val="00C31640"/>
    <w:rsid w:val="00C3638A"/>
    <w:rsid w:val="00C36C42"/>
    <w:rsid w:val="00C45DAE"/>
    <w:rsid w:val="00C5198C"/>
    <w:rsid w:val="00C51A56"/>
    <w:rsid w:val="00C53B56"/>
    <w:rsid w:val="00C5713C"/>
    <w:rsid w:val="00C6184D"/>
    <w:rsid w:val="00C6397E"/>
    <w:rsid w:val="00C65467"/>
    <w:rsid w:val="00C6569D"/>
    <w:rsid w:val="00C671D1"/>
    <w:rsid w:val="00C70CE9"/>
    <w:rsid w:val="00C743A2"/>
    <w:rsid w:val="00C74F8A"/>
    <w:rsid w:val="00C75AC3"/>
    <w:rsid w:val="00C7623E"/>
    <w:rsid w:val="00C772DF"/>
    <w:rsid w:val="00C773FA"/>
    <w:rsid w:val="00C77B9A"/>
    <w:rsid w:val="00C8001F"/>
    <w:rsid w:val="00C82CC4"/>
    <w:rsid w:val="00C83E53"/>
    <w:rsid w:val="00C92D16"/>
    <w:rsid w:val="00C93DC1"/>
    <w:rsid w:val="00C96A31"/>
    <w:rsid w:val="00C97022"/>
    <w:rsid w:val="00CA1A61"/>
    <w:rsid w:val="00CA3EDF"/>
    <w:rsid w:val="00CA752F"/>
    <w:rsid w:val="00CB3207"/>
    <w:rsid w:val="00CC0108"/>
    <w:rsid w:val="00CC280C"/>
    <w:rsid w:val="00CC42FB"/>
    <w:rsid w:val="00CC6241"/>
    <w:rsid w:val="00CC6CE6"/>
    <w:rsid w:val="00CC713A"/>
    <w:rsid w:val="00CC7624"/>
    <w:rsid w:val="00CD4A34"/>
    <w:rsid w:val="00CD64D5"/>
    <w:rsid w:val="00CE12D0"/>
    <w:rsid w:val="00CE185F"/>
    <w:rsid w:val="00CE1AA5"/>
    <w:rsid w:val="00CE2FA0"/>
    <w:rsid w:val="00CE4B37"/>
    <w:rsid w:val="00CE683C"/>
    <w:rsid w:val="00CF5523"/>
    <w:rsid w:val="00D00BDE"/>
    <w:rsid w:val="00D01323"/>
    <w:rsid w:val="00D018BF"/>
    <w:rsid w:val="00D01DA9"/>
    <w:rsid w:val="00D026E2"/>
    <w:rsid w:val="00D028AA"/>
    <w:rsid w:val="00D02E12"/>
    <w:rsid w:val="00D038D6"/>
    <w:rsid w:val="00D06733"/>
    <w:rsid w:val="00D079D4"/>
    <w:rsid w:val="00D07C06"/>
    <w:rsid w:val="00D1138B"/>
    <w:rsid w:val="00D11AEA"/>
    <w:rsid w:val="00D12497"/>
    <w:rsid w:val="00D13A46"/>
    <w:rsid w:val="00D14240"/>
    <w:rsid w:val="00D1434A"/>
    <w:rsid w:val="00D146A7"/>
    <w:rsid w:val="00D179E5"/>
    <w:rsid w:val="00D204F4"/>
    <w:rsid w:val="00D2130D"/>
    <w:rsid w:val="00D23354"/>
    <w:rsid w:val="00D23EB5"/>
    <w:rsid w:val="00D24484"/>
    <w:rsid w:val="00D261EC"/>
    <w:rsid w:val="00D2663E"/>
    <w:rsid w:val="00D26ABD"/>
    <w:rsid w:val="00D31D57"/>
    <w:rsid w:val="00D31DE0"/>
    <w:rsid w:val="00D31FB8"/>
    <w:rsid w:val="00D3301F"/>
    <w:rsid w:val="00D34D56"/>
    <w:rsid w:val="00D36D0D"/>
    <w:rsid w:val="00D40352"/>
    <w:rsid w:val="00D4072E"/>
    <w:rsid w:val="00D442D2"/>
    <w:rsid w:val="00D5087E"/>
    <w:rsid w:val="00D510E2"/>
    <w:rsid w:val="00D518E5"/>
    <w:rsid w:val="00D51DE9"/>
    <w:rsid w:val="00D5211F"/>
    <w:rsid w:val="00D53389"/>
    <w:rsid w:val="00D5399F"/>
    <w:rsid w:val="00D5610D"/>
    <w:rsid w:val="00D569CF"/>
    <w:rsid w:val="00D56F05"/>
    <w:rsid w:val="00D57BDC"/>
    <w:rsid w:val="00D604F0"/>
    <w:rsid w:val="00D64A47"/>
    <w:rsid w:val="00D663BF"/>
    <w:rsid w:val="00D76144"/>
    <w:rsid w:val="00D76371"/>
    <w:rsid w:val="00D80090"/>
    <w:rsid w:val="00D808C0"/>
    <w:rsid w:val="00D80924"/>
    <w:rsid w:val="00D820A6"/>
    <w:rsid w:val="00D845E1"/>
    <w:rsid w:val="00D86D4D"/>
    <w:rsid w:val="00D911B2"/>
    <w:rsid w:val="00DA1041"/>
    <w:rsid w:val="00DA1AC5"/>
    <w:rsid w:val="00DA4231"/>
    <w:rsid w:val="00DA4266"/>
    <w:rsid w:val="00DA49D7"/>
    <w:rsid w:val="00DA4F22"/>
    <w:rsid w:val="00DA5379"/>
    <w:rsid w:val="00DB1666"/>
    <w:rsid w:val="00DB484F"/>
    <w:rsid w:val="00DB51CF"/>
    <w:rsid w:val="00DB7C78"/>
    <w:rsid w:val="00DB7CF1"/>
    <w:rsid w:val="00DC0567"/>
    <w:rsid w:val="00DC2805"/>
    <w:rsid w:val="00DD0D99"/>
    <w:rsid w:val="00DD3F3F"/>
    <w:rsid w:val="00DD67B7"/>
    <w:rsid w:val="00DD6FFC"/>
    <w:rsid w:val="00DE0136"/>
    <w:rsid w:val="00DE149E"/>
    <w:rsid w:val="00DE1571"/>
    <w:rsid w:val="00DE2985"/>
    <w:rsid w:val="00DE3178"/>
    <w:rsid w:val="00DE348F"/>
    <w:rsid w:val="00DE5A75"/>
    <w:rsid w:val="00DE658A"/>
    <w:rsid w:val="00DE6A4F"/>
    <w:rsid w:val="00DE7933"/>
    <w:rsid w:val="00DF33D2"/>
    <w:rsid w:val="00DF3C52"/>
    <w:rsid w:val="00DF3F04"/>
    <w:rsid w:val="00DF53D1"/>
    <w:rsid w:val="00DF5928"/>
    <w:rsid w:val="00DF5EB8"/>
    <w:rsid w:val="00DF7CD1"/>
    <w:rsid w:val="00E0547B"/>
    <w:rsid w:val="00E0578C"/>
    <w:rsid w:val="00E0586F"/>
    <w:rsid w:val="00E07C50"/>
    <w:rsid w:val="00E104BC"/>
    <w:rsid w:val="00E11678"/>
    <w:rsid w:val="00E15221"/>
    <w:rsid w:val="00E172FF"/>
    <w:rsid w:val="00E220DE"/>
    <w:rsid w:val="00E228E9"/>
    <w:rsid w:val="00E24A1E"/>
    <w:rsid w:val="00E25FD1"/>
    <w:rsid w:val="00E33E0A"/>
    <w:rsid w:val="00E34CF4"/>
    <w:rsid w:val="00E34D7C"/>
    <w:rsid w:val="00E37C36"/>
    <w:rsid w:val="00E404D6"/>
    <w:rsid w:val="00E43424"/>
    <w:rsid w:val="00E44756"/>
    <w:rsid w:val="00E448A3"/>
    <w:rsid w:val="00E537A4"/>
    <w:rsid w:val="00E5443E"/>
    <w:rsid w:val="00E54C79"/>
    <w:rsid w:val="00E5547A"/>
    <w:rsid w:val="00E5798A"/>
    <w:rsid w:val="00E61BF5"/>
    <w:rsid w:val="00E6362C"/>
    <w:rsid w:val="00E64A10"/>
    <w:rsid w:val="00E6526E"/>
    <w:rsid w:val="00E66C35"/>
    <w:rsid w:val="00E66EBE"/>
    <w:rsid w:val="00E673FC"/>
    <w:rsid w:val="00E71642"/>
    <w:rsid w:val="00E7191C"/>
    <w:rsid w:val="00E72B53"/>
    <w:rsid w:val="00E72EC6"/>
    <w:rsid w:val="00E7333D"/>
    <w:rsid w:val="00E7344D"/>
    <w:rsid w:val="00E74B40"/>
    <w:rsid w:val="00E7535F"/>
    <w:rsid w:val="00E75601"/>
    <w:rsid w:val="00E81DA5"/>
    <w:rsid w:val="00E87F58"/>
    <w:rsid w:val="00E954A3"/>
    <w:rsid w:val="00EA0898"/>
    <w:rsid w:val="00EA317E"/>
    <w:rsid w:val="00EA49D9"/>
    <w:rsid w:val="00EB07BB"/>
    <w:rsid w:val="00EB5AEC"/>
    <w:rsid w:val="00EB6CB7"/>
    <w:rsid w:val="00EB6D4A"/>
    <w:rsid w:val="00EC1892"/>
    <w:rsid w:val="00EC3C7C"/>
    <w:rsid w:val="00EC5F2D"/>
    <w:rsid w:val="00EC6C03"/>
    <w:rsid w:val="00ED1B8C"/>
    <w:rsid w:val="00ED2BB5"/>
    <w:rsid w:val="00ED2EB1"/>
    <w:rsid w:val="00ED3729"/>
    <w:rsid w:val="00ED61D5"/>
    <w:rsid w:val="00ED6617"/>
    <w:rsid w:val="00ED6760"/>
    <w:rsid w:val="00EE1519"/>
    <w:rsid w:val="00EE1DEE"/>
    <w:rsid w:val="00EE2824"/>
    <w:rsid w:val="00EE6B80"/>
    <w:rsid w:val="00EE6B95"/>
    <w:rsid w:val="00EE6F52"/>
    <w:rsid w:val="00EE7E3A"/>
    <w:rsid w:val="00EF6B05"/>
    <w:rsid w:val="00EF70CB"/>
    <w:rsid w:val="00EF7109"/>
    <w:rsid w:val="00F0030C"/>
    <w:rsid w:val="00F00596"/>
    <w:rsid w:val="00F0176E"/>
    <w:rsid w:val="00F02A49"/>
    <w:rsid w:val="00F038F4"/>
    <w:rsid w:val="00F04523"/>
    <w:rsid w:val="00F05209"/>
    <w:rsid w:val="00F0631F"/>
    <w:rsid w:val="00F07517"/>
    <w:rsid w:val="00F1056A"/>
    <w:rsid w:val="00F14FE0"/>
    <w:rsid w:val="00F21E99"/>
    <w:rsid w:val="00F23D38"/>
    <w:rsid w:val="00F248E9"/>
    <w:rsid w:val="00F26739"/>
    <w:rsid w:val="00F274FB"/>
    <w:rsid w:val="00F304D5"/>
    <w:rsid w:val="00F31239"/>
    <w:rsid w:val="00F32C92"/>
    <w:rsid w:val="00F32E08"/>
    <w:rsid w:val="00F336F2"/>
    <w:rsid w:val="00F3481E"/>
    <w:rsid w:val="00F35B9C"/>
    <w:rsid w:val="00F37562"/>
    <w:rsid w:val="00F408B3"/>
    <w:rsid w:val="00F418A0"/>
    <w:rsid w:val="00F42210"/>
    <w:rsid w:val="00F42B3F"/>
    <w:rsid w:val="00F42E1A"/>
    <w:rsid w:val="00F44C04"/>
    <w:rsid w:val="00F467A7"/>
    <w:rsid w:val="00F46A12"/>
    <w:rsid w:val="00F47A5D"/>
    <w:rsid w:val="00F51AC5"/>
    <w:rsid w:val="00F5429C"/>
    <w:rsid w:val="00F61851"/>
    <w:rsid w:val="00F657EF"/>
    <w:rsid w:val="00F67DA6"/>
    <w:rsid w:val="00F70D40"/>
    <w:rsid w:val="00F71494"/>
    <w:rsid w:val="00F71982"/>
    <w:rsid w:val="00F74BB2"/>
    <w:rsid w:val="00F8277F"/>
    <w:rsid w:val="00F82C22"/>
    <w:rsid w:val="00F837E1"/>
    <w:rsid w:val="00F8476E"/>
    <w:rsid w:val="00F849CC"/>
    <w:rsid w:val="00F86E66"/>
    <w:rsid w:val="00F91457"/>
    <w:rsid w:val="00F9157B"/>
    <w:rsid w:val="00F91B08"/>
    <w:rsid w:val="00F95B86"/>
    <w:rsid w:val="00F9604E"/>
    <w:rsid w:val="00F970E1"/>
    <w:rsid w:val="00FA0FFD"/>
    <w:rsid w:val="00FA710B"/>
    <w:rsid w:val="00FB209B"/>
    <w:rsid w:val="00FB3734"/>
    <w:rsid w:val="00FB5018"/>
    <w:rsid w:val="00FB53B2"/>
    <w:rsid w:val="00FB5781"/>
    <w:rsid w:val="00FB5D93"/>
    <w:rsid w:val="00FB6072"/>
    <w:rsid w:val="00FB6B43"/>
    <w:rsid w:val="00FB7153"/>
    <w:rsid w:val="00FC0DBE"/>
    <w:rsid w:val="00FC1D88"/>
    <w:rsid w:val="00FC36D1"/>
    <w:rsid w:val="00FC4205"/>
    <w:rsid w:val="00FC44D8"/>
    <w:rsid w:val="00FC5847"/>
    <w:rsid w:val="00FC7170"/>
    <w:rsid w:val="00FD0A83"/>
    <w:rsid w:val="00FD0B47"/>
    <w:rsid w:val="00FD1AEF"/>
    <w:rsid w:val="00FD3E32"/>
    <w:rsid w:val="00FD40B1"/>
    <w:rsid w:val="00FD6054"/>
    <w:rsid w:val="00FD627D"/>
    <w:rsid w:val="00FD7307"/>
    <w:rsid w:val="00FE027D"/>
    <w:rsid w:val="00FE02F8"/>
    <w:rsid w:val="00FE0466"/>
    <w:rsid w:val="00FE19A2"/>
    <w:rsid w:val="00FE2097"/>
    <w:rsid w:val="00FE40E4"/>
    <w:rsid w:val="00FE46EB"/>
    <w:rsid w:val="00FE55B4"/>
    <w:rsid w:val="00FE584B"/>
    <w:rsid w:val="00FE5922"/>
    <w:rsid w:val="00FE65EC"/>
    <w:rsid w:val="00FF0E0F"/>
    <w:rsid w:val="00FF2832"/>
    <w:rsid w:val="00FF4E9A"/>
    <w:rsid w:val="00FF60B2"/>
    <w:rsid w:val="01030ACD"/>
    <w:rsid w:val="01415CD2"/>
    <w:rsid w:val="014952AD"/>
    <w:rsid w:val="016C2D4F"/>
    <w:rsid w:val="016F7E23"/>
    <w:rsid w:val="018D546C"/>
    <w:rsid w:val="01B856FD"/>
    <w:rsid w:val="01C7267B"/>
    <w:rsid w:val="01CC02A9"/>
    <w:rsid w:val="01CF72C6"/>
    <w:rsid w:val="01D37272"/>
    <w:rsid w:val="02261F0B"/>
    <w:rsid w:val="02310772"/>
    <w:rsid w:val="02355837"/>
    <w:rsid w:val="028642E4"/>
    <w:rsid w:val="02A812D5"/>
    <w:rsid w:val="02C93CF7"/>
    <w:rsid w:val="02D90516"/>
    <w:rsid w:val="031418F0"/>
    <w:rsid w:val="03237D85"/>
    <w:rsid w:val="03317482"/>
    <w:rsid w:val="038F4D9C"/>
    <w:rsid w:val="03905AA7"/>
    <w:rsid w:val="03DE5A5A"/>
    <w:rsid w:val="03E219EE"/>
    <w:rsid w:val="04216B79"/>
    <w:rsid w:val="044040EA"/>
    <w:rsid w:val="0471074A"/>
    <w:rsid w:val="047D6126"/>
    <w:rsid w:val="051200B1"/>
    <w:rsid w:val="056120BB"/>
    <w:rsid w:val="05827590"/>
    <w:rsid w:val="05B56B47"/>
    <w:rsid w:val="05DE1D2B"/>
    <w:rsid w:val="060043AE"/>
    <w:rsid w:val="06744454"/>
    <w:rsid w:val="070B125C"/>
    <w:rsid w:val="071A08B8"/>
    <w:rsid w:val="0721282E"/>
    <w:rsid w:val="073E3BF3"/>
    <w:rsid w:val="07FC0BA5"/>
    <w:rsid w:val="085207C5"/>
    <w:rsid w:val="0888610B"/>
    <w:rsid w:val="089C7A3C"/>
    <w:rsid w:val="08A13CFD"/>
    <w:rsid w:val="08B94BE1"/>
    <w:rsid w:val="08C72F61"/>
    <w:rsid w:val="08D4014C"/>
    <w:rsid w:val="08E128D5"/>
    <w:rsid w:val="08EE5A16"/>
    <w:rsid w:val="09045F63"/>
    <w:rsid w:val="09684744"/>
    <w:rsid w:val="09D231F5"/>
    <w:rsid w:val="0A1B7A08"/>
    <w:rsid w:val="0A200B7B"/>
    <w:rsid w:val="0AAF7327"/>
    <w:rsid w:val="0AD016EE"/>
    <w:rsid w:val="0B365DF1"/>
    <w:rsid w:val="0B68170C"/>
    <w:rsid w:val="0B830084"/>
    <w:rsid w:val="0BA74DA5"/>
    <w:rsid w:val="0BF677E6"/>
    <w:rsid w:val="0CA7211B"/>
    <w:rsid w:val="0CEE1C4D"/>
    <w:rsid w:val="0D136775"/>
    <w:rsid w:val="0D1B4D89"/>
    <w:rsid w:val="0D623A60"/>
    <w:rsid w:val="0DA75B2A"/>
    <w:rsid w:val="0DB56238"/>
    <w:rsid w:val="0DBD4932"/>
    <w:rsid w:val="0DD34156"/>
    <w:rsid w:val="0E4171A0"/>
    <w:rsid w:val="0E5B4877"/>
    <w:rsid w:val="0E902E1E"/>
    <w:rsid w:val="0E930639"/>
    <w:rsid w:val="0EBB5316"/>
    <w:rsid w:val="0EF3650F"/>
    <w:rsid w:val="0F220EF1"/>
    <w:rsid w:val="0F353F6C"/>
    <w:rsid w:val="0F7554C5"/>
    <w:rsid w:val="0F7C2CF7"/>
    <w:rsid w:val="0FA4224E"/>
    <w:rsid w:val="0FEC343B"/>
    <w:rsid w:val="0FEE6EA8"/>
    <w:rsid w:val="10061E4C"/>
    <w:rsid w:val="107A0C4D"/>
    <w:rsid w:val="107C0AD5"/>
    <w:rsid w:val="10AB4F16"/>
    <w:rsid w:val="10B1077E"/>
    <w:rsid w:val="10BE31B9"/>
    <w:rsid w:val="11140D0D"/>
    <w:rsid w:val="114333A1"/>
    <w:rsid w:val="116577BB"/>
    <w:rsid w:val="116A48FE"/>
    <w:rsid w:val="11985378"/>
    <w:rsid w:val="11A4040E"/>
    <w:rsid w:val="11D04D80"/>
    <w:rsid w:val="11D963CA"/>
    <w:rsid w:val="1250304A"/>
    <w:rsid w:val="12AC38F3"/>
    <w:rsid w:val="12CC4A65"/>
    <w:rsid w:val="13453400"/>
    <w:rsid w:val="139204F0"/>
    <w:rsid w:val="13975606"/>
    <w:rsid w:val="13BB039A"/>
    <w:rsid w:val="13E470BD"/>
    <w:rsid w:val="1404150D"/>
    <w:rsid w:val="140E413A"/>
    <w:rsid w:val="14373691"/>
    <w:rsid w:val="14425B91"/>
    <w:rsid w:val="145C5AC3"/>
    <w:rsid w:val="147C440C"/>
    <w:rsid w:val="14C52F1A"/>
    <w:rsid w:val="14D41D3A"/>
    <w:rsid w:val="14E82BDD"/>
    <w:rsid w:val="14F450DE"/>
    <w:rsid w:val="153B2D0D"/>
    <w:rsid w:val="157423D9"/>
    <w:rsid w:val="15B94A25"/>
    <w:rsid w:val="160550C9"/>
    <w:rsid w:val="16762DAE"/>
    <w:rsid w:val="17433DFF"/>
    <w:rsid w:val="174A3CC1"/>
    <w:rsid w:val="175207E1"/>
    <w:rsid w:val="175400B6"/>
    <w:rsid w:val="176A1792"/>
    <w:rsid w:val="18371B0C"/>
    <w:rsid w:val="186B4236"/>
    <w:rsid w:val="18B74DA0"/>
    <w:rsid w:val="18C272A1"/>
    <w:rsid w:val="18DF60A5"/>
    <w:rsid w:val="18EB67F8"/>
    <w:rsid w:val="191C2E55"/>
    <w:rsid w:val="19410031"/>
    <w:rsid w:val="19691752"/>
    <w:rsid w:val="19FB214C"/>
    <w:rsid w:val="1A2915FC"/>
    <w:rsid w:val="1A345F7C"/>
    <w:rsid w:val="1A3D2AE2"/>
    <w:rsid w:val="1A6D2C5C"/>
    <w:rsid w:val="1AA0540E"/>
    <w:rsid w:val="1ABF7F3C"/>
    <w:rsid w:val="1AF23E6D"/>
    <w:rsid w:val="1AFA3072"/>
    <w:rsid w:val="1B3034F3"/>
    <w:rsid w:val="1B62343B"/>
    <w:rsid w:val="1BF63E31"/>
    <w:rsid w:val="1C0C0F5F"/>
    <w:rsid w:val="1C290E5F"/>
    <w:rsid w:val="1C5D7A0C"/>
    <w:rsid w:val="1CCE1853"/>
    <w:rsid w:val="1CDA738D"/>
    <w:rsid w:val="1CDD1735"/>
    <w:rsid w:val="1CDD28FB"/>
    <w:rsid w:val="1D145841"/>
    <w:rsid w:val="1DCC5778"/>
    <w:rsid w:val="1DF95513"/>
    <w:rsid w:val="1E10308B"/>
    <w:rsid w:val="1E1849CB"/>
    <w:rsid w:val="1E5135A1"/>
    <w:rsid w:val="1EDC3BF8"/>
    <w:rsid w:val="1EE311EE"/>
    <w:rsid w:val="1EF62503"/>
    <w:rsid w:val="1F017868"/>
    <w:rsid w:val="1F34528B"/>
    <w:rsid w:val="1F707A57"/>
    <w:rsid w:val="1F7E6617"/>
    <w:rsid w:val="1F9E2816"/>
    <w:rsid w:val="1FDE41D8"/>
    <w:rsid w:val="1FE033A1"/>
    <w:rsid w:val="1FE04BDC"/>
    <w:rsid w:val="202820DF"/>
    <w:rsid w:val="20EC46FA"/>
    <w:rsid w:val="20EC75B1"/>
    <w:rsid w:val="20FF03C6"/>
    <w:rsid w:val="210A7A37"/>
    <w:rsid w:val="214349F3"/>
    <w:rsid w:val="21515666"/>
    <w:rsid w:val="21754854"/>
    <w:rsid w:val="21EC12C2"/>
    <w:rsid w:val="228C4BA7"/>
    <w:rsid w:val="228F31F1"/>
    <w:rsid w:val="22D7509D"/>
    <w:rsid w:val="22EE7610"/>
    <w:rsid w:val="23316EF5"/>
    <w:rsid w:val="23405992"/>
    <w:rsid w:val="23552376"/>
    <w:rsid w:val="23647FDC"/>
    <w:rsid w:val="23694EE9"/>
    <w:rsid w:val="237F6B8E"/>
    <w:rsid w:val="23AB15DA"/>
    <w:rsid w:val="23B077C1"/>
    <w:rsid w:val="23D739D3"/>
    <w:rsid w:val="2420358B"/>
    <w:rsid w:val="242A28CA"/>
    <w:rsid w:val="249E7C9F"/>
    <w:rsid w:val="24DE1906"/>
    <w:rsid w:val="24DE7401"/>
    <w:rsid w:val="250B197C"/>
    <w:rsid w:val="250E3F9A"/>
    <w:rsid w:val="25235492"/>
    <w:rsid w:val="25276E0E"/>
    <w:rsid w:val="254071DA"/>
    <w:rsid w:val="2553149F"/>
    <w:rsid w:val="255C38D3"/>
    <w:rsid w:val="25DC16ED"/>
    <w:rsid w:val="26274260"/>
    <w:rsid w:val="26451564"/>
    <w:rsid w:val="26962A31"/>
    <w:rsid w:val="269870D8"/>
    <w:rsid w:val="269B15BD"/>
    <w:rsid w:val="269C0D2D"/>
    <w:rsid w:val="270D010C"/>
    <w:rsid w:val="27533C16"/>
    <w:rsid w:val="275A036F"/>
    <w:rsid w:val="27B523B8"/>
    <w:rsid w:val="28060F58"/>
    <w:rsid w:val="282F5484"/>
    <w:rsid w:val="285F7363"/>
    <w:rsid w:val="28B01148"/>
    <w:rsid w:val="28C055AB"/>
    <w:rsid w:val="28E74DC4"/>
    <w:rsid w:val="29134EAB"/>
    <w:rsid w:val="2936621C"/>
    <w:rsid w:val="29AC5A8D"/>
    <w:rsid w:val="29D3130E"/>
    <w:rsid w:val="29E72BF4"/>
    <w:rsid w:val="29F02E52"/>
    <w:rsid w:val="2A2A3D6B"/>
    <w:rsid w:val="2A353D77"/>
    <w:rsid w:val="2A3A6BA8"/>
    <w:rsid w:val="2AC46EA9"/>
    <w:rsid w:val="2AF25227"/>
    <w:rsid w:val="2B177920"/>
    <w:rsid w:val="2B785505"/>
    <w:rsid w:val="2BF35C97"/>
    <w:rsid w:val="2C6F3A24"/>
    <w:rsid w:val="2C893610"/>
    <w:rsid w:val="2C91643F"/>
    <w:rsid w:val="2CB573F1"/>
    <w:rsid w:val="2D0D4B37"/>
    <w:rsid w:val="2D1D3796"/>
    <w:rsid w:val="2D402549"/>
    <w:rsid w:val="2D8D7A26"/>
    <w:rsid w:val="2DA82AB1"/>
    <w:rsid w:val="2DCB5F4B"/>
    <w:rsid w:val="2DCF707D"/>
    <w:rsid w:val="2DFC0384"/>
    <w:rsid w:val="2E5A769A"/>
    <w:rsid w:val="2E6B5A4A"/>
    <w:rsid w:val="2EFB17A5"/>
    <w:rsid w:val="2F000DF7"/>
    <w:rsid w:val="2F652399"/>
    <w:rsid w:val="2F8D1F5F"/>
    <w:rsid w:val="2F8D20A8"/>
    <w:rsid w:val="2FD259AE"/>
    <w:rsid w:val="310B5831"/>
    <w:rsid w:val="31172428"/>
    <w:rsid w:val="31183188"/>
    <w:rsid w:val="31350B00"/>
    <w:rsid w:val="313B4368"/>
    <w:rsid w:val="319750AB"/>
    <w:rsid w:val="319F5F79"/>
    <w:rsid w:val="31CC1D7E"/>
    <w:rsid w:val="31E424C0"/>
    <w:rsid w:val="31EB50E3"/>
    <w:rsid w:val="323F1C36"/>
    <w:rsid w:val="32547689"/>
    <w:rsid w:val="329261D8"/>
    <w:rsid w:val="329D695D"/>
    <w:rsid w:val="32A25D21"/>
    <w:rsid w:val="32FA6B0E"/>
    <w:rsid w:val="333C7F24"/>
    <w:rsid w:val="338C3A5A"/>
    <w:rsid w:val="33A8380B"/>
    <w:rsid w:val="33FA0612"/>
    <w:rsid w:val="34137BDE"/>
    <w:rsid w:val="34301D19"/>
    <w:rsid w:val="3443544D"/>
    <w:rsid w:val="34650A83"/>
    <w:rsid w:val="353A0493"/>
    <w:rsid w:val="35812566"/>
    <w:rsid w:val="35CC05BA"/>
    <w:rsid w:val="35CE5A56"/>
    <w:rsid w:val="36162DDB"/>
    <w:rsid w:val="36213E23"/>
    <w:rsid w:val="364D41F6"/>
    <w:rsid w:val="36545584"/>
    <w:rsid w:val="36767BF1"/>
    <w:rsid w:val="36820344"/>
    <w:rsid w:val="36877708"/>
    <w:rsid w:val="36B428F9"/>
    <w:rsid w:val="36F17277"/>
    <w:rsid w:val="374F0E8D"/>
    <w:rsid w:val="375A35E9"/>
    <w:rsid w:val="3787433E"/>
    <w:rsid w:val="37962C49"/>
    <w:rsid w:val="38156F95"/>
    <w:rsid w:val="387463B2"/>
    <w:rsid w:val="38A6751C"/>
    <w:rsid w:val="38B33508"/>
    <w:rsid w:val="392C5D70"/>
    <w:rsid w:val="39C24EFB"/>
    <w:rsid w:val="3A1A161A"/>
    <w:rsid w:val="3A232D29"/>
    <w:rsid w:val="3A454402"/>
    <w:rsid w:val="3A6479D0"/>
    <w:rsid w:val="3AA629F9"/>
    <w:rsid w:val="3AAF73B1"/>
    <w:rsid w:val="3AD276DF"/>
    <w:rsid w:val="3B135A0E"/>
    <w:rsid w:val="3B434D20"/>
    <w:rsid w:val="3B62097B"/>
    <w:rsid w:val="3BF62B2A"/>
    <w:rsid w:val="3C456DB8"/>
    <w:rsid w:val="3C506957"/>
    <w:rsid w:val="3C6C5B17"/>
    <w:rsid w:val="3C7333D7"/>
    <w:rsid w:val="3C9F32D2"/>
    <w:rsid w:val="3CD00A8B"/>
    <w:rsid w:val="3CE05DC4"/>
    <w:rsid w:val="3CEF6007"/>
    <w:rsid w:val="3D1912D6"/>
    <w:rsid w:val="3D197528"/>
    <w:rsid w:val="3D4E0F7F"/>
    <w:rsid w:val="3D6C7658"/>
    <w:rsid w:val="3DC2196D"/>
    <w:rsid w:val="3DDF25D3"/>
    <w:rsid w:val="3DFE0BF8"/>
    <w:rsid w:val="3E15473B"/>
    <w:rsid w:val="3E726EF0"/>
    <w:rsid w:val="3E9476B8"/>
    <w:rsid w:val="3EB47508"/>
    <w:rsid w:val="3EFB0C93"/>
    <w:rsid w:val="3F0A4317"/>
    <w:rsid w:val="3F0A7128"/>
    <w:rsid w:val="3FDB561D"/>
    <w:rsid w:val="40957821"/>
    <w:rsid w:val="40A6272E"/>
    <w:rsid w:val="40EC363E"/>
    <w:rsid w:val="410019E3"/>
    <w:rsid w:val="411E2ED2"/>
    <w:rsid w:val="415A0726"/>
    <w:rsid w:val="41652D3C"/>
    <w:rsid w:val="419C2B79"/>
    <w:rsid w:val="419F141C"/>
    <w:rsid w:val="41AC44C7"/>
    <w:rsid w:val="41AF1C8B"/>
    <w:rsid w:val="41D711A6"/>
    <w:rsid w:val="41F61BE6"/>
    <w:rsid w:val="42185F7C"/>
    <w:rsid w:val="42327514"/>
    <w:rsid w:val="42682BFF"/>
    <w:rsid w:val="42AB0C22"/>
    <w:rsid w:val="42D80AB5"/>
    <w:rsid w:val="434F15AD"/>
    <w:rsid w:val="43592E30"/>
    <w:rsid w:val="43BF0E04"/>
    <w:rsid w:val="43C57E28"/>
    <w:rsid w:val="43E90623"/>
    <w:rsid w:val="43F860E9"/>
    <w:rsid w:val="441D16AC"/>
    <w:rsid w:val="445A46AE"/>
    <w:rsid w:val="44642EFA"/>
    <w:rsid w:val="44D73F50"/>
    <w:rsid w:val="45521A19"/>
    <w:rsid w:val="459868AA"/>
    <w:rsid w:val="45B75494"/>
    <w:rsid w:val="45C52D84"/>
    <w:rsid w:val="45F8779C"/>
    <w:rsid w:val="46103333"/>
    <w:rsid w:val="46340F2E"/>
    <w:rsid w:val="464078D3"/>
    <w:rsid w:val="464D12CB"/>
    <w:rsid w:val="46B1432D"/>
    <w:rsid w:val="46BF1AAE"/>
    <w:rsid w:val="47064679"/>
    <w:rsid w:val="47280FC0"/>
    <w:rsid w:val="47382B3B"/>
    <w:rsid w:val="47807646"/>
    <w:rsid w:val="47BB4154"/>
    <w:rsid w:val="48447477"/>
    <w:rsid w:val="484D62D8"/>
    <w:rsid w:val="48D26F61"/>
    <w:rsid w:val="492A6F58"/>
    <w:rsid w:val="49316225"/>
    <w:rsid w:val="496438D9"/>
    <w:rsid w:val="4981092F"/>
    <w:rsid w:val="49B656B7"/>
    <w:rsid w:val="49E54A1A"/>
    <w:rsid w:val="49E8450A"/>
    <w:rsid w:val="4A6A3160"/>
    <w:rsid w:val="4A91694F"/>
    <w:rsid w:val="4ADD1B95"/>
    <w:rsid w:val="4B6124BC"/>
    <w:rsid w:val="4B7342A7"/>
    <w:rsid w:val="4B8B339F"/>
    <w:rsid w:val="4B96409E"/>
    <w:rsid w:val="4B9751B8"/>
    <w:rsid w:val="4C115F60"/>
    <w:rsid w:val="4C653BF0"/>
    <w:rsid w:val="4CC17A25"/>
    <w:rsid w:val="4CC36253"/>
    <w:rsid w:val="4D4E7218"/>
    <w:rsid w:val="4DC40316"/>
    <w:rsid w:val="4E4A489A"/>
    <w:rsid w:val="4E5967EF"/>
    <w:rsid w:val="4E944C60"/>
    <w:rsid w:val="4E981AD5"/>
    <w:rsid w:val="4EBF3C7B"/>
    <w:rsid w:val="4EC903E2"/>
    <w:rsid w:val="4F1A0A61"/>
    <w:rsid w:val="4F22401A"/>
    <w:rsid w:val="4F7D74A2"/>
    <w:rsid w:val="4F8820AC"/>
    <w:rsid w:val="4FC74425"/>
    <w:rsid w:val="4FCD667C"/>
    <w:rsid w:val="504D0DD7"/>
    <w:rsid w:val="50542E94"/>
    <w:rsid w:val="506E4469"/>
    <w:rsid w:val="50A741A0"/>
    <w:rsid w:val="50D92DFE"/>
    <w:rsid w:val="51062DC7"/>
    <w:rsid w:val="511240D9"/>
    <w:rsid w:val="518829AC"/>
    <w:rsid w:val="521340EE"/>
    <w:rsid w:val="522A41E6"/>
    <w:rsid w:val="522C1AA7"/>
    <w:rsid w:val="528216B9"/>
    <w:rsid w:val="528719FA"/>
    <w:rsid w:val="528D00BD"/>
    <w:rsid w:val="52A25A2A"/>
    <w:rsid w:val="52D25D57"/>
    <w:rsid w:val="52F71EF3"/>
    <w:rsid w:val="53027DAD"/>
    <w:rsid w:val="536C1D08"/>
    <w:rsid w:val="53852D99"/>
    <w:rsid w:val="538A03E0"/>
    <w:rsid w:val="53A316C0"/>
    <w:rsid w:val="53B447E3"/>
    <w:rsid w:val="54563F93"/>
    <w:rsid w:val="54A43331"/>
    <w:rsid w:val="556F04AC"/>
    <w:rsid w:val="55C553BE"/>
    <w:rsid w:val="5604125E"/>
    <w:rsid w:val="560F5E73"/>
    <w:rsid w:val="565076BF"/>
    <w:rsid w:val="56B55774"/>
    <w:rsid w:val="570D55B0"/>
    <w:rsid w:val="57476D14"/>
    <w:rsid w:val="576F626A"/>
    <w:rsid w:val="57894673"/>
    <w:rsid w:val="57A41038"/>
    <w:rsid w:val="57F81DBC"/>
    <w:rsid w:val="580C6FA5"/>
    <w:rsid w:val="580E7CD1"/>
    <w:rsid w:val="58153709"/>
    <w:rsid w:val="584106BB"/>
    <w:rsid w:val="584B2834"/>
    <w:rsid w:val="588D40CA"/>
    <w:rsid w:val="58AB1524"/>
    <w:rsid w:val="58C0766A"/>
    <w:rsid w:val="58F24A5D"/>
    <w:rsid w:val="59105785"/>
    <w:rsid w:val="59593A88"/>
    <w:rsid w:val="596176F7"/>
    <w:rsid w:val="59AA5C2C"/>
    <w:rsid w:val="59C96481"/>
    <w:rsid w:val="59FE4533"/>
    <w:rsid w:val="5A0D0B0B"/>
    <w:rsid w:val="5A4A05D8"/>
    <w:rsid w:val="5A797A24"/>
    <w:rsid w:val="5A962AF4"/>
    <w:rsid w:val="5A9A53AC"/>
    <w:rsid w:val="5AD42550"/>
    <w:rsid w:val="5B1D734F"/>
    <w:rsid w:val="5B206F0E"/>
    <w:rsid w:val="5B2215B6"/>
    <w:rsid w:val="5B28069C"/>
    <w:rsid w:val="5B3C6463"/>
    <w:rsid w:val="5B4311F9"/>
    <w:rsid w:val="5B5419FF"/>
    <w:rsid w:val="5B7B2C2F"/>
    <w:rsid w:val="5B800A46"/>
    <w:rsid w:val="5B863B83"/>
    <w:rsid w:val="5BA26C0E"/>
    <w:rsid w:val="5BB747EB"/>
    <w:rsid w:val="5BEA4111"/>
    <w:rsid w:val="5BEF34D6"/>
    <w:rsid w:val="5C903410"/>
    <w:rsid w:val="5C930B49"/>
    <w:rsid w:val="5CAC586B"/>
    <w:rsid w:val="5D011F79"/>
    <w:rsid w:val="5D351920"/>
    <w:rsid w:val="5D3A3192"/>
    <w:rsid w:val="5D6F2B20"/>
    <w:rsid w:val="5DAD40A9"/>
    <w:rsid w:val="5DEA03F9"/>
    <w:rsid w:val="5DFD02C9"/>
    <w:rsid w:val="5E4A533B"/>
    <w:rsid w:val="5E772668"/>
    <w:rsid w:val="5E8425FB"/>
    <w:rsid w:val="5E902E7C"/>
    <w:rsid w:val="5ED4239C"/>
    <w:rsid w:val="5F4F53C6"/>
    <w:rsid w:val="5FF319F6"/>
    <w:rsid w:val="607C725F"/>
    <w:rsid w:val="61274B59"/>
    <w:rsid w:val="61586FEA"/>
    <w:rsid w:val="61E6470C"/>
    <w:rsid w:val="62160BAB"/>
    <w:rsid w:val="6272423C"/>
    <w:rsid w:val="633B030B"/>
    <w:rsid w:val="63510DF7"/>
    <w:rsid w:val="63797CF6"/>
    <w:rsid w:val="638E1826"/>
    <w:rsid w:val="63A70B3A"/>
    <w:rsid w:val="63AC7EFE"/>
    <w:rsid w:val="63B079EF"/>
    <w:rsid w:val="64322AF9"/>
    <w:rsid w:val="645C6519"/>
    <w:rsid w:val="648A6492"/>
    <w:rsid w:val="64B24009"/>
    <w:rsid w:val="64D90CE6"/>
    <w:rsid w:val="64F37107"/>
    <w:rsid w:val="655055DC"/>
    <w:rsid w:val="655820EC"/>
    <w:rsid w:val="65646CE3"/>
    <w:rsid w:val="65A05841"/>
    <w:rsid w:val="65BE1CAD"/>
    <w:rsid w:val="65D462B2"/>
    <w:rsid w:val="65E120E1"/>
    <w:rsid w:val="65EB2F60"/>
    <w:rsid w:val="66116FCF"/>
    <w:rsid w:val="664F52AE"/>
    <w:rsid w:val="666C665D"/>
    <w:rsid w:val="66EC7FE8"/>
    <w:rsid w:val="66F4650C"/>
    <w:rsid w:val="670C29CC"/>
    <w:rsid w:val="674C5876"/>
    <w:rsid w:val="67B07F6B"/>
    <w:rsid w:val="67F24A7A"/>
    <w:rsid w:val="680220BC"/>
    <w:rsid w:val="68093B71"/>
    <w:rsid w:val="682072C8"/>
    <w:rsid w:val="682379CF"/>
    <w:rsid w:val="68724DFB"/>
    <w:rsid w:val="68A5389A"/>
    <w:rsid w:val="68D45F2D"/>
    <w:rsid w:val="69961121"/>
    <w:rsid w:val="69A814BD"/>
    <w:rsid w:val="69AC6EAA"/>
    <w:rsid w:val="69BB15D6"/>
    <w:rsid w:val="6AC41FD2"/>
    <w:rsid w:val="6AC83870"/>
    <w:rsid w:val="6AF10E70"/>
    <w:rsid w:val="6B545042"/>
    <w:rsid w:val="6B767770"/>
    <w:rsid w:val="6BFF4DD4"/>
    <w:rsid w:val="6C1D55CB"/>
    <w:rsid w:val="6C2076DB"/>
    <w:rsid w:val="6C44105D"/>
    <w:rsid w:val="6C6365EA"/>
    <w:rsid w:val="6C661592"/>
    <w:rsid w:val="6C915ECC"/>
    <w:rsid w:val="6D2517E0"/>
    <w:rsid w:val="6D3C20DB"/>
    <w:rsid w:val="6D5910F7"/>
    <w:rsid w:val="6DAF0D17"/>
    <w:rsid w:val="6DB1683D"/>
    <w:rsid w:val="6DC71E95"/>
    <w:rsid w:val="6E6E4CF6"/>
    <w:rsid w:val="6FFA6139"/>
    <w:rsid w:val="70AC45EF"/>
    <w:rsid w:val="70D83DB7"/>
    <w:rsid w:val="714A76D4"/>
    <w:rsid w:val="71795AF3"/>
    <w:rsid w:val="71E82A49"/>
    <w:rsid w:val="722406DF"/>
    <w:rsid w:val="72A517E8"/>
    <w:rsid w:val="72BE2406"/>
    <w:rsid w:val="73245D03"/>
    <w:rsid w:val="733221CE"/>
    <w:rsid w:val="738B17CA"/>
    <w:rsid w:val="73932B27"/>
    <w:rsid w:val="73AF32B3"/>
    <w:rsid w:val="742835D1"/>
    <w:rsid w:val="74620891"/>
    <w:rsid w:val="7476258E"/>
    <w:rsid w:val="74B03CF2"/>
    <w:rsid w:val="74BB2697"/>
    <w:rsid w:val="74DD0860"/>
    <w:rsid w:val="74E120FE"/>
    <w:rsid w:val="75232716"/>
    <w:rsid w:val="755604D7"/>
    <w:rsid w:val="75744E22"/>
    <w:rsid w:val="759F78C3"/>
    <w:rsid w:val="75D237F5"/>
    <w:rsid w:val="75F0011F"/>
    <w:rsid w:val="760140DA"/>
    <w:rsid w:val="76067197"/>
    <w:rsid w:val="76402E54"/>
    <w:rsid w:val="765661D4"/>
    <w:rsid w:val="767F20AE"/>
    <w:rsid w:val="76E97048"/>
    <w:rsid w:val="774424D0"/>
    <w:rsid w:val="775F195E"/>
    <w:rsid w:val="77B8380A"/>
    <w:rsid w:val="77DF569F"/>
    <w:rsid w:val="77E912C9"/>
    <w:rsid w:val="77F05B50"/>
    <w:rsid w:val="78540E39"/>
    <w:rsid w:val="78B05206"/>
    <w:rsid w:val="78FD7F08"/>
    <w:rsid w:val="794002D6"/>
    <w:rsid w:val="79751067"/>
    <w:rsid w:val="79915775"/>
    <w:rsid w:val="79C93160"/>
    <w:rsid w:val="79D97847"/>
    <w:rsid w:val="7A2C5E5B"/>
    <w:rsid w:val="7A770E0E"/>
    <w:rsid w:val="7AA456FD"/>
    <w:rsid w:val="7ABA2549"/>
    <w:rsid w:val="7B1C309B"/>
    <w:rsid w:val="7B530E6F"/>
    <w:rsid w:val="7B5B0730"/>
    <w:rsid w:val="7B656EB9"/>
    <w:rsid w:val="7B717A76"/>
    <w:rsid w:val="7B8D0DA4"/>
    <w:rsid w:val="7B991820"/>
    <w:rsid w:val="7BA45C33"/>
    <w:rsid w:val="7C100AD9"/>
    <w:rsid w:val="7C95636B"/>
    <w:rsid w:val="7CAF03C8"/>
    <w:rsid w:val="7CFA0E38"/>
    <w:rsid w:val="7CFD384D"/>
    <w:rsid w:val="7D593FEB"/>
    <w:rsid w:val="7D5D42EC"/>
    <w:rsid w:val="7DAE6D12"/>
    <w:rsid w:val="7DD53301"/>
    <w:rsid w:val="7DF50E1E"/>
    <w:rsid w:val="7DF5292A"/>
    <w:rsid w:val="7E1C6480"/>
    <w:rsid w:val="7E4D25B2"/>
    <w:rsid w:val="7E7956FB"/>
    <w:rsid w:val="7E8C624C"/>
    <w:rsid w:val="7EEC3C28"/>
    <w:rsid w:val="7EF24F07"/>
    <w:rsid w:val="7F0371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9" w:semiHidden="0"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4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新宋体" w:hAnsi="新宋体" w:eastAsia="新宋体" w:cs="新宋体"/>
      <w:b/>
      <w:bCs/>
      <w:sz w:val="32"/>
      <w:szCs w:val="32"/>
    </w:rPr>
  </w:style>
  <w:style w:type="paragraph" w:styleId="4">
    <w:name w:val="heading 3"/>
    <w:basedOn w:val="1"/>
    <w:next w:val="1"/>
    <w:link w:val="47"/>
    <w:qFormat/>
    <w:uiPriority w:val="0"/>
    <w:pPr>
      <w:keepNext/>
      <w:keepLines/>
      <w:spacing w:before="260" w:after="260" w:line="416" w:lineRule="auto"/>
      <w:outlineLvl w:val="2"/>
    </w:pPr>
    <w:rPr>
      <w:b/>
      <w:bCs/>
      <w:sz w:val="32"/>
      <w:szCs w:val="32"/>
    </w:rPr>
  </w:style>
  <w:style w:type="paragraph" w:styleId="5">
    <w:name w:val="heading 4"/>
    <w:basedOn w:val="1"/>
    <w:next w:val="1"/>
    <w:link w:val="48"/>
    <w:qFormat/>
    <w:uiPriority w:val="9"/>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7"/>
    <w:next w:val="8"/>
    <w:qFormat/>
    <w:uiPriority w:val="9"/>
    <w:pPr>
      <w:keepNext/>
      <w:keepLines/>
      <w:numPr>
        <w:ilvl w:val="4"/>
        <w:numId w:val="1"/>
      </w:numPr>
      <w:tabs>
        <w:tab w:val="left" w:pos="780"/>
      </w:tabs>
      <w:spacing w:line="360" w:lineRule="auto"/>
      <w:outlineLvl w:val="4"/>
    </w:pPr>
    <w:rPr>
      <w:rFonts w:eastAsia="黑体"/>
      <w:b/>
      <w:bCs/>
      <w:szCs w:val="28"/>
    </w:rPr>
  </w:style>
  <w:style w:type="paragraph" w:styleId="9">
    <w:name w:val="heading 6"/>
    <w:basedOn w:val="1"/>
    <w:next w:val="1"/>
    <w:qFormat/>
    <w:uiPriority w:val="99"/>
    <w:pPr>
      <w:keepNext/>
      <w:keepLines/>
      <w:spacing w:before="240" w:after="64" w:line="320" w:lineRule="auto"/>
      <w:outlineLvl w:val="5"/>
    </w:pPr>
    <w:rPr>
      <w:rFonts w:ascii="Calibri Light" w:hAnsi="Calibri Light"/>
      <w:b/>
      <w:bCs/>
      <w:sz w:val="24"/>
      <w:szCs w:val="24"/>
    </w:rPr>
  </w:style>
  <w:style w:type="paragraph" w:styleId="10">
    <w:name w:val="heading 7"/>
    <w:basedOn w:val="1"/>
    <w:next w:val="1"/>
    <w:qFormat/>
    <w:uiPriority w:val="9"/>
    <w:pPr>
      <w:keepNext/>
      <w:keepLines/>
      <w:spacing w:before="240" w:after="64" w:line="320" w:lineRule="auto"/>
      <w:ind w:left="1526"/>
      <w:outlineLvl w:val="6"/>
    </w:pPr>
    <w:rPr>
      <w:rFonts w:ascii="Calibri"/>
      <w:b/>
      <w:bCs/>
      <w:sz w:val="28"/>
    </w:rPr>
  </w:style>
  <w:style w:type="character" w:default="1" w:styleId="37">
    <w:name w:val="Default Paragraph Font"/>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Number 2"/>
    <w:basedOn w:val="1"/>
    <w:unhideWhenUsed/>
    <w:qFormat/>
    <w:uiPriority w:val="99"/>
    <w:pPr>
      <w:numPr>
        <w:ilvl w:val="0"/>
        <w:numId w:val="2"/>
      </w:numPr>
    </w:pPr>
  </w:style>
  <w:style w:type="paragraph" w:styleId="8">
    <w:name w:val="Normal (Web)"/>
    <w:basedOn w:val="1"/>
    <w:qFormat/>
    <w:uiPriority w:val="0"/>
    <w:pPr>
      <w:widowControl/>
      <w:spacing w:before="100" w:beforeAutospacing="1" w:after="100" w:afterAutospacing="1"/>
      <w:jc w:val="left"/>
    </w:pPr>
    <w:rPr>
      <w:rFonts w:ascii="新宋体" w:hAnsi="新宋体" w:cs="新宋体"/>
      <w:kern w:val="0"/>
      <w:sz w:val="24"/>
      <w:szCs w:val="24"/>
    </w:rPr>
  </w:style>
  <w:style w:type="paragraph" w:styleId="11">
    <w:name w:val="toc 7"/>
    <w:basedOn w:val="1"/>
    <w:next w:val="1"/>
    <w:qFormat/>
    <w:uiPriority w:val="39"/>
    <w:pPr>
      <w:ind w:left="1260"/>
      <w:jc w:val="left"/>
    </w:pPr>
    <w:rPr>
      <w:rFonts w:ascii="等线" w:eastAsia="等线"/>
      <w:sz w:val="18"/>
      <w:szCs w:val="18"/>
    </w:rPr>
  </w:style>
  <w:style w:type="paragraph" w:styleId="12">
    <w:name w:val="Normal Indent"/>
    <w:basedOn w:val="1"/>
    <w:next w:val="1"/>
    <w:link w:val="49"/>
    <w:qFormat/>
    <w:uiPriority w:val="0"/>
    <w:pPr>
      <w:ind w:firstLine="420"/>
    </w:pPr>
  </w:style>
  <w:style w:type="paragraph" w:styleId="13">
    <w:name w:val="List Bullet"/>
    <w:basedOn w:val="1"/>
    <w:qFormat/>
    <w:uiPriority w:val="0"/>
    <w:pPr>
      <w:tabs>
        <w:tab w:val="left" w:pos="360"/>
      </w:tabs>
      <w:ind w:left="360" w:hanging="360"/>
    </w:pPr>
    <w:rPr>
      <w:rFonts w:ascii="新宋体" w:hAnsi="新宋体"/>
      <w:szCs w:val="24"/>
    </w:rPr>
  </w:style>
  <w:style w:type="paragraph" w:styleId="14">
    <w:name w:val="Document Map"/>
    <w:basedOn w:val="1"/>
    <w:next w:val="10"/>
    <w:link w:val="50"/>
    <w:qFormat/>
    <w:uiPriority w:val="0"/>
    <w:rPr>
      <w:rFonts w:ascii="新宋体"/>
      <w:sz w:val="18"/>
      <w:szCs w:val="18"/>
    </w:rPr>
  </w:style>
  <w:style w:type="paragraph" w:styleId="15">
    <w:name w:val="annotation text"/>
    <w:basedOn w:val="1"/>
    <w:link w:val="51"/>
    <w:qFormat/>
    <w:uiPriority w:val="0"/>
    <w:pPr>
      <w:jc w:val="left"/>
    </w:pPr>
  </w:style>
  <w:style w:type="paragraph" w:styleId="16">
    <w:name w:val="Body Text"/>
    <w:basedOn w:val="1"/>
    <w:next w:val="17"/>
    <w:link w:val="52"/>
    <w:qFormat/>
    <w:uiPriority w:val="1"/>
    <w:rPr>
      <w:rFonts w:ascii="新宋体" w:hAnsi="新宋体" w:eastAsia="新宋体" w:cs="新宋体"/>
      <w:sz w:val="24"/>
      <w:szCs w:val="24"/>
      <w:lang w:val="zh-CN" w:bidi="zh-CN"/>
    </w:rPr>
  </w:style>
  <w:style w:type="paragraph" w:styleId="17">
    <w:name w:val="toc 5"/>
    <w:basedOn w:val="1"/>
    <w:next w:val="1"/>
    <w:qFormat/>
    <w:uiPriority w:val="39"/>
    <w:pPr>
      <w:ind w:left="840"/>
      <w:jc w:val="left"/>
    </w:pPr>
    <w:rPr>
      <w:rFonts w:ascii="等线" w:eastAsia="等线"/>
      <w:sz w:val="18"/>
      <w:szCs w:val="18"/>
    </w:rPr>
  </w:style>
  <w:style w:type="paragraph" w:styleId="18">
    <w:name w:val="toc 3"/>
    <w:basedOn w:val="1"/>
    <w:next w:val="1"/>
    <w:qFormat/>
    <w:uiPriority w:val="39"/>
    <w:pPr>
      <w:ind w:left="420"/>
      <w:jc w:val="left"/>
    </w:pPr>
    <w:rPr>
      <w:rFonts w:ascii="等线" w:eastAsia="等线"/>
      <w:i/>
      <w:iCs/>
      <w:sz w:val="20"/>
      <w:szCs w:val="20"/>
    </w:rPr>
  </w:style>
  <w:style w:type="paragraph" w:styleId="19">
    <w:name w:val="Plain Text"/>
    <w:basedOn w:val="1"/>
    <w:link w:val="53"/>
    <w:qFormat/>
    <w:uiPriority w:val="0"/>
    <w:rPr>
      <w:rFonts w:ascii="新宋体" w:hAnsi="新宋体" w:cs="新宋体"/>
      <w:szCs w:val="21"/>
    </w:rPr>
  </w:style>
  <w:style w:type="paragraph" w:styleId="20">
    <w:name w:val="toc 8"/>
    <w:basedOn w:val="1"/>
    <w:next w:val="1"/>
    <w:qFormat/>
    <w:uiPriority w:val="39"/>
    <w:pPr>
      <w:ind w:left="1470"/>
      <w:jc w:val="left"/>
    </w:pPr>
    <w:rPr>
      <w:rFonts w:ascii="等线" w:eastAsia="等线"/>
      <w:sz w:val="18"/>
      <w:szCs w:val="18"/>
    </w:rPr>
  </w:style>
  <w:style w:type="paragraph" w:styleId="21">
    <w:name w:val="Date"/>
    <w:basedOn w:val="1"/>
    <w:next w:val="1"/>
    <w:link w:val="54"/>
    <w:qFormat/>
    <w:uiPriority w:val="0"/>
    <w:pPr>
      <w:ind w:left="100" w:leftChars="2500"/>
    </w:pPr>
  </w:style>
  <w:style w:type="paragraph" w:styleId="22">
    <w:name w:val="Body Text Indent 2"/>
    <w:basedOn w:val="1"/>
    <w:link w:val="55"/>
    <w:qFormat/>
    <w:uiPriority w:val="0"/>
    <w:pPr>
      <w:autoSpaceDE w:val="0"/>
      <w:autoSpaceDN w:val="0"/>
      <w:adjustRightInd w:val="0"/>
      <w:spacing w:after="120" w:line="480" w:lineRule="auto"/>
      <w:ind w:left="420" w:leftChars="200"/>
      <w:jc w:val="left"/>
      <w:textAlignment w:val="baseline"/>
    </w:pPr>
    <w:rPr>
      <w:rFonts w:ascii="新宋体" w:hAnsi="新宋体"/>
      <w:sz w:val="24"/>
    </w:rPr>
  </w:style>
  <w:style w:type="paragraph" w:styleId="23">
    <w:name w:val="Balloon Text"/>
    <w:basedOn w:val="1"/>
    <w:link w:val="56"/>
    <w:unhideWhenUsed/>
    <w:qFormat/>
    <w:uiPriority w:val="0"/>
    <w:rPr>
      <w:sz w:val="18"/>
      <w:szCs w:val="18"/>
    </w:rPr>
  </w:style>
  <w:style w:type="paragraph" w:styleId="24">
    <w:name w:val="footer"/>
    <w:basedOn w:val="1"/>
    <w:link w:val="57"/>
    <w:qFormat/>
    <w:uiPriority w:val="99"/>
    <w:pPr>
      <w:tabs>
        <w:tab w:val="center" w:pos="4153"/>
        <w:tab w:val="right" w:pos="8306"/>
      </w:tabs>
      <w:snapToGrid w:val="0"/>
      <w:jc w:val="left"/>
    </w:pPr>
    <w:rPr>
      <w:sz w:val="18"/>
      <w:szCs w:val="18"/>
    </w:rPr>
  </w:style>
  <w:style w:type="paragraph" w:styleId="25">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before="120" w:after="120"/>
      <w:jc w:val="left"/>
    </w:pPr>
    <w:rPr>
      <w:rFonts w:ascii="等线" w:eastAsia="等线"/>
      <w:b/>
      <w:bCs/>
      <w:caps/>
      <w:sz w:val="20"/>
      <w:szCs w:val="20"/>
    </w:rPr>
  </w:style>
  <w:style w:type="paragraph" w:styleId="27">
    <w:name w:val="toc 4"/>
    <w:basedOn w:val="1"/>
    <w:next w:val="1"/>
    <w:qFormat/>
    <w:uiPriority w:val="39"/>
    <w:pPr>
      <w:ind w:left="630"/>
      <w:jc w:val="left"/>
    </w:pPr>
    <w:rPr>
      <w:rFonts w:ascii="等线" w:eastAsia="等线"/>
      <w:sz w:val="18"/>
      <w:szCs w:val="18"/>
    </w:rPr>
  </w:style>
  <w:style w:type="paragraph" w:styleId="28">
    <w:name w:val="toc 6"/>
    <w:basedOn w:val="1"/>
    <w:next w:val="1"/>
    <w:qFormat/>
    <w:uiPriority w:val="39"/>
    <w:pPr>
      <w:ind w:left="1050"/>
      <w:jc w:val="left"/>
    </w:pPr>
    <w:rPr>
      <w:rFonts w:ascii="等线" w:eastAsia="等线"/>
      <w:sz w:val="18"/>
      <w:szCs w:val="18"/>
    </w:rPr>
  </w:style>
  <w:style w:type="paragraph" w:styleId="29">
    <w:name w:val="Body Text Indent 3"/>
    <w:basedOn w:val="1"/>
    <w:link w:val="59"/>
    <w:unhideWhenUsed/>
    <w:qFormat/>
    <w:uiPriority w:val="99"/>
    <w:pPr>
      <w:spacing w:after="120"/>
      <w:ind w:left="420" w:leftChars="200"/>
    </w:pPr>
    <w:rPr>
      <w:sz w:val="16"/>
      <w:szCs w:val="16"/>
    </w:rPr>
  </w:style>
  <w:style w:type="paragraph" w:styleId="30">
    <w:name w:val="toc 2"/>
    <w:basedOn w:val="1"/>
    <w:next w:val="1"/>
    <w:qFormat/>
    <w:uiPriority w:val="39"/>
    <w:pPr>
      <w:ind w:left="210"/>
      <w:jc w:val="left"/>
    </w:pPr>
    <w:rPr>
      <w:rFonts w:ascii="等线" w:eastAsia="等线"/>
      <w:smallCaps/>
      <w:sz w:val="20"/>
      <w:szCs w:val="20"/>
    </w:rPr>
  </w:style>
  <w:style w:type="paragraph" w:styleId="31">
    <w:name w:val="toc 9"/>
    <w:basedOn w:val="1"/>
    <w:next w:val="1"/>
    <w:qFormat/>
    <w:uiPriority w:val="39"/>
    <w:pPr>
      <w:ind w:left="1680"/>
      <w:jc w:val="left"/>
    </w:pPr>
    <w:rPr>
      <w:rFonts w:ascii="等线" w:eastAsia="等线"/>
      <w:sz w:val="18"/>
      <w:szCs w:val="18"/>
    </w:rPr>
  </w:style>
  <w:style w:type="paragraph" w:styleId="32">
    <w:name w:val="Body Text 2"/>
    <w:basedOn w:val="1"/>
    <w:qFormat/>
    <w:uiPriority w:val="0"/>
    <w:pPr>
      <w:widowControl/>
      <w:tabs>
        <w:tab w:val="left" w:pos="210"/>
      </w:tabs>
    </w:pPr>
    <w:rPr>
      <w:rFonts w:ascii="宋体" w:hAnsi="宋体"/>
      <w:sz w:val="24"/>
      <w:szCs w:val="20"/>
      <w:lang w:eastAsia="zh-CN"/>
    </w:rPr>
  </w:style>
  <w:style w:type="paragraph" w:styleId="33">
    <w:name w:val="Title"/>
    <w:basedOn w:val="1"/>
    <w:next w:val="1"/>
    <w:qFormat/>
    <w:uiPriority w:val="0"/>
    <w:pPr>
      <w:spacing w:before="240" w:after="60"/>
      <w:jc w:val="center"/>
      <w:outlineLvl w:val="0"/>
    </w:pPr>
    <w:rPr>
      <w:rFonts w:ascii="Cambria" w:hAnsi="Cambria"/>
      <w:b/>
      <w:bCs/>
      <w:sz w:val="32"/>
      <w:szCs w:val="32"/>
      <w:lang w:val="zh-CN"/>
    </w:rPr>
  </w:style>
  <w:style w:type="paragraph" w:styleId="34">
    <w:name w:val="annotation subject"/>
    <w:basedOn w:val="15"/>
    <w:next w:val="15"/>
    <w:link w:val="60"/>
    <w:unhideWhenUsed/>
    <w:qFormat/>
    <w:uiPriority w:val="0"/>
    <w:rPr>
      <w:b/>
      <w:bCs/>
    </w:rPr>
  </w:style>
  <w:style w:type="table" w:styleId="36">
    <w:name w:val="Table Grid"/>
    <w:basedOn w:val="3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22"/>
    <w:rPr>
      <w:b/>
    </w:rPr>
  </w:style>
  <w:style w:type="character" w:styleId="39">
    <w:name w:val="page number"/>
    <w:qFormat/>
    <w:uiPriority w:val="0"/>
  </w:style>
  <w:style w:type="character" w:styleId="40">
    <w:name w:val="FollowedHyperlink"/>
    <w:unhideWhenUsed/>
    <w:qFormat/>
    <w:uiPriority w:val="99"/>
    <w:rPr>
      <w:color w:val="954F72"/>
      <w:u w:val="single"/>
    </w:rPr>
  </w:style>
  <w:style w:type="character" w:styleId="41">
    <w:name w:val="Hyperlink"/>
    <w:qFormat/>
    <w:uiPriority w:val="99"/>
    <w:rPr>
      <w:rFonts w:ascii="新宋体" w:hAnsi="新宋体" w:eastAsia="新宋体" w:cs="新宋体"/>
      <w:color w:val="0000FF"/>
      <w:u w:val="single"/>
    </w:rPr>
  </w:style>
  <w:style w:type="character" w:styleId="42">
    <w:name w:val="annotation reference"/>
    <w:unhideWhenUsed/>
    <w:qFormat/>
    <w:uiPriority w:val="0"/>
    <w:rPr>
      <w:sz w:val="21"/>
      <w:szCs w:val="21"/>
    </w:rPr>
  </w:style>
  <w:style w:type="paragraph" w:customStyle="1" w:styleId="43">
    <w:name w:val="图表目录1"/>
    <w:basedOn w:val="44"/>
    <w:next w:val="44"/>
    <w:qFormat/>
    <w:uiPriority w:val="0"/>
    <w:pPr>
      <w:spacing w:line="480" w:lineRule="exact"/>
      <w:ind w:left="200" w:leftChars="200" w:hanging="200" w:hangingChars="200"/>
      <w:jc w:val="left"/>
    </w:pPr>
    <w:rPr>
      <w:color w:val="7030A0"/>
      <w:sz w:val="24"/>
    </w:rPr>
  </w:style>
  <w:style w:type="paragraph" w:customStyle="1" w:styleId="44">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43"/>
    <w:qFormat/>
    <w:uiPriority w:val="0"/>
    <w:rPr>
      <w:rFonts w:ascii="Calibri" w:hAnsi="Calibri" w:cs="宋体"/>
    </w:rPr>
  </w:style>
  <w:style w:type="character" w:customStyle="1" w:styleId="45">
    <w:name w:val="标题 1 字符"/>
    <w:qFormat/>
    <w:uiPriority w:val="0"/>
    <w:rPr>
      <w:b/>
      <w:bCs/>
      <w:kern w:val="44"/>
      <w:sz w:val="44"/>
      <w:szCs w:val="44"/>
    </w:rPr>
  </w:style>
  <w:style w:type="character" w:customStyle="1" w:styleId="46">
    <w:name w:val="标题 2 字符"/>
    <w:link w:val="3"/>
    <w:qFormat/>
    <w:uiPriority w:val="0"/>
    <w:rPr>
      <w:rFonts w:ascii="新宋体" w:hAnsi="新宋体" w:eastAsia="新宋体" w:cs="新宋体"/>
      <w:b/>
      <w:bCs/>
      <w:kern w:val="2"/>
      <w:sz w:val="32"/>
      <w:szCs w:val="32"/>
    </w:rPr>
  </w:style>
  <w:style w:type="character" w:customStyle="1" w:styleId="47">
    <w:name w:val="标题 3 字符"/>
    <w:link w:val="4"/>
    <w:qFormat/>
    <w:uiPriority w:val="0"/>
    <w:rPr>
      <w:b/>
      <w:bCs/>
      <w:kern w:val="2"/>
      <w:sz w:val="32"/>
      <w:szCs w:val="32"/>
    </w:rPr>
  </w:style>
  <w:style w:type="character" w:customStyle="1" w:styleId="48">
    <w:name w:val="标题 4 字符"/>
    <w:link w:val="5"/>
    <w:semiHidden/>
    <w:qFormat/>
    <w:uiPriority w:val="9"/>
    <w:rPr>
      <w:rFonts w:ascii="等线 Light" w:hAnsi="等线 Light" w:eastAsia="等线 Light" w:cs="Times New Roman"/>
      <w:b/>
      <w:bCs/>
      <w:kern w:val="2"/>
      <w:sz w:val="28"/>
      <w:szCs w:val="28"/>
    </w:rPr>
  </w:style>
  <w:style w:type="character" w:customStyle="1" w:styleId="49">
    <w:name w:val="正文缩进 字符"/>
    <w:link w:val="12"/>
    <w:qFormat/>
    <w:uiPriority w:val="0"/>
    <w:rPr>
      <w:kern w:val="2"/>
      <w:sz w:val="21"/>
    </w:rPr>
  </w:style>
  <w:style w:type="character" w:customStyle="1" w:styleId="50">
    <w:name w:val="文档结构图 字符"/>
    <w:link w:val="14"/>
    <w:qFormat/>
    <w:uiPriority w:val="0"/>
    <w:rPr>
      <w:rFonts w:ascii="新宋体"/>
      <w:kern w:val="2"/>
      <w:sz w:val="18"/>
      <w:szCs w:val="18"/>
    </w:rPr>
  </w:style>
  <w:style w:type="character" w:customStyle="1" w:styleId="51">
    <w:name w:val="批注文字 字符"/>
    <w:link w:val="15"/>
    <w:qFormat/>
    <w:uiPriority w:val="0"/>
    <w:rPr>
      <w:kern w:val="2"/>
      <w:sz w:val="21"/>
      <w:szCs w:val="22"/>
    </w:rPr>
  </w:style>
  <w:style w:type="character" w:customStyle="1" w:styleId="52">
    <w:name w:val="正文文本 字符"/>
    <w:link w:val="16"/>
    <w:qFormat/>
    <w:uiPriority w:val="1"/>
    <w:rPr>
      <w:rFonts w:ascii="新宋体" w:hAnsi="新宋体" w:eastAsia="新宋体" w:cs="新宋体"/>
      <w:kern w:val="2"/>
      <w:sz w:val="24"/>
      <w:szCs w:val="24"/>
      <w:lang w:val="zh-CN" w:bidi="zh-CN"/>
    </w:rPr>
  </w:style>
  <w:style w:type="character" w:customStyle="1" w:styleId="53">
    <w:name w:val="纯文本 字符"/>
    <w:link w:val="19"/>
    <w:qFormat/>
    <w:uiPriority w:val="0"/>
    <w:rPr>
      <w:rFonts w:ascii="新宋体" w:hAnsi="新宋体" w:cs="新宋体"/>
      <w:kern w:val="2"/>
      <w:sz w:val="21"/>
      <w:szCs w:val="21"/>
    </w:rPr>
  </w:style>
  <w:style w:type="character" w:customStyle="1" w:styleId="54">
    <w:name w:val="日期 字符"/>
    <w:link w:val="21"/>
    <w:qFormat/>
    <w:uiPriority w:val="0"/>
  </w:style>
  <w:style w:type="character" w:customStyle="1" w:styleId="55">
    <w:name w:val="正文文本缩进 2 字符"/>
    <w:link w:val="22"/>
    <w:qFormat/>
    <w:uiPriority w:val="0"/>
    <w:rPr>
      <w:rFonts w:ascii="新宋体" w:hAnsi="新宋体"/>
      <w:sz w:val="24"/>
    </w:rPr>
  </w:style>
  <w:style w:type="character" w:customStyle="1" w:styleId="56">
    <w:name w:val="批注框文本 字符"/>
    <w:link w:val="23"/>
    <w:qFormat/>
    <w:uiPriority w:val="0"/>
    <w:rPr>
      <w:kern w:val="2"/>
      <w:sz w:val="18"/>
      <w:szCs w:val="18"/>
    </w:rPr>
  </w:style>
  <w:style w:type="character" w:customStyle="1" w:styleId="57">
    <w:name w:val="页脚 字符"/>
    <w:link w:val="24"/>
    <w:qFormat/>
    <w:uiPriority w:val="99"/>
    <w:rPr>
      <w:kern w:val="2"/>
      <w:sz w:val="18"/>
      <w:szCs w:val="18"/>
    </w:rPr>
  </w:style>
  <w:style w:type="character" w:customStyle="1" w:styleId="58">
    <w:name w:val="页眉 字符"/>
    <w:link w:val="25"/>
    <w:qFormat/>
    <w:uiPriority w:val="0"/>
    <w:rPr>
      <w:kern w:val="2"/>
      <w:sz w:val="18"/>
      <w:szCs w:val="18"/>
    </w:rPr>
  </w:style>
  <w:style w:type="character" w:customStyle="1" w:styleId="59">
    <w:name w:val="正文文本缩进 3 字符"/>
    <w:link w:val="29"/>
    <w:semiHidden/>
    <w:qFormat/>
    <w:uiPriority w:val="99"/>
    <w:rPr>
      <w:kern w:val="2"/>
      <w:sz w:val="16"/>
      <w:szCs w:val="16"/>
    </w:rPr>
  </w:style>
  <w:style w:type="character" w:customStyle="1" w:styleId="60">
    <w:name w:val="批注主题 字符"/>
    <w:link w:val="34"/>
    <w:qFormat/>
    <w:uiPriority w:val="0"/>
    <w:rPr>
      <w:b/>
      <w:bCs/>
      <w:kern w:val="2"/>
      <w:sz w:val="21"/>
      <w:szCs w:val="22"/>
    </w:rPr>
  </w:style>
  <w:style w:type="character" w:customStyle="1" w:styleId="61">
    <w:name w:val="正文文本缩进 2 字符1"/>
    <w:semiHidden/>
    <w:qFormat/>
    <w:uiPriority w:val="0"/>
    <w:rPr>
      <w:kern w:val="2"/>
      <w:sz w:val="21"/>
      <w:szCs w:val="22"/>
    </w:rPr>
  </w:style>
  <w:style w:type="character" w:customStyle="1" w:styleId="62">
    <w:name w:val="fontstyle01"/>
    <w:qFormat/>
    <w:uiPriority w:val="0"/>
    <w:rPr>
      <w:rFonts w:ascii="宋体" w:hAnsi="宋体" w:eastAsia="宋体" w:cs="宋体"/>
      <w:color w:val="000000"/>
      <w:sz w:val="20"/>
      <w:szCs w:val="20"/>
    </w:rPr>
  </w:style>
  <w:style w:type="character" w:customStyle="1" w:styleId="63">
    <w:name w:val="apple-converted-space"/>
    <w:qFormat/>
    <w:uiPriority w:val="0"/>
  </w:style>
  <w:style w:type="character" w:customStyle="1" w:styleId="64">
    <w:name w:val="批注框文本 字符1"/>
    <w:semiHidden/>
    <w:qFormat/>
    <w:uiPriority w:val="0"/>
    <w:rPr>
      <w:kern w:val="2"/>
      <w:sz w:val="18"/>
      <w:szCs w:val="18"/>
    </w:rPr>
  </w:style>
  <w:style w:type="character" w:customStyle="1" w:styleId="65">
    <w:name w:val="纯文本 字符1"/>
    <w:semiHidden/>
    <w:qFormat/>
    <w:uiPriority w:val="0"/>
    <w:rPr>
      <w:rFonts w:ascii="新宋体" w:hAnsi="新宋体" w:eastAsia="新宋体" w:cs="新宋体"/>
      <w:kern w:val="2"/>
      <w:sz w:val="21"/>
      <w:szCs w:val="22"/>
    </w:rPr>
  </w:style>
  <w:style w:type="character" w:customStyle="1" w:styleId="66">
    <w:name w:val="_Style 60"/>
    <w:unhideWhenUsed/>
    <w:qFormat/>
    <w:uiPriority w:val="99"/>
    <w:rPr>
      <w:color w:val="605E5C"/>
      <w:shd w:val="clear" w:color="auto" w:fill="E1DFDD"/>
    </w:rPr>
  </w:style>
  <w:style w:type="character" w:customStyle="1" w:styleId="67">
    <w:name w:val="日期 字符1"/>
    <w:semiHidden/>
    <w:qFormat/>
    <w:uiPriority w:val="0"/>
    <w:rPr>
      <w:kern w:val="2"/>
      <w:sz w:val="21"/>
      <w:szCs w:val="22"/>
    </w:rPr>
  </w:style>
  <w:style w:type="character" w:customStyle="1" w:styleId="68">
    <w:name w:val="批注主题 字符1"/>
    <w:semiHidden/>
    <w:qFormat/>
    <w:uiPriority w:val="0"/>
    <w:rPr>
      <w:b/>
      <w:bCs/>
      <w:kern w:val="2"/>
      <w:sz w:val="21"/>
      <w:szCs w:val="22"/>
    </w:rPr>
  </w:style>
  <w:style w:type="character" w:customStyle="1" w:styleId="69">
    <w:name w:val="批注文字 字符1"/>
    <w:semiHidden/>
    <w:qFormat/>
    <w:uiPriority w:val="0"/>
    <w:rPr>
      <w:kern w:val="2"/>
      <w:sz w:val="21"/>
      <w:szCs w:val="22"/>
    </w:rPr>
  </w:style>
  <w:style w:type="character" w:customStyle="1" w:styleId="70">
    <w:name w:val="文档结构图 字符1"/>
    <w:semiHidden/>
    <w:qFormat/>
    <w:uiPriority w:val="0"/>
    <w:rPr>
      <w:rFonts w:ascii="新宋体" w:eastAsia="新宋体"/>
      <w:kern w:val="2"/>
      <w:sz w:val="18"/>
      <w:szCs w:val="18"/>
    </w:rPr>
  </w:style>
  <w:style w:type="character" w:customStyle="1" w:styleId="71">
    <w:name w:val="页眉 字符1"/>
    <w:semiHidden/>
    <w:qFormat/>
    <w:uiPriority w:val="0"/>
    <w:rPr>
      <w:kern w:val="2"/>
      <w:sz w:val="18"/>
      <w:szCs w:val="18"/>
    </w:rPr>
  </w:style>
  <w:style w:type="character" w:customStyle="1" w:styleId="72">
    <w:name w:val="页脚 字符1"/>
    <w:semiHidden/>
    <w:qFormat/>
    <w:uiPriority w:val="0"/>
    <w:rPr>
      <w:kern w:val="2"/>
      <w:sz w:val="18"/>
      <w:szCs w:val="18"/>
    </w:rPr>
  </w:style>
  <w:style w:type="character" w:customStyle="1" w:styleId="73">
    <w:name w:val="无间距字符"/>
    <w:link w:val="74"/>
    <w:qFormat/>
    <w:uiPriority w:val="0"/>
    <w:rPr>
      <w:color w:val="000000"/>
      <w:kern w:val="2"/>
      <w:sz w:val="21"/>
      <w:szCs w:val="21"/>
      <w:lang w:val="en-US" w:eastAsia="zh-CN" w:bidi="ar-SA"/>
    </w:rPr>
  </w:style>
  <w:style w:type="paragraph" w:customStyle="1" w:styleId="74">
    <w:name w:val="无间距"/>
    <w:link w:val="73"/>
    <w:qFormat/>
    <w:uiPriority w:val="0"/>
    <w:rPr>
      <w:rFonts w:ascii="Times New Roman" w:hAnsi="Times New Roman" w:eastAsia="宋体" w:cs="Times New Roman"/>
      <w:color w:val="000000"/>
      <w:kern w:val="2"/>
      <w:sz w:val="21"/>
      <w:szCs w:val="21"/>
      <w:lang w:val="en-US" w:eastAsia="zh-CN" w:bidi="ar-SA"/>
    </w:rPr>
  </w:style>
  <w:style w:type="paragraph" w:customStyle="1" w:styleId="7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kern w:val="0"/>
      <w:sz w:val="24"/>
      <w:szCs w:val="24"/>
    </w:rPr>
  </w:style>
  <w:style w:type="paragraph" w:customStyle="1" w:styleId="7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color w:val="00B050"/>
      <w:kern w:val="0"/>
      <w:sz w:val="24"/>
      <w:szCs w:val="24"/>
    </w:rPr>
  </w:style>
  <w:style w:type="paragraph" w:customStyle="1" w:styleId="7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b/>
      <w:bCs/>
      <w:kern w:val="0"/>
      <w:sz w:val="24"/>
      <w:szCs w:val="24"/>
    </w:rPr>
  </w:style>
  <w:style w:type="paragraph" w:customStyle="1" w:styleId="7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b/>
      <w:bCs/>
      <w:kern w:val="0"/>
      <w:sz w:val="24"/>
      <w:szCs w:val="24"/>
    </w:rPr>
  </w:style>
  <w:style w:type="paragraph" w:styleId="79">
    <w:name w:val="List Paragraph"/>
    <w:basedOn w:val="1"/>
    <w:qFormat/>
    <w:uiPriority w:val="34"/>
    <w:pPr>
      <w:ind w:firstLine="420" w:firstLineChars="200"/>
    </w:pPr>
    <w:rPr>
      <w:rFonts w:ascii="新宋体" w:hAnsi="新宋体"/>
      <w:szCs w:val="24"/>
    </w:rPr>
  </w:style>
  <w:style w:type="paragraph" w:customStyle="1" w:styleId="8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MS PMincho" w:hAnsi="@MS PMincho" w:eastAsia="Courier New" w:cs="@MS PMincho"/>
      <w:kern w:val="0"/>
      <w:sz w:val="24"/>
      <w:szCs w:val="24"/>
    </w:rPr>
  </w:style>
  <w:style w:type="paragraph" w:customStyle="1" w:styleId="8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color w:val="FF0000"/>
      <w:kern w:val="0"/>
      <w:sz w:val="24"/>
      <w:szCs w:val="24"/>
    </w:rPr>
  </w:style>
  <w:style w:type="paragraph" w:customStyle="1" w:styleId="8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kern w:val="0"/>
      <w:sz w:val="24"/>
      <w:szCs w:val="24"/>
    </w:rPr>
  </w:style>
  <w:style w:type="paragraph" w:customStyle="1" w:styleId="83">
    <w:name w:val="TOC 标题1"/>
    <w:basedOn w:val="2"/>
    <w:next w:val="1"/>
    <w:qFormat/>
    <w:uiPriority w:val="39"/>
    <w:pPr>
      <w:widowControl/>
      <w:spacing w:before="480" w:after="0" w:line="276" w:lineRule="auto"/>
      <w:jc w:val="left"/>
      <w:outlineLvl w:val="9"/>
    </w:pPr>
    <w:rPr>
      <w:rFonts w:ascii="新宋体" w:hAnsi="新宋体" w:eastAsia="新宋体" w:cs="新宋体"/>
      <w:color w:val="365F91"/>
      <w:kern w:val="0"/>
      <w:sz w:val="28"/>
      <w:szCs w:val="28"/>
    </w:rPr>
  </w:style>
  <w:style w:type="paragraph" w:customStyle="1" w:styleId="84">
    <w:name w:val="xl70"/>
    <w:basedOn w:val="1"/>
    <w:qFormat/>
    <w:uiPriority w:val="0"/>
    <w:pPr>
      <w:widowControl/>
      <w:spacing w:before="100" w:beforeAutospacing="1" w:after="100" w:afterAutospacing="1"/>
      <w:jc w:val="left"/>
    </w:pPr>
    <w:rPr>
      <w:rFonts w:ascii="@MS PMincho" w:hAnsi="@MS PMincho" w:eastAsia="Courier New" w:cs="@MS PMincho"/>
      <w:color w:val="000000"/>
      <w:kern w:val="0"/>
      <w:sz w:val="24"/>
      <w:szCs w:val="24"/>
    </w:rPr>
  </w:style>
  <w:style w:type="paragraph" w:customStyle="1" w:styleId="85">
    <w:name w:val="列表段落1"/>
    <w:basedOn w:val="1"/>
    <w:qFormat/>
    <w:uiPriority w:val="34"/>
    <w:pPr>
      <w:ind w:firstLine="420" w:firstLineChars="200"/>
    </w:pPr>
    <w:rPr>
      <w:rFonts w:ascii="新宋体" w:hAnsi="新宋体" w:eastAsia="新宋体" w:cs="新宋体"/>
      <w:szCs w:val="24"/>
    </w:rPr>
  </w:style>
  <w:style w:type="paragraph" w:customStyle="1" w:styleId="86">
    <w:name w:val="p2"/>
    <w:basedOn w:val="1"/>
    <w:qFormat/>
    <w:uiPriority w:val="0"/>
    <w:pPr>
      <w:widowControl/>
      <w:spacing w:line="480" w:lineRule="auto"/>
      <w:ind w:firstLine="420"/>
      <w:jc w:val="left"/>
    </w:pPr>
    <w:rPr>
      <w:rFonts w:ascii="新宋体" w:hAnsi="新宋体" w:eastAsia="新宋体" w:cs="新宋体"/>
      <w:kern w:val="0"/>
      <w:szCs w:val="21"/>
    </w:rPr>
  </w:style>
  <w:style w:type="paragraph" w:customStyle="1" w:styleId="8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kern w:val="0"/>
      <w:sz w:val="24"/>
      <w:szCs w:val="24"/>
    </w:rPr>
  </w:style>
  <w:style w:type="paragraph" w:customStyle="1" w:styleId="88">
    <w:name w:val="xl67"/>
    <w:basedOn w:val="1"/>
    <w:qFormat/>
    <w:uiPriority w:val="0"/>
    <w:pPr>
      <w:widowControl/>
      <w:spacing w:before="100" w:beforeAutospacing="1" w:after="100" w:afterAutospacing="1"/>
      <w:jc w:val="center"/>
    </w:pPr>
    <w:rPr>
      <w:rFonts w:ascii="@MS PMincho" w:hAnsi="@MS PMincho" w:eastAsia="Courier New" w:cs="@MS PMincho"/>
      <w:color w:val="000000"/>
      <w:kern w:val="0"/>
      <w:sz w:val="24"/>
      <w:szCs w:val="24"/>
    </w:rPr>
  </w:style>
  <w:style w:type="paragraph" w:customStyle="1" w:styleId="8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Courier New" w:cs="Courier New"/>
      <w:kern w:val="0"/>
      <w:sz w:val="24"/>
      <w:szCs w:val="24"/>
    </w:rPr>
  </w:style>
  <w:style w:type="paragraph" w:customStyle="1" w:styleId="9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color w:val="00B050"/>
      <w:kern w:val="0"/>
      <w:sz w:val="20"/>
      <w:szCs w:val="20"/>
    </w:rPr>
  </w:style>
  <w:style w:type="paragraph" w:customStyle="1" w:styleId="91">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b/>
      <w:bCs/>
      <w:kern w:val="0"/>
      <w:sz w:val="24"/>
      <w:szCs w:val="24"/>
    </w:rPr>
  </w:style>
  <w:style w:type="paragraph" w:customStyle="1" w:styleId="9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MS PMincho" w:hAnsi="@MS PMincho" w:eastAsia="Courier New" w:cs="@MS PMincho"/>
      <w:b/>
      <w:bCs/>
      <w:color w:val="00B050"/>
      <w:kern w:val="0"/>
      <w:sz w:val="20"/>
      <w:szCs w:val="20"/>
    </w:rPr>
  </w:style>
  <w:style w:type="paragraph" w:customStyle="1" w:styleId="9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kern w:val="0"/>
      <w:sz w:val="24"/>
      <w:szCs w:val="24"/>
    </w:rPr>
  </w:style>
  <w:style w:type="paragraph" w:customStyle="1" w:styleId="95">
    <w:name w:val="p0"/>
    <w:basedOn w:val="1"/>
    <w:qFormat/>
    <w:uiPriority w:val="0"/>
    <w:pPr>
      <w:widowControl/>
    </w:pPr>
    <w:rPr>
      <w:rFonts w:ascii="新宋体" w:hAnsi="新宋体"/>
      <w:kern w:val="0"/>
      <w:szCs w:val="21"/>
    </w:rPr>
  </w:style>
  <w:style w:type="paragraph" w:customStyle="1" w:styleId="96">
    <w:name w:val="xl104"/>
    <w:basedOn w:val="1"/>
    <w:qFormat/>
    <w:uiPriority w:val="0"/>
    <w:pPr>
      <w:widowControl/>
      <w:spacing w:before="100" w:beforeAutospacing="1" w:after="100" w:afterAutospacing="1"/>
      <w:ind w:firstLine="200" w:firstLineChars="200"/>
    </w:pPr>
    <w:rPr>
      <w:rFonts w:ascii="Courier New" w:hAnsi="Courier New" w:eastAsia="Courier New" w:cs="Courier New"/>
      <w:kern w:val="0"/>
      <w:sz w:val="24"/>
      <w:szCs w:val="24"/>
    </w:rPr>
  </w:style>
  <w:style w:type="paragraph" w:customStyle="1" w:styleId="9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MS PMincho" w:hAnsi="@MS PMincho" w:eastAsia="Courier New" w:cs="@MS PMincho"/>
      <w:kern w:val="0"/>
      <w:sz w:val="24"/>
      <w:szCs w:val="24"/>
    </w:rPr>
  </w:style>
  <w:style w:type="paragraph" w:customStyle="1" w:styleId="9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kern w:val="0"/>
      <w:sz w:val="24"/>
      <w:szCs w:val="24"/>
    </w:rPr>
  </w:style>
  <w:style w:type="paragraph" w:customStyle="1" w:styleId="9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kern w:val="0"/>
      <w:sz w:val="24"/>
      <w:szCs w:val="24"/>
    </w:rPr>
  </w:style>
  <w:style w:type="paragraph" w:customStyle="1" w:styleId="100">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b/>
      <w:bCs/>
      <w:kern w:val="0"/>
      <w:sz w:val="24"/>
      <w:szCs w:val="24"/>
    </w:rPr>
  </w:style>
  <w:style w:type="paragraph" w:customStyle="1" w:styleId="10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color w:val="00B050"/>
      <w:kern w:val="0"/>
      <w:sz w:val="24"/>
      <w:szCs w:val="24"/>
    </w:rPr>
  </w:style>
  <w:style w:type="paragraph" w:customStyle="1" w:styleId="10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kern w:val="0"/>
      <w:sz w:val="24"/>
      <w:szCs w:val="24"/>
    </w:rPr>
  </w:style>
  <w:style w:type="paragraph" w:customStyle="1" w:styleId="103">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kern w:val="0"/>
      <w:sz w:val="24"/>
      <w:szCs w:val="24"/>
    </w:rPr>
  </w:style>
  <w:style w:type="paragraph" w:customStyle="1" w:styleId="10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kern w:val="0"/>
      <w:sz w:val="24"/>
      <w:szCs w:val="24"/>
    </w:rPr>
  </w:style>
  <w:style w:type="paragraph" w:customStyle="1" w:styleId="105">
    <w:name w:val="font8"/>
    <w:basedOn w:val="1"/>
    <w:qFormat/>
    <w:uiPriority w:val="0"/>
    <w:pPr>
      <w:widowControl/>
      <w:spacing w:before="100" w:beforeAutospacing="1" w:after="100" w:afterAutospacing="1"/>
      <w:jc w:val="left"/>
    </w:pPr>
    <w:rPr>
      <w:rFonts w:ascii="Courier New" w:hAnsi="Courier New" w:eastAsia="Courier New" w:cs="Courier New"/>
      <w:kern w:val="0"/>
      <w:sz w:val="18"/>
      <w:szCs w:val="18"/>
    </w:rPr>
  </w:style>
  <w:style w:type="paragraph" w:customStyle="1" w:styleId="106">
    <w:name w:val="font7"/>
    <w:basedOn w:val="1"/>
    <w:qFormat/>
    <w:uiPriority w:val="0"/>
    <w:pPr>
      <w:widowControl/>
      <w:spacing w:before="100" w:beforeAutospacing="1" w:after="100" w:afterAutospacing="1"/>
      <w:jc w:val="left"/>
    </w:pPr>
    <w:rPr>
      <w:rFonts w:ascii="Courier New" w:hAnsi="Courier New" w:eastAsia="Courier New" w:cs="Courier New"/>
      <w:kern w:val="0"/>
      <w:sz w:val="22"/>
    </w:rPr>
  </w:style>
  <w:style w:type="paragraph" w:customStyle="1" w:styleId="107">
    <w:name w:val="font0"/>
    <w:basedOn w:val="1"/>
    <w:qFormat/>
    <w:uiPriority w:val="0"/>
    <w:pPr>
      <w:widowControl/>
      <w:spacing w:before="100" w:beforeAutospacing="1" w:after="100" w:afterAutospacing="1"/>
      <w:jc w:val="left"/>
    </w:pPr>
    <w:rPr>
      <w:rFonts w:ascii="Courier New" w:hAnsi="Courier New" w:eastAsia="Courier New" w:cs="Courier New"/>
      <w:kern w:val="0"/>
      <w:sz w:val="22"/>
    </w:rPr>
  </w:style>
  <w:style w:type="paragraph" w:customStyle="1" w:styleId="10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b/>
      <w:bCs/>
      <w:kern w:val="0"/>
      <w:sz w:val="24"/>
      <w:szCs w:val="24"/>
    </w:rPr>
  </w:style>
  <w:style w:type="paragraph" w:customStyle="1" w:styleId="10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kern w:val="0"/>
      <w:sz w:val="24"/>
      <w:szCs w:val="24"/>
    </w:rPr>
  </w:style>
  <w:style w:type="paragraph" w:customStyle="1" w:styleId="11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b/>
      <w:bCs/>
      <w:color w:val="00B050"/>
      <w:kern w:val="0"/>
      <w:sz w:val="24"/>
      <w:szCs w:val="24"/>
    </w:rPr>
  </w:style>
  <w:style w:type="paragraph" w:customStyle="1" w:styleId="111">
    <w:name w:val="修订1"/>
    <w:qFormat/>
    <w:uiPriority w:val="99"/>
    <w:rPr>
      <w:rFonts w:ascii="新宋体" w:hAnsi="新宋体" w:eastAsia="新宋体" w:cs="新宋体"/>
      <w:kern w:val="2"/>
      <w:sz w:val="21"/>
      <w:szCs w:val="22"/>
      <w:lang w:val="en-US" w:eastAsia="zh-CN" w:bidi="ar-SA"/>
    </w:rPr>
  </w:style>
  <w:style w:type="paragraph" w:customStyle="1" w:styleId="11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b/>
      <w:bCs/>
      <w:kern w:val="0"/>
      <w:sz w:val="24"/>
      <w:szCs w:val="24"/>
    </w:rPr>
  </w:style>
  <w:style w:type="paragraph" w:customStyle="1" w:styleId="113">
    <w:name w:val="font6"/>
    <w:basedOn w:val="1"/>
    <w:qFormat/>
    <w:uiPriority w:val="0"/>
    <w:pPr>
      <w:widowControl/>
      <w:spacing w:before="100" w:beforeAutospacing="1" w:after="100" w:afterAutospacing="1"/>
      <w:jc w:val="left"/>
    </w:pPr>
    <w:rPr>
      <w:rFonts w:ascii="@MS PMincho" w:hAnsi="@MS PMincho" w:eastAsia="Courier New" w:cs="@MS PMincho"/>
      <w:kern w:val="0"/>
      <w:sz w:val="22"/>
    </w:rPr>
  </w:style>
  <w:style w:type="paragraph" w:customStyle="1" w:styleId="11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kern w:val="0"/>
      <w:sz w:val="24"/>
      <w:szCs w:val="24"/>
    </w:rPr>
  </w:style>
  <w:style w:type="paragraph" w:customStyle="1" w:styleId="115">
    <w:name w:val="列出段落2"/>
    <w:basedOn w:val="1"/>
    <w:qFormat/>
    <w:uiPriority w:val="34"/>
    <w:pPr>
      <w:adjustRightInd w:val="0"/>
      <w:spacing w:line="312" w:lineRule="atLeast"/>
      <w:ind w:firstLine="420" w:firstLineChars="200"/>
      <w:textAlignment w:val="baseline"/>
    </w:pPr>
    <w:rPr>
      <w:rFonts w:ascii="新宋体" w:hAnsi="新宋体"/>
      <w:kern w:val="0"/>
      <w:szCs w:val="20"/>
    </w:rPr>
  </w:style>
  <w:style w:type="paragraph" w:customStyle="1" w:styleId="116">
    <w:name w:val="font5"/>
    <w:basedOn w:val="1"/>
    <w:qFormat/>
    <w:uiPriority w:val="0"/>
    <w:pPr>
      <w:widowControl/>
      <w:spacing w:before="100" w:beforeAutospacing="1" w:after="100" w:afterAutospacing="1"/>
      <w:jc w:val="left"/>
    </w:pPr>
    <w:rPr>
      <w:rFonts w:ascii="Courier New" w:hAnsi="Courier New" w:eastAsia="Courier New" w:cs="Courier New"/>
      <w:b/>
      <w:bCs/>
      <w:kern w:val="0"/>
      <w:sz w:val="22"/>
    </w:rPr>
  </w:style>
  <w:style w:type="paragraph" w:customStyle="1" w:styleId="11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kern w:val="0"/>
      <w:sz w:val="24"/>
      <w:szCs w:val="24"/>
    </w:rPr>
  </w:style>
  <w:style w:type="paragraph" w:customStyle="1" w:styleId="118">
    <w:name w:val="_Style 112"/>
    <w:basedOn w:val="2"/>
    <w:next w:val="1"/>
    <w:qFormat/>
    <w:uiPriority w:val="39"/>
    <w:pPr>
      <w:widowControl/>
      <w:spacing w:before="480" w:after="0" w:line="276" w:lineRule="auto"/>
      <w:jc w:val="left"/>
      <w:outlineLvl w:val="9"/>
    </w:pPr>
    <w:rPr>
      <w:rFonts w:ascii="新宋体" w:hAnsi="新宋体" w:eastAsia="新宋体" w:cs="新宋体"/>
      <w:color w:val="365F91"/>
      <w:kern w:val="0"/>
      <w:sz w:val="28"/>
      <w:szCs w:val="28"/>
    </w:rPr>
  </w:style>
  <w:style w:type="paragraph" w:customStyle="1" w:styleId="119">
    <w:name w:val="msonormal"/>
    <w:basedOn w:val="1"/>
    <w:qFormat/>
    <w:uiPriority w:val="0"/>
    <w:pPr>
      <w:widowControl/>
      <w:spacing w:before="100" w:beforeAutospacing="1" w:after="100" w:afterAutospacing="1"/>
      <w:jc w:val="left"/>
    </w:pPr>
    <w:rPr>
      <w:rFonts w:ascii="Courier New" w:hAnsi="Courier New" w:eastAsia="Courier New" w:cs="Courier New"/>
      <w:kern w:val="0"/>
      <w:sz w:val="24"/>
      <w:szCs w:val="24"/>
    </w:rPr>
  </w:style>
  <w:style w:type="paragraph" w:customStyle="1" w:styleId="120">
    <w:name w:val="xl68"/>
    <w:basedOn w:val="1"/>
    <w:qFormat/>
    <w:uiPriority w:val="0"/>
    <w:pPr>
      <w:widowControl/>
      <w:spacing w:before="100" w:beforeAutospacing="1" w:after="100" w:afterAutospacing="1"/>
      <w:jc w:val="left"/>
    </w:pPr>
    <w:rPr>
      <w:rFonts w:ascii="@MS PMincho" w:hAnsi="@MS PMincho" w:eastAsia="Courier New" w:cs="@MS PMincho"/>
      <w:color w:val="000000"/>
      <w:kern w:val="0"/>
      <w:sz w:val="24"/>
      <w:szCs w:val="24"/>
    </w:rPr>
  </w:style>
  <w:style w:type="paragraph" w:customStyle="1" w:styleId="12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b/>
      <w:bCs/>
      <w:color w:val="00B050"/>
      <w:kern w:val="0"/>
      <w:sz w:val="20"/>
      <w:szCs w:val="20"/>
    </w:rPr>
  </w:style>
  <w:style w:type="paragraph" w:customStyle="1" w:styleId="12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kern w:val="0"/>
      <w:sz w:val="24"/>
      <w:szCs w:val="24"/>
    </w:rPr>
  </w:style>
  <w:style w:type="paragraph" w:customStyle="1" w:styleId="123">
    <w:name w:val="xl69"/>
    <w:basedOn w:val="1"/>
    <w:qFormat/>
    <w:uiPriority w:val="0"/>
    <w:pPr>
      <w:widowControl/>
      <w:spacing w:before="100" w:beforeAutospacing="1" w:after="100" w:afterAutospacing="1"/>
      <w:jc w:val="left"/>
    </w:pPr>
    <w:rPr>
      <w:rFonts w:ascii="@MS PMincho" w:hAnsi="@MS PMincho" w:eastAsia="Courier New" w:cs="@MS PMincho"/>
      <w:color w:val="000000"/>
      <w:kern w:val="0"/>
      <w:sz w:val="24"/>
      <w:szCs w:val="24"/>
    </w:rPr>
  </w:style>
  <w:style w:type="paragraph" w:customStyle="1" w:styleId="12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kern w:val="0"/>
      <w:sz w:val="24"/>
      <w:szCs w:val="24"/>
    </w:rPr>
  </w:style>
  <w:style w:type="paragraph" w:customStyle="1" w:styleId="12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kern w:val="0"/>
      <w:sz w:val="24"/>
      <w:szCs w:val="24"/>
    </w:rPr>
  </w:style>
  <w:style w:type="paragraph" w:customStyle="1" w:styleId="126">
    <w:name w:val="Table Paragraph"/>
    <w:basedOn w:val="1"/>
    <w:qFormat/>
    <w:uiPriority w:val="1"/>
    <w:pPr>
      <w:spacing w:line="292" w:lineRule="exact"/>
    </w:pPr>
    <w:rPr>
      <w:rFonts w:ascii="新宋体" w:hAnsi="新宋体" w:eastAsia="新宋体" w:cs="新宋体"/>
      <w:lang w:val="zh-CN" w:bidi="zh-CN"/>
    </w:rPr>
  </w:style>
  <w:style w:type="paragraph" w:customStyle="1" w:styleId="12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Courier New" w:cs="Courier New"/>
      <w:kern w:val="0"/>
      <w:sz w:val="24"/>
      <w:szCs w:val="24"/>
    </w:rPr>
  </w:style>
  <w:style w:type="paragraph" w:customStyle="1" w:styleId="128">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MS PMincho" w:hAnsi="@MS PMincho" w:eastAsia="Courier New" w:cs="@MS PMincho"/>
      <w:kern w:val="0"/>
      <w:sz w:val="24"/>
      <w:szCs w:val="24"/>
    </w:rPr>
  </w:style>
  <w:style w:type="paragraph" w:customStyle="1" w:styleId="12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kern w:val="0"/>
      <w:sz w:val="24"/>
      <w:szCs w:val="24"/>
    </w:rPr>
  </w:style>
  <w:style w:type="paragraph" w:customStyle="1" w:styleId="130">
    <w:name w:val="_Style 124"/>
    <w:qFormat/>
    <w:uiPriority w:val="0"/>
    <w:rPr>
      <w:rFonts w:ascii="Times New Roman" w:hAnsi="Times New Roman" w:eastAsia="宋体" w:cs="Times New Roman"/>
      <w:kern w:val="2"/>
      <w:sz w:val="21"/>
      <w:szCs w:val="22"/>
      <w:lang w:val="en-US" w:eastAsia="zh-CN" w:bidi="ar-SA"/>
    </w:rPr>
  </w:style>
  <w:style w:type="paragraph" w:customStyle="1" w:styleId="13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MS PMincho" w:hAnsi="@MS PMincho" w:eastAsia="Courier New" w:cs="@MS PMincho"/>
      <w:b/>
      <w:bCs/>
      <w:kern w:val="0"/>
      <w:sz w:val="24"/>
      <w:szCs w:val="24"/>
    </w:rPr>
  </w:style>
  <w:style w:type="paragraph" w:customStyle="1" w:styleId="13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Courier New" w:cs="Courier New"/>
      <w:b/>
      <w:bCs/>
      <w:kern w:val="0"/>
      <w:sz w:val="24"/>
      <w:szCs w:val="24"/>
    </w:rPr>
  </w:style>
  <w:style w:type="paragraph" w:customStyle="1" w:styleId="133">
    <w:name w:val="纯文本1"/>
    <w:basedOn w:val="1"/>
    <w:qFormat/>
    <w:uiPriority w:val="0"/>
    <w:rPr>
      <w:rFonts w:ascii="Courier New" w:hAnsi="等线 Light"/>
      <w:kern w:val="0"/>
      <w:sz w:val="20"/>
      <w:szCs w:val="21"/>
    </w:rPr>
  </w:style>
  <w:style w:type="paragraph" w:customStyle="1" w:styleId="134">
    <w:name w:val="*正文"/>
    <w:basedOn w:val="1"/>
    <w:qFormat/>
    <w:uiPriority w:val="0"/>
    <w:pPr>
      <w:widowControl/>
      <w:spacing w:beforeLines="50" w:after="160" w:afterLines="50" w:line="300" w:lineRule="auto"/>
      <w:ind w:firstLine="200" w:firstLineChars="200"/>
      <w:jc w:val="left"/>
    </w:pPr>
    <w:rPr>
      <w:rFonts w:ascii="等线" w:hAnsi="宋体" w:eastAsia="微软雅黑"/>
      <w:sz w:val="24"/>
      <w:szCs w:val="24"/>
    </w:rPr>
  </w:style>
  <w:style w:type="paragraph" w:customStyle="1" w:styleId="135">
    <w:name w:val="表格文字"/>
    <w:basedOn w:val="1"/>
    <w:qFormat/>
    <w:uiPriority w:val="0"/>
    <w:pPr>
      <w:spacing w:before="25" w:after="25"/>
      <w:jc w:val="left"/>
    </w:pPr>
    <w:rPr>
      <w:bCs/>
      <w:spacing w:val="10"/>
      <w:kern w:val="0"/>
      <w:sz w:val="24"/>
    </w:rPr>
  </w:style>
  <w:style w:type="paragraph" w:customStyle="1" w:styleId="136">
    <w:name w:val="正文缩进1"/>
    <w:basedOn w:val="1"/>
    <w:qFormat/>
    <w:uiPriority w:val="0"/>
    <w:pPr>
      <w:ind w:firstLine="420"/>
    </w:pPr>
  </w:style>
  <w:style w:type="paragraph" w:customStyle="1" w:styleId="137">
    <w:name w:val="封面标准名称"/>
    <w:qFormat/>
    <w:uiPriority w:val="99"/>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138">
    <w:name w:val="font21"/>
    <w:basedOn w:val="37"/>
    <w:qFormat/>
    <w:uiPriority w:val="0"/>
    <w:rPr>
      <w:rFonts w:hint="default" w:ascii="Times New Roman" w:hAnsi="Times New Roman" w:cs="Times New Roman"/>
      <w:color w:val="000000"/>
      <w:sz w:val="21"/>
      <w:szCs w:val="21"/>
      <w:u w:val="none"/>
    </w:rPr>
  </w:style>
  <w:style w:type="character" w:customStyle="1" w:styleId="139">
    <w:name w:val="font41"/>
    <w:basedOn w:val="37"/>
    <w:qFormat/>
    <w:uiPriority w:val="0"/>
    <w:rPr>
      <w:rFonts w:hint="eastAsia" w:ascii="宋体" w:hAnsi="宋体" w:eastAsia="宋体" w:cs="宋体"/>
      <w:color w:val="000000"/>
      <w:sz w:val="21"/>
      <w:szCs w:val="21"/>
      <w:u w:val="none"/>
    </w:rPr>
  </w:style>
  <w:style w:type="character" w:customStyle="1" w:styleId="140">
    <w:name w:val="font11"/>
    <w:basedOn w:val="37"/>
    <w:qFormat/>
    <w:uiPriority w:val="0"/>
    <w:rPr>
      <w:rFonts w:hint="default" w:ascii="Wingdings 2" w:hAnsi="Wingdings 2" w:eastAsia="Wingdings 2" w:cs="Wingdings 2"/>
      <w:color w:val="000000"/>
      <w:sz w:val="21"/>
      <w:szCs w:val="21"/>
      <w:u w:val="none"/>
    </w:rPr>
  </w:style>
  <w:style w:type="character" w:customStyle="1" w:styleId="141">
    <w:name w:val="font51"/>
    <w:basedOn w:val="37"/>
    <w:qFormat/>
    <w:uiPriority w:val="0"/>
    <w:rPr>
      <w:rFonts w:hint="default" w:ascii="Times New Roman" w:hAnsi="Times New Roman" w:cs="Times New Roman"/>
      <w:color w:val="000000"/>
      <w:sz w:val="21"/>
      <w:szCs w:val="21"/>
      <w:u w:val="single"/>
    </w:rPr>
  </w:style>
  <w:style w:type="character" w:customStyle="1" w:styleId="142">
    <w:name w:val="标题 1 字符1"/>
    <w:link w:val="2"/>
    <w:qFormat/>
    <w:uiPriority w:val="0"/>
    <w:rPr>
      <w:rFonts w:ascii="Times New Roman" w:hAnsi="Times New Roman" w:eastAsia="黑体"/>
      <w:b/>
      <w:kern w:val="44"/>
      <w:sz w:val="32"/>
    </w:rPr>
  </w:style>
  <w:style w:type="paragraph" w:customStyle="1" w:styleId="143">
    <w:name w:val="样式1"/>
    <w:basedOn w:val="1"/>
    <w:qFormat/>
    <w:uiPriority w:val="0"/>
    <w:pPr>
      <w:jc w:val="center"/>
    </w:pPr>
    <w:rPr>
      <w:rFonts w:eastAsia="方正大标宋简体"/>
      <w:sz w:val="52"/>
    </w:rPr>
  </w:style>
  <w:style w:type="paragraph" w:customStyle="1" w:styleId="144">
    <w:name w:val="Revision"/>
    <w:hidden/>
    <w:unhideWhenUsed/>
    <w:qFormat/>
    <w:uiPriority w:val="99"/>
    <w:rPr>
      <w:rFonts w:ascii="Times New Roman" w:hAnsi="Times New Roman" w:eastAsia="宋体" w:cs="Times New Roman"/>
      <w:kern w:val="2"/>
      <w:sz w:val="21"/>
      <w:szCs w:val="22"/>
      <w:lang w:val="en-US" w:eastAsia="zh-CN" w:bidi="ar-SA"/>
    </w:rPr>
  </w:style>
  <w:style w:type="paragraph" w:customStyle="1" w:styleId="145">
    <w:name w:val="16"/>
    <w:basedOn w:val="1"/>
    <w:qFormat/>
    <w:uiPriority w:val="0"/>
  </w:style>
  <w:style w:type="paragraph" w:customStyle="1" w:styleId="146">
    <w:name w:val="15"/>
    <w:basedOn w:val="1"/>
    <w:qFormat/>
    <w:uiPriority w:val="0"/>
  </w:style>
  <w:style w:type="table" w:customStyle="1" w:styleId="147">
    <w:name w:val="MsoTableGrid"/>
    <w:basedOn w:val="35"/>
    <w:qFormat/>
    <w:uiPriority w:val="0"/>
  </w:style>
  <w:style w:type="paragraph" w:customStyle="1" w:styleId="148">
    <w:name w:val="MsoNormal"/>
    <w:basedOn w:val="1"/>
    <w:qFormat/>
    <w:uiPriority w:val="0"/>
  </w:style>
  <w:style w:type="table" w:customStyle="1" w:styleId="149">
    <w:name w:val="17"/>
    <w:basedOn w:val="35"/>
    <w:qFormat/>
    <w:uiPriority w:val="0"/>
  </w:style>
  <w:style w:type="paragraph" w:customStyle="1" w:styleId="150">
    <w:name w:val="_Style 638"/>
    <w:basedOn w:val="1"/>
    <w:next w:val="79"/>
    <w:qFormat/>
    <w:uiPriority w:val="0"/>
    <w:pPr>
      <w:ind w:firstLine="420" w:firstLineChars="200"/>
      <w:jc w:val="both"/>
    </w:pPr>
    <w:rPr>
      <w:kern w:val="2"/>
      <w:sz w:val="21"/>
      <w:szCs w:val="24"/>
      <w:lang w:eastAsia="zh-CN"/>
    </w:rPr>
  </w:style>
  <w:style w:type="paragraph" w:customStyle="1" w:styleId="151">
    <w:name w:val="Standard"/>
    <w:qFormat/>
    <w:uiPriority w:val="0"/>
    <w:pPr>
      <w:widowControl w:val="0"/>
      <w:suppressAutoHyphens/>
      <w:autoSpaceDN w:val="0"/>
      <w:jc w:val="both"/>
      <w:textAlignment w:val="baseline"/>
    </w:pPr>
    <w:rPr>
      <w:rFonts w:ascii="Times New Roman" w:hAnsi="Times New Roman" w:eastAsia="宋体, SimSun" w:cs="Times New Roman"/>
      <w:kern w:val="3"/>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94</Pages>
  <Words>3439</Words>
  <Characters>4074</Characters>
  <Lines>420</Lines>
  <Paragraphs>118</Paragraphs>
  <TotalTime>16</TotalTime>
  <ScaleCrop>false</ScaleCrop>
  <LinksUpToDate>false</LinksUpToDate>
  <CharactersWithSpaces>4142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2023-07-14T03:07:00Z</dcterms:created>
  <dc:creator>Administrator</dc:creator>
  <cp:lastModifiedBy>温</cp:lastModifiedBy>
  <cp:lastPrinted>2024-09-22T04:40:00Z</cp:lastPrinted>
  <dcterms:modified xsi:type="dcterms:W3CDTF">2025-04-16T02:14:57Z</dcterms:modified>
  <dc:title>云南省公安厅建造新型指挥艇及购置相关设备采购项目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1E85B62B74984216AD9CA0C9BB931D09_13</vt:lpwstr>
  </property>
  <property fmtid="{D5CDD505-2E9C-101B-9397-08002B2CF9AE}" pid="4" name="KSOTemplateDocerSaveRecord">
    <vt:lpwstr>eyJoZGlkIjoiZTBjNThjMDlkMzhmMTdkOWE0NzU3YzVmN2VmNjJkNmEiLCJ1c2VySWQiOiIyNjA3MDg5MzkifQ==</vt:lpwstr>
  </property>
</Properties>
</file>