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版本号：N511401202500032920251028001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轨道物流传输系统维保服务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N5114012025000329</w:t>
      </w:r>
    </w:p>
    <w:p>
      <w:pPr>
        <w:pStyle w:val="null3"/>
        <w:jc w:val="left"/>
        <w:outlineLvl w:val="2"/>
      </w:pPr>
      <w:r>
        <w:rPr>
          <w:rFonts w:ascii="仿宋_GB2312" w:hAnsi="仿宋_GB2312" w:cs="仿宋_GB2312" w:eastAsia="仿宋_GB2312"/>
          <w:sz w:val="28"/>
          <w:b/>
        </w:rPr>
        <w:t>眉山市人民医院</w:t>
      </w:r>
    </w:p>
    <w:p>
      <w:pPr>
        <w:pStyle w:val="null3"/>
        <w:jc w:val="center"/>
        <w:outlineLvl w:val="2"/>
      </w:pPr>
      <w:r>
        <w:rPr>
          <w:rFonts w:ascii="仿宋_GB2312" w:hAnsi="仿宋_GB2312" w:cs="仿宋_GB2312" w:eastAsia="仿宋_GB2312"/>
          <w:sz w:val="28"/>
          <w:b/>
        </w:rPr>
        <w:t>四川东衡远景工程咨询有限公司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四川东衡远景工程咨询有限公司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眉山市人民医院</w:t>
      </w:r>
      <w:r>
        <w:rPr>
          <w:rFonts w:ascii="仿宋_GB2312" w:hAnsi="仿宋_GB2312" w:cs="仿宋_GB2312" w:eastAsia="仿宋_GB2312"/>
        </w:rPr>
        <w:t xml:space="preserve"> 委托，拟对 </w:t>
      </w:r>
      <w:r>
        <w:rPr>
          <w:rFonts w:ascii="仿宋_GB2312" w:hAnsi="仿宋_GB2312" w:cs="仿宋_GB2312" w:eastAsia="仿宋_GB2312"/>
        </w:rPr>
        <w:t>轨道物流传输系统维保服务</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眉山市市本级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N5114012025000329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轨道物流传输系统维保服务</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眉山市人民医院轨道物流传输系统共计34个站点，1800米轨道、27套转轨器、40套防火窗、60套防风窗、46辆智能小车、区域控制器、电源等。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眉山市人民医院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眉山市东坡区东坡大道南四段288号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028-38718925</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四川东衡远景工程咨询有限公司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四川省眉山市东坡区苏源路377号华陆新天地5幢13层4号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028-38333338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采购包1：980,000.00元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按照《招标代理服务收费管理暂行办法》（计价格[2002]1980号）附件《招标代理服务收费标准》有关规定标准收费下浮20%，若单项采购项目代理服务费用不足5000元的，按5000元收取。2、收款金额：11760元（壹万壹仟柒佰陆拾元整）；3、收款账户信息：账户名称：四川东衡远景工程咨询有限公司 收款账号：951000010014398026 开户银行：中国邮政 储蓄银行股份有限公司眉山市东坡大道支行 行号：403665200212 注意：转款时须备注项目名称。 4、开具发票：代理服务费交纳完成后， 成交供应商发送开票信息（邮件名称：XX项目申请开具发票金额XX元；邮件内容需包括：付款截图、单位名称、纳税识别号、联系人、联系电话，备注开具普票或专票。未备注的默认开普票）至邮箱dhyj2023@163.com，发票开具后将直接发送至原申请开票邮箱。</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眉山市人民医院</w:t>
      </w:r>
      <w:r>
        <w:rPr>
          <w:rFonts w:ascii="仿宋_GB2312" w:hAnsi="仿宋_GB2312" w:cs="仿宋_GB2312" w:eastAsia="仿宋_GB2312"/>
        </w:rPr>
        <w:t xml:space="preserve"> 和 </w:t>
      </w:r>
      <w:r>
        <w:rPr>
          <w:rFonts w:ascii="仿宋_GB2312" w:hAnsi="仿宋_GB2312" w:cs="仿宋_GB2312" w:eastAsia="仿宋_GB2312"/>
        </w:rPr>
        <w:t>四川东衡远景工程咨询有限公司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眉山市人民医院</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四川东衡远景工程咨询有限公司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服务期满12个月</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服务期满24个月</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详见“验收交付标准和方法”</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详见“验收交付标准和方法”</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详见“验收交付标准和方法”</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详见“验收交付标准和方法”</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详见“验收交付标准和方法”</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眉山市人民医院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四川东衡远景工程咨询有限公司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四川东衡远景工程咨询有限公司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联系电话：028-38718925</w:t>
      </w:r>
    </w:p>
    <w:p>
      <w:pPr>
        <w:pStyle w:val="null3"/>
        <w:jc w:val="left"/>
      </w:pPr>
      <w:r>
        <w:rPr>
          <w:rFonts w:ascii="仿宋_GB2312" w:hAnsi="仿宋_GB2312" w:cs="仿宋_GB2312" w:eastAsia="仿宋_GB2312"/>
        </w:rPr>
        <w:t>地址：眉山市东坡区东坡大道南四段288号</w:t>
      </w:r>
    </w:p>
    <w:p>
      <w:pPr>
        <w:pStyle w:val="null3"/>
        <w:jc w:val="left"/>
      </w:pPr>
      <w:r>
        <w:rPr>
          <w:rFonts w:ascii="仿宋_GB2312" w:hAnsi="仿宋_GB2312" w:cs="仿宋_GB2312" w:eastAsia="仿宋_GB2312"/>
        </w:rPr>
        <w:t>邮编： 620000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联系电话：028-38333338</w:t>
      </w:r>
    </w:p>
    <w:p>
      <w:pPr>
        <w:pStyle w:val="null3"/>
        <w:jc w:val="left"/>
      </w:pPr>
      <w:r>
        <w:rPr>
          <w:rFonts w:ascii="仿宋_GB2312" w:hAnsi="仿宋_GB2312" w:cs="仿宋_GB2312" w:eastAsia="仿宋_GB2312"/>
        </w:rPr>
        <w:t>地址：四川省眉山市东坡区苏源路377号华陆新天地5幢13层4号</w:t>
      </w:r>
    </w:p>
    <w:p>
      <w:pPr>
        <w:pStyle w:val="null3"/>
        <w:jc w:val="left"/>
      </w:pPr>
      <w:r>
        <w:rPr>
          <w:rFonts w:ascii="仿宋_GB2312" w:hAnsi="仿宋_GB2312" w:cs="仿宋_GB2312" w:eastAsia="仿宋_GB2312"/>
        </w:rPr>
        <w:t>邮编：620000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980,000.00</w:t>
      </w:r>
    </w:p>
    <w:p>
      <w:pPr>
        <w:pStyle w:val="null3"/>
        <w:jc w:val="left"/>
      </w:pPr>
      <w:r>
        <w:rPr>
          <w:rFonts w:ascii="仿宋_GB2312" w:hAnsi="仿宋_GB2312" w:cs="仿宋_GB2312" w:eastAsia="仿宋_GB2312"/>
        </w:rPr>
        <w:t>采购包最高限价（元）: 980,000.00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C16079900 其他运行维护服务</w:t>
            </w:r>
          </w:p>
        </w:tc>
        <w:tc>
          <w:tcPr>
            <w:tcW w:type="dxa" w:w="821"/>
          </w:tcPr>
          <w:p>
            <w:pPr>
              <w:pStyle w:val="null3"/>
              <w:jc w:val="left"/>
            </w:pPr>
            <w:r>
              <w:rPr>
                <w:rFonts w:ascii="仿宋_GB2312" w:hAnsi="仿宋_GB2312" w:cs="仿宋_GB2312" w:eastAsia="仿宋_GB2312"/>
              </w:rPr>
              <w:t>轨道物流传输系统维保服务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980,000.00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轨道物流传输系统维保服务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供应商报价包括2年服务期内的服务费、人工、备品备件、差旅、税金等完成本项目的一切费用，采购人不再另行支付任何费用，供应商自行考虑其中利润、风险，自主报价。</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标的名称：轨道物流传输系统维保服务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left"/>
            </w:pPr>
            <w:r>
              <w:rPr>
                <w:rFonts w:ascii="仿宋_GB2312" w:hAnsi="仿宋_GB2312" w:cs="仿宋_GB2312" w:eastAsia="仿宋_GB2312"/>
                <w:sz w:val="21"/>
                <w:color w:val="000000"/>
              </w:rPr>
              <w:t>1、承担保障该物流系统正常运行所需的所有日常和定期维护、维修、调试所发生的所有人工及配件费用，车辆维保项目包含且不限于以下内容：</w:t>
            </w:r>
          </w:p>
          <w:p>
            <w:pPr>
              <w:pStyle w:val="null3"/>
              <w:jc w:val="left"/>
            </w:pPr>
            <w:r>
              <w:rPr>
                <w:rFonts w:ascii="仿宋_GB2312" w:hAnsi="仿宋_GB2312" w:cs="仿宋_GB2312" w:eastAsia="仿宋_GB2312"/>
                <w:sz w:val="21"/>
                <w:color w:val="000000"/>
              </w:rPr>
              <w:t>（1）小车铜刷、大侧轮、小侧轮、驱动包胶轮、齿轮保养合同服务；</w:t>
            </w:r>
          </w:p>
          <w:p>
            <w:pPr>
              <w:pStyle w:val="null3"/>
              <w:jc w:val="left"/>
            </w:pPr>
            <w:r>
              <w:rPr>
                <w:rFonts w:ascii="仿宋_GB2312" w:hAnsi="仿宋_GB2312" w:cs="仿宋_GB2312" w:eastAsia="仿宋_GB2312"/>
                <w:sz w:val="21"/>
                <w:color w:val="000000"/>
              </w:rPr>
              <w:t>（2）易损件直齿条、弯齿条保养合同服务；</w:t>
            </w:r>
          </w:p>
          <w:p>
            <w:pPr>
              <w:pStyle w:val="null3"/>
              <w:jc w:val="left"/>
            </w:pPr>
            <w:r>
              <w:rPr>
                <w:rFonts w:ascii="仿宋_GB2312" w:hAnsi="仿宋_GB2312" w:cs="仿宋_GB2312" w:eastAsia="仿宋_GB2312"/>
                <w:sz w:val="21"/>
                <w:color w:val="000000"/>
              </w:rPr>
              <w:t>（3）轨道、防风窗专业检查保养；</w:t>
            </w:r>
          </w:p>
          <w:p>
            <w:pPr>
              <w:pStyle w:val="null3"/>
              <w:jc w:val="left"/>
            </w:pPr>
            <w:r>
              <w:rPr>
                <w:rFonts w:ascii="仿宋_GB2312" w:hAnsi="仿宋_GB2312" w:cs="仿宋_GB2312" w:eastAsia="仿宋_GB2312"/>
                <w:sz w:val="21"/>
                <w:color w:val="000000"/>
              </w:rPr>
              <w:t>（4）小车、转轨器专业定期保养；</w:t>
            </w:r>
          </w:p>
          <w:p>
            <w:pPr>
              <w:pStyle w:val="null3"/>
              <w:jc w:val="left"/>
            </w:pPr>
            <w:r>
              <w:rPr>
                <w:rFonts w:ascii="仿宋_GB2312" w:hAnsi="仿宋_GB2312" w:cs="仿宋_GB2312" w:eastAsia="仿宋_GB2312"/>
                <w:sz w:val="21"/>
                <w:color w:val="000000"/>
              </w:rPr>
              <w:t>2、驻点技术人员24小时响应服务；公司总部工程师定期上门巡检服务；</w:t>
            </w:r>
          </w:p>
          <w:p>
            <w:pPr>
              <w:pStyle w:val="null3"/>
              <w:jc w:val="left"/>
            </w:pPr>
            <w:r>
              <w:rPr>
                <w:rFonts w:ascii="仿宋_GB2312" w:hAnsi="仿宋_GB2312" w:cs="仿宋_GB2312" w:eastAsia="仿宋_GB2312"/>
                <w:sz w:val="21"/>
                <w:color w:val="000000"/>
              </w:rPr>
              <w:t>3、不定期对系统的软件进行维护、升级版本；</w:t>
            </w:r>
          </w:p>
          <w:p>
            <w:pPr>
              <w:pStyle w:val="null3"/>
              <w:jc w:val="left"/>
            </w:pPr>
            <w:r>
              <w:rPr>
                <w:rFonts w:ascii="仿宋_GB2312" w:hAnsi="仿宋_GB2312" w:cs="仿宋_GB2312" w:eastAsia="仿宋_GB2312"/>
                <w:sz w:val="21"/>
                <w:color w:val="000000"/>
              </w:rPr>
              <w:t>4、设备日常管理与应用培训服务；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服务要求和技术标准</w:t>
            </w:r>
          </w:p>
        </w:tc>
        <w:tc>
          <w:tcPr>
            <w:tcW w:type="dxa" w:w="5814"/>
          </w:tcPr>
          <w:p>
            <w:pPr>
              <w:pStyle w:val="null3"/>
              <w:jc w:val="left"/>
            </w:pPr>
            <w:r>
              <w:rPr>
                <w:rFonts w:ascii="仿宋_GB2312" w:hAnsi="仿宋_GB2312" w:cs="仿宋_GB2312" w:eastAsia="仿宋_GB2312"/>
                <w:sz w:val="21"/>
                <w:color w:val="000000"/>
              </w:rPr>
              <w:t>（一）驻场技术人员日常服务</w:t>
            </w:r>
          </w:p>
          <w:p>
            <w:pPr>
              <w:pStyle w:val="null3"/>
              <w:jc w:val="left"/>
            </w:pPr>
            <w:r>
              <w:rPr>
                <w:rFonts w:ascii="仿宋_GB2312" w:hAnsi="仿宋_GB2312" w:cs="仿宋_GB2312" w:eastAsia="仿宋_GB2312"/>
                <w:sz w:val="21"/>
                <w:color w:val="000000"/>
              </w:rPr>
              <w:t>1、乙方派驻</w:t>
            </w:r>
            <w:r>
              <w:rPr>
                <w:rFonts w:ascii="仿宋_GB2312" w:hAnsi="仿宋_GB2312" w:cs="仿宋_GB2312" w:eastAsia="仿宋_GB2312"/>
                <w:sz w:val="21"/>
                <w:color w:val="000000"/>
                <w:u w:val="single"/>
              </w:rPr>
              <w:t xml:space="preserve"> 2  </w:t>
            </w:r>
            <w:r>
              <w:rPr>
                <w:rFonts w:ascii="仿宋_GB2312" w:hAnsi="仿宋_GB2312" w:cs="仿宋_GB2312" w:eastAsia="仿宋_GB2312"/>
                <w:sz w:val="21"/>
                <w:color w:val="000000"/>
              </w:rPr>
              <w:t>名技术人员现场监控及应急处理。</w:t>
            </w:r>
          </w:p>
          <w:p>
            <w:pPr>
              <w:pStyle w:val="null3"/>
              <w:jc w:val="left"/>
            </w:pPr>
            <w:r>
              <w:rPr>
                <w:rFonts w:ascii="仿宋_GB2312" w:hAnsi="仿宋_GB2312" w:cs="仿宋_GB2312" w:eastAsia="仿宋_GB2312"/>
                <w:sz w:val="21"/>
                <w:color w:val="000000"/>
              </w:rPr>
              <w:t>2、服务时间：全年全天24小时不间断服务。</w:t>
            </w:r>
          </w:p>
          <w:p>
            <w:pPr>
              <w:pStyle w:val="null3"/>
              <w:jc w:val="left"/>
            </w:pPr>
            <w:r>
              <w:rPr>
                <w:rFonts w:ascii="仿宋_GB2312" w:hAnsi="仿宋_GB2312" w:cs="仿宋_GB2312" w:eastAsia="仿宋_GB2312"/>
                <w:sz w:val="21"/>
                <w:color w:val="000000"/>
              </w:rPr>
              <w:t>3、响应时间：法定工作日15分钟内到达现场，节假日在接到故障报修通知</w:t>
            </w:r>
            <w:r>
              <w:rPr>
                <w:rFonts w:ascii="仿宋_GB2312" w:hAnsi="仿宋_GB2312" w:cs="仿宋_GB2312" w:eastAsia="仿宋_GB2312"/>
                <w:sz w:val="21"/>
                <w:color w:val="000000"/>
                <w:u w:val="single"/>
              </w:rPr>
              <w:t xml:space="preserve"> 30 </w:t>
            </w:r>
            <w:r>
              <w:rPr>
                <w:rFonts w:ascii="仿宋_GB2312" w:hAnsi="仿宋_GB2312" w:cs="仿宋_GB2312" w:eastAsia="仿宋_GB2312"/>
                <w:sz w:val="21"/>
                <w:color w:val="000000"/>
              </w:rPr>
              <w:t>分钟内到现场。</w:t>
            </w:r>
          </w:p>
          <w:p>
            <w:pPr>
              <w:pStyle w:val="null3"/>
              <w:jc w:val="left"/>
            </w:pPr>
            <w:r>
              <w:rPr>
                <w:rFonts w:ascii="仿宋_GB2312" w:hAnsi="仿宋_GB2312" w:cs="仿宋_GB2312" w:eastAsia="仿宋_GB2312"/>
                <w:sz w:val="21"/>
                <w:color w:val="000000"/>
              </w:rPr>
              <w:t>5、无人值守自动报警：当甲方设备出现故障时，物流系统应具备无人值守呼叫报警功能，且能通知现场驻点维修人员，乙方驻点人员应在故障报警后30分钟内到达现场。</w:t>
            </w:r>
          </w:p>
          <w:p>
            <w:pPr>
              <w:pStyle w:val="null3"/>
              <w:jc w:val="left"/>
            </w:pPr>
            <w:r>
              <w:rPr>
                <w:rFonts w:ascii="仿宋_GB2312" w:hAnsi="仿宋_GB2312" w:cs="仿宋_GB2312" w:eastAsia="仿宋_GB2312"/>
                <w:sz w:val="21"/>
                <w:color w:val="000000"/>
              </w:rPr>
              <w:t>（二）按甲方需求组织使用科室及人员进行系统操作的相关培训；</w:t>
            </w:r>
          </w:p>
          <w:p>
            <w:pPr>
              <w:pStyle w:val="null3"/>
              <w:jc w:val="left"/>
            </w:pPr>
            <w:r>
              <w:rPr>
                <w:rFonts w:ascii="仿宋_GB2312" w:hAnsi="仿宋_GB2312" w:cs="仿宋_GB2312" w:eastAsia="仿宋_GB2312"/>
                <w:sz w:val="21"/>
                <w:color w:val="000000"/>
              </w:rPr>
              <w:t>（三）保养服务</w:t>
            </w:r>
          </w:p>
          <w:p>
            <w:pPr>
              <w:pStyle w:val="null3"/>
              <w:jc w:val="left"/>
            </w:pPr>
            <w:r>
              <w:rPr>
                <w:rFonts w:ascii="仿宋_GB2312" w:hAnsi="仿宋_GB2312" w:cs="仿宋_GB2312" w:eastAsia="仿宋_GB2312"/>
                <w:sz w:val="21"/>
                <w:color w:val="000000"/>
              </w:rPr>
              <w:t>1、提供全年2次二级维护保养及1次三级保养服务，由设备厂家授权工程师现场执行。根据现场实际工作量，为保障设备持久稳定，工程师将专业保养分解到每一个月份、分批周期性进行。</w:t>
            </w:r>
          </w:p>
          <w:p>
            <w:pPr>
              <w:pStyle w:val="null3"/>
              <w:spacing w:after="13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二级保养</w:t>
            </w:r>
          </w:p>
          <w:p>
            <w:pPr>
              <w:pStyle w:val="null3"/>
              <w:spacing w:after="135"/>
              <w:jc w:val="both"/>
            </w:pPr>
            <w:r>
              <w:rPr>
                <w:rFonts w:ascii="仿宋_GB2312" w:hAnsi="仿宋_GB2312" w:cs="仿宋_GB2312" w:eastAsia="仿宋_GB2312"/>
                <w:sz w:val="21"/>
                <w:color w:val="000000"/>
              </w:rPr>
              <w:t>设备的二级保养以检查、调整、校验为主。由设备专业人员负责执行。除执行一级保养作业项目，检查运动部件的运行状况、检查安全机件的可靠性，消除隐患，调整易损零部件的配合状况，旋转运动部位的磨损程度，校验指示用仪器仪表和控制用仪器仪表、计量用仪器仪表，延长使用寿命，维护设备的技术性能。</w:t>
            </w:r>
          </w:p>
          <w:p>
            <w:pPr>
              <w:pStyle w:val="null3"/>
              <w:spacing w:after="13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三级保养</w:t>
            </w:r>
          </w:p>
          <w:p>
            <w:pPr>
              <w:pStyle w:val="null3"/>
              <w:spacing w:after="135"/>
              <w:ind w:firstLine="400"/>
              <w:jc w:val="both"/>
            </w:pPr>
            <w:r>
              <w:rPr>
                <w:rFonts w:ascii="仿宋_GB2312" w:hAnsi="仿宋_GB2312" w:cs="仿宋_GB2312" w:eastAsia="仿宋_GB2312"/>
                <w:sz w:val="21"/>
                <w:color w:val="000000"/>
              </w:rPr>
              <w:t>三级保养以解体清洗、检查、调整为中心内容。拆检变速齿轮和齿条，清除污垢、结焦，视需要对各部件进行解体、清洗、检查，清除隐患，排除缺陷，对设备进行全面检查，视需要进行除锈、补漆，对电气设备进行检查、试验。</w:t>
            </w:r>
          </w:p>
          <w:p>
            <w:pPr>
              <w:pStyle w:val="null3"/>
              <w:jc w:val="left"/>
            </w:pPr>
            <w:r>
              <w:rPr>
                <w:rFonts w:ascii="仿宋_GB2312" w:hAnsi="仿宋_GB2312" w:cs="仿宋_GB2312" w:eastAsia="仿宋_GB2312"/>
                <w:sz w:val="21"/>
                <w:color w:val="000000"/>
              </w:rPr>
              <w:t>2、维护保养具体要求：二级保养每6个月进行一次，三级保养每12个月进行一次。乙方可以根据医院使用习惯、各区域使用频率等实际情况及轻重缓急之需要，将保养工作分解至各月份进行，合理安排，保障设备持续稳定。</w:t>
            </w:r>
          </w:p>
          <w:tbl>
            <w:tblPr>
              <w:tblBorders>
                <w:top w:val="none" w:color="000000" w:sz="4"/>
                <w:left w:val="none" w:color="000000" w:sz="4"/>
                <w:bottom w:val="none" w:color="000000" w:sz="4"/>
                <w:right w:val="none" w:color="000000" w:sz="4"/>
                <w:insideH w:val="none"/>
                <w:insideV w:val="none"/>
              </w:tblBorders>
            </w:tblPr>
            <w:tblGrid>
              <w:gridCol w:w="285"/>
              <w:gridCol w:w="2025"/>
              <w:gridCol w:w="900"/>
              <w:gridCol w:w="975"/>
              <w:gridCol w:w="1155"/>
            </w:tblGrid>
            <w:tr>
              <w:tc>
                <w:tcPr>
                  <w:tcW w:type="dxa" w:w="2310"/>
                  <w:gridSpan w:val="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计划日期</w:t>
                  </w:r>
                </w:p>
              </w:tc>
              <w:tc>
                <w:tcPr>
                  <w:tcW w:type="dxa" w:w="303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计划</w:t>
                  </w:r>
                </w:p>
              </w:tc>
            </w:tr>
            <w:tr>
              <w:tc>
                <w:tcPr>
                  <w:tcW w:type="dxa" w:w="23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保养维护内容</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日常保养</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二级保养</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三级保养</w:t>
                  </w:r>
                </w:p>
              </w:tc>
            </w:tr>
            <w:tr>
              <w:tc>
                <w:tcPr>
                  <w:tcW w:type="dxa" w:w="23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轨道维护保养</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外观清洁</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每周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轨道杂物清理</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检查铜轨固定</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检查齿条磨损</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检查铝轨连接</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检查接线是否牢固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齿条固定检查并紧固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铜轨固定件检查并紧固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铝轨固定件检查并紧固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3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小车维护保养</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承重轮检查</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导向轮检查</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驱动胶轮检查</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防撞结构检查</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取电组件检查</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箱体电子锁检查</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活动部件上油</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驱动齿轮检查</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固定螺丝检查并紧固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驱动部件检查</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控制部件检查</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3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转轨器维护保养</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导轨及丝杆上油</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活动组件上油</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转轨固定件检查并紧固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驱动组件检查并紧固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传动组件检查并紧固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对接间隙确认并调整</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线路检查并紧固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3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工作站维护保养</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称重状态显示是否正常</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每周</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线路是否有松动</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称重组件检查并紧固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r>
              <w:tc>
                <w:tcPr>
                  <w:tcW w:type="dxa" w:w="23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中央控制系统维护保养</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系统监控显示是否正常</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每天</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检查线路连接是否牢固</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1次/6月</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系统升级</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1次/12月</w:t>
                  </w:r>
                </w:p>
              </w:tc>
            </w:tr>
          </w:tbl>
          <w:p>
            <w:pPr>
              <w:pStyle w:val="null3"/>
              <w:jc w:val="left"/>
            </w:pPr>
            <w:r>
              <w:rPr>
                <w:rFonts w:ascii="仿宋_GB2312" w:hAnsi="仿宋_GB2312" w:cs="仿宋_GB2312" w:eastAsia="仿宋_GB2312"/>
                <w:sz w:val="21"/>
                <w:color w:val="000000"/>
              </w:rPr>
              <w:t>（四）备品备件</w:t>
            </w:r>
          </w:p>
          <w:p>
            <w:pPr>
              <w:pStyle w:val="null3"/>
              <w:jc w:val="left"/>
            </w:pPr>
            <w:r>
              <w:rPr>
                <w:rFonts w:ascii="仿宋_GB2312" w:hAnsi="仿宋_GB2312" w:cs="仿宋_GB2312" w:eastAsia="仿宋_GB2312"/>
                <w:sz w:val="21"/>
                <w:color w:val="000000"/>
              </w:rPr>
              <w:t>乙方应根据甲方各设备型号在甲方配置以下备品备件，且每月清点自查，制定每月备品备件清点自查表，每月报甲方签字确认，包括但不限于以下物品：</w:t>
            </w:r>
          </w:p>
          <w:tbl>
            <w:tblPr>
              <w:tblInd w:type="dxa" w:w="450"/>
              <w:tblBorders>
                <w:top w:val="none" w:color="000000" w:sz="4"/>
                <w:left w:val="none" w:color="000000" w:sz="4"/>
                <w:bottom w:val="none" w:color="000000" w:sz="4"/>
                <w:right w:val="none" w:color="000000" w:sz="4"/>
                <w:insideH w:val="none"/>
                <w:insideV w:val="none"/>
              </w:tblBorders>
            </w:tblPr>
            <w:tblGrid>
              <w:gridCol w:w="919"/>
              <w:gridCol w:w="2557"/>
              <w:gridCol w:w="1153"/>
              <w:gridCol w:w="969"/>
            </w:tblGrid>
            <w:tr>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序号</w:t>
                  </w:r>
                </w:p>
              </w:tc>
              <w:tc>
                <w:tcPr>
                  <w:tcW w:type="dxa" w:w="2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物品名称</w:t>
                  </w:r>
                </w:p>
              </w:tc>
              <w:tc>
                <w:tcPr>
                  <w:tcW w:type="dxa" w:w="1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备品数量</w:t>
                  </w:r>
                </w:p>
              </w:tc>
              <w:tc>
                <w:tcPr>
                  <w:tcW w:type="dxa" w:w="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单位</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小车铜刷</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大侧轮</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小侧轮</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驱动包胶轮</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齿轮</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直齿条</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弯齿条</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标签</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阻车器弹簧</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转轨器齿轮</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皮带</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36V磷酸铁锂电池组</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小车盖</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伺服驱动器</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车厢机械锁组件</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小型断路器</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B板小车读卡器</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无线弯控板</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5寸液晶显示屏</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站点操作屏</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小车主板</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23</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电池</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电机</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减速机</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26</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电源供应器</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27</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称重传感器组件</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28</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可编程控制器PLC</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29</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无线弯控主板</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转轨器</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扇</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31</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翻轨器</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扇</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32</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防风门</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扇</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33</w:t>
                  </w:r>
                </w:p>
              </w:tc>
              <w:tc>
                <w:tcPr>
                  <w:tcW w:type="dxa" w:w="2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防火门</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扇</w:t>
                  </w:r>
                </w:p>
              </w:tc>
            </w:tr>
          </w:tbl>
          <w:p>
            <w:pPr>
              <w:pStyle w:val="null3"/>
              <w:jc w:val="both"/>
            </w:pPr>
            <w:r>
              <w:rPr>
                <w:rFonts w:ascii="仿宋_GB2312" w:hAnsi="仿宋_GB2312" w:cs="仿宋_GB2312" w:eastAsia="仿宋_GB2312"/>
                <w:sz w:val="21"/>
                <w:color w:val="000000"/>
              </w:rPr>
              <w:t>（五）远程诊断服务</w:t>
            </w:r>
          </w:p>
          <w:p>
            <w:pPr>
              <w:pStyle w:val="null3"/>
              <w:jc w:val="left"/>
            </w:pPr>
            <w:r>
              <w:rPr>
                <w:rFonts w:ascii="仿宋_GB2312" w:hAnsi="仿宋_GB2312" w:cs="仿宋_GB2312" w:eastAsia="仿宋_GB2312"/>
                <w:sz w:val="21"/>
                <w:color w:val="000000"/>
              </w:rPr>
              <w:t>1、由乙方工程师或授权工程师定期监控处置，实时保障系统软件正常运行。</w:t>
            </w:r>
          </w:p>
          <w:p>
            <w:pPr>
              <w:pStyle w:val="null3"/>
              <w:ind w:left="420"/>
              <w:jc w:val="left"/>
            </w:pPr>
            <w:r>
              <w:rPr>
                <w:rFonts w:ascii="仿宋_GB2312" w:hAnsi="仿宋_GB2312" w:cs="仿宋_GB2312" w:eastAsia="仿宋_GB2312"/>
                <w:sz w:val="21"/>
                <w:color w:val="000000"/>
              </w:rPr>
              <w:t>2、控制系统软件按需不定期升级。</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sz w:val="21"/>
                <w:color w:val="000000"/>
              </w:rPr>
              <w:t>1、合同服务周期：2年，一年一签，第一年考核合格后续签第二年合同。</w:t>
            </w:r>
          </w:p>
          <w:p>
            <w:pPr>
              <w:pStyle w:val="null3"/>
              <w:jc w:val="left"/>
            </w:pPr>
            <w:r>
              <w:rPr>
                <w:rFonts w:ascii="仿宋_GB2312" w:hAnsi="仿宋_GB2312" w:cs="仿宋_GB2312" w:eastAsia="仿宋_GB2312"/>
                <w:sz w:val="21"/>
                <w:color w:val="000000"/>
              </w:rPr>
              <w:t>2、服务方式和服务地点</w:t>
            </w:r>
          </w:p>
          <w:p>
            <w:pPr>
              <w:pStyle w:val="null3"/>
              <w:jc w:val="left"/>
            </w:pPr>
            <w:r>
              <w:rPr>
                <w:rFonts w:ascii="仿宋_GB2312" w:hAnsi="仿宋_GB2312" w:cs="仿宋_GB2312" w:eastAsia="仿宋_GB2312"/>
                <w:sz w:val="21"/>
                <w:color w:val="000000"/>
              </w:rPr>
              <w:t xml:space="preserve">（1）服务方式： 乙方向医院提供2名驻地工程师现场服务。 </w:t>
            </w:r>
          </w:p>
          <w:p>
            <w:pPr>
              <w:pStyle w:val="null3"/>
              <w:jc w:val="left"/>
            </w:pPr>
            <w:r>
              <w:rPr>
                <w:rFonts w:ascii="仿宋_GB2312" w:hAnsi="仿宋_GB2312" w:cs="仿宋_GB2312" w:eastAsia="仿宋_GB2312"/>
                <w:sz w:val="21"/>
                <w:color w:val="000000"/>
              </w:rPr>
              <w:t>（2）服务地点： 四川省眉山市人民医院</w:t>
            </w:r>
          </w:p>
          <w:p>
            <w:pPr>
              <w:pStyle w:val="null3"/>
              <w:jc w:val="left"/>
            </w:pPr>
            <w:r>
              <w:rPr>
                <w:rFonts w:ascii="仿宋_GB2312" w:hAnsi="仿宋_GB2312" w:cs="仿宋_GB2312" w:eastAsia="仿宋_GB2312"/>
                <w:sz w:val="21"/>
                <w:color w:val="000000"/>
              </w:rPr>
              <w:t>3、考核办法</w:t>
            </w:r>
          </w:p>
          <w:p>
            <w:pPr>
              <w:pStyle w:val="null3"/>
              <w:jc w:val="left"/>
            </w:pPr>
            <w:r>
              <w:rPr>
                <w:rFonts w:ascii="仿宋_GB2312" w:hAnsi="仿宋_GB2312" w:cs="仿宋_GB2312" w:eastAsia="仿宋_GB2312"/>
                <w:sz w:val="21"/>
                <w:color w:val="000000"/>
              </w:rPr>
              <w:t>按如下考核评分表，每季度考核一次，由医院主管科室考核评分。</w:t>
            </w:r>
          </w:p>
          <w:p>
            <w:pPr>
              <w:pStyle w:val="null3"/>
              <w:jc w:val="left"/>
            </w:pPr>
            <w:r>
              <w:rPr>
                <w:rFonts w:ascii="仿宋_GB2312" w:hAnsi="仿宋_GB2312" w:cs="仿宋_GB2312" w:eastAsia="仿宋_GB2312"/>
                <w:sz w:val="21"/>
                <w:color w:val="000000"/>
              </w:rPr>
              <w:t>（1）季度考评分低于90分的，按每低于90分一分扣减当前季度维保服务费总额的1%。</w:t>
            </w:r>
          </w:p>
          <w:p>
            <w:pPr>
              <w:pStyle w:val="null3"/>
              <w:jc w:val="left"/>
            </w:pPr>
            <w:r>
              <w:rPr>
                <w:rFonts w:ascii="仿宋_GB2312" w:hAnsi="仿宋_GB2312" w:cs="仿宋_GB2312" w:eastAsia="仿宋_GB2312"/>
                <w:sz w:val="21"/>
                <w:color w:val="000000"/>
              </w:rPr>
              <w:t>（2）季度考核得分90分（含90分）以上的，医院全额支付每季度维保服务费。</w:t>
            </w:r>
          </w:p>
          <w:p>
            <w:pPr>
              <w:pStyle w:val="null3"/>
              <w:jc w:val="left"/>
            </w:pPr>
            <w:r>
              <w:rPr>
                <w:rFonts w:ascii="仿宋_GB2312" w:hAnsi="仿宋_GB2312" w:cs="仿宋_GB2312" w:eastAsia="仿宋_GB2312"/>
                <w:sz w:val="21"/>
                <w:color w:val="000000"/>
              </w:rPr>
              <w:t>附表：考核评分表</w:t>
            </w:r>
          </w:p>
          <w:tbl>
            <w:tblPr>
              <w:tblInd w:type="dxa" w:w="210"/>
              <w:tblBorders>
                <w:top w:val="none" w:color="000000" w:sz="4"/>
                <w:left w:val="none" w:color="000000" w:sz="4"/>
                <w:bottom w:val="none" w:color="000000" w:sz="4"/>
                <w:right w:val="none" w:color="000000" w:sz="4"/>
                <w:insideH w:val="none"/>
                <w:insideV w:val="none"/>
              </w:tblBorders>
            </w:tblPr>
            <w:tblGrid>
              <w:gridCol w:w="585"/>
              <w:gridCol w:w="630"/>
              <w:gridCol w:w="1665"/>
              <w:gridCol w:w="585"/>
              <w:gridCol w:w="450"/>
              <w:gridCol w:w="1335"/>
            </w:tblGrid>
            <w:tr>
              <w:tc>
                <w:tcPr>
                  <w:tcW w:type="dxa" w:w="525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眉山市人民医院轨道物流传输系统维保考核表</w:t>
                  </w:r>
                </w:p>
              </w:tc>
            </w:tr>
            <w:tr>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被考核单位</w:t>
                  </w:r>
                </w:p>
              </w:tc>
              <w:tc>
                <w:tcPr>
                  <w:tcW w:type="dxa" w:w="270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曼彻彼斯智慧科技（广州）有限公司</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考核时间： </w:t>
                  </w:r>
                  <w:r>
                    <w:rPr>
                      <w:rFonts w:ascii="仿宋_GB2312" w:hAnsi="仿宋_GB2312" w:cs="仿宋_GB2312" w:eastAsia="仿宋_GB2312"/>
                      <w:sz w:val="21"/>
                      <w:color w:val="000000"/>
                    </w:rPr>
                    <w:t xml:space="preserve"> 年  月 份</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计分标准</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考核项目</w:t>
                  </w:r>
                </w:p>
              </w:tc>
              <w:tc>
                <w:tcPr>
                  <w:tcW w:type="dxa" w:w="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自评得分</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医院评分</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3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 础管 理10 分</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人员配备安排合理（2 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优秀 2分；差 0 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30"/>
                  <w:vMerge/>
                  <w:tcBorders>
                    <w:top w:val="none" w:color="000000" w:sz="4"/>
                    <w:left w:val="none" w:color="000000" w:sz="4"/>
                    <w:bottom w:val="non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人员不脱岗，按响应要求完成维保工作（3分）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不缺勤优秀3 分；每缺勤一次扣1 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30"/>
                  <w:vMerge/>
                  <w:tcBorders>
                    <w:top w:val="none" w:color="000000" w:sz="4"/>
                    <w:left w:val="none" w:color="000000" w:sz="4"/>
                    <w:bottom w:val="non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各台帐健全、规范 （2分）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优秀 2分； 差 0 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30"/>
                  <w:vMerge/>
                  <w:tcBorders>
                    <w:top w:val="none" w:color="000000" w:sz="4"/>
                    <w:left w:val="none" w:color="000000" w:sz="4"/>
                    <w:bottom w:val="non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及时完成甲方检查的问题整改（3分）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优秀3分；差0分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维护保养情况 </w:t>
                  </w:r>
                  <w:r>
                    <w:rPr>
                      <w:rFonts w:ascii="仿宋_GB2312" w:hAnsi="仿宋_GB2312" w:cs="仿宋_GB2312" w:eastAsia="仿宋_GB2312"/>
                      <w:sz w:val="21"/>
                      <w:color w:val="000000"/>
                    </w:rPr>
                    <w:t xml:space="preserve">  70分</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日常巡检（5分）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共5项；每项1分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30"/>
                  <w:vMerge/>
                  <w:tcBorders>
                    <w:top w:val="singl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二级保养（18分）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共18项；每项1分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30"/>
                  <w:vMerge/>
                  <w:tcBorders>
                    <w:top w:val="singl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三级保养（16分）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共16项；每项1分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30"/>
                  <w:vMerge/>
                  <w:tcBorders>
                    <w:top w:val="singl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每月初提交上月保养照片（4分）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未按时一次提交扣2分；未提交一次扣4分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30"/>
                  <w:vMerge/>
                  <w:tcBorders>
                    <w:top w:val="singl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每月初提交上月物流系统维修记录（4分）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未按时一次提交扣2分；未提交一次扣4分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30"/>
                  <w:vMerge/>
                  <w:tcBorders>
                    <w:top w:val="singl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每月初提交上月物流系统维修记录（4分）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未按时一次提交扣2分；未提交一次扣4分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30"/>
                  <w:vMerge/>
                  <w:tcBorders>
                    <w:top w:val="singl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每月初提交本月保养计划表（4分）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未按时一次提交扣2分；未提交一次扣4分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30"/>
                  <w:vMerge/>
                  <w:tcBorders>
                    <w:top w:val="singl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每月按时提交月度运行报告且报告内附含对小车每月的运行情况分析及建议（15分）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未按时一次提交扣5分；未提交一次扣15分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日常管理20分</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每月底检查中控室停车数量（需≤2台)（5分）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停车数≤2台，未完成维修0分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30"/>
                  <w:vMerge/>
                  <w:tcBorders>
                    <w:top w:val="non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根据常用备品备件数量清单，每月应检查备件库及时补充备品备件（2分）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未补充备品备件，扣2分；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30"/>
                  <w:vMerge/>
                  <w:tcBorders>
                    <w:top w:val="non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结合本项目特点制定项目相关制度与流程（3分）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优秀2分；跟进不到位或一个月内未解决0分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30"/>
                  <w:vMerge/>
                  <w:tcBorders>
                    <w:top w:val="non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科室提出问题及时跟进，并给整改意见，整改完成后及时反馈科室及管辖部门（3分）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优秀2分；跟进不到位或一个月内未解决0分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30"/>
                  <w:vMerge/>
                  <w:tcBorders>
                    <w:top w:val="non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项目驻点维护工程师需严格遵守医院管理制度（2分）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优秀2分；违反制度0分</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30"/>
                  <w:vMerge/>
                  <w:tcBorders>
                    <w:top w:val="none" w:color="000000" w:sz="4"/>
                    <w:left w:val="none" w:color="000000" w:sz="4"/>
                    <w:bottom w:val="single" w:color="000000" w:sz="4"/>
                    <w:right w:val="single" w:color="000000" w:sz="4"/>
                  </w:tcBorders>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每月科室无投诉（5分）</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无投诉5分；投诉0分</w:t>
                  </w:r>
                </w:p>
              </w:tc>
            </w:tr>
            <w:tr>
              <w:tc>
                <w:tcPr>
                  <w:tcW w:type="dxa" w:w="28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合计</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驻点服务人员：</w:t>
                  </w:r>
                </w:p>
              </w:tc>
              <w:tc>
                <w:tcPr>
                  <w:tcW w:type="dxa" w:w="23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医院主管科室：</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730日历天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眉山市人民医院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甲方严格按照《财政部关于进一步加强政府采购和履约验收管理的指导意见(财库(2016)205号)文件等法律法规组织验收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据实支付，达到付款条件起10日内，据实情况说明为项目维保费用按照“先服务后付款”方式每季度结算一次。合同签订后服务期满三个月经采购人考核合格后，在收到供应商提交的正式发票经采购人审核无误后10日内支付合同总金额的12.5%（若供应商考核得分低于90分的，采购人在当期应付服务费中据实扣减），直至服务期满。续签第二年合同，付款方式按照第一年方式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未按期提供服务的违约责任:乙方未能按约定按时为甲方提供设备保养服务（非乙方原因除外），导致甲方无法正常使用设备的（不可抗力除外），乙方按系统不能正常使用天数向甲方支付违约金，每天违约金金额为合同总金额的0.2%，若违约时间超过七日，甲方有权单方终止合同，乙方向甲方支付违约金的总额最高不超过服务合同总金额的5%。2、如遇紧急抢修，乙方响应未在规定的时间到达现场，每次扣款5000元，累计达到3次，采购人有权终止合同。3、非乙方原因导致保养服务合同未签订或者合同签订甲方未及时付款，而导致系统故障，乙方不承担由此造成的一切损失及责任。4、因乙方工作人员在履行职务过程中的疏忽、失职、过错等故意或者过失原因给甲方造成损失或侵害，包括但不限于甲方本身的财产损失、由此而导致的甲方对任何第三方的法律责任等，乙方对此均应承担全部的赔偿责任。5、甲方可扣除相关违约金后再行支付乙方服务费，若乙方支付的违约金不足以弥补甲方损失，乙方还应按照甲方实际损失进行赔偿。6、因合同之纠纷，违约方须向守约方支付其因此而支出的仲裁费、律师费、公证费等合理费用均应由违约方承担。（2）争议解决：1、采购人与成交供应商双方就本协议所产生的任何争议都应该进行友好协商，协商解决不成的，任何一方均可向甲方所在地有管辖权的人民法院提起诉讼。 2、诉讼费应由败诉方承担。 3、在诉讼期间，除正在进行诉讼的部分外，合同其他部分继续执行。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协商小组可以根据采购文件和协商情况实质性变动第三章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技术、服务及其他要求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，实质性变动的内容，须经采购人代表</w:t>
      </w:r>
      <w:r>
        <w:rPr>
          <w:rFonts w:ascii="仿宋_GB2312" w:hAnsi="仿宋_GB2312" w:cs="仿宋_GB2312" w:eastAsia="仿宋_GB2312"/>
          <w:sz w:val="19"/>
          <w:color w:val="000000"/>
        </w:rPr>
        <w:t>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19"/>
          <w:color w:val="000000"/>
        </w:rPr>
        <w:t>协商小组可以根据采购文件和协商情况实质性变动第七章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拟签订采购合同文本</w:t>
      </w:r>
      <w:r>
        <w:rPr>
          <w:rFonts w:ascii="仿宋_GB2312" w:hAnsi="仿宋_GB2312" w:cs="仿宋_GB2312" w:eastAsia="仿宋_GB2312"/>
          <w:sz w:val="19"/>
          <w:color w:val="000000"/>
        </w:rPr>
        <w:t>"</w:t>
      </w:r>
      <w:r>
        <w:rPr>
          <w:rFonts w:ascii="仿宋_GB2312" w:hAnsi="仿宋_GB2312" w:cs="仿宋_GB2312" w:eastAsia="仿宋_GB2312"/>
          <w:sz w:val="19"/>
          <w:color w:val="000000"/>
        </w:rPr>
        <w:t>，实质性变动的内容，须经采购人代表确认</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或未经审计的提供财务报告（包括资产负债表、利润表、现金流量表）。供应商注册时间截至响应文件提交截止之日前不足一年的，也可提供在相关主管部门备案的公司章程等证明材料。</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成本构成等情况说明,供应商应提交的相关证明材料,服务应答表,投标（响应）函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不属于采购文件规定的无效情形</w:t>
            </w:r>
          </w:p>
        </w:tc>
        <w:tc>
          <w:tcPr>
            <w:tcW w:type="dxa" w:w="1910"/>
          </w:tcPr>
          <w:p>
            <w:pPr>
              <w:pStyle w:val="null3"/>
              <w:jc w:val="left"/>
            </w:pPr>
            <w:r>
              <w:rPr>
                <w:rFonts w:ascii="仿宋_GB2312" w:hAnsi="仿宋_GB2312" w:cs="仿宋_GB2312" w:eastAsia="仿宋_GB2312"/>
              </w:rPr>
              <w:t>成本构成等情况说明,供应商应提交的相关证明材料,服务应答表,报价表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pPr>
      <w:r>
        <w:rPr>
          <w:rFonts w:ascii="仿宋_GB2312" w:hAnsi="仿宋_GB2312" w:cs="仿宋_GB2312" w:eastAsia="仿宋_GB2312"/>
        </w:rPr>
        <w:t>七、供应商最后报价无效的，本次采购活动终止，并发布终止公告。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 xml:space="preserve"> 本项目授权协商小组直接确定供应商成交，采购人或者代理机构应当自确定之日起2个工作日内在四川政府采购网发布成交结果公告，采购文件应当随成交结果同时公告。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详见附件：成本构成等情况说明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