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112BE">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技术、服务及其他要求</w:t>
      </w:r>
    </w:p>
    <w:p w14:paraId="71475D27">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7105F4E2">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28A19C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691350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1,270,000.00</w:t>
      </w:r>
    </w:p>
    <w:p w14:paraId="0D6900A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1,270,000.00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0904BC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37D963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53E49A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03F0F1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511EC0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283579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770A3F9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55A94F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099F20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670669C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747B6AE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4015AA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6D02C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ED35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0A4623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A02019900 其他信息化设备</w:t>
            </w:r>
          </w:p>
        </w:tc>
        <w:tc>
          <w:tcPr>
            <w:tcW w:w="821" w:type="dxa"/>
          </w:tcPr>
          <w:p w14:paraId="0210E1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数字档案室应用系统软硬件建设</w:t>
            </w:r>
          </w:p>
        </w:tc>
        <w:tc>
          <w:tcPr>
            <w:tcW w:w="821" w:type="dxa"/>
          </w:tcPr>
          <w:p w14:paraId="3330C66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55CD5FB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1,270,000.00</w:t>
            </w:r>
          </w:p>
        </w:tc>
        <w:tc>
          <w:tcPr>
            <w:tcW w:w="821" w:type="dxa"/>
          </w:tcPr>
          <w:p w14:paraId="1BDDE9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E2BED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34FCC4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BA982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F59CC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35337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2FA67F6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30F26A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3E0C33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D94A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346796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28BE6CE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324F2F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70E7BF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1F936A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4D75E9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FD0A2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7F047A2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数字档案室应用系统软硬件建设</w:t>
            </w:r>
          </w:p>
        </w:tc>
        <w:tc>
          <w:tcPr>
            <w:tcW w:w="1138" w:type="dxa"/>
          </w:tcPr>
          <w:p w14:paraId="045FEC1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0267BE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1,270,000.00</w:t>
            </w:r>
          </w:p>
        </w:tc>
        <w:tc>
          <w:tcPr>
            <w:tcW w:w="1138" w:type="dxa"/>
          </w:tcPr>
          <w:p w14:paraId="3BF8BBB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F295E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5107374C">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1CAC7A9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76B2E6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0D218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37B4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CFFA6F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BC3B4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7699C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DD8E4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D59D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235525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A02019900 其他信息化设备</w:t>
            </w:r>
          </w:p>
        </w:tc>
        <w:tc>
          <w:tcPr>
            <w:tcW w:w="2492" w:type="dxa"/>
          </w:tcPr>
          <w:p w14:paraId="37FBF0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数字档案室应用系统软硬件建设</w:t>
            </w:r>
          </w:p>
        </w:tc>
        <w:tc>
          <w:tcPr>
            <w:tcW w:w="2492" w:type="dxa"/>
          </w:tcPr>
          <w:p w14:paraId="48C332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智能密集架</w:t>
            </w:r>
          </w:p>
        </w:tc>
      </w:tr>
    </w:tbl>
    <w:p w14:paraId="079B6D2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13047B6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356974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304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14602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EFE579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4ADD2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A261E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5DA0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BAA695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89ACC63">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77267CD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02DF0E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F442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1C18F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A306B7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EE66B2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11492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BA34F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801AA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C15DCC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E097442">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112E5D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41ED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231B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BD6B0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02858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782A14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0AB3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6EEEB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9B75A3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1474478">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213C1A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61F0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8067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DE600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5C8EE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5707B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2E03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09CF0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45B349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C4C088A">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2EED28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11E681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标的名称：数字档案室应用系统软硬件建设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D723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B9D1B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69611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3C0DC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64D1FD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5FF4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1A7E1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64715BB">
            <w:pPr>
              <w:rPr>
                <w:rFonts w:ascii="Calibri" w:hAnsi="Calibri" w:eastAsia="宋体" w:cs="Times New Roman"/>
              </w:rPr>
            </w:pPr>
          </w:p>
        </w:tc>
        <w:tc>
          <w:tcPr>
            <w:tcW w:w="1495" w:type="dxa"/>
          </w:tcPr>
          <w:p w14:paraId="5553334F">
            <w:pPr>
              <w:rPr>
                <w:rFonts w:ascii="Calibri" w:hAnsi="Calibri" w:eastAsia="宋体" w:cs="Times New Roman"/>
              </w:rPr>
            </w:pPr>
          </w:p>
        </w:tc>
        <w:tc>
          <w:tcPr>
            <w:tcW w:w="5814" w:type="dxa"/>
          </w:tcPr>
          <w:p w14:paraId="2DE2B5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由于系统格式限制，详见附件《</w:t>
            </w:r>
            <w:r>
              <w:rPr>
                <w:rFonts w:hint="eastAsia" w:ascii="仿宋_GB2312" w:hAnsi="仿宋_GB2312" w:eastAsia="仿宋_GB2312" w:cs="仿宋_GB2312"/>
                <w:sz w:val="21"/>
                <w:lang w:val="en-US" w:eastAsia="zh-Hans"/>
              </w:rPr>
              <w:t>技术参数与性能指标》。</w:t>
            </w:r>
          </w:p>
        </w:tc>
      </w:tr>
    </w:tbl>
    <w:p w14:paraId="311D0132">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0AC5131F">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2BB838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D4E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4852DC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4FDBD50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4CE8AEE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4A8431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558F6C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312855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2879F30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239372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7E9D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1585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4F9EB9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D8D9E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5814" w:type="dxa"/>
          </w:tcPr>
          <w:p w14:paraId="241813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67A16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EFE3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BC569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910A2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5814" w:type="dxa"/>
          </w:tcPr>
          <w:p w14:paraId="45C537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自合同签订之日起120日</w:t>
            </w:r>
          </w:p>
        </w:tc>
      </w:tr>
      <w:tr w14:paraId="60F30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DC58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1D8283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31781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5814" w:type="dxa"/>
          </w:tcPr>
          <w:p w14:paraId="5E5596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成都市青羊区陕西街26号</w:t>
            </w:r>
          </w:p>
        </w:tc>
      </w:tr>
      <w:tr w14:paraId="038ED7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EC52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679E19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301F0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5814" w:type="dxa"/>
          </w:tcPr>
          <w:p w14:paraId="79D93F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28599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970D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3F97C7F4">
            <w:pPr>
              <w:rPr>
                <w:rFonts w:ascii="Calibri" w:hAnsi="Calibri" w:eastAsia="宋体" w:cs="Times New Roman"/>
              </w:rPr>
            </w:pPr>
          </w:p>
        </w:tc>
        <w:tc>
          <w:tcPr>
            <w:tcW w:w="1495" w:type="dxa"/>
          </w:tcPr>
          <w:p w14:paraId="765B72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176C29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1、采购合同签订后，达到付款条件起10日内，据实情况说明为供应商提供等额的票据凭证资料，采购人支付合同金额的40%</w:t>
            </w:r>
          </w:p>
          <w:p w14:paraId="2E98CB1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2、系统验收后，达到付款条件起10日内，据实情况说明为供应商提供等额的票据凭证资料，支付合同总金额的57%</w:t>
            </w:r>
          </w:p>
          <w:p w14:paraId="48F2C9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3、保修期结束后，达到付款条件起10日内，据实情况说明为供应商提供等额的票据凭证资料，支付合同总金额的3%</w:t>
            </w:r>
          </w:p>
        </w:tc>
      </w:tr>
      <w:tr w14:paraId="17AC8D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6D0FE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312D496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AFC41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5814" w:type="dxa"/>
          </w:tcPr>
          <w:p w14:paraId="7612F6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由采购人组织，严格按照《财政部关于进一步加强政府采购需求和履约验收管理的指导意见》（财库〔2016〕205号）等政府采购相关法律法规的要求进行验收</w:t>
            </w:r>
          </w:p>
        </w:tc>
      </w:tr>
      <w:tr w14:paraId="1B0800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F8DA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581" w:type="dxa"/>
          </w:tcPr>
          <w:p w14:paraId="3D4868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717B62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5814" w:type="dxa"/>
          </w:tcPr>
          <w:p w14:paraId="457F09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验收合格之日起合同供货范围内质保一年。</w:t>
            </w:r>
          </w:p>
        </w:tc>
      </w:tr>
      <w:tr w14:paraId="120DC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88B1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581" w:type="dxa"/>
          </w:tcPr>
          <w:p w14:paraId="111964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CE890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5814" w:type="dxa"/>
          </w:tcPr>
          <w:p w14:paraId="216FFA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采购人违约责任 （1）因采购人原因逾期支付合同款的，除应及时支付合同款外，应向中标供应商支付应付而未付款总额万分之一/天的违约金，但累计违约金总额不超过应付而未付款金额的千分之三；逾期付款超过45天的，中标供应商有权终止合同； （2）采购人支付的违约金不足以弥补中标供应商损失的，还应按中标供应商损失尚未弥补的部分，支付赔偿金给中标供应商。 中标供应商违约责任 （1）除其他条款另有约定外，中标供应商所提供的服务有不符合磋商文件约定及本项目合同约定的，中标供应商应向采购人支付合同总金额3%的违约金，并须在采购人规定的整改期限内改正，出现违约3次及以上或未按采购人要求整改的，采购人有权终止合同，并要求中标供应商全额退还采购人已经付给中标供应商的款项及其利息。 （2）中标供应商偿付的违约金不足以弥补采购人损失的，还应按采购人损失尚未弥补的部分，支付赔偿金给采购人。 （3）因中标供应商管理不善或操作不当等原因造成采购人、中标供应商或第三方人身、财产事故、等其它安全生产事故的，由中标供应商承担责任并负责善后处理，造成采购人经济损失的，中标供应商应给予采购人经济赔偿。产生事故的直接原因，以相关主管部门的鉴定为准。 （4）中标供应商未经采购人书面同意，不得擅自分包、转包，否则采购人有权立即终止合同，并要求供应商停止分包、转包行为，同时有权要求中标供应商承担合同总金额10%的违约金。 （5）未经双方协商一致，中标供应商不得单方面变更、中止、解除或终止合同，否则，中标供应商应承担合同总金额10%的违约金，并赔偿由此给采购人造成的全部损失。 （6）合同签订生效后，若中标供应商存在违法违规行为的，采购人有权无条件解除本合同并根据合同履行情况要求中标供应商退还相应费用及利息。 争议解决 （1）在执行本合同中发生的或与本合同有关的争议，双方应通过友好协商解决，经协商不能达成一致时，应选择向采购人所在地有管辖权的法院提起诉讼，诉讼产生的一切费用应由败诉方负担。 （2）在法院审理期间，除有争议部分外，本合同其他可以履行的部分仍应按合同条款继续履行。</w:t>
            </w:r>
          </w:p>
        </w:tc>
      </w:tr>
      <w:tr w14:paraId="26FA49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E4DC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581" w:type="dxa"/>
          </w:tcPr>
          <w:p w14:paraId="4260C6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76857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5814" w:type="dxa"/>
          </w:tcPr>
          <w:p w14:paraId="3E8E73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5B0ECF3">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6A4CF5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标供应商应保证在本项目使用的任何产品和服务（包括部分使用），不会产生因第三方提出侵犯其专利权、商标权或其它知识产权而引起的法律纠纷和经济纠纷，如因专利权、商标权或其它知识产权而引起法律纠纷和经济纠纷，由中标供应商承担所有相关责任（提供承诺函，格式自拟）。 ★2.付款进度安排（因系统固化原因，3.3.2中付款进度安排不适用于本项目，支付约定以此为准）：（1）采购合同签订后10个工作日内，供应商提供等额的票据凭证资料，采购人支付合同金额的40%；（2）系统验收后10个工作日内，供应商提供等额的票据凭证资料，支付合同总金额的60%； 注：（1）采购人付款前，中标供应商须向采购人出具等额、合法、有效、完整的完税发票及凭证资料进行结算支付；因中标供应商未出具完税发票或凭证资料导致采购人无法结算支付的，采购人不承担任何责任。若因财政年终决算关账或财政资金未下达等客观原因导致采购人未按合同约定支付相应款项的，不视为采购人违约，采购人不承担任何违约责任。 （2）供应商变更收款账户的，应当在变更后1个工作日内书面通知采购人，因供应商未及时通知导致的不利后果，由供应商自行承担。在变更通知达到采购人前，采购人按原账户信息进行价款支付的，视为已完成支付义务。 ★3.采购人享有本项目实施过程中产生的知识成果及知识产权的永久使用权，合同终止或中止或合同出现争议期间，中标人不得设置任何软件登录密码等方式，限制采购人正常使用【提供承诺函，格式自拟】。 4.现场演示说明（本项无需在投标文件中作应答，仅作说明使用）：供应商针对招标文件第三章 3.2.技术要求中的“※”条款，需提供现场演示，不接受云平台方式。地点为中国（四川）自由贸易试验区成都市高新区天府四街66号1栋3层，具体以工作人员指定地点为准。每个投标人演示总时间不得超过30分钟，超过30分钟即要求供应商停止演示。演示所需的环境及工具自备，代理机构只提供场地和电源，演示需使用真实产品，不得使用模拟产品或模拟视频，演示与技术参数要求不符或不演示或演示失败或非使用真实产品演示的，则视为不满足演示要求，则该项不得分。</w:t>
      </w:r>
    </w:p>
    <w:p w14:paraId="2964CA1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C00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2025-07-29T06:31:49Z</dcterms:created>
  <dc:creator>Dell</dc:creator>
  <cp:lastModifiedBy>Aka 烫 Feng</cp:lastModifiedBy>
  <dcterms:modified xsi:type="dcterms:W3CDTF">2025-07-29T06:32:10Z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eyJoZGlkIjoiMWQzYjZmMzIyMmFkOTJkNjczMjYxNmU3ZWFjY2I3NTYiLCJ1c2VySWQiOiI2MzI3NDM2MjkifQ==</vt:lpwstr>
  </property>
  <property fmtid="{D5CDD505-2E9C-101B-9397-08002B2CF9AE}" pid="4" name="ICV">
    <vt:lpwstr>23DF8198CE1C4276A549EDDC7B32986E_12</vt:lpwstr>
  </property>
</Properties>
</file>