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C8DEB">
      <w:pPr>
        <w:shd w:val="clear"/>
        <w:spacing w:line="48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val="en-US" w:eastAsia="zh-CN"/>
        </w:rPr>
        <w:t xml:space="preserve">                                                                                         </w:t>
      </w:r>
      <w:r>
        <w:rPr>
          <w:rFonts w:hint="eastAsia" w:ascii="宋体" w:hAnsi="宋体" w:eastAsia="宋体" w:cs="宋体"/>
          <w:color w:val="auto"/>
          <w:sz w:val="36"/>
          <w:highlight w:val="none"/>
        </w:rPr>
        <w:drawing>
          <wp:inline distT="0" distB="0" distL="0" distR="0">
            <wp:extent cx="1320165" cy="1115060"/>
            <wp:effectExtent l="0" t="0" r="5715" b="12700"/>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noChangeArrowheads="1"/>
                    </pic:cNvPicPr>
                  </pic:nvPicPr>
                  <pic:blipFill>
                    <a:blip r:embed="rId10" cstate="print"/>
                    <a:srcRect/>
                    <a:stretch>
                      <a:fillRect/>
                    </a:stretch>
                  </pic:blipFill>
                  <pic:spPr>
                    <a:xfrm>
                      <a:off x="0" y="0"/>
                      <a:ext cx="1320165" cy="1115060"/>
                    </a:xfrm>
                    <a:prstGeom prst="rect">
                      <a:avLst/>
                    </a:prstGeom>
                    <a:noFill/>
                    <a:ln w="9525">
                      <a:noFill/>
                      <a:miter lim="800000"/>
                      <a:headEnd/>
                      <a:tailEnd/>
                    </a:ln>
                  </pic:spPr>
                </pic:pic>
              </a:graphicData>
            </a:graphic>
          </wp:inline>
        </w:drawing>
      </w:r>
    </w:p>
    <w:p w14:paraId="65894C08">
      <w:pPr>
        <w:shd w:val="clear"/>
        <w:adjustRightInd w:val="0"/>
        <w:jc w:val="center"/>
        <w:textAlignment w:val="baseline"/>
        <w:rPr>
          <w:rFonts w:hint="eastAsia" w:ascii="宋体" w:hAnsi="宋体" w:eastAsia="宋体" w:cs="宋体"/>
          <w:b/>
          <w:bCs/>
          <w:color w:val="auto"/>
          <w:sz w:val="36"/>
          <w:highlight w:val="none"/>
          <w:lang w:val="en-US" w:eastAsia="zh-CN"/>
        </w:rPr>
      </w:pPr>
    </w:p>
    <w:p w14:paraId="3B381AB1">
      <w:pPr>
        <w:shd w:val="clear"/>
        <w:adjustRightInd w:val="0"/>
        <w:jc w:val="center"/>
        <w:textAlignment w:val="baseline"/>
        <w:rPr>
          <w:rFonts w:hint="eastAsia" w:ascii="宋体" w:hAnsi="宋体" w:eastAsia="宋体" w:cs="宋体"/>
          <w:b/>
          <w:bCs/>
          <w:color w:val="auto"/>
          <w:sz w:val="36"/>
          <w:highlight w:val="none"/>
          <w:lang w:val="en-US" w:eastAsia="zh-CN"/>
        </w:rPr>
      </w:pPr>
    </w:p>
    <w:p w14:paraId="566C7D41">
      <w:pPr>
        <w:shd w:val="clear"/>
        <w:adjustRightInd w:val="0"/>
        <w:jc w:val="center"/>
        <w:textAlignment w:val="baseline"/>
        <w:rPr>
          <w:rFonts w:hint="eastAsia" w:ascii="宋体" w:hAnsi="宋体" w:eastAsia="宋体" w:cs="宋体"/>
          <w:b/>
          <w:bCs/>
          <w:color w:val="auto"/>
          <w:sz w:val="36"/>
          <w:highlight w:val="none"/>
          <w:lang w:val="en-US" w:eastAsia="zh-CN"/>
        </w:rPr>
      </w:pPr>
    </w:p>
    <w:p w14:paraId="4AD0C4FE">
      <w:pPr>
        <w:shd w:val="clear"/>
        <w:adjustRightInd w:val="0"/>
        <w:jc w:val="center"/>
        <w:textAlignment w:val="baseline"/>
        <w:rPr>
          <w:rFonts w:hint="eastAsia" w:ascii="宋体" w:hAnsi="宋体" w:eastAsia="宋体" w:cs="宋体"/>
          <w:b/>
          <w:bCs/>
          <w:color w:val="auto"/>
          <w:sz w:val="132"/>
          <w:szCs w:val="132"/>
          <w:highlight w:val="none"/>
        </w:rPr>
      </w:pPr>
      <w:r>
        <w:rPr>
          <w:rFonts w:hint="eastAsia" w:ascii="宋体" w:hAnsi="宋体" w:eastAsia="宋体" w:cs="宋体"/>
          <w:b/>
          <w:bCs/>
          <w:color w:val="auto"/>
          <w:sz w:val="36"/>
          <w:highlight w:val="none"/>
          <w:lang w:val="en-US" w:eastAsia="zh-CN"/>
        </w:rPr>
        <w:t xml:space="preserve"> </w:t>
      </w:r>
      <w:r>
        <w:rPr>
          <w:rFonts w:hint="eastAsia" w:ascii="宋体" w:hAnsi="宋体" w:eastAsia="宋体" w:cs="宋体"/>
          <w:b/>
          <w:bCs/>
          <w:color w:val="auto"/>
          <w:sz w:val="132"/>
          <w:szCs w:val="132"/>
          <w:highlight w:val="none"/>
        </w:rPr>
        <w:t>招 标 文 件</w:t>
      </w:r>
    </w:p>
    <w:p w14:paraId="3332C338">
      <w:pPr>
        <w:shd w:val="clear"/>
        <w:adjustRightInd w:val="0"/>
        <w:jc w:val="center"/>
        <w:textAlignment w:val="baseline"/>
        <w:rPr>
          <w:rFonts w:hint="eastAsia" w:ascii="宋体" w:hAnsi="宋体" w:eastAsia="宋体" w:cs="宋体"/>
          <w:b/>
          <w:bCs/>
          <w:color w:val="auto"/>
          <w:sz w:val="36"/>
          <w:highlight w:val="none"/>
          <w:lang w:val="en-US" w:eastAsia="zh-CN"/>
        </w:rPr>
      </w:pPr>
    </w:p>
    <w:p w14:paraId="1D1090BD">
      <w:pPr>
        <w:shd w:val="clear"/>
        <w:adjustRightInd w:val="0"/>
        <w:jc w:val="center"/>
        <w:textAlignment w:val="baseline"/>
        <w:rPr>
          <w:rFonts w:hint="eastAsia" w:ascii="宋体" w:hAnsi="宋体" w:eastAsia="宋体" w:cs="宋体"/>
          <w:b/>
          <w:bCs/>
          <w:color w:val="auto"/>
          <w:sz w:val="36"/>
          <w:highlight w:val="none"/>
          <w:lang w:eastAsia="zh-CN"/>
        </w:rPr>
      </w:pPr>
    </w:p>
    <w:p w14:paraId="43F249FA">
      <w:pPr>
        <w:shd w:val="clear"/>
        <w:adjustRightInd w:val="0"/>
        <w:jc w:val="center"/>
        <w:textAlignment w:val="baseline"/>
        <w:rPr>
          <w:rFonts w:hint="eastAsia" w:ascii="宋体" w:hAnsi="宋体" w:eastAsia="宋体" w:cs="宋体"/>
          <w:b/>
          <w:bCs/>
          <w:color w:val="auto"/>
          <w:sz w:val="36"/>
          <w:highlight w:val="none"/>
          <w:lang w:eastAsia="zh-CN"/>
        </w:rPr>
      </w:pPr>
    </w:p>
    <w:p w14:paraId="3E42351C">
      <w:pPr>
        <w:shd w:val="clear"/>
        <w:adjustRightInd w:val="0"/>
        <w:spacing w:line="480" w:lineRule="auto"/>
        <w:jc w:val="left"/>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政采云平台编号：YNZC2026-G1-02331-GXZB-0070</w:t>
      </w:r>
      <w:r>
        <w:rPr>
          <w:rFonts w:hint="eastAsia" w:ascii="宋体" w:hAnsi="宋体" w:cs="宋体"/>
          <w:b/>
          <w:bCs/>
          <w:color w:val="auto"/>
          <w:sz w:val="32"/>
          <w:szCs w:val="32"/>
          <w:highlight w:val="none"/>
          <w:lang w:val="en-US" w:eastAsia="zh-CN"/>
        </w:rPr>
        <w:t xml:space="preserve"> </w:t>
      </w:r>
    </w:p>
    <w:p w14:paraId="6C247A29">
      <w:pPr>
        <w:shd w:val="clear"/>
        <w:adjustRightInd w:val="0"/>
        <w:spacing w:line="480" w:lineRule="auto"/>
        <w:jc w:val="left"/>
        <w:textAlignment w:val="baseline"/>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sz w:val="32"/>
          <w:szCs w:val="32"/>
          <w:highlight w:val="none"/>
          <w:lang w:val="en-US" w:eastAsia="zh-CN"/>
        </w:rPr>
        <w:t>招标</w:t>
      </w:r>
      <w:r>
        <w:rPr>
          <w:rFonts w:hint="eastAsia" w:ascii="宋体" w:hAnsi="宋体" w:eastAsia="宋体" w:cs="宋体"/>
          <w:b/>
          <w:bCs/>
          <w:color w:val="auto"/>
          <w:kern w:val="2"/>
          <w:sz w:val="32"/>
          <w:szCs w:val="32"/>
          <w:highlight w:val="none"/>
          <w:lang w:val="en-US" w:eastAsia="zh-CN" w:bidi="ar-SA"/>
        </w:rPr>
        <w:t>编号：GXTC-C-26290298</w:t>
      </w:r>
      <w:r>
        <w:rPr>
          <w:rFonts w:hint="eastAsia" w:ascii="宋体" w:hAnsi="宋体" w:cs="宋体"/>
          <w:b/>
          <w:bCs/>
          <w:color w:val="auto"/>
          <w:kern w:val="2"/>
          <w:sz w:val="32"/>
          <w:szCs w:val="32"/>
          <w:highlight w:val="none"/>
          <w:lang w:val="en-US" w:eastAsia="zh-CN" w:bidi="ar-SA"/>
        </w:rPr>
        <w:t xml:space="preserve"> </w:t>
      </w:r>
    </w:p>
    <w:p w14:paraId="035D7068">
      <w:pPr>
        <w:pStyle w:val="5"/>
        <w:shd w:val="clear"/>
        <w:ind w:left="1807" w:hanging="1606" w:hangingChars="500"/>
        <w:jc w:val="left"/>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项目名称：</w:t>
      </w:r>
      <w:r>
        <w:rPr>
          <w:rFonts w:hint="eastAsia" w:ascii="宋体" w:hAnsi="宋体" w:cs="宋体"/>
          <w:b/>
          <w:bCs/>
          <w:color w:val="auto"/>
          <w:kern w:val="2"/>
          <w:sz w:val="32"/>
          <w:szCs w:val="32"/>
          <w:highlight w:val="none"/>
          <w:lang w:val="en-US" w:eastAsia="zh-CN" w:bidi="ar-SA"/>
        </w:rPr>
        <w:t>昆明医科大学第一附属医院临床专科能力提升信息化整体建设项目——智慧医疗与智慧服务系统提升应用专项建设项目</w:t>
      </w:r>
    </w:p>
    <w:p w14:paraId="72542CF0">
      <w:pPr>
        <w:pStyle w:val="5"/>
        <w:shd w:val="clear"/>
        <w:ind w:left="1807" w:hanging="1606" w:hangingChars="500"/>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采购人：</w:t>
      </w:r>
      <w:r>
        <w:rPr>
          <w:rFonts w:hint="eastAsia" w:ascii="宋体" w:hAnsi="宋体" w:eastAsia="宋体" w:cs="宋体"/>
          <w:b/>
          <w:bCs/>
          <w:color w:val="auto"/>
          <w:kern w:val="2"/>
          <w:sz w:val="32"/>
          <w:szCs w:val="32"/>
          <w:highlight w:val="none"/>
          <w:lang w:val="en-US" w:eastAsia="zh-CN" w:bidi="ar-SA"/>
        </w:rPr>
        <w:t>昆明医科大学第一附属医院</w:t>
      </w:r>
    </w:p>
    <w:p w14:paraId="3293A1E6">
      <w:pPr>
        <w:pStyle w:val="5"/>
        <w:shd w:val="clear"/>
        <w:ind w:left="1807" w:hanging="1606" w:hangingChars="500"/>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采购代理机构：国信招标集团股份有限公司</w:t>
      </w:r>
    </w:p>
    <w:p w14:paraId="3E28149A">
      <w:pPr>
        <w:pStyle w:val="5"/>
        <w:shd w:val="clear"/>
        <w:ind w:left="1807" w:hanging="1606" w:hangingChars="500"/>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日期：2026年</w:t>
      </w:r>
      <w:r>
        <w:rPr>
          <w:rFonts w:hint="eastAsia" w:ascii="宋体" w:hAnsi="宋体" w:cs="宋体"/>
          <w:b/>
          <w:bCs/>
          <w:color w:val="auto"/>
          <w:sz w:val="32"/>
          <w:szCs w:val="32"/>
          <w:highlight w:val="none"/>
          <w:lang w:val="en-US" w:eastAsia="zh-CN"/>
        </w:rPr>
        <w:t>5</w:t>
      </w:r>
      <w:r>
        <w:rPr>
          <w:rFonts w:hint="eastAsia" w:ascii="宋体" w:hAnsi="宋体" w:eastAsia="宋体" w:cs="宋体"/>
          <w:b/>
          <w:bCs/>
          <w:color w:val="auto"/>
          <w:sz w:val="32"/>
          <w:szCs w:val="32"/>
          <w:highlight w:val="none"/>
          <w:lang w:val="en-US" w:eastAsia="zh-CN"/>
        </w:rPr>
        <w:t>月</w:t>
      </w:r>
    </w:p>
    <w:p w14:paraId="7DE9B381">
      <w:pPr>
        <w:shd w:val="clear"/>
        <w:tabs>
          <w:tab w:val="center" w:pos="4890"/>
          <w:tab w:val="left" w:pos="7009"/>
        </w:tabs>
        <w:autoSpaceDE w:val="0"/>
        <w:autoSpaceDN w:val="0"/>
        <w:adjustRightInd w:val="0"/>
        <w:snapToGrid w:val="0"/>
        <w:spacing w:after="156" w:afterLines="50" w:line="360" w:lineRule="auto"/>
        <w:jc w:val="left"/>
        <w:rPr>
          <w:rFonts w:hint="eastAsia" w:ascii="宋体" w:hAnsi="宋体" w:eastAsia="宋体" w:cs="宋体"/>
          <w:bCs/>
          <w:color w:val="auto"/>
          <w:sz w:val="32"/>
          <w:highlight w:val="none"/>
          <w:lang w:eastAsia="zh-CN"/>
        </w:rPr>
        <w:sectPr>
          <w:pgSz w:w="11906" w:h="16838"/>
          <w:pgMar w:top="1417" w:right="1417" w:bottom="1417" w:left="1417" w:header="851" w:footer="992" w:gutter="0"/>
          <w:pgNumType w:fmt="decimal" w:start="1"/>
          <w:cols w:space="0" w:num="1"/>
          <w:rtlGutter w:val="0"/>
          <w:docGrid w:type="lines" w:linePitch="318" w:charSpace="0"/>
        </w:sectPr>
      </w:pPr>
    </w:p>
    <w:p w14:paraId="6D4C3B22">
      <w:pPr>
        <w:pStyle w:val="5"/>
        <w:rPr>
          <w:rFonts w:hint="eastAsia" w:ascii="宋体" w:hAnsi="宋体" w:eastAsia="宋体" w:cs="宋体"/>
          <w:bCs/>
          <w:color w:val="auto"/>
          <w:sz w:val="32"/>
          <w:highlight w:val="none"/>
          <w:lang w:val="en-US" w:eastAsia="zh-CN"/>
        </w:rPr>
      </w:pPr>
      <w:r>
        <w:rPr>
          <w:rFonts w:hint="eastAsia" w:ascii="宋体" w:hAnsi="宋体" w:eastAsia="宋体" w:cs="宋体"/>
          <w:bCs/>
          <w:color w:val="auto"/>
          <w:sz w:val="32"/>
          <w:highlight w:val="none"/>
          <w:lang w:eastAsia="zh-CN"/>
        </w:rPr>
        <w:tab/>
      </w:r>
    </w:p>
    <w:p w14:paraId="5BED9AAB">
      <w:pPr>
        <w:shd w:val="clear"/>
        <w:rPr>
          <w:rFonts w:hint="eastAsia" w:ascii="宋体" w:hAnsi="宋体" w:eastAsia="宋体" w:cs="宋体"/>
          <w:color w:val="auto"/>
          <w:highlight w:val="none"/>
        </w:rPr>
      </w:pPr>
      <w:bookmarkStart w:id="0" w:name="_Toc246996156"/>
      <w:bookmarkStart w:id="1" w:name="_Toc246996899"/>
      <w:bookmarkStart w:id="2" w:name="_Toc247085670"/>
    </w:p>
    <w:p w14:paraId="04CFD15F">
      <w:pPr>
        <w:pStyle w:val="36"/>
        <w:shd w:val="clear"/>
        <w:tabs>
          <w:tab w:val="clear" w:pos="8778"/>
        </w:tabs>
        <w:rPr>
          <w:rFonts w:hint="eastAsia" w:ascii="宋体" w:hAnsi="宋体" w:eastAsia="宋体" w:cs="宋体"/>
          <w:iCs w:val="0"/>
          <w:caps w:val="0"/>
          <w:color w:val="auto"/>
          <w:sz w:val="32"/>
          <w:szCs w:val="32"/>
          <w:highlight w:val="none"/>
        </w:rPr>
      </w:pPr>
      <w:r>
        <w:rPr>
          <w:rFonts w:hint="eastAsia" w:ascii="宋体" w:hAnsi="宋体" w:eastAsia="宋体" w:cs="宋体"/>
          <w:iCs w:val="0"/>
          <w:caps w:val="0"/>
          <w:color w:val="auto"/>
          <w:sz w:val="32"/>
          <w:szCs w:val="32"/>
          <w:highlight w:val="none"/>
        </w:rPr>
        <w:t>目     录</w:t>
      </w:r>
      <w:bookmarkEnd w:id="0"/>
      <w:bookmarkEnd w:id="1"/>
      <w:bookmarkEnd w:id="2"/>
    </w:p>
    <w:sdt>
      <w:sdtPr>
        <w:rPr>
          <w:rFonts w:hint="eastAsia" w:ascii="宋体" w:hAnsi="宋体" w:eastAsia="宋体" w:cs="宋体"/>
          <w:b/>
          <w:bCs/>
          <w:iCs/>
          <w:caps/>
          <w:color w:val="auto"/>
          <w:kern w:val="0"/>
          <w:sz w:val="32"/>
          <w:szCs w:val="32"/>
          <w:highlight w:val="none"/>
        </w:rPr>
        <w:id w:val="147482162"/>
      </w:sdtPr>
      <w:sdtEndPr>
        <w:rPr>
          <w:rFonts w:hint="eastAsia" w:ascii="宋体" w:hAnsi="宋体" w:eastAsia="宋体" w:cs="宋体"/>
          <w:b/>
          <w:bCs/>
          <w:iCs/>
          <w:caps/>
          <w:color w:val="auto"/>
          <w:kern w:val="0"/>
          <w:sz w:val="32"/>
          <w:szCs w:val="32"/>
          <w:highlight w:val="none"/>
        </w:rPr>
      </w:sdtEndPr>
      <w:sdtContent>
        <w:p w14:paraId="03E86D9B">
          <w:pPr>
            <w:shd w:val="clea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sdt>
          <w:sdtPr>
            <w:rPr>
              <w:rFonts w:ascii="宋体" w:hAnsi="宋体" w:eastAsia="宋体" w:cs="Times New Roman"/>
              <w:color w:val="auto"/>
              <w:kern w:val="2"/>
              <w:sz w:val="21"/>
              <w:szCs w:val="24"/>
              <w:highlight w:val="none"/>
              <w:lang w:val="en-US" w:eastAsia="zh-CN" w:bidi="ar-SA"/>
            </w:rPr>
            <w:id w:val="147455212"/>
            <w15:color w:val="DBDBDB"/>
            <w:docPartObj>
              <w:docPartGallery w:val="Table of Contents"/>
              <w:docPartUnique/>
            </w:docPartObj>
          </w:sdtPr>
          <w:sdtEndPr>
            <w:rPr>
              <w:rFonts w:ascii="宋体" w:hAnsi="宋体" w:eastAsia="宋体" w:cs="Times New Roman"/>
              <w:color w:val="auto"/>
              <w:kern w:val="2"/>
              <w:sz w:val="21"/>
              <w:szCs w:val="24"/>
              <w:highlight w:val="none"/>
              <w:lang w:val="en-US" w:eastAsia="zh-CN" w:bidi="ar-SA"/>
            </w:rPr>
          </w:sdtEndPr>
          <w:sdtContent>
            <w:p w14:paraId="757A69B3">
              <w:pPr>
                <w:spacing w:before="0" w:beforeLines="0" w:after="0" w:afterLines="0" w:line="240" w:lineRule="auto"/>
                <w:ind w:left="0" w:leftChars="0" w:right="0" w:rightChars="0" w:firstLine="0" w:firstLineChars="0"/>
                <w:jc w:val="center"/>
                <w:rPr>
                  <w:color w:val="auto"/>
                  <w:highlight w:val="none"/>
                </w:rPr>
              </w:pPr>
            </w:p>
            <w:p w14:paraId="4C5A4DE6">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_Toc20049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第一章</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eastAsia="zh-CN"/>
                </w:rPr>
                <w:t>招标公告</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_Toc20049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174AB08E">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_Toc4216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lang w:val="en-US" w:eastAsia="zh-CN"/>
                </w:rPr>
                <w:t>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_Toc4216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2A11E2C5">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_Toc9706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lang w:eastAsia="zh-CN"/>
                </w:rPr>
                <w:t>第三章</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eastAsia="zh-CN"/>
                </w:rPr>
                <w:t>资格审查、评标办法和标准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_Toc9706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14769736">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_Toc776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lang w:val="en-US" w:eastAsia="zh-CN"/>
                </w:rPr>
                <w:t xml:space="preserve">第四章 </w:t>
              </w:r>
              <w:r>
                <w:rPr>
                  <w:rFonts w:hint="eastAsia" w:asciiTheme="minorEastAsia" w:hAnsiTheme="minorEastAsia" w:eastAsiaTheme="minorEastAsia" w:cstheme="minorEastAsia"/>
                  <w:color w:val="auto"/>
                  <w:sz w:val="28"/>
                  <w:szCs w:val="28"/>
                  <w:highlight w:val="none"/>
                  <w:lang w:eastAsia="zh-CN"/>
                </w:rPr>
                <w:t>合同条款</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_Toc776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1C91203F">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_Toc7271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lang w:val="en-US" w:eastAsia="zh-CN"/>
                </w:rPr>
                <w:t>第五章 采购需求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_Toc7271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45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38121765">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_Toc27586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第六章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_Toc27586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170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38F8328C">
              <w:pPr>
                <w:pStyle w:val="36"/>
                <w:tabs>
                  <w:tab w:val="right" w:leader="dot" w:pos="9072"/>
                  <w:tab w:val="clear" w:pos="8778"/>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_Toc13451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第七章 附件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_Toc13451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205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316BC58C">
              <w:pPr>
                <w:rPr>
                  <w:color w:val="auto"/>
                  <w:highlight w:val="none"/>
                </w:rPr>
              </w:pPr>
              <w:r>
                <w:rPr>
                  <w:rFonts w:hint="eastAsia" w:asciiTheme="minorEastAsia" w:hAnsiTheme="minorEastAsia" w:eastAsiaTheme="minorEastAsia" w:cstheme="minorEastAsia"/>
                  <w:color w:val="auto"/>
                  <w:sz w:val="16"/>
                  <w:szCs w:val="16"/>
                  <w:highlight w:val="none"/>
                </w:rPr>
                <w:fldChar w:fldCharType="end"/>
              </w:r>
            </w:p>
          </w:sdtContent>
        </w:sdt>
        <w:p w14:paraId="789038A1">
          <w:pPr>
            <w:rPr>
              <w:color w:val="auto"/>
              <w:highlight w:val="none"/>
            </w:rPr>
          </w:pPr>
        </w:p>
        <w:p w14:paraId="007C862E">
          <w:pPr>
            <w:shd w:val="clear"/>
            <w:rPr>
              <w:rFonts w:hint="eastAsia" w:ascii="宋体" w:hAnsi="宋体" w:eastAsia="宋体" w:cs="宋体"/>
              <w:bCs w:val="0"/>
              <w:iCs w:val="0"/>
              <w:caps w:val="0"/>
              <w:color w:val="auto"/>
              <w:szCs w:val="24"/>
              <w:highlight w:val="none"/>
            </w:rPr>
          </w:pPr>
        </w:p>
        <w:p w14:paraId="6B161852">
          <w:pPr>
            <w:pStyle w:val="36"/>
            <w:shd w:val="clear"/>
            <w:tabs>
              <w:tab w:val="clear" w:pos="8778"/>
            </w:tabs>
            <w:rPr>
              <w:rFonts w:hint="eastAsia" w:ascii="宋体" w:hAnsi="宋体" w:eastAsia="宋体" w:cs="宋体"/>
              <w:b w:val="0"/>
              <w:bCs w:val="0"/>
              <w:iCs w:val="0"/>
              <w:caps w:val="0"/>
              <w:color w:val="auto"/>
              <w:sz w:val="24"/>
              <w:szCs w:val="24"/>
              <w:highlight w:val="none"/>
            </w:rPr>
          </w:pPr>
        </w:p>
      </w:sdtContent>
    </w:sdt>
    <w:p w14:paraId="43E1DA37">
      <w:pPr>
        <w:shd w:val="clear"/>
        <w:rPr>
          <w:rFonts w:hint="eastAsia" w:ascii="宋体" w:hAnsi="宋体" w:eastAsia="宋体" w:cs="宋体"/>
          <w:color w:val="auto"/>
          <w:highlight w:val="none"/>
        </w:rPr>
      </w:pPr>
      <w:bookmarkStart w:id="3" w:name="_Toc15995"/>
      <w:bookmarkStart w:id="4" w:name="_Toc7932"/>
    </w:p>
    <w:p w14:paraId="23D0EB64">
      <w:pPr>
        <w:shd w:val="clear"/>
        <w:rPr>
          <w:rFonts w:hint="eastAsia" w:ascii="宋体" w:hAnsi="宋体" w:eastAsia="宋体" w:cs="宋体"/>
          <w:color w:val="auto"/>
          <w:highlight w:val="none"/>
        </w:rPr>
      </w:pPr>
    </w:p>
    <w:p w14:paraId="168DD2BC">
      <w:pPr>
        <w:shd w:val="clear"/>
        <w:rPr>
          <w:rFonts w:hint="eastAsia" w:ascii="宋体" w:hAnsi="宋体" w:eastAsia="宋体" w:cs="宋体"/>
          <w:color w:val="auto"/>
          <w:highlight w:val="none"/>
        </w:rPr>
      </w:pPr>
    </w:p>
    <w:p w14:paraId="7209DCA1">
      <w:pPr>
        <w:shd w:val="clear"/>
        <w:rPr>
          <w:rFonts w:hint="eastAsia" w:ascii="宋体" w:hAnsi="宋体" w:eastAsia="宋体" w:cs="宋体"/>
          <w:color w:val="auto"/>
          <w:highlight w:val="none"/>
        </w:rPr>
      </w:pPr>
    </w:p>
    <w:p w14:paraId="5571A699">
      <w:pPr>
        <w:shd w:val="clear"/>
        <w:rPr>
          <w:rFonts w:hint="eastAsia" w:ascii="宋体" w:hAnsi="宋体" w:eastAsia="宋体" w:cs="宋体"/>
          <w:color w:val="auto"/>
          <w:highlight w:val="none"/>
        </w:rPr>
      </w:pPr>
    </w:p>
    <w:p w14:paraId="1B12BE23">
      <w:pPr>
        <w:shd w:val="clear"/>
        <w:rPr>
          <w:rFonts w:hint="eastAsia" w:ascii="宋体" w:hAnsi="宋体" w:eastAsia="宋体" w:cs="宋体"/>
          <w:color w:val="auto"/>
          <w:highlight w:val="none"/>
        </w:rPr>
      </w:pPr>
    </w:p>
    <w:p w14:paraId="49F07E39">
      <w:pPr>
        <w:pStyle w:val="2"/>
        <w:shd w:val="clear"/>
        <w:jc w:val="center"/>
        <w:rPr>
          <w:rFonts w:hint="eastAsia" w:ascii="宋体" w:hAnsi="宋体" w:eastAsia="宋体" w:cs="宋体"/>
          <w:color w:val="auto"/>
          <w:sz w:val="44"/>
          <w:szCs w:val="44"/>
          <w:highlight w:val="none"/>
          <w:lang w:val="en-US" w:eastAsia="zh-CN"/>
        </w:rPr>
        <w:sectPr>
          <w:footerReference r:id="rId3" w:type="default"/>
          <w:pgSz w:w="11906" w:h="16838"/>
          <w:pgMar w:top="1417" w:right="1417" w:bottom="1417" w:left="1417" w:header="851" w:footer="992" w:gutter="0"/>
          <w:pgNumType w:fmt="decimal" w:start="1"/>
          <w:cols w:space="0" w:num="1"/>
          <w:rtlGutter w:val="0"/>
          <w:docGrid w:type="lines" w:linePitch="318" w:charSpace="0"/>
        </w:sectPr>
      </w:pPr>
      <w:bookmarkStart w:id="5" w:name="_Toc2577"/>
    </w:p>
    <w:p w14:paraId="088A701C">
      <w:pPr>
        <w:pStyle w:val="2"/>
        <w:shd w:val="clear"/>
        <w:jc w:val="cente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温馨提示</w:t>
      </w:r>
      <w:bookmarkEnd w:id="5"/>
    </w:p>
    <w:p w14:paraId="2A8D6D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本项目在</w:t>
      </w:r>
      <w:r>
        <w:rPr>
          <w:rFonts w:hint="eastAsia" w:ascii="宋体" w:hAnsi="宋体" w:eastAsia="宋体" w:cs="宋体"/>
          <w:color w:val="auto"/>
          <w:kern w:val="0"/>
          <w:sz w:val="21"/>
          <w:szCs w:val="21"/>
          <w:highlight w:val="none"/>
          <w:lang w:val="en-US" w:eastAsia="zh-CN"/>
        </w:rPr>
        <w:t>政采云平台</w:t>
      </w:r>
      <w:r>
        <w:rPr>
          <w:rFonts w:hint="eastAsia" w:ascii="宋体" w:hAnsi="宋体" w:eastAsia="宋体" w:cs="宋体"/>
          <w:color w:val="auto"/>
          <w:sz w:val="21"/>
          <w:szCs w:val="21"/>
          <w:highlight w:val="none"/>
          <w:lang w:eastAsia="zh-CN"/>
        </w:rPr>
        <w:t>电子化交易，投标人（</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）在编制电子化投标文件时</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明确电子化交易的内容，</w:t>
      </w:r>
      <w:r>
        <w:rPr>
          <w:rFonts w:hint="eastAsia" w:ascii="宋体" w:hAnsi="宋体" w:eastAsia="宋体" w:cs="宋体"/>
          <w:color w:val="auto"/>
          <w:sz w:val="21"/>
          <w:szCs w:val="21"/>
          <w:highlight w:val="none"/>
          <w:lang w:val="en-US" w:eastAsia="zh-CN"/>
        </w:rPr>
        <w:t>请认真阅读</w:t>
      </w:r>
      <w:r>
        <w:rPr>
          <w:rFonts w:hint="eastAsia" w:ascii="宋体" w:hAnsi="宋体" w:eastAsia="宋体" w:cs="宋体"/>
          <w:color w:val="auto"/>
          <w:sz w:val="21"/>
          <w:szCs w:val="21"/>
          <w:highlight w:val="none"/>
          <w:lang w:eastAsia="zh-CN"/>
        </w:rPr>
        <w:t xml:space="preserve">如下内容： </w:t>
      </w:r>
    </w:p>
    <w:p w14:paraId="24DB3D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1、电子招标文件的获取</w:t>
      </w:r>
    </w:p>
    <w:p w14:paraId="019DDE62">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right="23"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本项目不发放纸质</w:t>
      </w:r>
      <w:r>
        <w:rPr>
          <w:rFonts w:hint="eastAsia" w:ascii="宋体" w:hAnsi="宋体" w:eastAsia="宋体" w:cs="宋体"/>
          <w:color w:val="auto"/>
          <w:kern w:val="0"/>
          <w:sz w:val="21"/>
          <w:szCs w:val="21"/>
          <w:highlight w:val="none"/>
          <w:lang w:eastAsia="zh-CN"/>
        </w:rPr>
        <w:t>招标文件</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可自行在“政采云”平台（http：//www.zcygov.cn）下载</w:t>
      </w:r>
      <w:r>
        <w:rPr>
          <w:rFonts w:hint="eastAsia" w:ascii="宋体" w:hAnsi="宋体" w:eastAsia="宋体" w:cs="宋体"/>
          <w:color w:val="auto"/>
          <w:kern w:val="0"/>
          <w:sz w:val="21"/>
          <w:szCs w:val="21"/>
          <w:highlight w:val="none"/>
          <w:lang w:eastAsia="zh-CN"/>
        </w:rPr>
        <w:t>招标文件</w:t>
      </w:r>
      <w:r>
        <w:rPr>
          <w:rFonts w:hint="eastAsia" w:ascii="宋体" w:hAnsi="宋体" w:eastAsia="宋体" w:cs="宋体"/>
          <w:color w:val="auto"/>
          <w:kern w:val="0"/>
          <w:sz w:val="21"/>
          <w:szCs w:val="21"/>
          <w:highlight w:val="none"/>
        </w:rPr>
        <w:t>（操作路径：登录“政采云”平台-项目采购-获取</w:t>
      </w:r>
      <w:r>
        <w:rPr>
          <w:rFonts w:hint="eastAsia" w:ascii="宋体" w:hAnsi="宋体" w:eastAsia="宋体" w:cs="宋体"/>
          <w:color w:val="auto"/>
          <w:kern w:val="0"/>
          <w:sz w:val="21"/>
          <w:szCs w:val="21"/>
          <w:highlight w:val="none"/>
          <w:lang w:eastAsia="zh-CN"/>
        </w:rPr>
        <w:t>招标文件</w:t>
      </w:r>
      <w:r>
        <w:rPr>
          <w:rFonts w:hint="eastAsia" w:ascii="宋体" w:hAnsi="宋体" w:eastAsia="宋体" w:cs="宋体"/>
          <w:color w:val="auto"/>
          <w:kern w:val="0"/>
          <w:sz w:val="21"/>
          <w:szCs w:val="21"/>
          <w:highlight w:val="none"/>
        </w:rPr>
        <w:t>-找到本项目-点击“申请获取</w:t>
      </w:r>
      <w:r>
        <w:rPr>
          <w:rFonts w:hint="eastAsia" w:ascii="宋体" w:hAnsi="宋体" w:eastAsia="宋体" w:cs="宋体"/>
          <w:color w:val="auto"/>
          <w:kern w:val="0"/>
          <w:sz w:val="21"/>
          <w:szCs w:val="21"/>
          <w:highlight w:val="none"/>
          <w:lang w:eastAsia="zh-CN"/>
        </w:rPr>
        <w:t>招标文件</w:t>
      </w:r>
      <w:r>
        <w:rPr>
          <w:rFonts w:hint="eastAsia" w:ascii="宋体" w:hAnsi="宋体" w:eastAsia="宋体" w:cs="宋体"/>
          <w:color w:val="auto"/>
          <w:kern w:val="0"/>
          <w:sz w:val="21"/>
          <w:szCs w:val="21"/>
          <w:highlight w:val="none"/>
        </w:rPr>
        <w:t>”），电子</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制作需基于“政采云”平台（http：//www.zcygov.cn）获取的</w:t>
      </w:r>
      <w:r>
        <w:rPr>
          <w:rFonts w:hint="eastAsia" w:ascii="宋体" w:hAnsi="宋体" w:eastAsia="宋体" w:cs="宋体"/>
          <w:color w:val="auto"/>
          <w:kern w:val="0"/>
          <w:sz w:val="21"/>
          <w:szCs w:val="21"/>
          <w:highlight w:val="none"/>
          <w:lang w:eastAsia="zh-CN"/>
        </w:rPr>
        <w:t>招标文件</w:t>
      </w:r>
      <w:r>
        <w:rPr>
          <w:rFonts w:hint="eastAsia" w:ascii="宋体" w:hAnsi="宋体" w:eastAsia="宋体" w:cs="宋体"/>
          <w:color w:val="auto"/>
          <w:kern w:val="0"/>
          <w:sz w:val="21"/>
          <w:szCs w:val="21"/>
          <w:highlight w:val="none"/>
        </w:rPr>
        <w:t>编制。</w:t>
      </w:r>
    </w:p>
    <w:p w14:paraId="427209F7">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right="23"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凡有意参加投标者，须在政采云平台办理数字证书（CA），CA申领链接：https://middle.zcygov.cn/ca/apply/list?_app_=zcy.sys，并在政采云绑定数字证书（CA）后在网上获取招标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②按上述要求获取文件的投标人视为合法获取了本项目招标文件，具备本项目的投标资格。</w:t>
      </w:r>
    </w:p>
    <w:p w14:paraId="7B1254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2、电子投标文件的组成及要求</w:t>
      </w:r>
    </w:p>
    <w:p w14:paraId="51104C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投标文件全部采用电子文档，应使用</w:t>
      </w:r>
      <w:r>
        <w:rPr>
          <w:rFonts w:hint="eastAsia" w:ascii="宋体" w:hAnsi="宋体" w:eastAsia="宋体" w:cs="宋体"/>
          <w:color w:val="auto"/>
          <w:kern w:val="0"/>
          <w:sz w:val="21"/>
          <w:szCs w:val="21"/>
          <w:highlight w:val="none"/>
        </w:rPr>
        <w:t>数字证书（CA）</w:t>
      </w:r>
      <w:r>
        <w:rPr>
          <w:rFonts w:hint="eastAsia" w:ascii="宋体" w:hAnsi="宋体" w:eastAsia="宋体" w:cs="宋体"/>
          <w:color w:val="auto"/>
          <w:sz w:val="21"/>
          <w:szCs w:val="21"/>
          <w:highlight w:val="none"/>
          <w:lang w:val="en-US" w:eastAsia="zh-CN"/>
        </w:rPr>
        <w:t>进行电子签名及加密上传。</w:t>
      </w:r>
    </w:p>
    <w:p w14:paraId="75C303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3、电子投标文件的编制及递交</w:t>
      </w:r>
    </w:p>
    <w:p w14:paraId="58A4E7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0D6D84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（2）如投标人提交的电子标书不符合“政采云”平台要求或开标时无法读取导入或解密，其投标文件将不予受理。</w:t>
      </w:r>
    </w:p>
    <w:p w14:paraId="3440BB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4、电子招标文件澄清与答疑</w:t>
      </w:r>
    </w:p>
    <w:p w14:paraId="0FDBFA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仔细阅读和检查招标文件的全部内容。如发现缺页或附件不全，应及时向招标人提出，以便补齐。如有疑问，应在投标人须知前附表规定的时间前要求招标人对招标文件予以澄清。任何询问、质疑在线提交后联系采购代理机构受理，并同步发送邮箱3911340296@qq.com。</w:t>
      </w:r>
    </w:p>
    <w:p w14:paraId="39D89E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5、电子招标文件的修改</w:t>
      </w:r>
    </w:p>
    <w:p w14:paraId="73B04C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（1）招标人对招标文件中的涉及评标办法、评审项目等重要评审内容做出变更，将同时发布补遗文件进行说明以保证各投标人都能重新下载并用于编制电子投标文件。</w:t>
      </w:r>
    </w:p>
    <w:p w14:paraId="6B7B8D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（2）投标人应在投标截止时间前及时登录“云南省政府采购网”查看有关该项目招标文件的答疑、补遗内容。否则，后果自负。</w:t>
      </w:r>
    </w:p>
    <w:p w14:paraId="00192D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（3）招标文件澄清、招标文件修改文件内容均以网上电子文件为准，当招标文件、招标文件澄清、招标文件修改内容前后相互矛盾时，以最后发出的为准。</w:t>
      </w:r>
    </w:p>
    <w:p w14:paraId="07B3E9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6、电子投标文件的修改与撤回</w:t>
      </w:r>
    </w:p>
    <w:p w14:paraId="081E12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（1）在投标截止时间前，投标人可以修改或撤回已在“政采云”平台递交的投标文件，无须书面形式通知招标人。</w:t>
      </w:r>
    </w:p>
    <w:p w14:paraId="163848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（2）修改的投标文件应按照电子投标文件的递交的规定进行编制、加密和上传。</w:t>
      </w:r>
    </w:p>
    <w:p w14:paraId="02BF44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7、电子开标及投标文件解密</w:t>
      </w:r>
    </w:p>
    <w:p w14:paraId="57A2B0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（1）远程开标的项目，建议投标人提前30 分钟等候在原投标电脑前，登录“政采云”平台等候开标会启动，开标会启动后先进行项目的签到工作。</w:t>
      </w:r>
    </w:p>
    <w:p w14:paraId="43FEE8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（2）等待项目经理开启远程解密后使用加密投标文件时使用的CA进行投标文件的远程开标解密。在此过程中投标人需保证电脑网络通畅。</w:t>
      </w:r>
    </w:p>
    <w:p w14:paraId="66D823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（3）开标完成。等待采购代理机构确认并上传开标结果后，各投标人需要使用CA在开标一览表后面进行签章确认。</w:t>
      </w:r>
    </w:p>
    <w:p w14:paraId="53A34C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8、注意事项</w:t>
      </w:r>
    </w:p>
    <w:p w14:paraId="5DB0C38D">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（1）各投标人应在开标前应确保成为政采云平台投标人，并完成CA数字证书申领。因未注册入库、未办理CA数字证书等原因造成无法投标或投标失败等后果由投标人自行承担。 凡有意参加投标的投标人，须在政采云平台办理数字证书（CA）CA申领链接：https://middle.zcygov.cn/ca/apply/list?_app_=zcy.sys，并 通过政采云绑定数字证书（CA）后在网上获取采购文件及其它采购资料，数字证书（CA）详见其办理流程；</w:t>
      </w:r>
    </w:p>
    <w:p w14:paraId="2F721D4A">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将政采云电子交易客户端下载、安装完成后，可通过账号密码或CA登录客户端进行</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的制作。在使用政采云投标客户端时，建议使用WIN7（64位）及以上操作系统。客户端请至政采云公司网站（https://edu.zcygov.cn/luban/yunnan-dzjy-gys）进行查看下载</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如因</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自身原因导致在规定时间内无法正常解密的（如：浏览器故障、未安装相关驱动、网络故障、加密CA与解密CA不一致等），采购人/代理机构不予异常处理，视为</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自动弃标。</w:t>
      </w:r>
    </w:p>
    <w:p w14:paraId="44ED085D">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（3）本项目为不见面开标，投标单位无需到达现场；</w:t>
      </w:r>
    </w:p>
    <w:p w14:paraId="08C54382">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（4）本项目实行网上投标，采用电子投标文件；</w:t>
      </w:r>
    </w:p>
    <w:p w14:paraId="632BB329">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9、技术支持电话：</w:t>
      </w:r>
    </w:p>
    <w:p w14:paraId="5F962A0A">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云南壹证通CA操作问题请致电：4000040628</w:t>
      </w:r>
    </w:p>
    <w:p w14:paraId="5264082F">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云南壹证通CA紧急联系方式：19988166369</w:t>
      </w:r>
    </w:p>
    <w:p w14:paraId="0616DD0F">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政采云客户服务热线：400-881-719</w:t>
      </w:r>
    </w:p>
    <w:p w14:paraId="6413D025">
      <w:pPr>
        <w:pStyle w:val="5"/>
        <w:keepNext w:val="0"/>
        <w:keepLines w:val="0"/>
        <w:pageBreakBefore w:val="0"/>
        <w:widowControl w:val="0"/>
        <w:shd w:val="clear"/>
        <w:kinsoku w:val="0"/>
        <w:wordWrap/>
        <w:overflowPunct w:val="0"/>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云南CA联系电话：4006487666；云南CA紧急联系方式：15288315056</w:t>
      </w:r>
    </w:p>
    <w:p w14:paraId="548C52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p w14:paraId="1E988DDC">
      <w:pPr>
        <w:keepNext w:val="0"/>
        <w:keepLines w:val="0"/>
        <w:pageBreakBefore w:val="0"/>
        <w:widowControl w:val="0"/>
        <w:wordWrap/>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strike w:val="0"/>
          <w:dstrike w:val="0"/>
          <w:color w:val="auto"/>
          <w:sz w:val="21"/>
          <w:szCs w:val="21"/>
          <w:highlight w:val="none"/>
          <w:u w:val="single"/>
          <w:lang w:val="en-US" w:eastAsia="zh-CN"/>
        </w:rPr>
        <w:t>注：请各投标人自行登录</w:t>
      </w:r>
      <w:r>
        <w:rPr>
          <w:rFonts w:hint="eastAsia" w:ascii="宋体" w:hAnsi="宋体" w:eastAsia="宋体" w:cs="宋体"/>
          <w:b/>
          <w:bCs/>
          <w:strike w:val="0"/>
          <w:dstrike w:val="0"/>
          <w:color w:val="auto"/>
          <w:kern w:val="0"/>
          <w:sz w:val="21"/>
          <w:szCs w:val="21"/>
          <w:highlight w:val="none"/>
          <w:u w:val="single"/>
        </w:rPr>
        <w:t>“政采云”平台（http：//www.zcygov.cn）</w:t>
      </w:r>
      <w:r>
        <w:rPr>
          <w:rFonts w:hint="eastAsia" w:ascii="宋体" w:hAnsi="宋体" w:eastAsia="宋体" w:cs="宋体"/>
          <w:b/>
          <w:bCs/>
          <w:strike w:val="0"/>
          <w:dstrike w:val="0"/>
          <w:color w:val="auto"/>
          <w:sz w:val="21"/>
          <w:szCs w:val="21"/>
          <w:highlight w:val="none"/>
          <w:u w:val="single"/>
          <w:lang w:val="en-US" w:eastAsia="zh-CN"/>
        </w:rPr>
        <w:t>仔细查看有关要求及操作流程，提前熟悉网上开标的相关操作，任何因忽视或误解而导致投标文件未上传或已上传但未按规定的操作流程及规定的时间要求进行在线网上签到、远程解密的，由此造成的后果由投标人自行承担。</w:t>
      </w:r>
    </w:p>
    <w:p w14:paraId="7C89EE5A">
      <w:pPr>
        <w:shd w:val="clear"/>
        <w:rPr>
          <w:rFonts w:hint="eastAsia" w:ascii="宋体" w:hAnsi="宋体" w:eastAsia="宋体" w:cs="宋体"/>
          <w:color w:val="auto"/>
          <w:highlight w:val="none"/>
        </w:rPr>
      </w:pPr>
    </w:p>
    <w:p w14:paraId="1643D81A">
      <w:pPr>
        <w:rPr>
          <w:rFonts w:hint="eastAsia" w:ascii="宋体" w:hAnsi="宋体" w:eastAsia="宋体" w:cs="宋体"/>
          <w:color w:val="auto"/>
          <w:highlight w:val="none"/>
        </w:rPr>
      </w:pPr>
    </w:p>
    <w:p w14:paraId="5D03E908">
      <w:pPr>
        <w:rPr>
          <w:rFonts w:hint="eastAsia" w:ascii="宋体" w:hAnsi="宋体" w:eastAsia="宋体" w:cs="宋体"/>
          <w:color w:val="auto"/>
          <w:highlight w:val="none"/>
        </w:rPr>
      </w:pPr>
    </w:p>
    <w:p w14:paraId="358B5BF9">
      <w:pPr>
        <w:rPr>
          <w:rFonts w:hint="eastAsia" w:ascii="宋体" w:hAnsi="宋体" w:eastAsia="宋体" w:cs="宋体"/>
          <w:color w:val="auto"/>
          <w:highlight w:val="none"/>
        </w:rPr>
      </w:pPr>
    </w:p>
    <w:p w14:paraId="38A92299">
      <w:pPr>
        <w:rPr>
          <w:rFonts w:hint="eastAsia" w:ascii="宋体" w:hAnsi="宋体" w:eastAsia="宋体" w:cs="宋体"/>
          <w:color w:val="auto"/>
          <w:highlight w:val="none"/>
        </w:rPr>
      </w:pPr>
    </w:p>
    <w:p w14:paraId="6E53B03E">
      <w:pPr>
        <w:rPr>
          <w:rFonts w:hint="eastAsia" w:ascii="宋体" w:hAnsi="宋体" w:eastAsia="宋体" w:cs="宋体"/>
          <w:color w:val="auto"/>
          <w:highlight w:val="none"/>
        </w:rPr>
      </w:pPr>
    </w:p>
    <w:p w14:paraId="274B7FD9">
      <w:pPr>
        <w:rPr>
          <w:rFonts w:hint="eastAsia" w:ascii="宋体" w:hAnsi="宋体" w:eastAsia="宋体" w:cs="宋体"/>
          <w:color w:val="auto"/>
          <w:highlight w:val="none"/>
        </w:rPr>
      </w:pPr>
    </w:p>
    <w:p w14:paraId="2B0B66FF">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07D9D714">
      <w:pPr>
        <w:jc w:val="center"/>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val="en-US" w:eastAsia="zh-CN"/>
        </w:rPr>
        <w:t>电子招标投标</w:t>
      </w:r>
      <w:r>
        <w:rPr>
          <w:rFonts w:hint="eastAsia" w:ascii="宋体" w:hAnsi="宋体" w:eastAsia="宋体" w:cs="宋体"/>
          <w:b/>
          <w:bCs/>
          <w:color w:val="auto"/>
          <w:sz w:val="28"/>
          <w:szCs w:val="28"/>
          <w:highlight w:val="none"/>
        </w:rPr>
        <w:t>重要提示</w:t>
      </w:r>
    </w:p>
    <w:p w14:paraId="2A5252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各投标人：</w:t>
      </w:r>
    </w:p>
    <w:p w14:paraId="07167D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1.本项目各投标人远程参加开标</w:t>
      </w:r>
      <w:r>
        <w:rPr>
          <w:rFonts w:hint="eastAsia" w:ascii="宋体" w:hAnsi="宋体" w:eastAsia="宋体" w:cs="宋体"/>
          <w:b w:val="0"/>
          <w:bCs/>
          <w:color w:val="auto"/>
          <w:sz w:val="21"/>
          <w:szCs w:val="21"/>
          <w:highlight w:val="none"/>
          <w:lang w:val="en-US" w:eastAsia="zh-CN"/>
        </w:rPr>
        <w:t>,无需到现场递交投标文件。</w:t>
      </w:r>
    </w:p>
    <w:p w14:paraId="248006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eastAsia="zh-CN" w:bidi="ar"/>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shd w:val="clear" w:color="auto" w:fill="FFFFFF"/>
          <w:lang w:bidi="ar"/>
        </w:rPr>
        <w:t>本项目须在投标截止时间之前在“政采云”平台（http：//www.zcygov.cn）上传电子版投标文件</w:t>
      </w:r>
      <w:r>
        <w:rPr>
          <w:rFonts w:hint="eastAsia" w:ascii="宋体" w:hAnsi="宋体" w:eastAsia="宋体" w:cs="宋体"/>
          <w:b w:val="0"/>
          <w:bCs/>
          <w:color w:val="auto"/>
          <w:sz w:val="21"/>
          <w:szCs w:val="21"/>
          <w:highlight w:val="none"/>
          <w:shd w:val="clear" w:color="auto" w:fill="FFFFFF"/>
          <w:lang w:eastAsia="zh-CN" w:bidi="ar"/>
        </w:rPr>
        <w:t>。</w:t>
      </w:r>
    </w:p>
    <w:p w14:paraId="0986A3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shd w:val="clear" w:color="auto" w:fill="FFFFFF"/>
          <w:lang w:bidi="ar"/>
        </w:rPr>
      </w:pPr>
      <w:r>
        <w:rPr>
          <w:rFonts w:hint="eastAsia" w:ascii="宋体" w:hAnsi="宋体" w:eastAsia="宋体" w:cs="宋体"/>
          <w:b w:val="0"/>
          <w:bCs/>
          <w:color w:val="auto"/>
          <w:sz w:val="21"/>
          <w:szCs w:val="21"/>
          <w:highlight w:val="none"/>
          <w:shd w:val="clear" w:color="auto" w:fill="FFFFFF"/>
          <w:lang w:val="en-US" w:eastAsia="zh-CN" w:bidi="ar"/>
        </w:rPr>
        <w:t>3</w:t>
      </w:r>
      <w:r>
        <w:rPr>
          <w:rFonts w:hint="eastAsia" w:ascii="宋体" w:hAnsi="宋体" w:eastAsia="宋体" w:cs="宋体"/>
          <w:b w:val="0"/>
          <w:bCs/>
          <w:color w:val="auto"/>
          <w:sz w:val="21"/>
          <w:szCs w:val="21"/>
          <w:highlight w:val="none"/>
          <w:shd w:val="clear" w:color="auto" w:fill="FFFFFF"/>
          <w:lang w:bidi="ar"/>
        </w:rPr>
        <w:t>.若因投标人自身原因未在投标截止时间前同时完成电子版投标文件递交的，投标无效。</w:t>
      </w:r>
    </w:p>
    <w:p w14:paraId="21DDB1F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bidi="ar"/>
        </w:rPr>
      </w:pPr>
      <w:r>
        <w:rPr>
          <w:rFonts w:hint="eastAsia" w:ascii="宋体" w:hAnsi="宋体" w:eastAsia="宋体" w:cs="宋体"/>
          <w:b w:val="0"/>
          <w:bCs/>
          <w:color w:val="auto"/>
          <w:sz w:val="21"/>
          <w:szCs w:val="21"/>
          <w:highlight w:val="none"/>
          <w:shd w:val="clear" w:color="auto" w:fill="FFFFFF"/>
          <w:lang w:val="en-US" w:eastAsia="zh-CN" w:bidi="ar"/>
        </w:rPr>
        <w:t>4</w:t>
      </w:r>
      <w:r>
        <w:rPr>
          <w:rFonts w:hint="eastAsia" w:ascii="宋体" w:hAnsi="宋体" w:eastAsia="宋体" w:cs="宋体"/>
          <w:b w:val="0"/>
          <w:bCs/>
          <w:color w:val="auto"/>
          <w:sz w:val="21"/>
          <w:szCs w:val="21"/>
          <w:highlight w:val="none"/>
          <w:shd w:val="clear" w:color="auto" w:fill="FFFFFF"/>
          <w:lang w:bidi="ar"/>
        </w:rPr>
        <w:t>.若因系统原因或其他不可抗力原因造成所有投标人的电子版投标文件无法递交、解密、开启、评审等情况的，投标无效。</w:t>
      </w:r>
    </w:p>
    <w:p w14:paraId="3224C83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5.电子投标文件雷同情形认定</w:t>
      </w:r>
    </w:p>
    <w:p w14:paraId="797F9EF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根据《政府采购货物和服务招标投标管理办法》（财政部令第87号）（以下简称“87号令”）第三十七条规定，评标评审过程中，不同投标人的电子投标文件存在下列情形之一的，视为雷同：</w:t>
      </w:r>
    </w:p>
    <w:p w14:paraId="426CEEA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不同投标人的投标文件由同一单位或者个人编制；</w:t>
      </w:r>
    </w:p>
    <w:p w14:paraId="7E231AB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不同投标人委托同一单位或者个人办理投标事宜；</w:t>
      </w:r>
    </w:p>
    <w:p w14:paraId="1E5D3CB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不同投标人的投标文件载明的项目管理成员或者联系人员为同一人；</w:t>
      </w:r>
    </w:p>
    <w:p w14:paraId="5D9B791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不同投标人的投标文件异常一致或者投标报价呈规律性差异；</w:t>
      </w:r>
    </w:p>
    <w:p w14:paraId="1C062CD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不同投标人的投标文件相互混装；</w:t>
      </w:r>
    </w:p>
    <w:p w14:paraId="376D6FD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 xml:space="preserve">不同投标人的投标保证金从同一单位或者个人的账户转出。只要符合其中一项就可视为投标人串通投标。 </w:t>
      </w:r>
    </w:p>
    <w:p w14:paraId="1FD162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根据《中华人民共和国政府采购法实施条例》第七十四条，下列情形属于恶意串通：</w:t>
      </w:r>
    </w:p>
    <w:p w14:paraId="44F7B1A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供应商直接或者间接从采购人或者采购代理机构处获得其他供应商的相关情况并修改其投标文件或者响应文件；</w:t>
      </w:r>
    </w:p>
    <w:p w14:paraId="103759C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供应商按照采购人或者采购代理机构的授意撤换、修改投标文件或者响应文件；</w:t>
      </w:r>
    </w:p>
    <w:p w14:paraId="037E344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供应商之间协商报价、技术方案等投标文件或者响应文件的实质性内容；</w:t>
      </w:r>
    </w:p>
    <w:p w14:paraId="1285AE8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属于同一集团、协会、商会等组织成员的供应商按照该组织要求协同参加政府采购活动；</w:t>
      </w:r>
    </w:p>
    <w:p w14:paraId="1545D48B">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供应商之间事先约定由某一特定供应商中标、成交；</w:t>
      </w:r>
    </w:p>
    <w:p w14:paraId="539001A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供应商之间商定部分供应商放弃参加政府采购活动或者放弃中标、成交；</w:t>
      </w:r>
    </w:p>
    <w:p w14:paraId="33AFB858">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 xml:space="preserve">供应商与采购人或者采购代理机构之间、供应商相互之间，为谋求特定供应商中标、成交或者排斥其他供应商的其他串通行为。 </w:t>
      </w:r>
    </w:p>
    <w:p w14:paraId="642D889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6.相关查询网站网址</w:t>
      </w:r>
    </w:p>
    <w:p w14:paraId="68329E9A">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中国采购与招标网（http://www.chinabidding.com.cn）</w:t>
      </w:r>
    </w:p>
    <w:p w14:paraId="448C0E6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中国裁判文书网站（https：//wenshu.court.gov.cn/）</w:t>
      </w:r>
    </w:p>
    <w:p w14:paraId="74834139">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sz w:val="21"/>
          <w:szCs w:val="21"/>
          <w:highlight w:val="none"/>
          <w:shd w:val="clear" w:color="auto" w:fill="FFFFFF"/>
          <w:lang w:val="en-US" w:eastAsia="zh-CN" w:bidi="ar"/>
        </w:rPr>
      </w:pPr>
      <w:r>
        <w:rPr>
          <w:rFonts w:hint="eastAsia" w:ascii="宋体" w:hAnsi="宋体" w:eastAsia="宋体" w:cs="宋体"/>
          <w:b w:val="0"/>
          <w:bCs/>
          <w:color w:val="auto"/>
          <w:sz w:val="21"/>
          <w:szCs w:val="21"/>
          <w:highlight w:val="none"/>
          <w:shd w:val="clear" w:color="auto" w:fill="FFFFFF"/>
          <w:lang w:val="en-US" w:eastAsia="zh-CN" w:bidi="ar"/>
        </w:rPr>
        <w:t>“信用中国”网站（https：//www.creditchina.gov.cn/）</w:t>
      </w:r>
    </w:p>
    <w:p w14:paraId="429B2EEE">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shd w:val="clear" w:color="auto" w:fill="FFFFFF"/>
          <w:lang w:val="en-US" w:eastAsia="zh-CN" w:bidi="ar"/>
        </w:rPr>
        <w:t>国家企业信用信息公示系统（https：//www.gsxt.gov.cn/index.html）</w:t>
      </w:r>
    </w:p>
    <w:p w14:paraId="3EF0B856">
      <w:pPr>
        <w:keepNext w:val="0"/>
        <w:keepLines w:val="0"/>
        <w:pageBreakBefore w:val="0"/>
        <w:widowControl w:val="0"/>
        <w:numPr>
          <w:ilvl w:val="0"/>
          <w:numId w:val="4"/>
        </w:numPr>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sectPr>
          <w:footerReference r:id="rId4" w:type="default"/>
          <w:pgSz w:w="11906" w:h="16838"/>
          <w:pgMar w:top="1417" w:right="1417" w:bottom="1417" w:left="1417" w:header="851" w:footer="992" w:gutter="0"/>
          <w:pgNumType w:fmt="decimal" w:start="1"/>
          <w:cols w:space="0" w:num="1"/>
          <w:rtlGutter w:val="0"/>
          <w:docGrid w:type="lines" w:linePitch="318" w:charSpace="0"/>
        </w:sectPr>
      </w:pPr>
      <w:r>
        <w:rPr>
          <w:rFonts w:hint="eastAsia" w:ascii="宋体" w:hAnsi="宋体" w:eastAsia="宋体" w:cs="宋体"/>
          <w:b w:val="0"/>
          <w:bCs/>
          <w:color w:val="auto"/>
          <w:sz w:val="21"/>
          <w:szCs w:val="21"/>
          <w:highlight w:val="none"/>
          <w:shd w:val="clear" w:color="auto" w:fill="FFFFFF"/>
          <w:lang w:val="en-US" w:eastAsia="zh-CN" w:bidi="ar"/>
        </w:rPr>
        <w:t>中国政府采购网（http：//www.ccgp.gov.cn/）</w:t>
      </w:r>
    </w:p>
    <w:p w14:paraId="0077756E">
      <w:pPr>
        <w:pStyle w:val="2"/>
        <w:shd w:val="clear"/>
        <w:jc w:val="center"/>
        <w:rPr>
          <w:rFonts w:hint="eastAsia" w:ascii="宋体" w:hAnsi="宋体" w:eastAsia="宋体" w:cs="宋体"/>
          <w:color w:val="auto"/>
          <w:highlight w:val="none"/>
          <w:lang w:eastAsia="zh-CN"/>
        </w:rPr>
      </w:pPr>
      <w:bookmarkStart w:id="6" w:name="_Toc20049"/>
      <w:bookmarkStart w:id="7" w:name="_Toc6252"/>
      <w:r>
        <w:rPr>
          <w:rFonts w:hint="eastAsia" w:ascii="宋体" w:hAnsi="宋体" w:eastAsia="宋体" w:cs="宋体"/>
          <w:color w:val="auto"/>
          <w:highlight w:val="none"/>
        </w:rPr>
        <w:t>第一章</w:t>
      </w:r>
      <w:bookmarkEnd w:id="3"/>
      <w:bookmarkEnd w:id="4"/>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招标公告</w:t>
      </w:r>
      <w:bookmarkEnd w:id="6"/>
      <w:bookmarkEnd w:id="7"/>
    </w:p>
    <w:p w14:paraId="0686AF9D">
      <w:pPr>
        <w:shd w:val="clear"/>
        <w:jc w:val="center"/>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昆明医科大学第一附属医院临床专科能力提升信息化整体建设项目——智慧医疗与智慧服务系统提升应用专项建设项目</w:t>
      </w:r>
    </w:p>
    <w:p w14:paraId="75E79880">
      <w:pPr>
        <w:shd w:val="clea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招标公告</w:t>
      </w:r>
    </w:p>
    <w:tbl>
      <w:tblPr>
        <w:tblStyle w:val="49"/>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6"/>
      </w:tblGrid>
      <w:tr w14:paraId="033A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6" w:type="dxa"/>
            <w:vAlign w:val="top"/>
          </w:tcPr>
          <w:p w14:paraId="1FF4CEA7">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bookmarkStart w:id="8" w:name="_Toc21469"/>
            <w:r>
              <w:rPr>
                <w:rFonts w:hint="eastAsia" w:ascii="宋体" w:hAnsi="宋体" w:eastAsia="宋体" w:cs="宋体"/>
                <w:color w:val="auto"/>
                <w:sz w:val="21"/>
                <w:szCs w:val="21"/>
                <w:highlight w:val="none"/>
                <w:lang w:val="en-US" w:eastAsia="zh-CN"/>
              </w:rPr>
              <w:t>项目概况</w:t>
            </w:r>
          </w:p>
          <w:p w14:paraId="60D57F5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rPr>
              <w:t>昆明医科大学第一附属医院临床专科能力提升信息化整体建设项目——智慧医疗与智慧服务系统提升应用专项建设项目</w:t>
            </w:r>
            <w:r>
              <w:rPr>
                <w:rFonts w:hint="eastAsia" w:ascii="宋体" w:hAnsi="宋体" w:eastAsia="宋体" w:cs="宋体"/>
                <w:color w:val="auto"/>
                <w:sz w:val="21"/>
                <w:szCs w:val="21"/>
                <w:highlight w:val="none"/>
                <w:lang w:val="en-US" w:eastAsia="zh-CN"/>
              </w:rPr>
              <w:t>的潜在投标人应在政采云平台线上获取（https://www.zcygov.cn/）招标文件，并于2026-</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lang w:val="en-US" w:eastAsia="zh-CN"/>
              </w:rPr>
              <w:t>9:30（北京时间）前递交投标文件。</w:t>
            </w:r>
          </w:p>
        </w:tc>
      </w:tr>
      <w:bookmarkEnd w:id="8"/>
    </w:tbl>
    <w:p w14:paraId="30AF48B5">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项目基本情况</w:t>
      </w:r>
    </w:p>
    <w:p w14:paraId="0A3F999D">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项目编号：</w:t>
      </w:r>
      <w:r>
        <w:rPr>
          <w:rFonts w:hint="eastAsia" w:ascii="宋体" w:hAnsi="宋体" w:cs="宋体"/>
          <w:color w:val="auto"/>
          <w:sz w:val="21"/>
          <w:szCs w:val="21"/>
          <w:highlight w:val="none"/>
          <w:lang w:val="en-US" w:eastAsia="zh-CN"/>
        </w:rPr>
        <w:t xml:space="preserve"> GXTC-C-26290298 /YNZC2026-G1-02331-GXZB-0070 </w:t>
      </w:r>
    </w:p>
    <w:p w14:paraId="7945B057">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项目名称：</w:t>
      </w:r>
      <w:r>
        <w:rPr>
          <w:rFonts w:hint="eastAsia" w:ascii="宋体" w:hAnsi="宋体" w:cs="宋体"/>
          <w:color w:val="auto"/>
          <w:sz w:val="21"/>
          <w:szCs w:val="21"/>
          <w:highlight w:val="none"/>
          <w:lang w:val="en-US" w:eastAsia="zh-CN"/>
        </w:rPr>
        <w:t>昆明医科大学第一附属医院临床专科能力提升信息化整体建设项目——智慧医疗与智慧服务系统提升应用专项建设项目</w:t>
      </w:r>
      <w:r>
        <w:rPr>
          <w:rFonts w:hint="eastAsia" w:ascii="宋体" w:hAnsi="宋体" w:eastAsia="宋体" w:cs="宋体"/>
          <w:color w:val="auto"/>
          <w:sz w:val="21"/>
          <w:szCs w:val="21"/>
          <w:highlight w:val="none"/>
          <w:lang w:val="en-US" w:eastAsia="zh-CN"/>
        </w:rPr>
        <w:t>；</w:t>
      </w:r>
    </w:p>
    <w:p w14:paraId="2A537261">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预算金额（万元）：</w:t>
      </w:r>
      <w:r>
        <w:rPr>
          <w:rFonts w:hint="eastAsia" w:ascii="宋体" w:hAnsi="宋体" w:cs="宋体"/>
          <w:color w:val="auto"/>
          <w:sz w:val="21"/>
          <w:szCs w:val="21"/>
          <w:highlight w:val="none"/>
          <w:lang w:val="en-US" w:eastAsia="zh-CN"/>
        </w:rPr>
        <w:t>2350</w:t>
      </w:r>
      <w:r>
        <w:rPr>
          <w:rFonts w:hint="eastAsia" w:ascii="宋体" w:hAnsi="宋体" w:eastAsia="宋体" w:cs="宋体"/>
          <w:color w:val="auto"/>
          <w:sz w:val="21"/>
          <w:szCs w:val="21"/>
          <w:highlight w:val="none"/>
          <w:lang w:val="en-US" w:eastAsia="zh-CN"/>
        </w:rPr>
        <w:t>；</w:t>
      </w:r>
    </w:p>
    <w:p w14:paraId="35CC8C0B">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最高限价（万元）：</w:t>
      </w:r>
      <w:r>
        <w:rPr>
          <w:rFonts w:hint="eastAsia" w:ascii="宋体" w:hAnsi="宋体" w:cs="宋体"/>
          <w:color w:val="auto"/>
          <w:sz w:val="21"/>
          <w:szCs w:val="21"/>
          <w:highlight w:val="none"/>
          <w:lang w:val="en-US" w:eastAsia="zh-CN"/>
        </w:rPr>
        <w:t>2200</w:t>
      </w:r>
      <w:r>
        <w:rPr>
          <w:rFonts w:hint="eastAsia" w:ascii="宋体" w:hAnsi="宋体" w:eastAsia="宋体" w:cs="宋体"/>
          <w:color w:val="auto"/>
          <w:sz w:val="21"/>
          <w:szCs w:val="21"/>
          <w:highlight w:val="none"/>
          <w:lang w:val="en-US" w:eastAsia="zh-CN"/>
        </w:rPr>
        <w:t>；</w:t>
      </w:r>
    </w:p>
    <w:p w14:paraId="16EC469D">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采购需求：</w:t>
      </w:r>
      <w:r>
        <w:rPr>
          <w:rFonts w:hint="eastAsia" w:ascii="宋体" w:hAnsi="宋体" w:eastAsia="宋体" w:cs="宋体"/>
          <w:color w:val="auto"/>
          <w:sz w:val="21"/>
          <w:szCs w:val="21"/>
          <w:highlight w:val="none"/>
          <w:lang w:val="en-US" w:eastAsia="zh-CN"/>
        </w:rPr>
        <w:t>完成</w:t>
      </w:r>
      <w:r>
        <w:rPr>
          <w:rFonts w:hint="eastAsia" w:ascii="宋体" w:hAnsi="宋体" w:cs="宋体"/>
          <w:color w:val="auto"/>
          <w:sz w:val="21"/>
          <w:szCs w:val="21"/>
          <w:highlight w:val="none"/>
          <w:lang w:val="en-US" w:eastAsia="zh-CN"/>
        </w:rPr>
        <w:t>昆明医科大学第一附属医院临床专科能力提升信息化整体建设项目——智慧医疗与智慧服务系统提升应用专项建设项目</w:t>
      </w:r>
      <w:r>
        <w:rPr>
          <w:rFonts w:hint="eastAsia" w:ascii="宋体" w:hAnsi="宋体" w:eastAsia="宋体" w:cs="宋体"/>
          <w:color w:val="auto"/>
          <w:sz w:val="21"/>
          <w:szCs w:val="21"/>
          <w:highlight w:val="none"/>
          <w:lang w:val="en-US" w:eastAsia="zh-CN"/>
        </w:rPr>
        <w:t>，包括</w:t>
      </w:r>
      <w:r>
        <w:rPr>
          <w:rFonts w:hint="eastAsia" w:ascii="宋体" w:hAnsi="宋体" w:eastAsia="宋体" w:cs="宋体"/>
          <w:b/>
          <w:bCs/>
          <w:color w:val="auto"/>
          <w:sz w:val="21"/>
          <w:szCs w:val="21"/>
          <w:highlight w:val="none"/>
          <w:lang w:val="en-US" w:eastAsia="zh-CN"/>
        </w:rPr>
        <w:t>临床专科能力提升</w:t>
      </w:r>
      <w:r>
        <w:rPr>
          <w:rFonts w:hint="eastAsia" w:ascii="宋体" w:hAnsi="宋体" w:cs="宋体"/>
          <w:b/>
          <w:bCs/>
          <w:color w:val="auto"/>
          <w:sz w:val="21"/>
          <w:szCs w:val="21"/>
          <w:highlight w:val="none"/>
          <w:lang w:val="en-US" w:eastAsia="zh-CN"/>
        </w:rPr>
        <w:t>、</w:t>
      </w:r>
      <w:r>
        <w:rPr>
          <w:rFonts w:hint="eastAsia"/>
          <w:b/>
          <w:bCs/>
          <w:color w:val="auto"/>
          <w:highlight w:val="none"/>
        </w:rPr>
        <w:t>紧急医学救援能力提升</w:t>
      </w:r>
      <w:r>
        <w:rPr>
          <w:rFonts w:hint="eastAsia"/>
          <w:b/>
          <w:bCs/>
          <w:color w:val="auto"/>
          <w:highlight w:val="none"/>
          <w:lang w:eastAsia="zh-CN"/>
        </w:rPr>
        <w:t>、</w:t>
      </w:r>
      <w:r>
        <w:rPr>
          <w:rFonts w:hint="eastAsia"/>
          <w:b/>
          <w:bCs/>
          <w:color w:val="auto"/>
          <w:highlight w:val="none"/>
        </w:rPr>
        <w:t>智慧服务能力提升</w:t>
      </w:r>
      <w:r>
        <w:rPr>
          <w:rFonts w:hint="eastAsia"/>
          <w:b/>
          <w:bCs/>
          <w:color w:val="auto"/>
          <w:highlight w:val="none"/>
          <w:lang w:eastAsia="zh-CN"/>
        </w:rPr>
        <w:t>、</w:t>
      </w:r>
      <w:r>
        <w:rPr>
          <w:rFonts w:hint="eastAsia"/>
          <w:b/>
          <w:bCs/>
          <w:color w:val="auto"/>
          <w:highlight w:val="none"/>
        </w:rPr>
        <w:t>本地化改造及运维服务能力提升</w:t>
      </w:r>
      <w:r>
        <w:rPr>
          <w:rFonts w:hint="eastAsia"/>
          <w:color w:val="auto"/>
          <w:highlight w:val="none"/>
          <w:lang w:val="en-US" w:eastAsia="zh-CN"/>
        </w:rPr>
        <w:t>四个专项</w:t>
      </w:r>
      <w:r>
        <w:rPr>
          <w:rFonts w:hint="eastAsia"/>
          <w:color w:val="auto"/>
          <w:highlight w:val="none"/>
          <w:lang w:eastAsia="zh-CN"/>
        </w:rPr>
        <w:t>。</w:t>
      </w:r>
      <w:r>
        <w:rPr>
          <w:rFonts w:hint="eastAsia" w:ascii="宋体" w:hAnsi="宋体" w:eastAsia="宋体" w:cs="宋体"/>
          <w:color w:val="auto"/>
          <w:sz w:val="21"/>
          <w:szCs w:val="21"/>
          <w:highlight w:val="none"/>
          <w:lang w:val="en-US" w:eastAsia="zh-CN"/>
        </w:rPr>
        <w:t>本项目不接受进口产品参与投标，投标人应满足项目分阶段逐步完成</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建设</w:t>
      </w:r>
      <w:r>
        <w:rPr>
          <w:rFonts w:hint="eastAsia" w:ascii="宋体" w:hAnsi="宋体" w:cs="宋体"/>
          <w:color w:val="auto"/>
          <w:sz w:val="21"/>
          <w:szCs w:val="21"/>
          <w:highlight w:val="none"/>
          <w:lang w:val="en-US" w:eastAsia="zh-CN"/>
        </w:rPr>
        <w:t>期限</w:t>
      </w:r>
      <w:r>
        <w:rPr>
          <w:rFonts w:hint="eastAsia" w:ascii="宋体" w:hAnsi="宋体" w:eastAsia="宋体" w:cs="宋体"/>
          <w:color w:val="auto"/>
          <w:sz w:val="21"/>
          <w:szCs w:val="21"/>
          <w:highlight w:val="none"/>
          <w:lang w:val="en-US" w:eastAsia="zh-CN"/>
        </w:rPr>
        <w:t>。投标人必须对招标同一标项内所有货物及服务进行投标，不允许只投标其中的一部分，否则作为无效标处理。详见招标文件第五章。</w:t>
      </w:r>
    </w:p>
    <w:p w14:paraId="2578F1DF">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合同履行期限：</w:t>
      </w:r>
      <w:r>
        <w:rPr>
          <w:rFonts w:hint="eastAsia" w:ascii="Times New Roman" w:hAnsi="Times New Roman" w:eastAsia="宋体" w:cs="Times New Roman"/>
          <w:color w:val="auto"/>
          <w:highlight w:val="none"/>
          <w:lang w:val="en-US" w:eastAsia="zh-CN"/>
        </w:rPr>
        <w:t>本项目分阶段逐步实施，其中临床专科能力提升、紧急医学救援能力提升、智慧服务能力提升</w:t>
      </w:r>
      <w:r>
        <w:rPr>
          <w:rFonts w:hint="eastAsia" w:cs="Times New Roman"/>
          <w:color w:val="auto"/>
          <w:highlight w:val="none"/>
          <w:lang w:val="en-US" w:eastAsia="zh-CN"/>
        </w:rPr>
        <w:t>三个专项</w:t>
      </w:r>
      <w:r>
        <w:rPr>
          <w:rFonts w:hint="eastAsia" w:ascii="Times New Roman" w:hAnsi="Times New Roman" w:eastAsia="宋体" w:cs="Times New Roman"/>
          <w:color w:val="auto"/>
          <w:highlight w:val="none"/>
          <w:lang w:val="en-US" w:eastAsia="zh-CN"/>
        </w:rPr>
        <w:t>建设周期计划为合同签订之日起3个月，各</w:t>
      </w:r>
      <w:r>
        <w:rPr>
          <w:rFonts w:hint="eastAsia" w:cs="Times New Roman"/>
          <w:color w:val="auto"/>
          <w:highlight w:val="none"/>
          <w:lang w:val="en-US" w:eastAsia="zh-CN"/>
        </w:rPr>
        <w:t>专项</w:t>
      </w:r>
      <w:r>
        <w:rPr>
          <w:rFonts w:hint="eastAsia" w:ascii="Times New Roman" w:hAnsi="Times New Roman" w:eastAsia="宋体" w:cs="Times New Roman"/>
          <w:color w:val="auto"/>
          <w:highlight w:val="none"/>
          <w:lang w:val="en-US" w:eastAsia="zh-CN"/>
        </w:rPr>
        <w:t>免费维保期为</w:t>
      </w:r>
      <w:r>
        <w:rPr>
          <w:rFonts w:hint="eastAsia" w:cs="Times New Roman"/>
          <w:color w:val="auto"/>
          <w:highlight w:val="none"/>
          <w:lang w:val="en-US" w:eastAsia="zh-CN"/>
        </w:rPr>
        <w:t>该专项</w:t>
      </w:r>
      <w:r>
        <w:rPr>
          <w:rFonts w:hint="eastAsia" w:ascii="Times New Roman" w:hAnsi="Times New Roman" w:eastAsia="宋体" w:cs="Times New Roman"/>
          <w:color w:val="auto"/>
          <w:highlight w:val="none"/>
          <w:lang w:val="en-US" w:eastAsia="zh-CN"/>
        </w:rPr>
        <w:t>终验合格之日起1年。本地化改造及运维服务能力提升</w:t>
      </w:r>
      <w:r>
        <w:rPr>
          <w:rFonts w:hint="eastAsia" w:cs="Times New Roman"/>
          <w:color w:val="auto"/>
          <w:highlight w:val="none"/>
          <w:lang w:val="en-US" w:eastAsia="zh-CN"/>
        </w:rPr>
        <w:t>专项</w:t>
      </w:r>
      <w:r>
        <w:rPr>
          <w:rFonts w:hint="eastAsia" w:ascii="Times New Roman" w:hAnsi="Times New Roman" w:eastAsia="宋体" w:cs="Times New Roman"/>
          <w:color w:val="auto"/>
          <w:highlight w:val="none"/>
          <w:lang w:val="en-US" w:eastAsia="zh-CN"/>
        </w:rPr>
        <w:t>建设周期计划为合同签订之日起1年。</w:t>
      </w:r>
    </w:p>
    <w:p w14:paraId="4FAB8E4B">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本项目（否）接受联合体投标。</w:t>
      </w:r>
    </w:p>
    <w:p w14:paraId="204A87E7">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申请人的资格要求</w:t>
      </w:r>
    </w:p>
    <w:p w14:paraId="060E565F">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1.满足《中华人民共和国政府采购法》第二十二条规定；</w:t>
      </w:r>
    </w:p>
    <w:p w14:paraId="6B7A3643">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2.落实政府采购政策需满足的资格要求：</w:t>
      </w:r>
    </w:p>
    <w:p w14:paraId="75BAB02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1）扶持中小企业政策：按照“根据《关于印发&lt;政府采购促进中小企业发展管理办法&gt;的通知》（财库〔2020〕46号）的规定”执行，具体详见招标文件；</w:t>
      </w:r>
    </w:p>
    <w:p w14:paraId="7740A44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2）支持监狱企业政策：根据财政部、司法部《关于政府采购支持监狱企业发展有关问题》的通知（财库〔2014〕68 号）执行，具体详见招标文件；</w:t>
      </w:r>
    </w:p>
    <w:p w14:paraId="07CCADC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3）支持残疾人福利性单位政策：根据财政部、民政部、中国残疾人联合会《关于促进残疾人就业政府采购政策的通知》（财库〔2017〕141号）执行，具体详见招标文件。</w:t>
      </w:r>
    </w:p>
    <w:p w14:paraId="7C6B970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支持节能和环境标志产品政策：优先采购节能环保产品（注：所采购的货物在政府采购节能产品、环境标志产品实施品目清单范围内，且具有国家确定的认证机构出具的、处于有效期之内的节能产品、环境标志产品认证证书）。</w:t>
      </w:r>
    </w:p>
    <w:p w14:paraId="67DA2B0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5）本项目不属于专门面向中小企业采购的项目。本项目小微企业价格扣除优惠比例：10%。</w:t>
      </w:r>
    </w:p>
    <w:p w14:paraId="1CC6E88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6）支持《国务院办公厅关于在政府采购中实施本国产品标准及相关政策的通知》（国办发〔2025〕34号），具体详见招标文件。</w:t>
      </w:r>
    </w:p>
    <w:p w14:paraId="586B9BB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7）支持《关于推动解决政府采购异常低价问题的通知》（财库〔2026〕2号），具体详见招标文件。</w:t>
      </w:r>
    </w:p>
    <w:p w14:paraId="1B7D57D1">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3.本项目的特定资格要求：</w:t>
      </w:r>
    </w:p>
    <w:p w14:paraId="2425118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投标截止期前，投标人未被列入“信用中国”网站（www.creditchina.gov.cn）失信被执行人、重大税收违法失信主体；未被列入中国政府采购网（www.ccgp.gov.cn）“政府采购严重违法失信行为信息记录”（处罚决定规定的时间和地域范围内）。注：投标时投标人提供承诺，招标代理机构开标后将在相关网站查询并以此查询结果为准，存档备查。</w:t>
      </w:r>
      <w:r>
        <w:rPr>
          <w:rFonts w:hint="eastAsia" w:ascii="宋体" w:hAnsi="宋体" w:eastAsia="宋体" w:cs="宋体"/>
          <w:b/>
          <w:bCs/>
          <w:color w:val="auto"/>
          <w:sz w:val="21"/>
          <w:szCs w:val="21"/>
          <w:highlight w:val="none"/>
          <w:lang w:val="en-US" w:eastAsia="zh-CN"/>
        </w:rPr>
        <w:t>注：以招标代理机构查询内容为准，查询时间为开标后，并交评标委员会备查。</w:t>
      </w:r>
    </w:p>
    <w:p w14:paraId="0503AD3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与采购人存在利害关系可能影响招标公正性的法人、其他组织或者个人，不得参加投标；单位负责人为同一人或者存在直接控股、管理关系的不同供应商，不得参加同一合同项下的政府采购活动。为本项目提供整体设计、规范编制或者项目管理、监理、检测等服务的投标人，不得再参加本项目投标。（注：投标人为采购人、采购代理机构在确定采购需求、编制招标文件过程中提供咨询论证，其提供的咨询论证意见成为招标文件中规定的投标人资格条件、技术服务商务要求、评审因素和标准、政府采购合同等实质性内容条款的，视同为采购项目提供规范编制）</w:t>
      </w:r>
    </w:p>
    <w:p w14:paraId="39857C0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3）本项目不接受联合体投标。</w:t>
      </w:r>
    </w:p>
    <w:p w14:paraId="705A37FD">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获取招标文件</w:t>
      </w:r>
    </w:p>
    <w:p w14:paraId="4F3A3D1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时间：2026-</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lang w:val="en-US" w:eastAsia="zh-CN"/>
        </w:rPr>
        <w:t xml:space="preserve">  06:00至2026-</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 xml:space="preserve">   23:59，每天上午06:00至12:00，下午12:00至23:59（北京时间，法定节假日除外）</w:t>
      </w:r>
    </w:p>
    <w:p w14:paraId="0EA0325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地点：政采云平台线上获取</w:t>
      </w:r>
    </w:p>
    <w:p w14:paraId="53AF853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采购文件，具备本项目的投标资格。</w:t>
      </w:r>
    </w:p>
    <w:p w14:paraId="13C677F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售价（元）：0</w:t>
      </w:r>
    </w:p>
    <w:p w14:paraId="74635B11">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提交投标文件截止时间、开标时间和地点</w:t>
      </w:r>
    </w:p>
    <w:p w14:paraId="34B19E1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2026-</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xml:space="preserve">  09:30（北京时间）</w:t>
      </w:r>
    </w:p>
    <w:p w14:paraId="61E76B2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地点：政采云平台开标厅。</w:t>
      </w:r>
    </w:p>
    <w:p w14:paraId="4B311BFF">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公告期限</w:t>
      </w:r>
    </w:p>
    <w:p w14:paraId="7BAA8E3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自本公告发布之日起5个工作日。</w:t>
      </w:r>
    </w:p>
    <w:p w14:paraId="6C0F66D3">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其他补充事宜</w:t>
      </w:r>
    </w:p>
    <w:p w14:paraId="602C72F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是否需要缴纳投标保证金：是</w:t>
      </w:r>
    </w:p>
    <w:p w14:paraId="0502682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保证金金额：10000（元）</w:t>
      </w:r>
    </w:p>
    <w:p w14:paraId="0D59C50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保证金缴纳方式：支票、汇票、本票、保函</w:t>
      </w:r>
    </w:p>
    <w:p w14:paraId="1237211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保证金缴纳截止时间：2026-</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lang w:val="en-US" w:eastAsia="zh-CN"/>
        </w:rPr>
        <w:t xml:space="preserve"> 9:30</w:t>
      </w:r>
    </w:p>
    <w:p w14:paraId="5C341DB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其他：1.本次招标公告在《云南省政府采购网》(http：//www.yngp.com/)上发布，公告内容和时间以《云南省政府采购网》发布的信息为准。 2.保证金缴纳截止时间：同提交投标文件截止时间。投标人必须按照标项对应提交投标保证；3.各投标人应在开标前应确保成为政采云平台投标人，并完成CA数字证书申领。因未注册入库、未办理CA数字证书等原因造成无法投标或投标失败等后果由投标人自行承担。 凡有意参加投标的投标人，须在政采云平台办理数字证书（CA）CA申领链接：https://middle.zcygov.cn/ca/apply/list?_app_=zcy.sys，并通过政采云绑定数字证书（CA）后在网上获取采购文件及其它采购资料，数字证书（CA）详见其办理流程；4.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因投标人自身原因导致在规定时间内无法正常解密的（如：浏览器故障、未安装相关驱动、网络故障、加密CA与解密CA不一致等），采购人/代理机构不予异常处理，视为投标人自动弃标。5.本项目为不见面开标，投标单位无需到达现场；6.本项目实行网上投标，采用电子投标文件；7.相关联系电话： 云南壹证通CA操作问题请致电：4000040628 云南壹证通CA紧急联系方式：19988166369 政采云客户服务热线：400-881-719 云南CA联系电话：4006727666；云南CA紧急联系方式：15288315056</w:t>
      </w:r>
    </w:p>
    <w:p w14:paraId="6F829782">
      <w:pPr>
        <w:pStyle w:val="4"/>
        <w:numPr>
          <w:ilvl w:val="0"/>
          <w:numId w:val="5"/>
        </w:numPr>
        <w:bidi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对本次招标提出询问，请按以下方式联系</w:t>
      </w:r>
    </w:p>
    <w:p w14:paraId="18DD162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1.采购人信息</w:t>
      </w:r>
    </w:p>
    <w:p w14:paraId="5471893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称：昆明医科大学第一附属医院</w:t>
      </w:r>
    </w:p>
    <w:p w14:paraId="3812D6B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址：云南省昆明市五华区西昌路295号</w:t>
      </w:r>
    </w:p>
    <w:p w14:paraId="0ADD79F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联系方式：0871-65324888-2327</w:t>
      </w:r>
    </w:p>
    <w:p w14:paraId="4A10531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2.采购代理机构信息</w:t>
      </w:r>
    </w:p>
    <w:p w14:paraId="6373C6B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称：国信招标集团股份有限公司</w:t>
      </w:r>
    </w:p>
    <w:p w14:paraId="5B101DA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址：云南省昆明市西山区西园路与大观路交汇处大观首府8栋31层</w:t>
      </w:r>
    </w:p>
    <w:p w14:paraId="6D362CD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联系方式：0871-65151961、0871-65151391</w:t>
      </w:r>
    </w:p>
    <w:p w14:paraId="6D767C7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箱：yn6515_1961@163.com</w:t>
      </w:r>
    </w:p>
    <w:p w14:paraId="12E4696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3.项目联系方式</w:t>
      </w:r>
    </w:p>
    <w:p w14:paraId="2878EFC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联系人：杨俊霞、段红燕、白雪、王尹、李珊珊、张译</w:t>
      </w:r>
    </w:p>
    <w:p w14:paraId="0C7A7A6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联系方式：0871-65151961、0871-65151391   </w:t>
      </w:r>
    </w:p>
    <w:p w14:paraId="11756C38">
      <w:pPr>
        <w:pageBreakBefore w:val="0"/>
        <w:shd w:val="clear"/>
        <w:wordWrap/>
        <w:topLinePunct w:val="0"/>
        <w:bidi w:val="0"/>
        <w:spacing w:line="360" w:lineRule="auto"/>
        <w:ind w:firstLine="560" w:firstLineChars="200"/>
        <w:rPr>
          <w:rFonts w:hint="eastAsia" w:ascii="宋体" w:hAnsi="宋体" w:eastAsia="宋体" w:cs="宋体"/>
          <w:color w:val="auto"/>
          <w:kern w:val="0"/>
          <w:sz w:val="28"/>
          <w:szCs w:val="28"/>
          <w:highlight w:val="none"/>
          <w:lang w:val="en-US" w:eastAsia="zh-CN"/>
        </w:rPr>
      </w:pPr>
    </w:p>
    <w:p w14:paraId="5EAADD6A">
      <w:pPr>
        <w:shd w:val="clea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59E13FB">
      <w:pPr>
        <w:pStyle w:val="2"/>
        <w:shd w:val="clear"/>
        <w:jc w:val="center"/>
        <w:rPr>
          <w:rFonts w:hint="eastAsia" w:ascii="宋体" w:hAnsi="宋体" w:eastAsia="宋体" w:cs="宋体"/>
          <w:color w:val="auto"/>
          <w:highlight w:val="none"/>
          <w:lang w:val="en-US" w:eastAsia="zh-CN"/>
        </w:rPr>
      </w:pPr>
      <w:bookmarkStart w:id="9" w:name="_Toc30192"/>
      <w:bookmarkStart w:id="10" w:name="_Toc30377"/>
      <w:bookmarkStart w:id="11" w:name="_Toc4216"/>
      <w:bookmarkStart w:id="12" w:name="_Toc31486"/>
      <w:r>
        <w:rPr>
          <w:rFonts w:hint="eastAsia" w:ascii="宋体" w:hAnsi="宋体" w:eastAsia="宋体" w:cs="宋体"/>
          <w:color w:val="auto"/>
          <w:highlight w:val="none"/>
          <w:lang w:val="en-US" w:eastAsia="zh-CN"/>
        </w:rPr>
        <w:t>第二章 投标人须知</w:t>
      </w:r>
      <w:bookmarkEnd w:id="9"/>
      <w:bookmarkEnd w:id="10"/>
      <w:bookmarkEnd w:id="11"/>
      <w:bookmarkEnd w:id="12"/>
    </w:p>
    <w:p w14:paraId="462DE784">
      <w:pPr>
        <w:pStyle w:val="4"/>
        <w:shd w:val="clear"/>
        <w:jc w:val="center"/>
        <w:rPr>
          <w:rFonts w:hint="eastAsia" w:ascii="宋体" w:hAnsi="宋体" w:eastAsia="宋体" w:cs="宋体"/>
          <w:color w:val="auto"/>
          <w:sz w:val="32"/>
          <w:szCs w:val="32"/>
          <w:highlight w:val="none"/>
        </w:rPr>
      </w:pPr>
      <w:bookmarkStart w:id="13" w:name="_Toc22916"/>
      <w:bookmarkStart w:id="14" w:name="_Toc7370"/>
      <w:r>
        <w:rPr>
          <w:rFonts w:hint="eastAsia" w:ascii="宋体" w:hAnsi="宋体" w:eastAsia="宋体" w:cs="宋体"/>
          <w:color w:val="auto"/>
          <w:sz w:val="32"/>
          <w:szCs w:val="32"/>
          <w:highlight w:val="none"/>
        </w:rPr>
        <w:t>（一）投标人须知前附表</w:t>
      </w:r>
      <w:bookmarkEnd w:id="13"/>
      <w:bookmarkEnd w:id="14"/>
    </w:p>
    <w:p w14:paraId="39C8E902">
      <w:pPr>
        <w:shd w:val="clear"/>
        <w:jc w:val="center"/>
        <w:rPr>
          <w:rFonts w:hint="eastAsia" w:ascii="宋体" w:hAnsi="宋体" w:eastAsia="宋体" w:cs="宋体"/>
          <w:b/>
          <w:bCs/>
          <w:color w:val="auto"/>
          <w:sz w:val="28"/>
          <w:szCs w:val="28"/>
          <w:highlight w:val="none"/>
          <w:lang w:eastAsia="zh-CN"/>
        </w:rPr>
      </w:pPr>
      <w:bookmarkStart w:id="15" w:name="_Toc8206"/>
      <w:r>
        <w:rPr>
          <w:rFonts w:hint="eastAsia" w:ascii="宋体" w:hAnsi="宋体" w:eastAsia="宋体" w:cs="宋体"/>
          <w:b/>
          <w:bCs/>
          <w:color w:val="auto"/>
          <w:sz w:val="28"/>
          <w:szCs w:val="28"/>
          <w:highlight w:val="none"/>
        </w:rPr>
        <w:t>注：投标人须知正文与本表不一致的以本表为准</w:t>
      </w:r>
      <w:bookmarkEnd w:id="15"/>
      <w:r>
        <w:rPr>
          <w:rFonts w:hint="eastAsia" w:ascii="宋体" w:hAnsi="宋体" w:eastAsia="宋体" w:cs="宋体"/>
          <w:b/>
          <w:bCs/>
          <w:color w:val="auto"/>
          <w:sz w:val="28"/>
          <w:szCs w:val="28"/>
          <w:highlight w:val="none"/>
          <w:lang w:eastAsia="zh-CN"/>
        </w:rPr>
        <w:t>！</w:t>
      </w:r>
    </w:p>
    <w:tbl>
      <w:tblPr>
        <w:tblStyle w:val="48"/>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538"/>
        <w:gridCol w:w="6093"/>
      </w:tblGrid>
      <w:tr w14:paraId="7E7F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188" w:type="dxa"/>
            <w:vAlign w:val="center"/>
          </w:tcPr>
          <w:p w14:paraId="38A66D98">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条款号</w:t>
            </w:r>
          </w:p>
        </w:tc>
        <w:tc>
          <w:tcPr>
            <w:tcW w:w="2538" w:type="dxa"/>
            <w:vAlign w:val="center"/>
          </w:tcPr>
          <w:p w14:paraId="37A63D5C">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条 款 名 称</w:t>
            </w:r>
          </w:p>
        </w:tc>
        <w:tc>
          <w:tcPr>
            <w:tcW w:w="6093" w:type="dxa"/>
            <w:vAlign w:val="center"/>
          </w:tcPr>
          <w:p w14:paraId="06C75C20">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编 列 内 容</w:t>
            </w:r>
          </w:p>
        </w:tc>
      </w:tr>
      <w:tr w14:paraId="2247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2628479A">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2538" w:type="dxa"/>
            <w:vAlign w:val="center"/>
          </w:tcPr>
          <w:p w14:paraId="75443EF3">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采购标的对应的中小企业划分标准所属行业</w:t>
            </w:r>
          </w:p>
        </w:tc>
        <w:tc>
          <w:tcPr>
            <w:tcW w:w="6093" w:type="dxa"/>
            <w:vAlign w:val="center"/>
          </w:tcPr>
          <w:p w14:paraId="1AC2193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根据《工业和信息化部、国家统计局、国家发展和改革委员会、财政部关于印发中小企业划型标准规定的通知》，小微企业认定标准如下：本项目小微企业认定属于：</w:t>
            </w:r>
            <w:r>
              <w:rPr>
                <w:rFonts w:hint="eastAsia" w:ascii="宋体" w:hAnsi="宋体" w:eastAsia="宋体" w:cs="宋体"/>
                <w:b/>
                <w:bCs/>
                <w:color w:val="auto"/>
                <w:kern w:val="0"/>
                <w:sz w:val="21"/>
                <w:szCs w:val="21"/>
                <w:highlight w:val="none"/>
                <w:u w:val="single"/>
                <w:lang w:val="en-US" w:eastAsia="zh-CN"/>
              </w:rPr>
              <w:t>软件和信息技术服务业</w:t>
            </w:r>
            <w:r>
              <w:rPr>
                <w:rFonts w:hint="eastAsia" w:ascii="宋体" w:hAnsi="宋体" w:eastAsia="宋体" w:cs="宋体"/>
                <w:b/>
                <w:bCs/>
                <w:color w:val="auto"/>
                <w:kern w:val="0"/>
                <w:sz w:val="21"/>
                <w:szCs w:val="21"/>
                <w:highlight w:val="none"/>
                <w:u w:val="single"/>
              </w:rPr>
              <w:t>。</w:t>
            </w:r>
          </w:p>
        </w:tc>
      </w:tr>
      <w:tr w14:paraId="69F7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A7CEF90">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1.5.2</w:t>
            </w:r>
          </w:p>
        </w:tc>
        <w:tc>
          <w:tcPr>
            <w:tcW w:w="2538" w:type="dxa"/>
            <w:vAlign w:val="center"/>
          </w:tcPr>
          <w:p w14:paraId="69E1D069">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是否专门面向中小企业或小型、微型企业采购</w:t>
            </w:r>
          </w:p>
        </w:tc>
        <w:tc>
          <w:tcPr>
            <w:tcW w:w="6093" w:type="dxa"/>
            <w:vAlign w:val="center"/>
          </w:tcPr>
          <w:p w14:paraId="506AB4D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否</w:t>
            </w:r>
          </w:p>
        </w:tc>
      </w:tr>
      <w:tr w14:paraId="2752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49E05223">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2538" w:type="dxa"/>
            <w:vAlign w:val="center"/>
          </w:tcPr>
          <w:p w14:paraId="64EDDC74">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是否允许采用分包方式履行合同</w:t>
            </w:r>
          </w:p>
        </w:tc>
        <w:tc>
          <w:tcPr>
            <w:tcW w:w="6093" w:type="dxa"/>
            <w:vAlign w:val="center"/>
          </w:tcPr>
          <w:p w14:paraId="13C8A03B">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否</w:t>
            </w:r>
          </w:p>
        </w:tc>
      </w:tr>
      <w:tr w14:paraId="6A40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E4C1970">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2.2</w:t>
            </w:r>
          </w:p>
        </w:tc>
        <w:tc>
          <w:tcPr>
            <w:tcW w:w="2538" w:type="dxa"/>
            <w:shd w:val="clear" w:color="auto" w:fill="auto"/>
            <w:vAlign w:val="center"/>
          </w:tcPr>
          <w:p w14:paraId="69F43E78">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核心产品</w:t>
            </w:r>
          </w:p>
        </w:tc>
        <w:tc>
          <w:tcPr>
            <w:tcW w:w="6093" w:type="dxa"/>
            <w:shd w:val="clear" w:color="auto" w:fill="auto"/>
            <w:vAlign w:val="center"/>
          </w:tcPr>
          <w:p w14:paraId="53219950">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智慧医疗与智慧服务系统</w:t>
            </w:r>
          </w:p>
        </w:tc>
      </w:tr>
      <w:tr w14:paraId="6488A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2FD6A91">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2.3.3</w:t>
            </w:r>
          </w:p>
        </w:tc>
        <w:tc>
          <w:tcPr>
            <w:tcW w:w="2538" w:type="dxa"/>
            <w:vAlign w:val="center"/>
          </w:tcPr>
          <w:p w14:paraId="33F7F282">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采购人发出澄清文件时间</w:t>
            </w:r>
          </w:p>
        </w:tc>
        <w:tc>
          <w:tcPr>
            <w:tcW w:w="6093" w:type="dxa"/>
            <w:vAlign w:val="center"/>
          </w:tcPr>
          <w:p w14:paraId="04A3C931">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投标截止日15日前</w:t>
            </w:r>
          </w:p>
        </w:tc>
      </w:tr>
      <w:tr w14:paraId="00ED4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49482C41">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2.4.1</w:t>
            </w:r>
          </w:p>
        </w:tc>
        <w:tc>
          <w:tcPr>
            <w:tcW w:w="2538" w:type="dxa"/>
            <w:vAlign w:val="center"/>
          </w:tcPr>
          <w:p w14:paraId="4E04CA3A">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rPr>
            </w:pPr>
            <w:bookmarkStart w:id="16" w:name="_Toc9976"/>
            <w:bookmarkStart w:id="17" w:name="_Toc4365"/>
            <w:bookmarkStart w:id="18" w:name="_Toc22954"/>
            <w:bookmarkStart w:id="19" w:name="_Toc16320"/>
            <w:bookmarkStart w:id="20" w:name="_Toc20949"/>
            <w:bookmarkStart w:id="21" w:name="_Toc26077"/>
            <w:r>
              <w:rPr>
                <w:rFonts w:hint="eastAsia" w:ascii="宋体" w:hAnsi="宋体" w:eastAsia="宋体" w:cs="宋体"/>
                <w:color w:val="auto"/>
                <w:kern w:val="0"/>
                <w:sz w:val="21"/>
                <w:szCs w:val="21"/>
                <w:highlight w:val="none"/>
              </w:rPr>
              <w:t>采购人发出修改文件时间</w:t>
            </w:r>
            <w:bookmarkEnd w:id="16"/>
            <w:bookmarkEnd w:id="17"/>
            <w:bookmarkEnd w:id="18"/>
            <w:bookmarkEnd w:id="19"/>
            <w:bookmarkEnd w:id="20"/>
            <w:bookmarkEnd w:id="21"/>
          </w:p>
        </w:tc>
        <w:tc>
          <w:tcPr>
            <w:tcW w:w="6093" w:type="dxa"/>
            <w:vAlign w:val="center"/>
          </w:tcPr>
          <w:p w14:paraId="028F3542">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投标截止日15日前</w:t>
            </w:r>
          </w:p>
        </w:tc>
      </w:tr>
      <w:tr w14:paraId="2340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302B7909">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2538" w:type="dxa"/>
            <w:vAlign w:val="center"/>
          </w:tcPr>
          <w:p w14:paraId="35025FFA">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rPr>
            </w:pPr>
            <w:bookmarkStart w:id="22" w:name="_Toc10590"/>
            <w:bookmarkStart w:id="23" w:name="_Toc31637"/>
            <w:r>
              <w:rPr>
                <w:rFonts w:hint="eastAsia" w:ascii="宋体" w:hAnsi="宋体" w:eastAsia="宋体" w:cs="宋体"/>
                <w:color w:val="auto"/>
                <w:kern w:val="0"/>
                <w:sz w:val="21"/>
                <w:szCs w:val="21"/>
                <w:highlight w:val="none"/>
              </w:rPr>
              <w:t>接收质疑函的方式和联系方式</w:t>
            </w:r>
            <w:bookmarkEnd w:id="22"/>
            <w:bookmarkEnd w:id="23"/>
          </w:p>
        </w:tc>
        <w:tc>
          <w:tcPr>
            <w:tcW w:w="6093" w:type="dxa"/>
            <w:vAlign w:val="center"/>
          </w:tcPr>
          <w:p w14:paraId="57EA5E5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质疑函应以书面形式送达（仅接收派人送达、邮寄送达质疑函原件两种方式）；质疑函的内容应当符合《政府采购质疑和投诉办法》的要求；质疑函按招标文件第七章提供的质疑函范本格式编写。</w:t>
            </w:r>
          </w:p>
          <w:p w14:paraId="2B52E37F">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联系部门：国信招标集团股份有限公司</w:t>
            </w:r>
          </w:p>
          <w:p w14:paraId="3A4A14F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联系人：杨俊霞、白雪、段红燕、王尹、李珊珊</w:t>
            </w:r>
          </w:p>
          <w:p w14:paraId="75E9CB4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联系电话：0871-65151961、0871-65151391</w:t>
            </w:r>
          </w:p>
          <w:p w14:paraId="50A4EFF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通信地址：昆明市西山区西园路与大观路交汇处大观首府8栋31层。</w:t>
            </w:r>
          </w:p>
        </w:tc>
      </w:tr>
      <w:tr w14:paraId="7F43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8B3ACD7">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3</w:t>
            </w:r>
          </w:p>
        </w:tc>
        <w:tc>
          <w:tcPr>
            <w:tcW w:w="2538" w:type="dxa"/>
            <w:vAlign w:val="center"/>
          </w:tcPr>
          <w:p w14:paraId="10CB8639">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rPr>
            </w:pPr>
            <w:bookmarkStart w:id="24" w:name="_Toc15381"/>
            <w:bookmarkStart w:id="25" w:name="_Toc14859"/>
            <w:r>
              <w:rPr>
                <w:rFonts w:hint="eastAsia" w:ascii="宋体" w:hAnsi="宋体" w:eastAsia="宋体" w:cs="宋体"/>
                <w:color w:val="auto"/>
                <w:kern w:val="0"/>
                <w:sz w:val="21"/>
                <w:szCs w:val="21"/>
                <w:highlight w:val="none"/>
              </w:rPr>
              <w:t>投标有效期</w:t>
            </w:r>
            <w:r>
              <w:rPr>
                <w:rFonts w:hint="eastAsia" w:ascii="宋体" w:hAnsi="宋体" w:eastAsia="宋体" w:cs="宋体"/>
                <w:color w:val="auto"/>
                <w:sz w:val="21"/>
                <w:szCs w:val="21"/>
                <w:highlight w:val="none"/>
              </w:rPr>
              <w:t>■</w:t>
            </w:r>
            <w:bookmarkEnd w:id="24"/>
            <w:bookmarkEnd w:id="25"/>
          </w:p>
        </w:tc>
        <w:tc>
          <w:tcPr>
            <w:tcW w:w="6093" w:type="dxa"/>
            <w:vAlign w:val="center"/>
          </w:tcPr>
          <w:p w14:paraId="5FC04E6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90日历天</w:t>
            </w:r>
          </w:p>
        </w:tc>
      </w:tr>
      <w:tr w14:paraId="0722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0C0A19F">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4</w:t>
            </w:r>
          </w:p>
        </w:tc>
        <w:tc>
          <w:tcPr>
            <w:tcW w:w="2538" w:type="dxa"/>
            <w:vAlign w:val="center"/>
          </w:tcPr>
          <w:p w14:paraId="24BB0BCD">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rPr>
            </w:pPr>
            <w:bookmarkStart w:id="26" w:name="_Toc13163"/>
            <w:bookmarkStart w:id="27" w:name="_Toc1932"/>
            <w:r>
              <w:rPr>
                <w:rFonts w:hint="eastAsia" w:ascii="宋体" w:hAnsi="宋体" w:eastAsia="宋体" w:cs="宋体"/>
                <w:color w:val="auto"/>
                <w:kern w:val="0"/>
                <w:sz w:val="21"/>
                <w:szCs w:val="21"/>
                <w:highlight w:val="none"/>
              </w:rPr>
              <w:t>投标保证金</w:t>
            </w:r>
            <w:r>
              <w:rPr>
                <w:rFonts w:hint="eastAsia" w:ascii="宋体" w:hAnsi="宋体" w:eastAsia="宋体" w:cs="宋体"/>
                <w:color w:val="auto"/>
                <w:sz w:val="21"/>
                <w:szCs w:val="21"/>
                <w:highlight w:val="none"/>
              </w:rPr>
              <w:t>■</w:t>
            </w:r>
            <w:bookmarkEnd w:id="26"/>
            <w:bookmarkEnd w:id="27"/>
          </w:p>
        </w:tc>
        <w:tc>
          <w:tcPr>
            <w:tcW w:w="6093" w:type="dxa"/>
            <w:vAlign w:val="center"/>
          </w:tcPr>
          <w:p w14:paraId="6AFF00C5">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1.投标保证金：人民币10000（元）。为降低企业交易成本，根据《云南省发展和改革委员会等部门关于鼓励减免政府投资项目投标保证金的通知》（云发改交易管理〔2023〕397号），本项目收取投标保证金1万元。</w:t>
            </w:r>
          </w:p>
          <w:p w14:paraId="5922F7F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2.投标保证金的提交：投标人应以支票、汇票、本票从投标人银行账户缴入到投标保证金专户，或金融机构、担保机构出具的保函、保证保险等非现金形式。</w:t>
            </w:r>
          </w:p>
          <w:p w14:paraId="19BB626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3.投标保证金交纳时间：以投标保证金专项账户实际到账时间为准，到账截止时间为投标截止时间，未按时到账的保证金无效。</w:t>
            </w:r>
          </w:p>
          <w:p w14:paraId="7D9A68C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4.投标保证金收取账户：</w:t>
            </w:r>
          </w:p>
          <w:p w14:paraId="0C1A7EA5">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（1）开户名称：国信招标集团股份有限公司昆明分公司；</w:t>
            </w:r>
          </w:p>
          <w:p w14:paraId="62E0B520">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（2）账号：</w:t>
            </w:r>
            <w:r>
              <w:rPr>
                <w:rFonts w:hint="eastAsia" w:ascii="宋体" w:hAnsi="宋体" w:eastAsia="宋体" w:cs="宋体"/>
                <w:color w:val="auto"/>
                <w:kern w:val="0"/>
                <w:sz w:val="21"/>
                <w:szCs w:val="21"/>
                <w:highlight w:val="none"/>
                <w:lang w:val="en-US" w:eastAsia="zh-CN"/>
              </w:rPr>
              <w:tab/>
            </w:r>
            <w:r>
              <w:rPr>
                <w:rFonts w:hint="eastAsia" w:ascii="宋体" w:hAnsi="宋体" w:eastAsia="宋体" w:cs="宋体"/>
                <w:color w:val="auto"/>
                <w:kern w:val="0"/>
                <w:sz w:val="21"/>
                <w:szCs w:val="21"/>
                <w:highlight w:val="none"/>
                <w:lang w:val="en-US" w:eastAsia="zh-CN"/>
              </w:rPr>
              <w:t>8719177264100000000011012</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 xml:space="preserve">      </w:t>
            </w:r>
          </w:p>
          <w:p w14:paraId="4C641B0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（3）开户银行：招商银行昆明西园路支行； </w:t>
            </w:r>
          </w:p>
          <w:p w14:paraId="3B12EF1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（4）联系人：熊师</w:t>
            </w:r>
          </w:p>
          <w:p w14:paraId="60E1B5B1">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（5）联系电话：0871-68355512</w:t>
            </w:r>
          </w:p>
          <w:p w14:paraId="1E240B9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注意事项：</w:t>
            </w:r>
          </w:p>
          <w:p w14:paraId="045365E3">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投标人按照招标文件规定的投标保证金数额，自行转账到采购人指定账户，请注意以下事项：</w:t>
            </w:r>
          </w:p>
          <w:p w14:paraId="098953A9">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1.保证金截止时间为投标截止时间，到账时间以保证金账户实际到账时间为准，未按时到账的保证金无效；</w:t>
            </w:r>
          </w:p>
          <w:p w14:paraId="319F7BE3">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2.请投标人在汇款时务必注明采购项目编号，否则，因款项用途不明导致投标无效等后果由投标人自行承担；</w:t>
            </w:r>
          </w:p>
          <w:p w14:paraId="46DECFF8">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3.投标保证金有效期与投标有效期一致。</w:t>
            </w:r>
          </w:p>
          <w:p w14:paraId="0862458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4.采购项目（标段）有投诉等特殊情况时，在特殊情况处理期间，暂缓退还所有投标人的投标保证金。</w:t>
            </w:r>
          </w:p>
          <w:p w14:paraId="159AA785">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5.投标保证金不予退还的情形：</w:t>
            </w:r>
          </w:p>
          <w:p w14:paraId="03AD3C1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1）投标人在投标有效期内撤销或修改其投标文件；</w:t>
            </w:r>
          </w:p>
          <w:p w14:paraId="07A340E3">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2）中标人无正当理由不与采购人订立合同，或在签订合同时向采购人提出附加条件，或未按招标文件要求提交履约保证金的；</w:t>
            </w:r>
          </w:p>
          <w:p w14:paraId="7C4EA40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3）经查实，投标人在投标过程中串通投标或弄虚作假的；</w:t>
            </w:r>
          </w:p>
          <w:p w14:paraId="0A44E51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6.采用保证保险方式：投标人可将保证保险扫描件上传至投标文件中。</w:t>
            </w:r>
          </w:p>
        </w:tc>
      </w:tr>
      <w:tr w14:paraId="1D51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6CF91DC7">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.5.9</w:t>
            </w:r>
          </w:p>
        </w:tc>
        <w:tc>
          <w:tcPr>
            <w:tcW w:w="2538" w:type="dxa"/>
            <w:vAlign w:val="center"/>
          </w:tcPr>
          <w:p w14:paraId="1083FBF8">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投标文件的签署</w:t>
            </w:r>
          </w:p>
        </w:tc>
        <w:tc>
          <w:tcPr>
            <w:tcW w:w="6093" w:type="dxa"/>
            <w:vAlign w:val="center"/>
          </w:tcPr>
          <w:p w14:paraId="6E1B7E6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按照投标文件格式，采用企业、法定代表人电子签章及数字证书电子签名。招标文件提供格式的按照招标文件提供的格式编制，未提供格式的投标人可以自拟。</w:t>
            </w:r>
          </w:p>
          <w:p w14:paraId="61648830">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签字盖章仅需在招标文件规定的格式上盖章或签字，不需要逐页签字或盖章。</w:t>
            </w:r>
          </w:p>
        </w:tc>
      </w:tr>
      <w:tr w14:paraId="167E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4E698AD4">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6.1</w:t>
            </w:r>
          </w:p>
        </w:tc>
        <w:tc>
          <w:tcPr>
            <w:tcW w:w="2538" w:type="dxa"/>
            <w:vAlign w:val="center"/>
          </w:tcPr>
          <w:p w14:paraId="54287BB7">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资格审查主体</w:t>
            </w:r>
          </w:p>
        </w:tc>
        <w:tc>
          <w:tcPr>
            <w:tcW w:w="6093" w:type="dxa"/>
            <w:vAlign w:val="center"/>
          </w:tcPr>
          <w:p w14:paraId="40698CA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w:t>
            </w:r>
          </w:p>
          <w:p w14:paraId="5308D56B">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☑采购人委托的采购代理机构</w:t>
            </w:r>
          </w:p>
          <w:p w14:paraId="12DFB8D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□采购人和采购代理机构</w:t>
            </w:r>
          </w:p>
        </w:tc>
      </w:tr>
      <w:tr w14:paraId="5EC1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641C12D9">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7.1.1</w:t>
            </w:r>
          </w:p>
        </w:tc>
        <w:tc>
          <w:tcPr>
            <w:tcW w:w="2538" w:type="dxa"/>
            <w:vAlign w:val="center"/>
          </w:tcPr>
          <w:p w14:paraId="7314AE43">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评标委员会</w:t>
            </w:r>
          </w:p>
        </w:tc>
        <w:tc>
          <w:tcPr>
            <w:tcW w:w="6093" w:type="dxa"/>
            <w:vAlign w:val="center"/>
          </w:tcPr>
          <w:p w14:paraId="2132183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评标委员会人数为7人或7人以上单数，评标委员会由采购人和有关技术、经济等方面的专家组成，其中经济、技术等方面专家不少于成员总数的2/3。</w:t>
            </w:r>
          </w:p>
        </w:tc>
      </w:tr>
      <w:tr w14:paraId="55FA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330C25AF">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lang w:val="en-US" w:eastAsia="zh-CN"/>
              </w:rPr>
              <w:t>4</w:t>
            </w:r>
          </w:p>
        </w:tc>
        <w:tc>
          <w:tcPr>
            <w:tcW w:w="2538" w:type="dxa"/>
            <w:vAlign w:val="center"/>
          </w:tcPr>
          <w:p w14:paraId="1A2ACC9A">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评审得分相同时随机抽取中标候选人的主体</w:t>
            </w:r>
          </w:p>
        </w:tc>
        <w:tc>
          <w:tcPr>
            <w:tcW w:w="6093" w:type="dxa"/>
            <w:vAlign w:val="center"/>
          </w:tcPr>
          <w:p w14:paraId="631BA861">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w:t>
            </w:r>
          </w:p>
          <w:p w14:paraId="47CA1302">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☑采购人委托评标委员会</w:t>
            </w:r>
          </w:p>
        </w:tc>
      </w:tr>
      <w:tr w14:paraId="26BE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20B26968">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8.1</w:t>
            </w:r>
          </w:p>
        </w:tc>
        <w:tc>
          <w:tcPr>
            <w:tcW w:w="2538" w:type="dxa"/>
            <w:vAlign w:val="center"/>
          </w:tcPr>
          <w:p w14:paraId="43DA3208">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lang w:val="en-US" w:eastAsia="zh-CN" w:bidi="ar-SA"/>
              </w:rPr>
            </w:pPr>
            <w:bookmarkStart w:id="28" w:name="_Toc9322"/>
            <w:r>
              <w:rPr>
                <w:rFonts w:hint="eastAsia" w:ascii="宋体" w:hAnsi="宋体" w:eastAsia="宋体" w:cs="宋体"/>
                <w:color w:val="auto"/>
                <w:kern w:val="0"/>
                <w:sz w:val="21"/>
                <w:szCs w:val="21"/>
                <w:highlight w:val="none"/>
              </w:rPr>
              <w:t>推荐的中标候选人</w:t>
            </w:r>
            <w:r>
              <w:rPr>
                <w:rFonts w:hint="eastAsia" w:ascii="宋体" w:hAnsi="宋体" w:eastAsia="宋体" w:cs="宋体"/>
                <w:color w:val="auto"/>
                <w:kern w:val="0"/>
                <w:sz w:val="21"/>
                <w:szCs w:val="21"/>
                <w:highlight w:val="none"/>
                <w:lang w:val="en-US" w:eastAsia="zh-CN"/>
              </w:rPr>
              <w:t>及中标人</w:t>
            </w:r>
            <w:r>
              <w:rPr>
                <w:rFonts w:hint="eastAsia" w:ascii="宋体" w:hAnsi="宋体" w:eastAsia="宋体" w:cs="宋体"/>
                <w:color w:val="auto"/>
                <w:kern w:val="0"/>
                <w:sz w:val="21"/>
                <w:szCs w:val="21"/>
                <w:highlight w:val="none"/>
              </w:rPr>
              <w:t>数量</w:t>
            </w:r>
            <w:bookmarkEnd w:id="28"/>
          </w:p>
        </w:tc>
        <w:tc>
          <w:tcPr>
            <w:tcW w:w="6093" w:type="dxa"/>
            <w:vAlign w:val="center"/>
          </w:tcPr>
          <w:p w14:paraId="1BED0E38">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中标候选人：3名</w:t>
            </w:r>
          </w:p>
          <w:p w14:paraId="1851A6E5">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中标人：1名</w:t>
            </w:r>
          </w:p>
        </w:tc>
      </w:tr>
      <w:tr w14:paraId="6642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CB0787D">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8.1</w:t>
            </w:r>
          </w:p>
        </w:tc>
        <w:tc>
          <w:tcPr>
            <w:tcW w:w="2538" w:type="dxa"/>
            <w:vAlign w:val="center"/>
          </w:tcPr>
          <w:p w14:paraId="5B62ACB7">
            <w:pPr>
              <w:shd w:val="clear"/>
              <w:autoSpaceDE w:val="0"/>
              <w:autoSpaceDN w:val="0"/>
              <w:adjustRightInd w:val="0"/>
              <w:snapToGrid w:val="0"/>
              <w:spacing w:line="360" w:lineRule="auto"/>
              <w:jc w:val="center"/>
              <w:outlineLvl w:val="0"/>
              <w:rPr>
                <w:rFonts w:hint="eastAsia" w:ascii="宋体" w:hAnsi="宋体" w:eastAsia="宋体" w:cs="宋体"/>
                <w:color w:val="auto"/>
                <w:kern w:val="0"/>
                <w:sz w:val="21"/>
                <w:szCs w:val="21"/>
                <w:highlight w:val="none"/>
                <w:lang w:val="en-US" w:eastAsia="zh-CN" w:bidi="ar-SA"/>
              </w:rPr>
            </w:pPr>
            <w:bookmarkStart w:id="29" w:name="_Toc23579"/>
            <w:bookmarkStart w:id="30" w:name="_Toc18121"/>
            <w:r>
              <w:rPr>
                <w:rFonts w:hint="eastAsia" w:ascii="宋体" w:hAnsi="宋体" w:eastAsia="宋体" w:cs="宋体"/>
                <w:color w:val="auto"/>
                <w:kern w:val="0"/>
                <w:sz w:val="21"/>
                <w:szCs w:val="21"/>
                <w:highlight w:val="none"/>
              </w:rPr>
              <w:t>确定中标人的方式</w:t>
            </w:r>
            <w:bookmarkEnd w:id="29"/>
            <w:bookmarkEnd w:id="30"/>
          </w:p>
        </w:tc>
        <w:tc>
          <w:tcPr>
            <w:tcW w:w="6093" w:type="dxa"/>
            <w:vAlign w:val="center"/>
          </w:tcPr>
          <w:p w14:paraId="27964D67">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□采购人委托评标委员会直接确认中标人</w:t>
            </w:r>
          </w:p>
          <w:p w14:paraId="778A025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☑采购人确认中标人</w:t>
            </w:r>
          </w:p>
        </w:tc>
      </w:tr>
      <w:tr w14:paraId="1B45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63E8BA78">
            <w:pPr>
              <w:shd w:val="clear"/>
              <w:autoSpaceDE w:val="0"/>
              <w:autoSpaceDN w:val="0"/>
              <w:adjustRightInd w:val="0"/>
              <w:snapToGrid w:val="0"/>
              <w:spacing w:line="360" w:lineRule="auto"/>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8.4.1</w:t>
            </w:r>
          </w:p>
        </w:tc>
        <w:tc>
          <w:tcPr>
            <w:tcW w:w="2538" w:type="dxa"/>
            <w:vAlign w:val="center"/>
          </w:tcPr>
          <w:p w14:paraId="010A2BD2">
            <w:pPr>
              <w:pStyle w:val="433"/>
              <w:shd w:val="clear"/>
              <w:spacing w:line="360" w:lineRule="auto"/>
              <w:ind w:firstLine="0" w:firstLineChars="0"/>
              <w:jc w:val="center"/>
              <w:rPr>
                <w:rFonts w:hint="eastAsia" w:ascii="宋体" w:hAnsi="宋体" w:eastAsia="宋体" w:cs="宋体"/>
                <w:b w:val="0"/>
                <w:bCs w:val="0"/>
                <w:color w:val="auto"/>
                <w:sz w:val="21"/>
                <w:szCs w:val="21"/>
                <w:highlight w:val="none"/>
                <w:lang w:val="en-US"/>
              </w:rPr>
            </w:pPr>
            <w:bookmarkStart w:id="31" w:name="_Toc15907"/>
            <w:bookmarkStart w:id="32" w:name="_Toc8885"/>
            <w:bookmarkStart w:id="33" w:name="_Toc27528"/>
            <w:r>
              <w:rPr>
                <w:rFonts w:hint="eastAsia" w:ascii="宋体" w:hAnsi="宋体" w:eastAsia="宋体" w:cs="宋体"/>
                <w:b w:val="0"/>
                <w:bCs w:val="0"/>
                <w:color w:val="auto"/>
                <w:sz w:val="21"/>
                <w:szCs w:val="21"/>
                <w:highlight w:val="none"/>
                <w:lang w:val="en-US"/>
              </w:rPr>
              <w:t>履约保证金</w:t>
            </w:r>
            <w:bookmarkEnd w:id="31"/>
            <w:bookmarkEnd w:id="32"/>
            <w:bookmarkEnd w:id="33"/>
          </w:p>
        </w:tc>
        <w:tc>
          <w:tcPr>
            <w:tcW w:w="6093" w:type="dxa"/>
            <w:vAlign w:val="center"/>
          </w:tcPr>
          <w:p w14:paraId="4AA6DB57">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履约保证金的金额：无</w:t>
            </w:r>
          </w:p>
        </w:tc>
      </w:tr>
      <w:tr w14:paraId="42DD4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4ADD715C">
            <w:pPr>
              <w:shd w:val="clear"/>
              <w:autoSpaceDE w:val="0"/>
              <w:autoSpaceDN w:val="0"/>
              <w:adjustRightInd w:val="0"/>
              <w:snapToGrid w:val="0"/>
              <w:spacing w:line="360" w:lineRule="auto"/>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rPr>
              <w:t>10.</w:t>
            </w:r>
            <w:r>
              <w:rPr>
                <w:rFonts w:hint="eastAsia" w:ascii="宋体" w:hAnsi="宋体" w:eastAsia="宋体" w:cs="宋体"/>
                <w:b w:val="0"/>
                <w:bCs w:val="0"/>
                <w:color w:val="auto"/>
                <w:kern w:val="0"/>
                <w:sz w:val="21"/>
                <w:szCs w:val="21"/>
                <w:highlight w:val="none"/>
                <w:lang w:val="en-US" w:eastAsia="zh-CN"/>
              </w:rPr>
              <w:t>1</w:t>
            </w:r>
          </w:p>
        </w:tc>
        <w:tc>
          <w:tcPr>
            <w:tcW w:w="2538" w:type="dxa"/>
            <w:vAlign w:val="center"/>
          </w:tcPr>
          <w:p w14:paraId="0150780F">
            <w:pPr>
              <w:pStyle w:val="433"/>
              <w:shd w:val="clear"/>
              <w:spacing w:line="360" w:lineRule="auto"/>
              <w:ind w:firstLine="0" w:firstLineChars="0"/>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rPr>
              <w:t>需要补充的其他内容</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en-US"/>
              </w:rPr>
              <w:t>：</w:t>
            </w:r>
            <w:r>
              <w:rPr>
                <w:rFonts w:hint="eastAsia" w:ascii="宋体" w:hAnsi="宋体" w:eastAsia="宋体" w:cs="宋体"/>
                <w:b w:val="0"/>
                <w:bCs w:val="0"/>
                <w:color w:val="auto"/>
                <w:kern w:val="0"/>
                <w:sz w:val="21"/>
                <w:szCs w:val="21"/>
                <w:highlight w:val="none"/>
              </w:rPr>
              <w:t>付款方式</w:t>
            </w:r>
          </w:p>
        </w:tc>
        <w:tc>
          <w:tcPr>
            <w:tcW w:w="6093" w:type="dxa"/>
            <w:vAlign w:val="center"/>
          </w:tcPr>
          <w:p w14:paraId="3E843BC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同签订后，甲方向中标单位支付合同总价款的30%作为预付款。结合项目实施周期及经费使用要求，项目按“临床专科能力提升”“紧急医学救援能力提升”“智慧服务能力提升”“本地化改造及运维服务能力提升”四个专项分阶段组织验收；每个专项验收合格后，支付该专项对应合同价款的65%。项目整体验收完成后，待免费维保期满且履约合格，支付剩余5%合同尾款。</w:t>
            </w:r>
          </w:p>
        </w:tc>
      </w:tr>
      <w:tr w14:paraId="31BA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18003073">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28FFD020">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：电子签名■</w:t>
            </w:r>
          </w:p>
        </w:tc>
        <w:tc>
          <w:tcPr>
            <w:tcW w:w="6093" w:type="dxa"/>
            <w:vAlign w:val="center"/>
          </w:tcPr>
          <w:p w14:paraId="77888728">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电子签名：可靠的电子签名与手写签名或者盖章具有同等的法律效力。电子签章是电子签名的一种表现形式，利用图像处理技术将电子签名操作转化为与纸质文件盖章操作相同的可视效果。</w:t>
            </w:r>
          </w:p>
        </w:tc>
      </w:tr>
      <w:tr w14:paraId="5817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143DBE82">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3F98EFFA">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：监督和管理</w:t>
            </w:r>
          </w:p>
        </w:tc>
        <w:tc>
          <w:tcPr>
            <w:tcW w:w="6093" w:type="dxa"/>
            <w:vAlign w:val="center"/>
          </w:tcPr>
          <w:p w14:paraId="7303DC21">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本次招标投标活动以及相关当事人应当接受</w:t>
            </w:r>
            <w:r>
              <w:rPr>
                <w:rFonts w:hint="eastAsia" w:ascii="宋体" w:hAnsi="宋体" w:cs="宋体"/>
                <w:color w:val="auto"/>
                <w:kern w:val="0"/>
                <w:sz w:val="21"/>
                <w:szCs w:val="21"/>
                <w:highlight w:val="none"/>
                <w:lang w:val="en-US" w:eastAsia="zh-CN"/>
              </w:rPr>
              <w:t>云南省财政厅</w:t>
            </w:r>
            <w:r>
              <w:rPr>
                <w:rFonts w:hint="eastAsia" w:ascii="宋体" w:hAnsi="宋体" w:eastAsia="宋体" w:cs="宋体"/>
                <w:color w:val="auto"/>
                <w:kern w:val="0"/>
                <w:sz w:val="21"/>
                <w:szCs w:val="21"/>
                <w:highlight w:val="none"/>
                <w:lang w:val="en-US" w:eastAsia="zh-CN"/>
              </w:rPr>
              <w:t>依法实施的监督。</w:t>
            </w:r>
          </w:p>
        </w:tc>
      </w:tr>
      <w:tr w14:paraId="2DA8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17731C74">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5033BDBA">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：低于成本价不正当竞争预防措施■</w:t>
            </w:r>
          </w:p>
        </w:tc>
        <w:tc>
          <w:tcPr>
            <w:tcW w:w="6093" w:type="dxa"/>
            <w:vAlign w:val="center"/>
          </w:tcPr>
          <w:p w14:paraId="3B93E8D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根据《关于推动解决政府采购异常低价问题的通知》，评审中出现下列情形之一的，评审委员启动异常低价投标审查程序：</w:t>
            </w:r>
          </w:p>
          <w:p w14:paraId="3700B4C0">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1.投标报价低于全部通过符合性审查供应商投标报价平均值50%的，即投标报价&lt;全部通过符合性审查供应商投标报价平均值×50%；</w:t>
            </w:r>
          </w:p>
          <w:p w14:paraId="3C752F93">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2.投标报价低于通过符合性审查的次低报价供应商投标报价50%的，即投标报价&lt;通过符合性审查的次低报价供应商投标报价×50%；</w:t>
            </w:r>
          </w:p>
          <w:p w14:paraId="679138F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3.投标报价低于采购项目最高限价45%的，即投标报价&lt;采购项目最高限价×45%；</w:t>
            </w:r>
          </w:p>
          <w:p w14:paraId="37AF0D7B">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启动细则详见评标办法。</w:t>
            </w:r>
          </w:p>
        </w:tc>
      </w:tr>
      <w:tr w14:paraId="2062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614A2F7E">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7136AAE1">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：实质性条款</w:t>
            </w:r>
          </w:p>
        </w:tc>
        <w:tc>
          <w:tcPr>
            <w:tcW w:w="6093" w:type="dxa"/>
            <w:vAlign w:val="center"/>
          </w:tcPr>
          <w:p w14:paraId="0CA9C7F7">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招标文件中标记为“■”属于实质性条款，投标人对实质性条款的负偏离都将被拒绝。</w:t>
            </w:r>
          </w:p>
        </w:tc>
      </w:tr>
      <w:tr w14:paraId="3DBEC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50534231">
            <w:pPr>
              <w:shd w:val="clear"/>
              <w:autoSpaceDE w:val="0"/>
              <w:autoSpaceDN w:val="0"/>
              <w:adjustRightInd w:val="0"/>
              <w:snapToGrid w:val="0"/>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10.1</w:t>
            </w:r>
          </w:p>
        </w:tc>
        <w:tc>
          <w:tcPr>
            <w:tcW w:w="2538" w:type="dxa"/>
            <w:vAlign w:val="center"/>
          </w:tcPr>
          <w:p w14:paraId="76491E60">
            <w:pPr>
              <w:shd w:val="clear"/>
              <w:autoSpaceDE w:val="0"/>
              <w:autoSpaceDN w:val="0"/>
              <w:adjustRightInd w:val="0"/>
              <w:snapToGri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需要补充的其他内容</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质保期</w:t>
            </w:r>
            <w:r>
              <w:rPr>
                <w:rFonts w:hint="eastAsia" w:ascii="宋体" w:hAnsi="宋体" w:eastAsia="宋体" w:cs="宋体"/>
                <w:b w:val="0"/>
                <w:bCs w:val="0"/>
                <w:color w:val="auto"/>
                <w:sz w:val="21"/>
                <w:szCs w:val="21"/>
                <w:highlight w:val="none"/>
                <w:lang w:val="en-US"/>
              </w:rPr>
              <w:t>■</w:t>
            </w:r>
          </w:p>
        </w:tc>
        <w:tc>
          <w:tcPr>
            <w:tcW w:w="6093" w:type="dxa"/>
            <w:vAlign w:val="center"/>
          </w:tcPr>
          <w:p w14:paraId="222EDD8F">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“临床专科能力提升”“紧急医学救援能力提升”“智慧服务能力提升”三个专项免费维保期为各专项终验合格之日起1年。“本地化改造及运维服务能力提升”专项建设周期为合同签订之日起1年。</w:t>
            </w:r>
          </w:p>
        </w:tc>
      </w:tr>
      <w:tr w14:paraId="32F6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F407B90">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bookmarkStart w:id="34" w:name="_Toc9463"/>
            <w:bookmarkStart w:id="35" w:name="_Toc26328"/>
            <w:r>
              <w:rPr>
                <w:rFonts w:hint="eastAsia" w:ascii="宋体" w:hAnsi="宋体" w:eastAsia="宋体" w:cs="宋体"/>
                <w:color w:val="auto"/>
                <w:kern w:val="0"/>
                <w:sz w:val="21"/>
                <w:szCs w:val="21"/>
                <w:highlight w:val="none"/>
              </w:rPr>
              <w:t>10.1</w:t>
            </w:r>
          </w:p>
        </w:tc>
        <w:tc>
          <w:tcPr>
            <w:tcW w:w="2538" w:type="dxa"/>
            <w:vAlign w:val="center"/>
          </w:tcPr>
          <w:p w14:paraId="1E153762">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需要补充的其他内容</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val="en-US"/>
              </w:rPr>
              <w:t>■</w:t>
            </w:r>
          </w:p>
        </w:tc>
        <w:tc>
          <w:tcPr>
            <w:tcW w:w="6093" w:type="dxa"/>
            <w:vAlign w:val="center"/>
          </w:tcPr>
          <w:p w14:paraId="0D66AB3F">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最高限价详见招标公告，若投标人的投标报价（单价或总价）超过最高限价（单价或总价），按不实质性响应招标文件要求处理。</w:t>
            </w:r>
          </w:p>
        </w:tc>
      </w:tr>
      <w:tr w14:paraId="63B1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90E86E2">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63A4294B">
            <w:pPr>
              <w:shd w:val="clear"/>
              <w:autoSpaceDE w:val="0"/>
              <w:autoSpaceDN w:val="0"/>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需要补充的其他内容</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lang w:val="en-US" w:eastAsia="zh-CN"/>
              </w:rPr>
              <w:t>需要落实的政府采购政策</w:t>
            </w:r>
          </w:p>
        </w:tc>
        <w:tc>
          <w:tcPr>
            <w:tcW w:w="6093" w:type="dxa"/>
            <w:vAlign w:val="center"/>
          </w:tcPr>
          <w:p w14:paraId="3122504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政府采购节能产品、环境标志产品根据财库[2019]9 号文《关于调整优化节能产品、环境标志产品政府采购执行机制的通知》规定，财政部、发展改革委、生态环境部门根据产品节能环保性能、技术水平和市场成熟程度等因素，确定实施政府采购优先 采购和强制采购的产品类别及所依据的相关标准规范， 以品目清单的形式发布并适时调整。依据品目清单和认证证书实施政府优先采购和强制采购。采购人拟采购的产品属于品目清单范围中强制采购的，投标人须在投标文件中附所投产品的国家规定的认证机构出具的、处于有效期之内的节能产品认证证书扫 描件并加盖公章，否则为无效投标。采购人拟采购的产品属于品目清单范围中优先采购的，投标人须在投标文件中附所投产品的国家规定的认 证机构出具的、处于有效期之内的节能产品、环境标志产品认证证书扫描件并加盖公章，否则不享受环境标志产品、节能产品优先采购加分政策。 注：1) 环境标志产品政府采购品目清单详见财库[2019]18 号文《关于印发环境标志产品政府采购品目清单的通知》；2)节能产品政府采购品目清单详见财库[2019]19 号文《关于印发节能产品政府采购品目清单的通知》；</w:t>
            </w:r>
          </w:p>
          <w:p w14:paraId="6F529796">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政府采购节能产品 、环境标志产品认证机构详见2019 第16号文《市场监管总局关于发布参与实施政 府采购节能产品、环境标志产品认证机构名录的公告》</w:t>
            </w:r>
          </w:p>
          <w:p w14:paraId="663BFC07">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信用记录</w:t>
            </w:r>
          </w:p>
          <w:p w14:paraId="03FDF14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 根据《政府采购法》第二十二条、财库〔2016〕125 号第二条第三款规定，投标人是未被列入“信用中国”网(http://www.creditchina.gov.cn) 、 中国政府采购网(http://www.ccgp.gov.cn ) 、 中 国 执行信息公开网(http：//zxgk.court.gov.cn/) 等渠道的失信被执行人名单、重大税收违法失信主体、政府采购严重违法 失信名单的投标人。投标人为联合体的，应当对所有联合体成员进行信用记录查询，联合体成员存在不良信用记录的，视同联合体存在不良信用记录，将被拒绝参加政府采购 活 动 。 查 询 渠 道 ： 通 过“信用中国”网站( http://www.creditchina.gov.cn ) 、中国政府采购网(http://www.ccgp.gov.cn ) 、 中 国执行信息公开网(http：//zxgk.court.gov.cn/) 等渠道。</w:t>
            </w:r>
          </w:p>
          <w:p w14:paraId="0EFCF38A">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 在最高人民法院公布的失信被执行人名单库中的投标人给予政府采购领域联合惩戒。以联合体名义参与政府采购活动的投标人，有任一方被联合惩戒，则联合体被联合惩戒。对列入失信被执行人名单库且不符合《中华人民共和国政府采购法》第二十二条的投标人，禁止其参加政府采购活动。3) 对人民法院裁定批准重整计划的破产企业，有及时在“信用中国”网站、 国家企业信用信息公示系统、 金融信用信息基础数据库中申请添加相关企业重整情况信息的，且符合《中华人民共和国政府采购法》第二十二条规定的，允许其参与政府采购项目。</w:t>
            </w:r>
          </w:p>
          <w:p w14:paraId="3E4E2A7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 商品包装或快递包装涉及商品包装或快递包装的，按照《财政部办公厅、生态环境部办公厅、 国家邮政局办公室关于印发&lt;商品包装政府采购需求标准(试行)&gt;、&lt;快递包装政府采购需求标准(试行) &gt;的通知》(财办库〔2020〕123 号)要求执行。</w:t>
            </w:r>
          </w:p>
          <w:p w14:paraId="68F9CF1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 支持乡村产业振兴管理为落实《关于运用政府采购政策支持乡村产业振兴的通知》(财库〔2021〕19 号) 有关要求，做好支持脱贫攻坚工作，本项目采购活动中对于支持乡村振兴管理的相关要求见第二部分采购项目内容。</w:t>
            </w:r>
          </w:p>
          <w:p w14:paraId="586F047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 正版软件</w:t>
            </w:r>
          </w:p>
          <w:p w14:paraId="1393B457">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依据《财政部国家发展改革委 信息产业部关于印发无线局域网产品政府采购实施意见的通知》(财库〔2005〕366 号) ，采购无线局域网产品和含有无线局 域网功能的计算机、通信设备、打印机、复印机、投影仪等产品的，优先采购符合国家无线局域网安全标准(GB 15629.11/1102) 并通过国家产品认证的产品。其中，国家有特殊信息安全要求的项目必须采购认证产品，否则投标无效。财政部、 国家发展改革委、信息产业部根据政府采购改革进展和无线局域网产品技术及市场成熟等情况，从国家指定的认证机构认证的生产厂商和产品型号中确定优先采购的产品，并以“无线局域网认证产品政府采购清单” (以下简称清单) 的形式公布 。清单中新增认证产品厂商和型号，由财政部、 国家发展改革委、信息产业部以文件形式确定、公布并适时调整。（如涉及） </w:t>
            </w:r>
          </w:p>
          <w:p w14:paraId="54C1111F">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(国权联〔2006〕1 号)、《国务院办公厅关于进一步做好政府机关使 用正版软件工作的通知》(国办发〔2010〕47号)、《 财政部关于进一步做好政府机关使用正版软件工作的通知》(财预〔2010〕536 号)。（如涉及） (7) 信息安全产品 所投产品属于《关于调整信息安全产品强制性认证实施要求的公告》( 2009 年第 33 号) 范围的，采购经国家认证的信息安全产品，否则投标无效。关于信息安全相关规定依据《关于信息安全产品实施政府采购的通知》(财库〔2010〕48 号)。（如涉及）</w:t>
            </w:r>
          </w:p>
          <w:p w14:paraId="60BF528B">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（7）政府采购政策</w:t>
            </w:r>
          </w:p>
          <w:p w14:paraId="6A264F0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1）扶持中小企业政策：按照“根据《关于印发&lt;政府采购促进中小企业发展管理办法&gt;的通知》（财库〔2020〕46号）的规定”执行，具体详见招标文件；</w:t>
            </w:r>
          </w:p>
          <w:p w14:paraId="27C9A449">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2）支持监狱企业政策：根据财政部、司法部《关于政府采购支持监狱企业发展有关问题》的通知（财库〔2014〕68 号）执行，具体详见招标文件；</w:t>
            </w:r>
          </w:p>
          <w:p w14:paraId="0DFCCD35">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3）支持残疾人福利性单位政策：根据财政部、民政部、中国残疾人联合会《关于促进残疾人就业政府采购政策的通知》（财库〔2017〕141号）执行，具体详见招标文件。</w:t>
            </w:r>
          </w:p>
          <w:p w14:paraId="26BB9592">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支持节能和环境标志产品政策：优先采购节能环保产品（注：所采购的货物在政府采购节能产品、环境标志产品实施品目清单范围内，且具有国家确定的认证机构出具的、处于有效期之内的节能产品、环境标志产品认证证书）。</w:t>
            </w:r>
          </w:p>
          <w:p w14:paraId="4E63AF3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5）本项目不属于专门面向中小企业采购的项目。本项目小微企业价格扣除优惠比例：10% 。</w:t>
            </w:r>
          </w:p>
          <w:p w14:paraId="6FBDAD1D">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6）支持《国务院办公厅关于在政府采购中实施本国产品标准及相关政策的通知》（国办发〔2025〕34号），具体详见招标文件。</w:t>
            </w:r>
          </w:p>
          <w:p w14:paraId="3730F7D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7）支持《关于推动解决政府采购异常低价问题的通知》（财库〔2026〕2号），具体详见招标文件。</w:t>
            </w:r>
          </w:p>
        </w:tc>
      </w:tr>
      <w:tr w14:paraId="7B05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4D9693E1">
            <w:pPr>
              <w:shd w:val="clear"/>
              <w:autoSpaceDE w:val="0"/>
              <w:autoSpaceDN w:val="0"/>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shd w:val="clear" w:color="auto" w:fill="auto"/>
            <w:vAlign w:val="center"/>
          </w:tcPr>
          <w:p w14:paraId="018DEFDD">
            <w:pPr>
              <w:shd w:val="clear"/>
              <w:autoSpaceDE w:val="0"/>
              <w:autoSpaceDN w:val="0"/>
              <w:adjustRightInd w:val="0"/>
              <w:snapToGrid w:val="0"/>
              <w:spacing w:line="360" w:lineRule="auto"/>
              <w:jc w:val="center"/>
              <w:rPr>
                <w:rFonts w:hint="eastAsia" w:ascii="宋体" w:hAnsi="宋体" w:eastAsia="宋体" w:cs="宋体"/>
                <w:b w:val="0"/>
                <w:bCs w:val="0"/>
                <w:i w:val="0"/>
                <w:iCs w:val="0"/>
                <w:color w:val="auto"/>
                <w:spacing w:val="0"/>
                <w:w w:val="100"/>
                <w:kern w:val="0"/>
                <w:sz w:val="21"/>
                <w:szCs w:val="21"/>
                <w:highlight w:val="none"/>
                <w:vertAlign w:val="baseline"/>
                <w:lang w:val="en-US" w:eastAsia="zh-CN" w:bidi="ar-SA"/>
              </w:rPr>
            </w:pPr>
            <w:r>
              <w:rPr>
                <w:rFonts w:hint="eastAsia" w:ascii="宋体" w:hAnsi="宋体" w:eastAsia="宋体" w:cs="宋体"/>
                <w:b w:val="0"/>
                <w:bCs w:val="0"/>
                <w:i w:val="0"/>
                <w:iCs w:val="0"/>
                <w:color w:val="auto"/>
                <w:spacing w:val="0"/>
                <w:w w:val="100"/>
                <w:kern w:val="0"/>
                <w:sz w:val="21"/>
                <w:szCs w:val="21"/>
                <w:highlight w:val="none"/>
                <w:vertAlign w:val="baseline"/>
                <w:lang w:val="en-US" w:eastAsia="zh-CN" w:bidi="ar-SA"/>
              </w:rPr>
              <w:t>需要补充的其他内容（9）：招标文件中出现的产品或设备参考品牌、型号或分类号处理原则</w:t>
            </w:r>
          </w:p>
        </w:tc>
        <w:tc>
          <w:tcPr>
            <w:tcW w:w="6093" w:type="dxa"/>
            <w:shd w:val="clear" w:color="auto" w:fill="auto"/>
            <w:vAlign w:val="center"/>
          </w:tcPr>
          <w:p w14:paraId="367CCAB0">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文件中出现的产品或设备参考品牌、型号或分类号等，仅为描述有关产品或设备的性能档次，或为告知所有潜在投标人目前医院使用的情况。投标人在投标中可以选用替代标准、品牌、型号或分类号，但这些替代应实质上相当于或优于招标文件中的相关要求，并且能够提供相关技术证明文件。</w:t>
            </w:r>
          </w:p>
        </w:tc>
      </w:tr>
      <w:tr w14:paraId="6DF3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233C2C2C">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10.1</w:t>
            </w:r>
          </w:p>
        </w:tc>
        <w:tc>
          <w:tcPr>
            <w:tcW w:w="2538" w:type="dxa"/>
            <w:vAlign w:val="center"/>
          </w:tcPr>
          <w:p w14:paraId="7FE7560D">
            <w:pPr>
              <w:shd w:val="clear"/>
              <w:autoSpaceDE w:val="0"/>
              <w:autoSpaceDN w:val="0"/>
              <w:adjustRightInd w:val="0"/>
              <w:snapToGrid w:val="0"/>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需要补充的其他内容（</w:t>
            </w: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核心产品</w:t>
            </w:r>
          </w:p>
        </w:tc>
        <w:tc>
          <w:tcPr>
            <w:tcW w:w="6093" w:type="dxa"/>
            <w:vAlign w:val="center"/>
          </w:tcPr>
          <w:p w14:paraId="38A8FB04">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核心产品同一品牌只能由一家供应商参加，提供相同品牌产品且通过资格审查、符合性审查的不同投标人参加同一合同项下投标的，按一家投标人计算，评审后得分最高的同品牌投标人获得中标人推荐资格；评审得分相同的，由评标委员会按照报价最低的供应商确定获得中标人推荐资格。</w:t>
            </w:r>
          </w:p>
          <w:p w14:paraId="1AFA335C">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在符合性审查环节提供核心产品品牌不足3个的，视为有效投标人不足3家。</w:t>
            </w:r>
          </w:p>
        </w:tc>
      </w:tr>
      <w:tr w14:paraId="6012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37FF3B0">
            <w:pPr>
              <w:shd w:val="clear"/>
              <w:autoSpaceDE w:val="0"/>
              <w:autoSpaceDN w:val="0"/>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195F8092">
            <w:pPr>
              <w:shd w:val="clear"/>
              <w:autoSpaceDE w:val="0"/>
              <w:autoSpaceDN w:val="0"/>
              <w:adjustRightInd w:val="0"/>
              <w:snapToGrid w:val="0"/>
              <w:spacing w:line="360" w:lineRule="auto"/>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rPr>
              <w:t>需要补充的其他内容（</w:t>
            </w: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纸质投标文件</w:t>
            </w:r>
          </w:p>
        </w:tc>
        <w:tc>
          <w:tcPr>
            <w:tcW w:w="6093" w:type="dxa"/>
            <w:vAlign w:val="center"/>
          </w:tcPr>
          <w:p w14:paraId="579AF45A">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仅中标人在领取中标通知书时，向招标人提交纸质投标文件/份。纸质投标文件装订应牢固、不易拆散和换页，采用胶装方式。保证纸质投标文件与上传的电子投标文件保持一致。</w:t>
            </w:r>
          </w:p>
        </w:tc>
      </w:tr>
      <w:tr w14:paraId="4848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3E756306">
            <w:pPr>
              <w:shd w:val="clear"/>
              <w:autoSpaceDE w:val="0"/>
              <w:autoSpaceDN w:val="0"/>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37430D4A">
            <w:pPr>
              <w:pStyle w:val="44"/>
              <w:keepNext w:val="0"/>
              <w:keepLines w:val="0"/>
              <w:widowControl/>
              <w:suppressLineNumbers w:val="0"/>
              <w:shd w:val="clear"/>
              <w:spacing w:before="0" w:beforeAutospacing="0" w:after="0" w:afterAutospacing="0" w:line="360" w:lineRule="auto"/>
              <w:ind w:left="0" w:right="0"/>
              <w:jc w:val="center"/>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需要补充的其他内容（</w:t>
            </w:r>
            <w:r>
              <w:rPr>
                <w:rFonts w:hint="eastAsia" w:ascii="宋体" w:hAnsi="宋体" w:eastAsia="宋体" w:cs="宋体"/>
                <w:b w:val="0"/>
                <w:bCs w:val="0"/>
                <w:i w:val="0"/>
                <w:iCs w:val="0"/>
                <w:color w:val="auto"/>
                <w:spacing w:val="0"/>
                <w:w w:val="100"/>
                <w:sz w:val="21"/>
                <w:szCs w:val="21"/>
                <w:highlight w:val="none"/>
                <w:vertAlign w:val="baseline"/>
                <w:lang w:val="en-US" w:eastAsia="zh-CN"/>
              </w:rPr>
              <w:t>12</w:t>
            </w:r>
            <w:r>
              <w:rPr>
                <w:rFonts w:hint="eastAsia" w:ascii="宋体" w:hAnsi="宋体" w:eastAsia="宋体" w:cs="宋体"/>
                <w:b w:val="0"/>
                <w:bCs w:val="0"/>
                <w:i w:val="0"/>
                <w:iCs w:val="0"/>
                <w:color w:val="auto"/>
                <w:spacing w:val="0"/>
                <w:w w:val="100"/>
                <w:sz w:val="21"/>
                <w:szCs w:val="21"/>
                <w:highlight w:val="none"/>
                <w:vertAlign w:val="baseline"/>
              </w:rPr>
              <w:t>）</w:t>
            </w:r>
            <w:r>
              <w:rPr>
                <w:rFonts w:hint="eastAsia" w:ascii="宋体" w:hAnsi="宋体" w:eastAsia="宋体" w:cs="宋体"/>
                <w:b w:val="0"/>
                <w:bCs w:val="0"/>
                <w:i w:val="0"/>
                <w:iCs w:val="0"/>
                <w:color w:val="auto"/>
                <w:spacing w:val="0"/>
                <w:w w:val="100"/>
                <w:sz w:val="21"/>
                <w:szCs w:val="21"/>
                <w:highlight w:val="none"/>
                <w:vertAlign w:val="baseline"/>
                <w:lang w:eastAsia="zh-CN"/>
              </w:rPr>
              <w:t>：</w:t>
            </w:r>
            <w:r>
              <w:rPr>
                <w:rFonts w:hint="eastAsia" w:ascii="宋体" w:hAnsi="宋体" w:eastAsia="宋体" w:cs="宋体"/>
                <w:b w:val="0"/>
                <w:bCs w:val="0"/>
                <w:i w:val="0"/>
                <w:iCs w:val="0"/>
                <w:color w:val="auto"/>
                <w:spacing w:val="0"/>
                <w:w w:val="100"/>
                <w:sz w:val="21"/>
                <w:szCs w:val="21"/>
                <w:highlight w:val="none"/>
                <w:vertAlign w:val="baseline"/>
              </w:rPr>
              <w:t>构成投标文件技术部分的其他资料</w:t>
            </w:r>
          </w:p>
        </w:tc>
        <w:tc>
          <w:tcPr>
            <w:tcW w:w="6093" w:type="dxa"/>
            <w:vAlign w:val="center"/>
          </w:tcPr>
          <w:p w14:paraId="61AEEADF">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招标文件中所涉及到的相关资料及证明文件或投标人认为必须提供的其他相关资料。</w:t>
            </w:r>
          </w:p>
        </w:tc>
      </w:tr>
      <w:tr w14:paraId="396C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2D077A4">
            <w:pPr>
              <w:shd w:val="clear"/>
              <w:autoSpaceDE w:val="0"/>
              <w:autoSpaceDN w:val="0"/>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2538" w:type="dxa"/>
            <w:vAlign w:val="center"/>
          </w:tcPr>
          <w:p w14:paraId="2B845695">
            <w:pPr>
              <w:pStyle w:val="44"/>
              <w:keepNext w:val="0"/>
              <w:keepLines w:val="0"/>
              <w:widowControl/>
              <w:suppressLineNumbers w:val="0"/>
              <w:shd w:val="clear"/>
              <w:spacing w:before="0" w:beforeAutospacing="0" w:after="0" w:afterAutospacing="0" w:line="360" w:lineRule="auto"/>
              <w:ind w:left="0" w:right="0"/>
              <w:jc w:val="center"/>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需要补充的其他内容（</w:t>
            </w:r>
            <w:r>
              <w:rPr>
                <w:rFonts w:hint="eastAsia" w:ascii="宋体" w:hAnsi="宋体" w:eastAsia="宋体" w:cs="宋体"/>
                <w:b w:val="0"/>
                <w:bCs w:val="0"/>
                <w:i w:val="0"/>
                <w:iCs w:val="0"/>
                <w:color w:val="auto"/>
                <w:spacing w:val="0"/>
                <w:w w:val="100"/>
                <w:sz w:val="21"/>
                <w:szCs w:val="21"/>
                <w:highlight w:val="none"/>
                <w:vertAlign w:val="baseline"/>
                <w:lang w:val="en-US" w:eastAsia="zh-CN"/>
              </w:rPr>
              <w:t>13</w:t>
            </w:r>
            <w:r>
              <w:rPr>
                <w:rFonts w:hint="eastAsia" w:ascii="宋体" w:hAnsi="宋体" w:eastAsia="宋体" w:cs="宋体"/>
                <w:b w:val="0"/>
                <w:bCs w:val="0"/>
                <w:i w:val="0"/>
                <w:iCs w:val="0"/>
                <w:color w:val="auto"/>
                <w:spacing w:val="0"/>
                <w:w w:val="100"/>
                <w:sz w:val="21"/>
                <w:szCs w:val="21"/>
                <w:highlight w:val="none"/>
                <w:vertAlign w:val="baseline"/>
              </w:rPr>
              <w:t>）</w:t>
            </w:r>
            <w:r>
              <w:rPr>
                <w:rFonts w:hint="eastAsia" w:ascii="宋体" w:hAnsi="宋体" w:eastAsia="宋体" w:cs="宋体"/>
                <w:b w:val="0"/>
                <w:bCs w:val="0"/>
                <w:i w:val="0"/>
                <w:iCs w:val="0"/>
                <w:color w:val="auto"/>
                <w:spacing w:val="0"/>
                <w:w w:val="100"/>
                <w:sz w:val="21"/>
                <w:szCs w:val="21"/>
                <w:highlight w:val="none"/>
                <w:vertAlign w:val="baseline"/>
                <w:lang w:eastAsia="zh-CN"/>
              </w:rPr>
              <w:t>：</w:t>
            </w:r>
            <w:r>
              <w:rPr>
                <w:rFonts w:hint="eastAsia" w:ascii="宋体" w:hAnsi="宋体" w:eastAsia="宋体" w:cs="宋体"/>
                <w:b w:val="0"/>
                <w:bCs w:val="0"/>
                <w:i w:val="0"/>
                <w:iCs w:val="0"/>
                <w:color w:val="auto"/>
                <w:spacing w:val="0"/>
                <w:w w:val="100"/>
                <w:sz w:val="21"/>
                <w:szCs w:val="21"/>
                <w:highlight w:val="none"/>
                <w:vertAlign w:val="baseline"/>
              </w:rPr>
              <w:t>关于失信行为及不良履约行为的要求</w:t>
            </w:r>
          </w:p>
        </w:tc>
        <w:tc>
          <w:tcPr>
            <w:tcW w:w="6093" w:type="dxa"/>
            <w:vAlign w:val="center"/>
          </w:tcPr>
          <w:p w14:paraId="3A0491DE">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若投标人在政府采购活动中存在失信或不良履约行为被行政主管部门通报的，其投标不予接受，已经中标的，取消其中标资格，已签订合同的，采购人有权终止合同，造成的一切损失由投标人承担。</w:t>
            </w:r>
          </w:p>
        </w:tc>
      </w:tr>
      <w:tr w14:paraId="62CC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7E936446">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10.1</w:t>
            </w:r>
          </w:p>
        </w:tc>
        <w:tc>
          <w:tcPr>
            <w:tcW w:w="2538" w:type="dxa"/>
            <w:vAlign w:val="center"/>
          </w:tcPr>
          <w:p w14:paraId="6B1CDCAE">
            <w:pPr>
              <w:pStyle w:val="44"/>
              <w:keepNext w:val="0"/>
              <w:keepLines w:val="0"/>
              <w:widowControl/>
              <w:suppressLineNumbers w:val="0"/>
              <w:shd w:val="clear"/>
              <w:spacing w:before="0" w:beforeAutospacing="0" w:after="0" w:afterAutospacing="0" w:line="360" w:lineRule="auto"/>
              <w:ind w:left="0" w:right="0"/>
              <w:jc w:val="center"/>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需要补充的其他内容（</w:t>
            </w:r>
            <w:r>
              <w:rPr>
                <w:rFonts w:hint="eastAsia" w:ascii="宋体" w:hAnsi="宋体" w:eastAsia="宋体" w:cs="宋体"/>
                <w:b w:val="0"/>
                <w:bCs w:val="0"/>
                <w:i w:val="0"/>
                <w:iCs w:val="0"/>
                <w:color w:val="auto"/>
                <w:spacing w:val="0"/>
                <w:w w:val="100"/>
                <w:sz w:val="21"/>
                <w:szCs w:val="21"/>
                <w:highlight w:val="none"/>
                <w:vertAlign w:val="baseline"/>
                <w:lang w:val="en-US" w:eastAsia="zh-CN"/>
              </w:rPr>
              <w:t>14</w:t>
            </w:r>
            <w:r>
              <w:rPr>
                <w:rFonts w:hint="eastAsia" w:ascii="宋体" w:hAnsi="宋体" w:eastAsia="宋体" w:cs="宋体"/>
                <w:b w:val="0"/>
                <w:bCs w:val="0"/>
                <w:i w:val="0"/>
                <w:iCs w:val="0"/>
                <w:color w:val="auto"/>
                <w:spacing w:val="0"/>
                <w:w w:val="100"/>
                <w:sz w:val="21"/>
                <w:szCs w:val="21"/>
                <w:highlight w:val="none"/>
                <w:vertAlign w:val="baseline"/>
              </w:rPr>
              <w:t>）</w:t>
            </w:r>
            <w:r>
              <w:rPr>
                <w:rFonts w:hint="eastAsia" w:ascii="宋体" w:hAnsi="宋体" w:eastAsia="宋体" w:cs="宋体"/>
                <w:b w:val="0"/>
                <w:bCs w:val="0"/>
                <w:i w:val="0"/>
                <w:iCs w:val="0"/>
                <w:color w:val="auto"/>
                <w:spacing w:val="0"/>
                <w:w w:val="100"/>
                <w:sz w:val="21"/>
                <w:szCs w:val="21"/>
                <w:highlight w:val="none"/>
                <w:vertAlign w:val="baseline"/>
                <w:lang w:eastAsia="zh-CN"/>
              </w:rPr>
              <w:t>：</w:t>
            </w:r>
            <w:r>
              <w:rPr>
                <w:rFonts w:hint="eastAsia" w:ascii="宋体" w:hAnsi="宋体" w:eastAsia="宋体" w:cs="宋体"/>
                <w:b w:val="0"/>
                <w:bCs w:val="0"/>
                <w:i w:val="0"/>
                <w:iCs w:val="0"/>
                <w:color w:val="auto"/>
                <w:spacing w:val="0"/>
                <w:w w:val="100"/>
                <w:sz w:val="21"/>
                <w:szCs w:val="21"/>
                <w:highlight w:val="none"/>
                <w:vertAlign w:val="baseline"/>
              </w:rPr>
              <w:t>知识产权</w:t>
            </w:r>
          </w:p>
        </w:tc>
        <w:tc>
          <w:tcPr>
            <w:tcW w:w="6093" w:type="dxa"/>
            <w:vAlign w:val="center"/>
          </w:tcPr>
          <w:p w14:paraId="57B7F6A3">
            <w:pPr>
              <w:numPr>
                <w:ilvl w:val="0"/>
                <w:numId w:val="0"/>
              </w:numPr>
              <w:shd w:val="clear"/>
              <w:autoSpaceDE w:val="0"/>
              <w:autoSpaceDN w:val="0"/>
              <w:adjustRightInd w:val="0"/>
              <w:snapToGrid w:val="0"/>
              <w:spacing w:line="360" w:lineRule="auto"/>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02A7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85485E6">
            <w:pPr>
              <w:shd w:val="clear"/>
              <w:autoSpaceDE w:val="0"/>
              <w:autoSpaceDN w:val="0"/>
              <w:adjustRightInd w:val="0"/>
              <w:snapToGri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10.1</w:t>
            </w:r>
          </w:p>
        </w:tc>
        <w:tc>
          <w:tcPr>
            <w:tcW w:w="2538" w:type="dxa"/>
            <w:vAlign w:val="center"/>
          </w:tcPr>
          <w:p w14:paraId="6BA07003">
            <w:pPr>
              <w:pStyle w:val="44"/>
              <w:keepNext w:val="0"/>
              <w:keepLines w:val="0"/>
              <w:widowControl/>
              <w:suppressLineNumbers w:val="0"/>
              <w:shd w:val="clear"/>
              <w:spacing w:before="0" w:beforeAutospacing="0" w:after="0" w:afterAutospacing="0" w:line="360" w:lineRule="auto"/>
              <w:ind w:left="0" w:right="0"/>
              <w:jc w:val="center"/>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rPr>
              <w:t>需要补充的其他内容（</w:t>
            </w:r>
            <w:r>
              <w:rPr>
                <w:rFonts w:hint="eastAsia" w:ascii="宋体" w:hAnsi="宋体" w:eastAsia="宋体" w:cs="宋体"/>
                <w:b w:val="0"/>
                <w:bCs w:val="0"/>
                <w:i w:val="0"/>
                <w:iCs w:val="0"/>
                <w:color w:val="auto"/>
                <w:spacing w:val="0"/>
                <w:w w:val="100"/>
                <w:sz w:val="21"/>
                <w:szCs w:val="21"/>
                <w:highlight w:val="none"/>
                <w:vertAlign w:val="baseline"/>
                <w:lang w:val="en-US" w:eastAsia="zh-CN"/>
              </w:rPr>
              <w:t>1</w:t>
            </w:r>
            <w:r>
              <w:rPr>
                <w:rFonts w:hint="eastAsia" w:ascii="宋体" w:hAnsi="宋体" w:cs="宋体"/>
                <w:b w:val="0"/>
                <w:bCs w:val="0"/>
                <w:i w:val="0"/>
                <w:iCs w:val="0"/>
                <w:color w:val="auto"/>
                <w:spacing w:val="0"/>
                <w:w w:val="100"/>
                <w:sz w:val="21"/>
                <w:szCs w:val="21"/>
                <w:highlight w:val="none"/>
                <w:vertAlign w:val="baseline"/>
                <w:lang w:val="en-US" w:eastAsia="zh-CN"/>
              </w:rPr>
              <w:t>5</w:t>
            </w:r>
            <w:r>
              <w:rPr>
                <w:rFonts w:hint="eastAsia" w:ascii="宋体" w:hAnsi="宋体" w:eastAsia="宋体" w:cs="宋体"/>
                <w:b w:val="0"/>
                <w:bCs w:val="0"/>
                <w:i w:val="0"/>
                <w:iCs w:val="0"/>
                <w:color w:val="auto"/>
                <w:spacing w:val="0"/>
                <w:w w:val="100"/>
                <w:sz w:val="21"/>
                <w:szCs w:val="21"/>
                <w:highlight w:val="none"/>
                <w:vertAlign w:val="baseline"/>
              </w:rPr>
              <w:t>）</w:t>
            </w:r>
            <w:r>
              <w:rPr>
                <w:rFonts w:hint="eastAsia" w:ascii="宋体" w:hAnsi="宋体" w:eastAsia="宋体" w:cs="宋体"/>
                <w:b w:val="0"/>
                <w:bCs w:val="0"/>
                <w:i w:val="0"/>
                <w:iCs w:val="0"/>
                <w:color w:val="auto"/>
                <w:spacing w:val="0"/>
                <w:w w:val="100"/>
                <w:sz w:val="21"/>
                <w:szCs w:val="21"/>
                <w:highlight w:val="none"/>
                <w:vertAlign w:val="baseline"/>
                <w:lang w:eastAsia="zh-CN"/>
              </w:rPr>
              <w:t>：</w:t>
            </w:r>
            <w:r>
              <w:rPr>
                <w:rFonts w:hint="eastAsia" w:ascii="宋体" w:hAnsi="宋体" w:eastAsia="宋体" w:cs="宋体"/>
                <w:b w:val="0"/>
                <w:bCs w:val="0"/>
                <w:i w:val="0"/>
                <w:iCs w:val="0"/>
                <w:color w:val="auto"/>
                <w:spacing w:val="0"/>
                <w:w w:val="100"/>
                <w:sz w:val="21"/>
                <w:szCs w:val="21"/>
                <w:highlight w:val="none"/>
                <w:vertAlign w:val="baseline"/>
                <w:lang w:val="en-US" w:eastAsia="zh-CN"/>
              </w:rPr>
              <w:t>其他</w:t>
            </w:r>
          </w:p>
        </w:tc>
        <w:tc>
          <w:tcPr>
            <w:tcW w:w="6093" w:type="dxa"/>
            <w:shd w:val="clear" w:color="auto" w:fill="auto"/>
            <w:vAlign w:val="center"/>
          </w:tcPr>
          <w:p w14:paraId="448925F6">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1、</w:t>
            </w:r>
            <w:r>
              <w:rPr>
                <w:rFonts w:hint="eastAsia" w:ascii="宋体" w:hAnsi="宋体" w:eastAsia="宋体" w:cs="宋体"/>
                <w:b w:val="0"/>
                <w:bCs w:val="0"/>
                <w:i w:val="0"/>
                <w:iCs w:val="0"/>
                <w:color w:val="auto"/>
                <w:spacing w:val="0"/>
                <w:w w:val="100"/>
                <w:sz w:val="21"/>
                <w:szCs w:val="21"/>
                <w:highlight w:val="none"/>
                <w:vertAlign w:val="baseline"/>
              </w:rPr>
              <w:t>投标人提供的产品及服务不存在任何不合法的情形，也不存在任何与第三方专利权、著作权、商标权或工业设计权相关的任何争议。如有任何因</w:t>
            </w:r>
            <w:r>
              <w:rPr>
                <w:rFonts w:hint="eastAsia" w:ascii="宋体" w:hAnsi="宋体" w:eastAsia="宋体" w:cs="宋体"/>
                <w:b w:val="0"/>
                <w:bCs w:val="0"/>
                <w:i w:val="0"/>
                <w:iCs w:val="0"/>
                <w:color w:val="auto"/>
                <w:spacing w:val="0"/>
                <w:w w:val="100"/>
                <w:sz w:val="21"/>
                <w:szCs w:val="21"/>
                <w:highlight w:val="none"/>
                <w:vertAlign w:val="baseline"/>
                <w:lang w:eastAsia="zh-CN"/>
              </w:rPr>
              <w:t>采购人</w:t>
            </w:r>
            <w:r>
              <w:rPr>
                <w:rFonts w:hint="eastAsia" w:ascii="宋体" w:hAnsi="宋体" w:eastAsia="宋体" w:cs="宋体"/>
                <w:b w:val="0"/>
                <w:bCs w:val="0"/>
                <w:i w:val="0"/>
                <w:iCs w:val="0"/>
                <w:color w:val="auto"/>
                <w:spacing w:val="0"/>
                <w:w w:val="100"/>
                <w:sz w:val="21"/>
                <w:szCs w:val="21"/>
                <w:highlight w:val="none"/>
                <w:vertAlign w:val="baseline"/>
              </w:rPr>
              <w:t>使用投标人提供的产品及服务而引起的侵权指控，投标人应承担全部责任。</w:t>
            </w:r>
          </w:p>
          <w:p w14:paraId="7EB707BF">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2、</w:t>
            </w:r>
            <w:r>
              <w:rPr>
                <w:rFonts w:hint="eastAsia" w:ascii="宋体" w:hAnsi="宋体" w:eastAsia="宋体" w:cs="宋体"/>
                <w:b w:val="0"/>
                <w:bCs w:val="0"/>
                <w:i w:val="0"/>
                <w:iCs w:val="0"/>
                <w:color w:val="auto"/>
                <w:spacing w:val="0"/>
                <w:w w:val="100"/>
                <w:sz w:val="21"/>
                <w:szCs w:val="21"/>
                <w:highlight w:val="none"/>
                <w:vertAlign w:val="baseline"/>
                <w:lang w:val="en-US" w:eastAsia="zh-CN"/>
              </w:rPr>
              <w:t>中标人须知：在《云南省政府采购网》查询到中标公示后，领取中标通知书，并与采购人联系、洽谈采购合同。</w:t>
            </w:r>
          </w:p>
          <w:p w14:paraId="4618E30C">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3、代理服务费：按“计价格〔2002〕1980号”文件规定以中标金额为计算基数（货物类）下浮30%向中标人收取，由中标人领取中标通知书时一次全额支付。</w:t>
            </w:r>
          </w:p>
          <w:p w14:paraId="19C76B15">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4、代理服务费</w:t>
            </w:r>
            <w:r>
              <w:rPr>
                <w:rFonts w:hint="eastAsia" w:ascii="宋体" w:hAnsi="宋体" w:eastAsia="宋体" w:cs="宋体"/>
                <w:b w:val="0"/>
                <w:bCs w:val="0"/>
                <w:i w:val="0"/>
                <w:iCs w:val="0"/>
                <w:color w:val="auto"/>
                <w:spacing w:val="0"/>
                <w:w w:val="100"/>
                <w:sz w:val="21"/>
                <w:szCs w:val="21"/>
                <w:highlight w:val="none"/>
                <w:vertAlign w:val="baseline"/>
                <w:lang w:val="en-US" w:eastAsia="zh-CN"/>
              </w:rPr>
              <w:t>增值税专用发票开具说明：</w:t>
            </w:r>
          </w:p>
          <w:p w14:paraId="3AFF9E50">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lang w:val="en-US" w:eastAsia="zh-CN"/>
              </w:rPr>
              <w:t>需要开具增值税专用发票的投标人，除具备增值税一般纳税人资格外，还须带上增值税专用发票的开票信息（在税务机关登记的单位名称，税务登记号，地址和电话，开户银行和账号）并加盖该公司财务专用章，到</w:t>
            </w:r>
            <w:r>
              <w:rPr>
                <w:rFonts w:hint="eastAsia" w:ascii="宋体" w:hAnsi="宋体" w:cs="宋体"/>
                <w:b w:val="0"/>
                <w:bCs w:val="0"/>
                <w:i w:val="0"/>
                <w:iCs w:val="0"/>
                <w:color w:val="auto"/>
                <w:spacing w:val="0"/>
                <w:w w:val="100"/>
                <w:sz w:val="21"/>
                <w:szCs w:val="21"/>
                <w:highlight w:val="none"/>
                <w:vertAlign w:val="baseline"/>
                <w:lang w:val="en-US" w:eastAsia="zh-CN"/>
              </w:rPr>
              <w:t>国信招标集团股份有限公司云南分公司</w:t>
            </w:r>
            <w:r>
              <w:rPr>
                <w:rFonts w:hint="eastAsia" w:ascii="宋体" w:hAnsi="宋体" w:eastAsia="宋体" w:cs="宋体"/>
                <w:b w:val="0"/>
                <w:bCs w:val="0"/>
                <w:i w:val="0"/>
                <w:iCs w:val="0"/>
                <w:color w:val="auto"/>
                <w:spacing w:val="0"/>
                <w:w w:val="100"/>
                <w:sz w:val="21"/>
                <w:szCs w:val="21"/>
                <w:highlight w:val="none"/>
                <w:vertAlign w:val="baseline"/>
                <w:lang w:val="en-US" w:eastAsia="zh-CN"/>
              </w:rPr>
              <w:t>财务部现场办理发票开具手续。</w:t>
            </w:r>
          </w:p>
          <w:p w14:paraId="3522775F">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5、</w:t>
            </w:r>
            <w:r>
              <w:rPr>
                <w:rFonts w:hint="eastAsia" w:ascii="宋体" w:hAnsi="宋体" w:eastAsia="宋体" w:cs="宋体"/>
                <w:b w:val="0"/>
                <w:bCs w:val="0"/>
                <w:i w:val="0"/>
                <w:iCs w:val="0"/>
                <w:color w:val="auto"/>
                <w:spacing w:val="0"/>
                <w:w w:val="100"/>
                <w:sz w:val="21"/>
                <w:szCs w:val="21"/>
                <w:highlight w:val="none"/>
                <w:vertAlign w:val="baseline"/>
                <w:lang w:val="en-US" w:eastAsia="zh-CN"/>
              </w:rPr>
              <w:t>本项目为电子化采购项目，投标文件的提交、开启等程序均通过政府采购云平台进行，投标人无需提交纸质文件、无需到达招标现场。</w:t>
            </w:r>
          </w:p>
          <w:p w14:paraId="598784F9">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cs="宋体"/>
                <w:b w:val="0"/>
                <w:bCs w:val="0"/>
                <w:i w:val="0"/>
                <w:iCs w:val="0"/>
                <w:color w:val="auto"/>
                <w:spacing w:val="0"/>
                <w:w w:val="100"/>
                <w:sz w:val="21"/>
                <w:szCs w:val="21"/>
                <w:highlight w:val="none"/>
                <w:vertAlign w:val="baseline"/>
                <w:lang w:val="en-US" w:eastAsia="zh-CN"/>
              </w:rPr>
              <w:t>6、</w:t>
            </w:r>
            <w:r>
              <w:rPr>
                <w:rFonts w:hint="eastAsia" w:ascii="宋体" w:hAnsi="宋体" w:eastAsia="宋体" w:cs="宋体"/>
                <w:b w:val="0"/>
                <w:bCs w:val="0"/>
                <w:i w:val="0"/>
                <w:iCs w:val="0"/>
                <w:color w:val="auto"/>
                <w:spacing w:val="0"/>
                <w:w w:val="100"/>
                <w:sz w:val="21"/>
                <w:szCs w:val="21"/>
                <w:highlight w:val="none"/>
                <w:vertAlign w:val="baseline"/>
                <w:lang w:val="en-US" w:eastAsia="zh-CN"/>
              </w:rPr>
              <w:t>出现下列情形之一的，采购人或者采购代理机构应当中止电子化采购活动，并保留相关证明材料备查：</w:t>
            </w:r>
          </w:p>
          <w:p w14:paraId="57184EFD">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lang w:val="en-US" w:eastAsia="zh-CN"/>
              </w:rPr>
              <w:t>（一）交易系统发生故障（包括感染病毒、应用或数据库出错）而无法正常使用的；</w:t>
            </w:r>
          </w:p>
          <w:p w14:paraId="48244998">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lang w:val="en-US" w:eastAsia="zh-CN"/>
              </w:rPr>
              <w:t>（二）因组织场所停电、断网等原因，导致采购活动无法继续通过交易系统实施的；</w:t>
            </w:r>
          </w:p>
          <w:p w14:paraId="77B0F46A">
            <w:pPr>
              <w:pStyle w:val="44"/>
              <w:keepNext w:val="0"/>
              <w:keepLines w:val="0"/>
              <w:widowControl/>
              <w:suppressLineNumbers w:val="0"/>
              <w:shd w:val="clear"/>
              <w:spacing w:before="0" w:beforeAutospacing="0" w:after="0" w:afterAutospacing="0" w:line="400" w:lineRule="exact"/>
              <w:ind w:left="0" w:right="0"/>
              <w:jc w:val="both"/>
              <w:rPr>
                <w:rFonts w:hint="eastAsia" w:ascii="宋体" w:hAnsi="宋体" w:eastAsia="宋体" w:cs="宋体"/>
                <w:b w:val="0"/>
                <w:bCs w:val="0"/>
                <w:i w:val="0"/>
                <w:iCs w:val="0"/>
                <w:color w:val="auto"/>
                <w:spacing w:val="0"/>
                <w:w w:val="100"/>
                <w:sz w:val="21"/>
                <w:szCs w:val="21"/>
                <w:highlight w:val="none"/>
                <w:vertAlign w:val="baseline"/>
                <w:lang w:val="en-US" w:eastAsia="zh-CN"/>
              </w:rPr>
            </w:pPr>
            <w:r>
              <w:rPr>
                <w:rFonts w:hint="eastAsia" w:ascii="宋体" w:hAnsi="宋体" w:eastAsia="宋体" w:cs="宋体"/>
                <w:b w:val="0"/>
                <w:bCs w:val="0"/>
                <w:i w:val="0"/>
                <w:iCs w:val="0"/>
                <w:color w:val="auto"/>
                <w:spacing w:val="0"/>
                <w:w w:val="100"/>
                <w:sz w:val="21"/>
                <w:szCs w:val="21"/>
                <w:highlight w:val="none"/>
                <w:vertAlign w:val="baseline"/>
                <w:lang w:val="en-US" w:eastAsia="zh-CN"/>
              </w:rPr>
              <w:t>（三）其他无法保证电子化交易的公平、公正和安全的情况。</w:t>
            </w:r>
          </w:p>
          <w:p w14:paraId="764E0791">
            <w:pPr>
              <w:pStyle w:val="44"/>
              <w:keepNext w:val="0"/>
              <w:keepLines w:val="0"/>
              <w:widowControl/>
              <w:suppressLineNumbers w:val="0"/>
              <w:shd w:val="clear"/>
              <w:spacing w:before="0" w:beforeAutospacing="0" w:after="0" w:afterAutospacing="0" w:line="400" w:lineRule="exact"/>
              <w:ind w:left="0" w:leftChars="0" w:right="0" w:rightChars="0"/>
              <w:jc w:val="both"/>
              <w:rPr>
                <w:rFonts w:hint="eastAsia" w:ascii="宋体" w:hAnsi="宋体" w:eastAsia="宋体" w:cs="宋体"/>
                <w:b w:val="0"/>
                <w:bCs w:val="0"/>
                <w:i w:val="0"/>
                <w:iCs w:val="0"/>
                <w:color w:val="auto"/>
                <w:spacing w:val="0"/>
                <w:w w:val="100"/>
                <w:kern w:val="0"/>
                <w:sz w:val="21"/>
                <w:szCs w:val="21"/>
                <w:highlight w:val="none"/>
                <w:vertAlign w:val="baseline"/>
                <w:lang w:val="en-US" w:eastAsia="zh-CN" w:bidi="ar-SA"/>
              </w:rPr>
            </w:pPr>
            <w:r>
              <w:rPr>
                <w:rFonts w:hint="eastAsia" w:ascii="宋体" w:hAnsi="宋体" w:eastAsia="宋体" w:cs="宋体"/>
                <w:b w:val="0"/>
                <w:bCs w:val="0"/>
                <w:i w:val="0"/>
                <w:iCs w:val="0"/>
                <w:color w:val="auto"/>
                <w:spacing w:val="0"/>
                <w:w w:val="100"/>
                <w:sz w:val="21"/>
                <w:szCs w:val="21"/>
                <w:highlight w:val="none"/>
                <w:vertAlign w:val="baseline"/>
                <w:lang w:val="en-US" w:eastAsia="zh-CN"/>
              </w:rPr>
              <w:t>出现上述的情形，不影响采购公平、公正的，采购人或者代理机构可以待上述情形消除后继续组织采购活动；影响或者可能影响采购公平、公正的，采购人或者代理机构应当依法废标。</w:t>
            </w:r>
          </w:p>
        </w:tc>
      </w:tr>
    </w:tbl>
    <w:p w14:paraId="38AFCCDB">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（二）投标人须知</w:t>
      </w:r>
      <w:bookmarkEnd w:id="34"/>
      <w:bookmarkEnd w:id="35"/>
    </w:p>
    <w:p w14:paraId="08F46941">
      <w:pPr>
        <w:pStyle w:val="6"/>
        <w:numPr>
          <w:ilvl w:val="0"/>
          <w:numId w:val="6"/>
        </w:numPr>
        <w:bidi w:val="0"/>
        <w:spacing w:line="240" w:lineRule="auto"/>
        <w:rPr>
          <w:rFonts w:hint="eastAsia" w:ascii="宋体" w:hAnsi="宋体" w:eastAsia="宋体" w:cs="宋体"/>
          <w:color w:val="auto"/>
          <w:sz w:val="24"/>
          <w:szCs w:val="24"/>
          <w:highlight w:val="none"/>
        </w:rPr>
      </w:pPr>
      <w:bookmarkStart w:id="36" w:name="_Toc195921793"/>
      <w:bookmarkStart w:id="37" w:name="_Toc23205"/>
      <w:bookmarkStart w:id="38" w:name="_Toc9858"/>
      <w:bookmarkStart w:id="39" w:name="_Toc195921814"/>
      <w:r>
        <w:rPr>
          <w:rFonts w:hint="eastAsia" w:ascii="宋体" w:hAnsi="宋体" w:eastAsia="宋体" w:cs="宋体"/>
          <w:color w:val="auto"/>
          <w:sz w:val="24"/>
          <w:szCs w:val="24"/>
          <w:highlight w:val="none"/>
        </w:rPr>
        <w:t>总则</w:t>
      </w:r>
      <w:bookmarkEnd w:id="36"/>
      <w:bookmarkEnd w:id="37"/>
      <w:bookmarkEnd w:id="38"/>
    </w:p>
    <w:p w14:paraId="415FEB83">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0" w:name="_Toc195921794"/>
      <w:r>
        <w:rPr>
          <w:rFonts w:hint="eastAsia" w:ascii="宋体" w:hAnsi="宋体" w:eastAsia="宋体" w:cs="宋体"/>
          <w:color w:val="auto"/>
          <w:kern w:val="0"/>
          <w:sz w:val="21"/>
          <w:szCs w:val="21"/>
          <w:highlight w:val="none"/>
        </w:rPr>
        <w:t>项目概况</w:t>
      </w:r>
      <w:bookmarkEnd w:id="40"/>
    </w:p>
    <w:p w14:paraId="4110D15F">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根据《中华人民共和国政府采购法》和《中华人民共和国政府采购法实施条例》等有关法律、法规和规章的规定，对本招标项目进行招标。</w:t>
      </w:r>
    </w:p>
    <w:p w14:paraId="0ED3C3A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指依法进行政府采购的国家机关、事业单位、团体组织。本项目采购人见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kern w:val="0"/>
          <w:sz w:val="21"/>
          <w:szCs w:val="21"/>
          <w:highlight w:val="none"/>
        </w:rPr>
        <w:t>。</w:t>
      </w:r>
    </w:p>
    <w:p w14:paraId="6628E787">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w:t>
      </w:r>
      <w:r>
        <w:rPr>
          <w:rFonts w:hint="eastAsia" w:ascii="宋体" w:hAnsi="宋体" w:eastAsia="宋体" w:cs="宋体"/>
          <w:color w:val="auto"/>
          <w:sz w:val="21"/>
          <w:szCs w:val="21"/>
          <w:highlight w:val="none"/>
        </w:rPr>
        <w:t>指采购人委托的采购代理机构。本项目采购代理机构见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kern w:val="0"/>
          <w:sz w:val="21"/>
          <w:szCs w:val="21"/>
          <w:highlight w:val="none"/>
        </w:rPr>
        <w:t>。</w:t>
      </w:r>
    </w:p>
    <w:p w14:paraId="1402E62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采购货物名称：</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w:t>
      </w:r>
    </w:p>
    <w:p w14:paraId="39E6A66C">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采购标的对应的中小企业划分标准所属行业：</w:t>
      </w:r>
      <w:r>
        <w:rPr>
          <w:rFonts w:hint="eastAsia" w:ascii="宋体" w:hAnsi="宋体" w:eastAsia="宋体" w:cs="宋体"/>
          <w:color w:val="auto"/>
          <w:kern w:val="0"/>
          <w:sz w:val="21"/>
          <w:szCs w:val="21"/>
          <w:highlight w:val="none"/>
        </w:rPr>
        <w:t>见投标人须知前附表</w:t>
      </w:r>
    </w:p>
    <w:p w14:paraId="08A82024">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bookmarkStart w:id="41" w:name="_Toc195921795"/>
      <w:r>
        <w:rPr>
          <w:rFonts w:hint="eastAsia" w:ascii="宋体" w:hAnsi="宋体" w:eastAsia="宋体" w:cs="宋体"/>
          <w:color w:val="auto"/>
          <w:kern w:val="0"/>
          <w:sz w:val="21"/>
          <w:szCs w:val="21"/>
          <w:highlight w:val="none"/>
        </w:rPr>
        <w:t>采购预算</w:t>
      </w:r>
      <w:bookmarkEnd w:id="41"/>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w:t>
      </w:r>
    </w:p>
    <w:p w14:paraId="6290282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bookmarkStart w:id="42" w:name="_Toc195921796"/>
      <w:r>
        <w:rPr>
          <w:rFonts w:hint="eastAsia" w:ascii="宋体" w:hAnsi="宋体" w:eastAsia="宋体" w:cs="宋体"/>
          <w:color w:val="auto"/>
          <w:kern w:val="0"/>
          <w:sz w:val="21"/>
          <w:szCs w:val="21"/>
          <w:highlight w:val="none"/>
        </w:rPr>
        <w:t>最高限价：</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w:t>
      </w:r>
    </w:p>
    <w:p w14:paraId="27ABC526">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招标范围、交货期和质量要求</w:t>
      </w:r>
      <w:bookmarkEnd w:id="42"/>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见采购需求。</w:t>
      </w:r>
    </w:p>
    <w:p w14:paraId="22B97AE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申请人/投标人：</w:t>
      </w:r>
      <w:r>
        <w:rPr>
          <w:rFonts w:hint="eastAsia" w:ascii="宋体" w:hAnsi="宋体" w:eastAsia="宋体" w:cs="宋体"/>
          <w:color w:val="auto"/>
          <w:sz w:val="21"/>
          <w:szCs w:val="21"/>
          <w:highlight w:val="none"/>
        </w:rPr>
        <w:t>指响应招标、参加投标竞争的法人、其他组织或者自然人</w:t>
      </w:r>
      <w:r>
        <w:rPr>
          <w:rFonts w:hint="eastAsia" w:ascii="宋体" w:hAnsi="宋体" w:eastAsia="宋体" w:cs="宋体"/>
          <w:color w:val="auto"/>
          <w:kern w:val="0"/>
          <w:sz w:val="21"/>
          <w:szCs w:val="21"/>
          <w:highlight w:val="none"/>
        </w:rPr>
        <w:t>。</w:t>
      </w:r>
    </w:p>
    <w:p w14:paraId="036E3E37">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3" w:name="_Ref426956497"/>
      <w:r>
        <w:rPr>
          <w:rFonts w:hint="eastAsia" w:ascii="宋体" w:hAnsi="宋体" w:eastAsia="宋体" w:cs="宋体"/>
          <w:color w:val="auto"/>
          <w:kern w:val="0"/>
          <w:sz w:val="21"/>
          <w:szCs w:val="21"/>
          <w:highlight w:val="none"/>
        </w:rPr>
        <w:t>合格的申请人/投标人应具备以下条件：</w:t>
      </w:r>
      <w:bookmarkEnd w:id="43"/>
      <w:r>
        <w:rPr>
          <w:rFonts w:hint="eastAsia" w:ascii="宋体" w:hAnsi="宋体" w:eastAsia="宋体" w:cs="宋体"/>
          <w:color w:val="auto"/>
          <w:kern w:val="0"/>
          <w:sz w:val="21"/>
          <w:szCs w:val="21"/>
          <w:highlight w:val="none"/>
        </w:rPr>
        <w:t>见</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w:t>
      </w:r>
    </w:p>
    <w:p w14:paraId="1FFB646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是否专门面向中小企业或小型、微型企业采购： 见投标人须知前附表</w:t>
      </w:r>
    </w:p>
    <w:p w14:paraId="34CF8631">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投标人应当遵循公平竞争的原则，不得恶意串通，不得妨碍其他投标人的竞争行为，不得损害采购人或者其他投标人的合法权益。</w:t>
      </w:r>
    </w:p>
    <w:p w14:paraId="4625CDA9">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投标人不得以向采购人、评标委员会成员行贿或者采取其他不正当手段谋取中标。</w:t>
      </w:r>
    </w:p>
    <w:p w14:paraId="1E0CBA5F">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本项目将执行在政府采购活动中查询及使用信用记录的规定，具体要求为：</w:t>
      </w:r>
    </w:p>
    <w:p w14:paraId="5BB2BACB">
      <w:pPr>
        <w:keepNext w:val="0"/>
        <w:keepLines w:val="0"/>
        <w:pageBreakBefore w:val="0"/>
        <w:widowControl w:val="0"/>
        <w:numPr>
          <w:ilvl w:val="0"/>
          <w:numId w:val="7"/>
        </w:numPr>
        <w:shd w:val="clea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信用信息查询的截止时点：投标截止时间。 </w:t>
      </w:r>
    </w:p>
    <w:p w14:paraId="7A626C10">
      <w:pPr>
        <w:keepNext w:val="0"/>
        <w:keepLines w:val="0"/>
        <w:pageBreakBefore w:val="0"/>
        <w:widowControl w:val="0"/>
        <w:numPr>
          <w:ilvl w:val="0"/>
          <w:numId w:val="7"/>
        </w:numPr>
        <w:shd w:val="clea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查询渠道：详见</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 xml:space="preserve">； </w:t>
      </w:r>
    </w:p>
    <w:p w14:paraId="1A900165">
      <w:pPr>
        <w:keepNext w:val="0"/>
        <w:keepLines w:val="0"/>
        <w:pageBreakBefore w:val="0"/>
        <w:widowControl w:val="0"/>
        <w:numPr>
          <w:ilvl w:val="0"/>
          <w:numId w:val="7"/>
        </w:numPr>
        <w:shd w:val="clea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信用信息查询记录和证据留存具体方式：投标人的信用信息查询结果网页截图作为查询记录和证据，与其他采购文件一并保存； </w:t>
      </w:r>
    </w:p>
    <w:p w14:paraId="1F14B152">
      <w:pPr>
        <w:keepNext w:val="0"/>
        <w:keepLines w:val="0"/>
        <w:pageBreakBefore w:val="0"/>
        <w:widowControl w:val="0"/>
        <w:numPr>
          <w:ilvl w:val="0"/>
          <w:numId w:val="7"/>
        </w:numPr>
        <w:shd w:val="clea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信用信息的使用规则：本政府采购项目的投标人在信用信息查询截止时点（含）之前存在第一章</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3条</w:t>
      </w:r>
      <w:r>
        <w:rPr>
          <w:rFonts w:hint="eastAsia" w:ascii="宋体" w:hAnsi="宋体" w:eastAsia="宋体" w:cs="宋体"/>
          <w:color w:val="auto"/>
          <w:sz w:val="21"/>
          <w:szCs w:val="21"/>
          <w:highlight w:val="none"/>
        </w:rPr>
        <w:t>所述不良信用记录的，投标无效。</w:t>
      </w:r>
    </w:p>
    <w:p w14:paraId="3D265DD5">
      <w:pPr>
        <w:keepNext w:val="0"/>
        <w:keepLines w:val="0"/>
        <w:pageBreakBefore w:val="0"/>
        <w:widowControl w:val="0"/>
        <w:numPr>
          <w:ilvl w:val="0"/>
          <w:numId w:val="7"/>
        </w:numPr>
        <w:shd w:val="clea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信用信息查询主体：</w:t>
      </w:r>
      <w:r>
        <w:rPr>
          <w:rFonts w:hint="eastAsia" w:ascii="宋体" w:hAnsi="宋体" w:eastAsia="宋体" w:cs="宋体"/>
          <w:color w:val="auto"/>
          <w:kern w:val="0"/>
          <w:sz w:val="21"/>
          <w:szCs w:val="21"/>
          <w:highlight w:val="none"/>
        </w:rPr>
        <w:t>见投标人须知前附表</w:t>
      </w:r>
      <w:r>
        <w:rPr>
          <w:rFonts w:hint="eastAsia" w:ascii="宋体" w:hAnsi="宋体" w:eastAsia="宋体" w:cs="宋体"/>
          <w:color w:val="auto"/>
          <w:sz w:val="21"/>
          <w:szCs w:val="21"/>
          <w:highlight w:val="none"/>
        </w:rPr>
        <w:t>资格审查主体。</w:t>
      </w:r>
    </w:p>
    <w:p w14:paraId="32801131">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p w14:paraId="4B2E5EA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政府采购合同分包履行的，中标、成交投标人就采购项目和分包项目向采购人负责，分包人就分包项目承担责任。</w:t>
      </w:r>
    </w:p>
    <w:p w14:paraId="7E3D6EA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4" w:name="_Toc195921799"/>
      <w:r>
        <w:rPr>
          <w:rFonts w:hint="eastAsia" w:ascii="宋体" w:hAnsi="宋体" w:eastAsia="宋体" w:cs="宋体"/>
          <w:color w:val="auto"/>
          <w:kern w:val="0"/>
          <w:sz w:val="21"/>
          <w:szCs w:val="21"/>
          <w:highlight w:val="none"/>
        </w:rPr>
        <w:t>合格的</w:t>
      </w:r>
      <w:r>
        <w:rPr>
          <w:rFonts w:hint="eastAsia" w:ascii="宋体" w:hAnsi="宋体" w:eastAsia="宋体" w:cs="宋体"/>
          <w:color w:val="auto"/>
          <w:kern w:val="0"/>
          <w:sz w:val="21"/>
          <w:szCs w:val="21"/>
          <w:highlight w:val="none"/>
          <w:lang w:val="en-US" w:eastAsia="zh-CN"/>
        </w:rPr>
        <w:t>服务</w:t>
      </w:r>
    </w:p>
    <w:p w14:paraId="76F17092">
      <w:pPr>
        <w:keepNext w:val="0"/>
        <w:keepLines w:val="0"/>
        <w:pageBreakBefore w:val="0"/>
        <w:widowControl w:val="0"/>
        <w:numPr>
          <w:ilvl w:val="2"/>
          <w:numId w:val="6"/>
        </w:numPr>
        <w:shd w:val="clear"/>
        <w:kinsoku/>
        <w:wordWrap/>
        <w:overflowPunct/>
        <w:topLinePunct w:val="0"/>
        <w:bidi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合同中提供的所有</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，均应来自上述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REF _Ref426956497 \r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项所规定的合格投标人。</w:t>
      </w:r>
    </w:p>
    <w:p w14:paraId="20035467">
      <w:pPr>
        <w:keepNext w:val="0"/>
        <w:keepLines w:val="0"/>
        <w:pageBreakBefore w:val="0"/>
        <w:widowControl w:val="0"/>
        <w:shd w:val="clear"/>
        <w:kinsoku/>
        <w:wordWrap/>
        <w:overflowPunct/>
        <w:topLinePunct w:val="0"/>
        <w:bidi w:val="0"/>
        <w:snapToGrid w:val="0"/>
        <w:spacing w:line="360" w:lineRule="auto"/>
        <w:ind w:left="1134" w:leftChars="540"/>
        <w:textAlignment w:val="auto"/>
        <w:rPr>
          <w:rFonts w:hint="eastAsia" w:ascii="宋体" w:hAnsi="宋体" w:eastAsia="宋体" w:cs="宋体"/>
          <w:i/>
          <w:color w:val="auto"/>
          <w:sz w:val="21"/>
          <w:szCs w:val="21"/>
          <w:highlight w:val="none"/>
        </w:rPr>
      </w:pPr>
      <w:bookmarkStart w:id="45" w:name="_Ref495391292"/>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系指投标人按招标文件规定，向采购人提供的符合招标文件要求的</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以及招标文件要求的</w:t>
      </w:r>
      <w:r>
        <w:rPr>
          <w:rFonts w:hint="eastAsia" w:ascii="宋体" w:hAnsi="宋体" w:eastAsia="宋体" w:cs="宋体"/>
          <w:color w:val="auto"/>
          <w:kern w:val="0"/>
          <w:sz w:val="21"/>
          <w:szCs w:val="21"/>
          <w:highlight w:val="none"/>
          <w:lang w:val="en-US" w:eastAsia="zh-CN"/>
        </w:rPr>
        <w:t>配送、货物供应</w:t>
      </w:r>
      <w:r>
        <w:rPr>
          <w:rFonts w:hint="eastAsia" w:ascii="宋体" w:hAnsi="宋体" w:eastAsia="宋体" w:cs="宋体"/>
          <w:color w:val="auto"/>
          <w:kern w:val="0"/>
          <w:sz w:val="21"/>
          <w:szCs w:val="21"/>
          <w:highlight w:val="none"/>
        </w:rPr>
        <w:t>或</w:t>
      </w:r>
      <w:r>
        <w:rPr>
          <w:rFonts w:hint="eastAsia" w:ascii="宋体" w:hAnsi="宋体" w:eastAsia="宋体" w:cs="宋体"/>
          <w:color w:val="auto"/>
          <w:kern w:val="0"/>
          <w:sz w:val="21"/>
          <w:szCs w:val="21"/>
          <w:highlight w:val="none"/>
          <w:lang w:val="en-US" w:eastAsia="zh-CN"/>
        </w:rPr>
        <w:t>咨询</w:t>
      </w:r>
      <w:r>
        <w:rPr>
          <w:rFonts w:hint="eastAsia" w:ascii="宋体" w:hAnsi="宋体" w:eastAsia="宋体" w:cs="宋体"/>
          <w:color w:val="auto"/>
          <w:kern w:val="0"/>
          <w:sz w:val="21"/>
          <w:szCs w:val="21"/>
          <w:highlight w:val="none"/>
        </w:rPr>
        <w:t>、售后</w:t>
      </w:r>
      <w:r>
        <w:rPr>
          <w:rFonts w:hint="eastAsia" w:ascii="宋体" w:hAnsi="宋体" w:eastAsia="宋体" w:cs="宋体"/>
          <w:color w:val="auto"/>
          <w:kern w:val="0"/>
          <w:sz w:val="21"/>
          <w:szCs w:val="21"/>
          <w:highlight w:val="none"/>
          <w:lang w:val="en-US" w:eastAsia="zh-CN"/>
        </w:rPr>
        <w:t>等</w:t>
      </w:r>
      <w:r>
        <w:rPr>
          <w:rFonts w:hint="eastAsia" w:ascii="宋体" w:hAnsi="宋体" w:eastAsia="宋体" w:cs="宋体"/>
          <w:color w:val="auto"/>
          <w:kern w:val="0"/>
          <w:sz w:val="21"/>
          <w:szCs w:val="21"/>
          <w:highlight w:val="none"/>
        </w:rPr>
        <w:t>以及其他类似的义务。</w:t>
      </w:r>
      <w:bookmarkEnd w:id="45"/>
    </w:p>
    <w:p w14:paraId="2CB91790">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费用承担</w:t>
      </w:r>
      <w:bookmarkEnd w:id="44"/>
    </w:p>
    <w:p w14:paraId="506C5BA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投标人准备和参加投标活动发生的费用自理。</w:t>
      </w:r>
      <w:r>
        <w:rPr>
          <w:rFonts w:hint="eastAsia" w:ascii="宋体" w:hAnsi="宋体" w:eastAsia="宋体" w:cs="宋体"/>
          <w:color w:val="auto"/>
          <w:kern w:val="0"/>
          <w:sz w:val="21"/>
          <w:szCs w:val="21"/>
          <w:highlight w:val="none"/>
          <w:lang w:val="en-US" w:eastAsia="zh-CN"/>
        </w:rPr>
        <w:t>招标代理服务费由招标人支付。</w:t>
      </w:r>
    </w:p>
    <w:p w14:paraId="704E3CD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6" w:name="_Toc195921800"/>
      <w:r>
        <w:rPr>
          <w:rFonts w:hint="eastAsia" w:ascii="宋体" w:hAnsi="宋体" w:eastAsia="宋体" w:cs="宋体"/>
          <w:color w:val="auto"/>
          <w:kern w:val="0"/>
          <w:sz w:val="21"/>
          <w:szCs w:val="21"/>
          <w:highlight w:val="none"/>
        </w:rPr>
        <w:t>保密</w:t>
      </w:r>
      <w:bookmarkEnd w:id="46"/>
    </w:p>
    <w:p w14:paraId="54105C7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参与招标投标活动的各方应对招标文件和投标文件中的商业和技术等秘密保密，违者应对由此造成的后果承担法律责任。</w:t>
      </w:r>
    </w:p>
    <w:p w14:paraId="7C0D274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7" w:name="_Toc195921801"/>
      <w:r>
        <w:rPr>
          <w:rFonts w:hint="eastAsia" w:ascii="宋体" w:hAnsi="宋体" w:eastAsia="宋体" w:cs="宋体"/>
          <w:color w:val="auto"/>
          <w:kern w:val="0"/>
          <w:sz w:val="21"/>
          <w:szCs w:val="21"/>
          <w:highlight w:val="none"/>
        </w:rPr>
        <w:t>语言文字</w:t>
      </w:r>
      <w:bookmarkEnd w:id="47"/>
    </w:p>
    <w:p w14:paraId="3BF842D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除专用术语外，与招标投标有关的语言均使用中文。必要时专用术语应附有中文注释。</w:t>
      </w:r>
    </w:p>
    <w:p w14:paraId="52E7788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48" w:name="_Toc195921802"/>
      <w:r>
        <w:rPr>
          <w:rFonts w:hint="eastAsia" w:ascii="宋体" w:hAnsi="宋体" w:eastAsia="宋体" w:cs="宋体"/>
          <w:color w:val="auto"/>
          <w:kern w:val="0"/>
          <w:sz w:val="21"/>
          <w:szCs w:val="21"/>
          <w:highlight w:val="none"/>
        </w:rPr>
        <w:t>计量单位</w:t>
      </w:r>
      <w:bookmarkEnd w:id="48"/>
    </w:p>
    <w:p w14:paraId="6A9DD7D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所有计量均采用中华人民共和国法定计量单位。</w:t>
      </w:r>
    </w:p>
    <w:p w14:paraId="3213F087">
      <w:pPr>
        <w:pStyle w:val="6"/>
        <w:numPr>
          <w:ilvl w:val="0"/>
          <w:numId w:val="6"/>
        </w:numPr>
        <w:bidi w:val="0"/>
        <w:spacing w:line="240" w:lineRule="auto"/>
        <w:rPr>
          <w:rFonts w:hint="eastAsia" w:ascii="宋体" w:hAnsi="宋体" w:eastAsia="宋体" w:cs="宋体"/>
          <w:color w:val="auto"/>
          <w:sz w:val="24"/>
          <w:szCs w:val="24"/>
          <w:highlight w:val="none"/>
        </w:rPr>
      </w:pPr>
      <w:bookmarkStart w:id="49" w:name="_Toc195921807"/>
      <w:bookmarkStart w:id="50" w:name="_Toc29841"/>
      <w:bookmarkStart w:id="51" w:name="_Toc6136"/>
      <w:r>
        <w:rPr>
          <w:rFonts w:hint="eastAsia" w:ascii="宋体" w:hAnsi="宋体" w:eastAsia="宋体" w:cs="宋体"/>
          <w:color w:val="auto"/>
          <w:sz w:val="24"/>
          <w:szCs w:val="24"/>
          <w:highlight w:val="none"/>
        </w:rPr>
        <w:t>招标文件</w:t>
      </w:r>
      <w:bookmarkEnd w:id="49"/>
      <w:bookmarkEnd w:id="50"/>
      <w:bookmarkEnd w:id="51"/>
    </w:p>
    <w:p w14:paraId="301E6059">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52" w:name="_Toc195921808"/>
      <w:r>
        <w:rPr>
          <w:rFonts w:hint="eastAsia" w:ascii="宋体" w:hAnsi="宋体" w:eastAsia="宋体" w:cs="宋体"/>
          <w:color w:val="auto"/>
          <w:kern w:val="0"/>
          <w:sz w:val="21"/>
          <w:szCs w:val="21"/>
          <w:highlight w:val="none"/>
        </w:rPr>
        <w:t>招标文件的组成</w:t>
      </w:r>
      <w:bookmarkEnd w:id="52"/>
    </w:p>
    <w:p w14:paraId="4C29B6C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本招标文件包括：</w:t>
      </w:r>
    </w:p>
    <w:p w14:paraId="713392E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w:t>
      </w:r>
    </w:p>
    <w:p w14:paraId="507183B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p>
    <w:p w14:paraId="2AFC37F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（3）资格审查、评标办法和标准；</w:t>
      </w:r>
    </w:p>
    <w:p w14:paraId="57BBBAA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（4）合同条款；</w:t>
      </w:r>
    </w:p>
    <w:p w14:paraId="5497528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采购需求</w:t>
      </w:r>
      <w:r>
        <w:rPr>
          <w:rFonts w:hint="eastAsia" w:ascii="宋体" w:hAnsi="宋体" w:eastAsia="宋体" w:cs="宋体"/>
          <w:color w:val="auto"/>
          <w:kern w:val="0"/>
          <w:sz w:val="21"/>
          <w:szCs w:val="21"/>
          <w:highlight w:val="none"/>
        </w:rPr>
        <w:t>；</w:t>
      </w:r>
    </w:p>
    <w:p w14:paraId="605B290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549" w:leftChars="513" w:hanging="472" w:hangingChars="225"/>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（6）投标文件格式。</w:t>
      </w:r>
    </w:p>
    <w:p w14:paraId="104505E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根据本章第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_Ref426441946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款和第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_Ref426441954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款对招标文件所作的澄清、修改，构成招标文件的组成部分。</w:t>
      </w:r>
      <w:bookmarkStart w:id="53" w:name="_Toc195921809"/>
      <w:bookmarkStart w:id="54" w:name="_Ref426441946"/>
    </w:p>
    <w:p w14:paraId="1CD9A35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招标文件的澄清</w:t>
      </w:r>
      <w:bookmarkEnd w:id="53"/>
      <w:bookmarkEnd w:id="54"/>
    </w:p>
    <w:p w14:paraId="05961617">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投标人应仔细阅读和检查招标文件的全部内容。如发现缺页或附件不全，应及时向采购人提出，以便补齐。</w:t>
      </w:r>
    </w:p>
    <w:p w14:paraId="10B9A605">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kern w:val="0"/>
          <w:sz w:val="21"/>
          <w:szCs w:val="21"/>
          <w:highlight w:val="none"/>
        </w:rPr>
        <w:t>如有疑问</w:t>
      </w:r>
      <w:r>
        <w:rPr>
          <w:rFonts w:hint="eastAsia" w:ascii="宋体" w:hAnsi="宋体" w:eastAsia="宋体" w:cs="宋体"/>
          <w:color w:val="auto"/>
          <w:sz w:val="21"/>
          <w:szCs w:val="21"/>
          <w:highlight w:val="none"/>
        </w:rPr>
        <w:t>可以向采购人提出询问</w:t>
      </w:r>
      <w:r>
        <w:rPr>
          <w:rFonts w:hint="eastAsia" w:ascii="宋体" w:hAnsi="宋体" w:eastAsia="宋体" w:cs="宋体"/>
          <w:color w:val="auto"/>
          <w:kern w:val="0"/>
          <w:sz w:val="21"/>
          <w:szCs w:val="21"/>
          <w:highlight w:val="none"/>
        </w:rPr>
        <w:t>，要求采购人对招标文件予以澄清。</w:t>
      </w:r>
    </w:p>
    <w:p w14:paraId="6DD2E5E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或者采购代理机构可以对已发出的招标文件进行必要的澄清。该澄清在原公告发布媒体上发布澄清（更正）公告。澄清的内容为招标文件的组成部分。投标人须在招标公告中规定的投标截止日前，随时查询招标公告发布媒体的信息，获取对招标文件澄清的信息。无论投标人是否对该澄清确认，均视为投标人收到该澄清要求。</w:t>
      </w:r>
    </w:p>
    <w:p w14:paraId="4B031B36">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澄清的内容可能影响投标文件编制的，采购人或者采购代理机构在投标截止时间至少15日前，以书</w:t>
      </w:r>
      <w:r>
        <w:rPr>
          <w:rFonts w:hint="eastAsia" w:ascii="宋体" w:hAnsi="宋体" w:eastAsia="宋体" w:cs="宋体"/>
          <w:color w:val="auto"/>
          <w:kern w:val="0"/>
          <w:sz w:val="21"/>
          <w:szCs w:val="21"/>
          <w:highlight w:val="none"/>
        </w:rPr>
        <w:t>面形式通知所有获取招标文件的潜在投标人；不足15日的，采购人或者采购代理机构将顺延提交投标文件的截止时间。</w:t>
      </w:r>
    </w:p>
    <w:p w14:paraId="54A52012">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在收到澄清文件后，无须确认。投标人应在电子投标文件提交截止时间前及时登录政采云平台查看有关该项目招标文件的澄清内容。如因投标人自身原因导致未及时查看有关该项目招标文件的澄清内容，由此造成的一切后果由投标人自行承担。</w:t>
      </w:r>
    </w:p>
    <w:p w14:paraId="3D91EB6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55" w:name="_Toc195921810"/>
      <w:bookmarkStart w:id="56" w:name="_Ref426441954"/>
      <w:r>
        <w:rPr>
          <w:rFonts w:hint="eastAsia" w:ascii="宋体" w:hAnsi="宋体" w:eastAsia="宋体" w:cs="宋体"/>
          <w:color w:val="auto"/>
          <w:kern w:val="0"/>
          <w:sz w:val="21"/>
          <w:szCs w:val="21"/>
          <w:highlight w:val="none"/>
        </w:rPr>
        <w:t>招标文件的修改</w:t>
      </w:r>
      <w:bookmarkEnd w:id="55"/>
      <w:bookmarkEnd w:id="56"/>
    </w:p>
    <w:p w14:paraId="36C2654E">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采购人或者采购代理机构可以对已发出的招标文件进行必要的修改。该修改在原公告发布媒体上发布澄清（更正）公告，同时以书面形式通知所有投标人。修改的内容为招标文件的组成部分。</w:t>
      </w:r>
      <w:r>
        <w:rPr>
          <w:rFonts w:hint="eastAsia" w:ascii="宋体" w:hAnsi="宋体" w:eastAsia="宋体" w:cs="宋体"/>
          <w:color w:val="auto"/>
          <w:kern w:val="0"/>
          <w:sz w:val="21"/>
          <w:szCs w:val="21"/>
          <w:highlight w:val="none"/>
        </w:rPr>
        <w:t>投标人须</w:t>
      </w:r>
      <w:r>
        <w:rPr>
          <w:rFonts w:hint="eastAsia" w:ascii="宋体" w:hAnsi="宋体" w:eastAsia="宋体" w:cs="宋体"/>
          <w:color w:val="auto"/>
          <w:sz w:val="21"/>
          <w:szCs w:val="21"/>
          <w:highlight w:val="none"/>
        </w:rPr>
        <w:t>在投标截止日前，随时查询招标公告发布媒体的信息，获取对招标文件修改的信息。采购人的修改以书面形式通知投标人的，投标人应在收到该修改通知的24小时内或根据修改通知中要求的时间内予以确认。</w:t>
      </w:r>
    </w:p>
    <w:p w14:paraId="05E7A095">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修改的内容可能影响投标文件编制的，采购人或者采购代理机构在投标截止时间至少15日前，以书面形式通知所有获取招标文件的潜在投标人；不足15日的，采购人或者采购代理</w:t>
      </w:r>
      <w:r>
        <w:rPr>
          <w:rFonts w:hint="eastAsia" w:ascii="宋体" w:hAnsi="宋体" w:eastAsia="宋体" w:cs="宋体"/>
          <w:color w:val="auto"/>
          <w:kern w:val="0"/>
          <w:sz w:val="21"/>
          <w:szCs w:val="21"/>
          <w:highlight w:val="none"/>
        </w:rPr>
        <w:t>机构将顺延提交投标文件的截止时间。</w:t>
      </w:r>
    </w:p>
    <w:p w14:paraId="135BDBA1">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投标人收到修改文件后，无须确认。</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应在电子投标文件提交截止时间前及时登录政采云平台查看有关该项目招标文件的修改内容。如因</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自身原因导致未及时查看有关该项目招标文件的修改内容，由此造成的一切后果由</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自行承担。</w:t>
      </w:r>
    </w:p>
    <w:p w14:paraId="551BC41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投标人认为采购文件使其权益受到损害的，在收到采购文件之日或采购文件公告期限届满之日起七个工作日内，按投标人须知前附表中接收质疑函的方式以书面形式一次性提出质疑。</w:t>
      </w:r>
    </w:p>
    <w:p w14:paraId="5EF2C5AA">
      <w:pPr>
        <w:pStyle w:val="6"/>
        <w:numPr>
          <w:ilvl w:val="0"/>
          <w:numId w:val="6"/>
        </w:numPr>
        <w:bidi w:val="0"/>
        <w:spacing w:line="240" w:lineRule="auto"/>
        <w:rPr>
          <w:rFonts w:hint="eastAsia" w:ascii="宋体" w:hAnsi="宋体" w:eastAsia="宋体" w:cs="宋体"/>
          <w:color w:val="auto"/>
          <w:sz w:val="24"/>
          <w:szCs w:val="24"/>
          <w:highlight w:val="none"/>
        </w:rPr>
      </w:pPr>
      <w:bookmarkStart w:id="57" w:name="_Toc25864"/>
      <w:bookmarkStart w:id="58" w:name="_Toc195921811"/>
      <w:bookmarkStart w:id="59" w:name="_Toc22721"/>
      <w:r>
        <w:rPr>
          <w:rFonts w:hint="eastAsia" w:ascii="宋体" w:hAnsi="宋体" w:eastAsia="宋体" w:cs="宋体"/>
          <w:color w:val="auto"/>
          <w:sz w:val="24"/>
          <w:szCs w:val="24"/>
          <w:highlight w:val="none"/>
        </w:rPr>
        <w:t>投标文件</w:t>
      </w:r>
      <w:bookmarkEnd w:id="57"/>
      <w:bookmarkEnd w:id="58"/>
      <w:bookmarkEnd w:id="59"/>
    </w:p>
    <w:p w14:paraId="677D1EC1">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60" w:name="_Toc195921812"/>
      <w:r>
        <w:rPr>
          <w:rFonts w:hint="eastAsia" w:ascii="宋体" w:hAnsi="宋体" w:eastAsia="宋体" w:cs="宋体"/>
          <w:color w:val="auto"/>
          <w:kern w:val="0"/>
          <w:sz w:val="21"/>
          <w:szCs w:val="21"/>
          <w:highlight w:val="none"/>
        </w:rPr>
        <w:t>投标文件的组成</w:t>
      </w:r>
      <w:bookmarkEnd w:id="60"/>
    </w:p>
    <w:p w14:paraId="5F715EB6">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投标文件应包括下列内容：</w:t>
      </w:r>
    </w:p>
    <w:p w14:paraId="4365FB9C">
      <w:pPr>
        <w:keepNext w:val="0"/>
        <w:keepLines w:val="0"/>
        <w:pageBreakBefore w:val="0"/>
        <w:widowControl w:val="0"/>
        <w:numPr>
          <w:ilvl w:val="0"/>
          <w:numId w:val="8"/>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报价</w:t>
      </w:r>
    </w:p>
    <w:p w14:paraId="724DB0A9">
      <w:pPr>
        <w:keepNext w:val="0"/>
        <w:keepLines w:val="0"/>
        <w:pageBreakBefore w:val="0"/>
        <w:widowControl w:val="0"/>
        <w:numPr>
          <w:ilvl w:val="0"/>
          <w:numId w:val="8"/>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商务部分</w:t>
      </w:r>
    </w:p>
    <w:p w14:paraId="52C0AB9A">
      <w:pPr>
        <w:keepNext w:val="0"/>
        <w:keepLines w:val="0"/>
        <w:pageBreakBefore w:val="0"/>
        <w:widowControl w:val="0"/>
        <w:numPr>
          <w:ilvl w:val="0"/>
          <w:numId w:val="8"/>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技术部分</w:t>
      </w:r>
    </w:p>
    <w:p w14:paraId="362F27DE">
      <w:pPr>
        <w:keepNext w:val="0"/>
        <w:keepLines w:val="0"/>
        <w:pageBreakBefore w:val="0"/>
        <w:widowControl w:val="0"/>
        <w:numPr>
          <w:ilvl w:val="0"/>
          <w:numId w:val="8"/>
        </w:numPr>
        <w:shd w:val="clea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投标文件要求的其他内容以及投标人认为必要的其他内容。</w:t>
      </w:r>
    </w:p>
    <w:p w14:paraId="50CB7E3F">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61" w:name="_Toc195921813"/>
      <w:r>
        <w:rPr>
          <w:rFonts w:hint="eastAsia" w:ascii="宋体" w:hAnsi="宋体" w:eastAsia="宋体" w:cs="宋体"/>
          <w:color w:val="auto"/>
          <w:kern w:val="0"/>
          <w:sz w:val="21"/>
          <w:szCs w:val="21"/>
          <w:highlight w:val="none"/>
        </w:rPr>
        <w:t>投标报价</w:t>
      </w:r>
      <w:bookmarkEnd w:id="61"/>
    </w:p>
    <w:p w14:paraId="75AE9EFC">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投标人应按招标文件第六章提供的格式进行投标报价</w:t>
      </w:r>
      <w:r>
        <w:rPr>
          <w:rFonts w:hint="eastAsia" w:ascii="宋体" w:hAnsi="宋体" w:eastAsia="宋体" w:cs="宋体"/>
          <w:color w:val="auto"/>
          <w:sz w:val="21"/>
          <w:szCs w:val="21"/>
          <w:highlight w:val="none"/>
        </w:rPr>
        <w:t>，若投标人的投标报价超过最高限价，</w:t>
      </w:r>
      <w:r>
        <w:rPr>
          <w:rFonts w:hint="eastAsia" w:ascii="宋体" w:hAnsi="宋体" w:eastAsia="宋体" w:cs="宋体"/>
          <w:bCs/>
          <w:color w:val="auto"/>
          <w:sz w:val="21"/>
          <w:szCs w:val="21"/>
          <w:highlight w:val="none"/>
        </w:rPr>
        <w:t>按不实质性响应招标文件要求处理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第六章没有提供格式的投标人可以自拟，自拟格式中有签字盖章要求而投标人未盖章或签字的，也按照评标办法中的形式评审标准要求予以否决。</w:t>
      </w:r>
    </w:p>
    <w:p w14:paraId="6686CCF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所有根据合同或其它原因应由投标人支付的税款和其它应交纳的费用都应包括在投标人提交的投标价格中。投标报价应为投标人完成所投项目全部内容所需费用的含税价</w:t>
      </w:r>
      <w:r>
        <w:rPr>
          <w:rFonts w:hint="eastAsia" w:ascii="宋体" w:hAnsi="宋体" w:eastAsia="宋体" w:cs="宋体"/>
          <w:color w:val="auto"/>
          <w:kern w:val="0"/>
          <w:sz w:val="21"/>
          <w:szCs w:val="21"/>
          <w:highlight w:val="none"/>
          <w:lang w:val="en-US" w:eastAsia="zh-CN"/>
        </w:rPr>
        <w:t>并</w:t>
      </w:r>
      <w:r>
        <w:rPr>
          <w:rFonts w:hint="eastAsia" w:ascii="宋体" w:hAnsi="宋体" w:eastAsia="宋体" w:cs="宋体"/>
          <w:color w:val="auto"/>
          <w:sz w:val="21"/>
          <w:szCs w:val="21"/>
          <w:highlight w:val="none"/>
        </w:rPr>
        <w:t>考虑市场风险、政策性风险、汇率风险等因素</w:t>
      </w:r>
      <w:r>
        <w:rPr>
          <w:rFonts w:hint="eastAsia" w:ascii="宋体" w:hAnsi="宋体" w:eastAsia="宋体" w:cs="宋体"/>
          <w:color w:val="auto"/>
          <w:sz w:val="21"/>
          <w:szCs w:val="21"/>
          <w:highlight w:val="none"/>
          <w:lang w:eastAsia="zh-CN"/>
        </w:rPr>
        <w:t>。</w:t>
      </w:r>
    </w:p>
    <w:p w14:paraId="2D8B44F0">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报价应包含本项目所有税项。</w:t>
      </w:r>
    </w:p>
    <w:p w14:paraId="6F5EA286">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lang w:val="en-US" w:eastAsia="zh-CN"/>
        </w:rPr>
        <w:t>投标报价包括合同范围内货物及服务，包含但不限于系统软件费用、实施部署与集成服务费、硬件设备费用、‌培训服务费、运维与保修服务费、系统数据接口改造费等所有与本合同履行相关的直接及间接费用，包括招标代理费及一切与本项目相关的支出等所有不可预见的隐含费用（以上费用如涉及到多次需求，所有费用均包含在内）。本项目不接受进口产品参与投标，投标人应满足招标文件要求的各项期限。投标人必须对招标同一标项内所有货物及服务进行投标，不允许只投标其中的一部分，否则作为无效标处理。详见招标文件第五章。</w:t>
      </w:r>
    </w:p>
    <w:p w14:paraId="67EEF270">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投标人对采购内容只允许有一个报价，是</w:t>
      </w:r>
      <w:r>
        <w:rPr>
          <w:rFonts w:hint="eastAsia" w:ascii="宋体" w:hAnsi="宋体" w:eastAsia="宋体" w:cs="宋体"/>
          <w:b/>
          <w:bCs/>
          <w:color w:val="auto"/>
          <w:sz w:val="21"/>
          <w:szCs w:val="21"/>
          <w:highlight w:val="none"/>
        </w:rPr>
        <w:t>所投</w:t>
      </w:r>
      <w:r>
        <w:rPr>
          <w:rFonts w:hint="eastAsia" w:ascii="宋体" w:hAnsi="宋体" w:eastAsia="宋体" w:cs="宋体"/>
          <w:b/>
          <w:bCs/>
          <w:color w:val="auto"/>
          <w:sz w:val="21"/>
          <w:szCs w:val="21"/>
          <w:highlight w:val="none"/>
          <w:lang w:val="en-US" w:eastAsia="zh-CN"/>
        </w:rPr>
        <w:t>标</w:t>
      </w:r>
      <w:r>
        <w:rPr>
          <w:rFonts w:hint="eastAsia" w:ascii="宋体" w:hAnsi="宋体" w:eastAsia="宋体" w:cs="宋体"/>
          <w:b/>
          <w:bCs/>
          <w:color w:val="auto"/>
          <w:sz w:val="21"/>
          <w:szCs w:val="21"/>
          <w:highlight w:val="none"/>
        </w:rPr>
        <w:t>货物及服务内容作完整唯一报价，</w:t>
      </w:r>
      <w:r>
        <w:rPr>
          <w:rFonts w:hint="eastAsia" w:ascii="宋体" w:hAnsi="宋体" w:eastAsia="宋体" w:cs="宋体"/>
          <w:color w:val="auto"/>
          <w:kern w:val="0"/>
          <w:sz w:val="21"/>
          <w:szCs w:val="21"/>
          <w:highlight w:val="none"/>
        </w:rPr>
        <w:t>采购人不接受任何有选择的报价。</w:t>
      </w:r>
    </w:p>
    <w:p w14:paraId="2F8D3E0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除非合同另有约定，投标人所报的投标价在合同执行过程中是固定不变的，不得以任何理由予以变更。任何包含价格调整要求的投标，将被认为是非响应性投标而予以拒绝。</w:t>
      </w:r>
    </w:p>
    <w:p w14:paraId="7C94772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62" w:name="_Ref421009326"/>
      <w:r>
        <w:rPr>
          <w:rFonts w:hint="eastAsia" w:ascii="宋体" w:hAnsi="宋体" w:eastAsia="宋体" w:cs="宋体"/>
          <w:color w:val="auto"/>
          <w:kern w:val="0"/>
          <w:sz w:val="21"/>
          <w:szCs w:val="21"/>
          <w:highlight w:val="none"/>
        </w:rPr>
        <w:t>投标有效期</w:t>
      </w:r>
      <w:bookmarkEnd w:id="62"/>
    </w:p>
    <w:p w14:paraId="21257C6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本项目投标有效期见投标人须知前附表。投标有效期从提交投标文件的截止之日起算。投标文件中承诺的投标有效期应当不少于招标文件中载明的投标有效期。</w:t>
      </w:r>
    </w:p>
    <w:p w14:paraId="58A540AA">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在投标人须知前附表规定的投标有效期内，投标人</w:t>
      </w:r>
      <w:r>
        <w:rPr>
          <w:rFonts w:hint="eastAsia" w:ascii="宋体" w:hAnsi="宋体" w:eastAsia="宋体" w:cs="宋体"/>
          <w:color w:val="auto"/>
          <w:sz w:val="21"/>
          <w:szCs w:val="21"/>
          <w:highlight w:val="none"/>
        </w:rPr>
        <w:t>不得要求</w:t>
      </w:r>
      <w:r>
        <w:rPr>
          <w:rFonts w:hint="eastAsia" w:ascii="宋体" w:hAnsi="宋体" w:eastAsia="宋体" w:cs="宋体"/>
          <w:color w:val="auto"/>
          <w:kern w:val="0"/>
          <w:sz w:val="21"/>
          <w:szCs w:val="21"/>
          <w:highlight w:val="none"/>
        </w:rPr>
        <w:t>修改其投标文件。</w:t>
      </w:r>
    </w:p>
    <w:p w14:paraId="715FC39A">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63" w:name="_Toc195921815"/>
      <w:r>
        <w:rPr>
          <w:rFonts w:hint="eastAsia" w:ascii="宋体" w:hAnsi="宋体" w:eastAsia="宋体" w:cs="宋体"/>
          <w:color w:val="auto"/>
          <w:kern w:val="0"/>
          <w:sz w:val="21"/>
          <w:szCs w:val="21"/>
          <w:highlight w:val="none"/>
        </w:rPr>
        <w:t>投标保证金</w:t>
      </w:r>
      <w:bookmarkEnd w:id="63"/>
    </w:p>
    <w:p w14:paraId="319BF3FE">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64" w:name="_Ref419361076"/>
      <w:r>
        <w:rPr>
          <w:rFonts w:hint="eastAsia" w:ascii="宋体" w:hAnsi="宋体" w:eastAsia="宋体" w:cs="宋体"/>
          <w:color w:val="auto"/>
          <w:kern w:val="0"/>
          <w:sz w:val="21"/>
          <w:szCs w:val="21"/>
          <w:highlight w:val="none"/>
        </w:rPr>
        <w:t>投标人应按投标人须知前附表规定的金额、形式递交投标保证金，并作为其投标文件的组成部分。</w:t>
      </w:r>
      <w:bookmarkEnd w:id="64"/>
    </w:p>
    <w:p w14:paraId="20A7EFD8">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投标人不按本章</w:t>
      </w:r>
      <w:r>
        <w:rPr>
          <w:rFonts w:hint="eastAsia" w:ascii="宋体" w:hAnsi="宋体" w:eastAsia="宋体" w:cs="宋体"/>
          <w:color w:val="auto"/>
          <w:kern w:val="0"/>
          <w:sz w:val="21"/>
          <w:szCs w:val="21"/>
          <w:highlight w:val="none"/>
          <w:lang w:val="en-US" w:eastAsia="zh-CN"/>
        </w:rPr>
        <w:t>投标人须知前附表3.4</w:t>
      </w:r>
      <w:r>
        <w:rPr>
          <w:rFonts w:hint="eastAsia" w:ascii="宋体" w:hAnsi="宋体" w:eastAsia="宋体" w:cs="宋体"/>
          <w:color w:val="auto"/>
          <w:kern w:val="0"/>
          <w:sz w:val="21"/>
          <w:szCs w:val="21"/>
          <w:highlight w:val="none"/>
        </w:rPr>
        <w:t>要求提交投标保证金的，其投标文件无效。</w:t>
      </w:r>
    </w:p>
    <w:p w14:paraId="7BB20CF0">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bookmarkStart w:id="65" w:name="_Ref419361088"/>
      <w:r>
        <w:rPr>
          <w:rFonts w:hint="eastAsia" w:ascii="宋体" w:hAnsi="宋体" w:eastAsia="宋体" w:cs="宋体"/>
          <w:color w:val="auto"/>
          <w:sz w:val="21"/>
          <w:szCs w:val="21"/>
          <w:highlight w:val="none"/>
        </w:rPr>
        <w:t>投标人在投标截止时间3日前，按招标文件的要求</w:t>
      </w:r>
      <w:r>
        <w:rPr>
          <w:rFonts w:hint="eastAsia" w:ascii="宋体" w:hAnsi="宋体" w:eastAsia="宋体" w:cs="宋体"/>
          <w:color w:val="auto"/>
          <w:sz w:val="21"/>
          <w:szCs w:val="21"/>
          <w:highlight w:val="none"/>
          <w:lang w:val="en-US" w:eastAsia="zh-CN"/>
        </w:rPr>
        <w:t>提</w:t>
      </w:r>
      <w:r>
        <w:rPr>
          <w:rFonts w:hint="eastAsia" w:ascii="宋体" w:hAnsi="宋体" w:eastAsia="宋体" w:cs="宋体"/>
          <w:color w:val="auto"/>
          <w:sz w:val="21"/>
          <w:szCs w:val="21"/>
          <w:highlight w:val="none"/>
        </w:rPr>
        <w:t>交投标保证金，投标截止时间之后递交的投标保证金投标将被拒绝。</w:t>
      </w:r>
      <w:bookmarkEnd w:id="65"/>
    </w:p>
    <w:p w14:paraId="46FB8E1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投标人在汇款时务必注明所投标项目的招标编号及用途，否则，因款项用途不明导致投标无效等后果由投标人自行承担。</w:t>
      </w:r>
    </w:p>
    <w:p w14:paraId="03346E0A">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投标人有下列行为之一者，其投标保证金可不予退还：</w:t>
      </w:r>
    </w:p>
    <w:p w14:paraId="7C54958F">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（1）投标人在投标有效期内撤销投标文件的；</w:t>
      </w:r>
    </w:p>
    <w:p w14:paraId="31984FDD">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（2）投标人在投标文件中提供虚假材料的；</w:t>
      </w:r>
    </w:p>
    <w:p w14:paraId="03BBE483">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（3）除因不可抗力或招标文件认可的情形以外，中标人不与采购人签订合同的；</w:t>
      </w:r>
    </w:p>
    <w:p w14:paraId="3AB9927A">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（4）投标人与采购人、其他投标人或者采购代理机构恶意串通的；</w:t>
      </w:r>
    </w:p>
    <w:p w14:paraId="011DD8F3">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（5）招标文件规定的其他情形；</w:t>
      </w:r>
    </w:p>
    <w:p w14:paraId="5B3F1525">
      <w:pPr>
        <w:keepNext w:val="0"/>
        <w:keepLines w:val="0"/>
        <w:pageBreakBefore w:val="0"/>
        <w:widowControl w:val="0"/>
        <w:shd w:val="clear"/>
        <w:tabs>
          <w:tab w:val="left" w:pos="1843"/>
        </w:tabs>
        <w:kinsoku/>
        <w:wordWrap/>
        <w:overflowPunct/>
        <w:topLinePunct w:val="0"/>
        <w:autoSpaceDE w:val="0"/>
        <w:autoSpaceDN w:val="0"/>
        <w:bidi w:val="0"/>
        <w:adjustRightInd w:val="0"/>
        <w:snapToGrid w:val="0"/>
        <w:spacing w:line="360" w:lineRule="auto"/>
        <w:ind w:left="1659" w:leftChars="540" w:hanging="525" w:hangingChars="25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（6）存在其他违法违规行为的。</w:t>
      </w:r>
    </w:p>
    <w:p w14:paraId="5271590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66" w:name="_Toc195921818"/>
      <w:r>
        <w:rPr>
          <w:rFonts w:hint="eastAsia" w:ascii="宋体" w:hAnsi="宋体" w:eastAsia="宋体" w:cs="宋体"/>
          <w:color w:val="auto"/>
          <w:kern w:val="0"/>
          <w:sz w:val="21"/>
          <w:szCs w:val="21"/>
          <w:highlight w:val="none"/>
        </w:rPr>
        <w:t>投标文件的编制</w:t>
      </w:r>
      <w:bookmarkEnd w:id="66"/>
    </w:p>
    <w:p w14:paraId="00045250">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投标文件应按第六章“投标文件格式”进行编写，如有必要，可以增加附页，作为投标文件的组成部分。投标人可以提出比招标文件要求更有利于采购人的承诺。</w:t>
      </w:r>
    </w:p>
    <w:p w14:paraId="2BFD5622">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投标文件应当对招标文件有关交货期、投标有效期、对招标范围以及采购项目的技术规格、数量、服务标准、验收等实质性内容作出响应。</w:t>
      </w:r>
    </w:p>
    <w:p w14:paraId="1D5891B3">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应使用“政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云”平台（https://www. zcygov. cn）中下载的政</w:t>
      </w:r>
      <w:r>
        <w:rPr>
          <w:rFonts w:hint="eastAsia" w:ascii="宋体" w:hAnsi="宋体" w:eastAsia="宋体" w:cs="宋体"/>
          <w:color w:val="auto"/>
          <w:kern w:val="0"/>
          <w:sz w:val="21"/>
          <w:szCs w:val="21"/>
          <w:highlight w:val="none"/>
          <w:lang w:eastAsia="zh-CN"/>
        </w:rPr>
        <w:t>采</w:t>
      </w:r>
      <w:r>
        <w:rPr>
          <w:rFonts w:hint="eastAsia" w:ascii="宋体" w:hAnsi="宋体" w:eastAsia="宋体" w:cs="宋体"/>
          <w:color w:val="auto"/>
          <w:kern w:val="0"/>
          <w:sz w:val="21"/>
          <w:szCs w:val="21"/>
          <w:highlight w:val="none"/>
        </w:rPr>
        <w:t>云电子投标客户端制作，并进行电子签章及加密后上传至政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云平台。编制要求见《电子投文件编制要求》。</w:t>
      </w:r>
    </w:p>
    <w:p w14:paraId="51A36461">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如</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提交的电子标书不符合要求或开标时无法读取导入或解密，其</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将不予受理。</w:t>
      </w:r>
    </w:p>
    <w:p w14:paraId="5D8D4254">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云”平台的要求编制、加密后在</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提交截止时间前上传至“政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云”平台，</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提交截止时间前未完成</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上传的，视为撤回</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w:t>
      </w:r>
    </w:p>
    <w:p w14:paraId="6D742271">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投标截止时间前，如对投标文件进行了修改，包括对投标文件行间插字、涂改和增删，均应由投标人的法定代表人或经正式授权的代表在修改的每一页上电子签字。</w:t>
      </w:r>
    </w:p>
    <w:p w14:paraId="51C627A6">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关键内容字迹潦草、表达不清、未按要求填写而导致非唯一理解，视为未实质性响应招标文件的投标文件。</w:t>
      </w:r>
    </w:p>
    <w:p w14:paraId="796868AA">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投标文件中提供的资料（扫描件），内容必须清晰可辨，若内容模糊，无法辨识，均视为未提供。</w:t>
      </w:r>
    </w:p>
    <w:p w14:paraId="7A6CB81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投标文件签署的要求见投标人须知前附表。</w:t>
      </w:r>
    </w:p>
    <w:p w14:paraId="3FC3AC78">
      <w:pPr>
        <w:pStyle w:val="6"/>
        <w:numPr>
          <w:ilvl w:val="0"/>
          <w:numId w:val="6"/>
        </w:numPr>
        <w:bidi w:val="0"/>
        <w:spacing w:line="240" w:lineRule="auto"/>
        <w:rPr>
          <w:rFonts w:hint="eastAsia" w:ascii="宋体" w:hAnsi="宋体" w:eastAsia="宋体" w:cs="宋体"/>
          <w:color w:val="auto"/>
          <w:sz w:val="24"/>
          <w:szCs w:val="24"/>
          <w:highlight w:val="none"/>
        </w:rPr>
      </w:pPr>
      <w:bookmarkStart w:id="67" w:name="_Toc15970"/>
      <w:bookmarkStart w:id="68" w:name="_Toc12439"/>
      <w:bookmarkStart w:id="69" w:name="_Toc195921819"/>
      <w:r>
        <w:rPr>
          <w:rFonts w:hint="eastAsia" w:ascii="宋体" w:hAnsi="宋体" w:eastAsia="宋体" w:cs="宋体"/>
          <w:color w:val="auto"/>
          <w:sz w:val="24"/>
          <w:szCs w:val="24"/>
          <w:highlight w:val="none"/>
        </w:rPr>
        <w:t>投标</w:t>
      </w:r>
      <w:bookmarkEnd w:id="67"/>
      <w:bookmarkEnd w:id="68"/>
      <w:bookmarkEnd w:id="69"/>
    </w:p>
    <w:p w14:paraId="3F59D424">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70" w:name="_Toc195921820"/>
      <w:r>
        <w:rPr>
          <w:rFonts w:hint="eastAsia" w:ascii="宋体" w:hAnsi="宋体" w:eastAsia="宋体" w:cs="宋体"/>
          <w:color w:val="auto"/>
          <w:kern w:val="0"/>
          <w:sz w:val="21"/>
          <w:szCs w:val="21"/>
          <w:highlight w:val="none"/>
        </w:rPr>
        <w:t>投标文件的密封和标记</w:t>
      </w:r>
      <w:bookmarkEnd w:id="70"/>
    </w:p>
    <w:p w14:paraId="4BEFBEFB">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递交的投标文件需要对投标文件进行加密。</w:t>
      </w:r>
    </w:p>
    <w:p w14:paraId="13E13E3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未按本章第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_Ref421008470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4.1.1</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项要求密封和加写标识的投标文件，</w:t>
      </w:r>
      <w:r>
        <w:rPr>
          <w:rFonts w:hint="eastAsia" w:ascii="宋体" w:hAnsi="宋体" w:eastAsia="宋体" w:cs="宋体"/>
          <w:color w:val="auto"/>
          <w:sz w:val="21"/>
          <w:szCs w:val="21"/>
          <w:highlight w:val="none"/>
        </w:rPr>
        <w:t>或开标时无法读取导入或解密，</w:t>
      </w:r>
      <w:r>
        <w:rPr>
          <w:rFonts w:hint="eastAsia" w:ascii="宋体" w:hAnsi="宋体" w:eastAsia="宋体" w:cs="宋体"/>
          <w:color w:val="auto"/>
          <w:kern w:val="0"/>
          <w:sz w:val="21"/>
          <w:szCs w:val="21"/>
          <w:highlight w:val="none"/>
        </w:rPr>
        <w:t>采购人均不予受理。</w:t>
      </w:r>
    </w:p>
    <w:p w14:paraId="1A911F4C">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71" w:name="_Toc195921821"/>
      <w:r>
        <w:rPr>
          <w:rFonts w:hint="eastAsia" w:ascii="宋体" w:hAnsi="宋体" w:eastAsia="宋体" w:cs="宋体"/>
          <w:color w:val="auto"/>
          <w:kern w:val="0"/>
          <w:sz w:val="21"/>
          <w:szCs w:val="21"/>
          <w:highlight w:val="none"/>
        </w:rPr>
        <w:t>投标文件的递交</w:t>
      </w:r>
      <w:bookmarkEnd w:id="71"/>
    </w:p>
    <w:p w14:paraId="0ACDDDB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w:t>
      </w:r>
      <w:r>
        <w:rPr>
          <w:rFonts w:hint="eastAsia" w:ascii="宋体" w:hAnsi="宋体" w:eastAsia="宋体" w:cs="宋体"/>
          <w:color w:val="auto"/>
          <w:sz w:val="21"/>
          <w:szCs w:val="21"/>
          <w:highlight w:val="none"/>
        </w:rPr>
        <w:t>在招标文件要求提交投标文件的截止时间前，将投标文件密封送达投标地点</w:t>
      </w:r>
      <w:r>
        <w:rPr>
          <w:rFonts w:hint="eastAsia" w:ascii="宋体" w:hAnsi="宋体" w:eastAsia="宋体" w:cs="宋体"/>
          <w:color w:val="auto"/>
          <w:kern w:val="0"/>
          <w:sz w:val="21"/>
          <w:szCs w:val="21"/>
          <w:highlight w:val="none"/>
        </w:rPr>
        <w:t>。</w:t>
      </w:r>
    </w:p>
    <w:p w14:paraId="2F90D57B">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投标人递交投标文件的地点：见</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w:t>
      </w:r>
    </w:p>
    <w:p w14:paraId="7066894C">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除投标人不足3家未开标情形外，投标人所递交的投标文件不予退还。</w:t>
      </w:r>
    </w:p>
    <w:p w14:paraId="08E21885">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逾期送达或者未按照招标文件要求密封的投标文件，采购人、采购代理机构应当拒收</w:t>
      </w:r>
      <w:r>
        <w:rPr>
          <w:rFonts w:hint="eastAsia" w:ascii="宋体" w:hAnsi="宋体" w:eastAsia="宋体" w:cs="宋体"/>
          <w:color w:val="auto"/>
          <w:kern w:val="0"/>
          <w:sz w:val="21"/>
          <w:szCs w:val="21"/>
          <w:highlight w:val="none"/>
        </w:rPr>
        <w:t>。</w:t>
      </w:r>
    </w:p>
    <w:p w14:paraId="2717A306">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72" w:name="_Toc195921822"/>
      <w:r>
        <w:rPr>
          <w:rFonts w:hint="eastAsia" w:ascii="宋体" w:hAnsi="宋体" w:eastAsia="宋体" w:cs="宋体"/>
          <w:color w:val="auto"/>
          <w:kern w:val="0"/>
          <w:sz w:val="21"/>
          <w:szCs w:val="21"/>
          <w:highlight w:val="none"/>
        </w:rPr>
        <w:t>投标文件的修改与撤回</w:t>
      </w:r>
      <w:bookmarkEnd w:id="72"/>
    </w:p>
    <w:p w14:paraId="288AA1CD">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规定的投标截止时间前，投标人可以修改或撤回已递交的投标文件，但应以书面形式通知采购人。</w:t>
      </w:r>
    </w:p>
    <w:p w14:paraId="1947DD08">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修改的内容为投标文件的组成部分。修改的投标文件应按照本章第3条、第4条规定进行编制、密封、标记和递交，并标明“修改”字样。</w:t>
      </w:r>
    </w:p>
    <w:p w14:paraId="5C322469">
      <w:pPr>
        <w:pStyle w:val="6"/>
        <w:numPr>
          <w:ilvl w:val="0"/>
          <w:numId w:val="6"/>
        </w:numPr>
        <w:bidi w:val="0"/>
        <w:spacing w:line="240" w:lineRule="auto"/>
        <w:rPr>
          <w:rFonts w:hint="eastAsia" w:ascii="宋体" w:hAnsi="宋体" w:eastAsia="宋体" w:cs="宋体"/>
          <w:color w:val="auto"/>
          <w:sz w:val="24"/>
          <w:szCs w:val="24"/>
          <w:highlight w:val="none"/>
        </w:rPr>
      </w:pPr>
      <w:bookmarkStart w:id="73" w:name="_Toc195921823"/>
      <w:bookmarkStart w:id="74" w:name="_Toc3444"/>
      <w:bookmarkStart w:id="75" w:name="_Toc16836"/>
      <w:r>
        <w:rPr>
          <w:rFonts w:hint="eastAsia" w:ascii="宋体" w:hAnsi="宋体" w:eastAsia="宋体" w:cs="宋体"/>
          <w:color w:val="auto"/>
          <w:sz w:val="24"/>
          <w:szCs w:val="24"/>
          <w:highlight w:val="none"/>
        </w:rPr>
        <w:t>开标</w:t>
      </w:r>
      <w:bookmarkEnd w:id="73"/>
      <w:bookmarkEnd w:id="74"/>
      <w:bookmarkEnd w:id="75"/>
    </w:p>
    <w:p w14:paraId="582475B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76" w:name="_Toc195921824"/>
      <w:r>
        <w:rPr>
          <w:rFonts w:hint="eastAsia" w:ascii="宋体" w:hAnsi="宋体" w:eastAsia="宋体" w:cs="宋体"/>
          <w:color w:val="auto"/>
          <w:kern w:val="0"/>
          <w:sz w:val="21"/>
          <w:szCs w:val="21"/>
          <w:highlight w:val="none"/>
        </w:rPr>
        <w:t>开标时间和地点</w:t>
      </w:r>
      <w:bookmarkEnd w:id="76"/>
    </w:p>
    <w:p w14:paraId="3244A091">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采购人在</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规定的投标截止时间（开标时间）和地点公开开标，并邀请所有投标人的法定代表人或其委托代理人准时参加。投标人未参加开标的，视同认可开标结果。</w:t>
      </w:r>
    </w:p>
    <w:p w14:paraId="2DE78FB5">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投标人不到现场参加投标的，提前在自有场地配置有音视频通话（带摄像头及话筒的电脑）功能的相应设备及稳定网络环境，并按“政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云”开标大厅中的提示完成</w:t>
      </w:r>
      <w:r>
        <w:rPr>
          <w:rFonts w:hint="eastAsia" w:ascii="宋体" w:hAnsi="宋体" w:eastAsia="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rPr>
        <w:t>活动。</w:t>
      </w:r>
    </w:p>
    <w:p w14:paraId="6C548BB2">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投标人不足3家的，不进行开标。</w:t>
      </w:r>
    </w:p>
    <w:p w14:paraId="65A4CA46">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因开标系统、开标现场网络、设备及其他特殊原因，导致不能正常解密投标文件的，经核实和上报相关部门同意后，可再次下达网上解密指令来延长解密时间。</w:t>
      </w:r>
    </w:p>
    <w:p w14:paraId="29A6DE01">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lang w:eastAsia="zh-CN"/>
        </w:rPr>
        <w:t>购人宣布开启电子投标文件后，投标人</w:t>
      </w:r>
      <w:r>
        <w:rPr>
          <w:rFonts w:hint="eastAsia" w:ascii="宋体" w:hAnsi="宋体" w:eastAsia="宋体" w:cs="宋体"/>
          <w:color w:val="auto"/>
          <w:kern w:val="0"/>
          <w:sz w:val="21"/>
          <w:szCs w:val="21"/>
          <w:highlight w:val="none"/>
          <w:lang w:val="en-US" w:eastAsia="zh-CN"/>
        </w:rPr>
        <w:t>登录</w:t>
      </w:r>
      <w:r>
        <w:rPr>
          <w:rFonts w:hint="eastAsia" w:ascii="宋体" w:hAnsi="宋体" w:eastAsia="宋体" w:cs="宋体"/>
          <w:color w:val="auto"/>
          <w:kern w:val="0"/>
          <w:sz w:val="21"/>
          <w:szCs w:val="21"/>
          <w:highlight w:val="none"/>
          <w:lang w:eastAsia="zh-CN"/>
        </w:rPr>
        <w:t>“政</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lang w:eastAsia="zh-CN"/>
        </w:rPr>
        <w:t>云”开标大厅，使用投标人编制投标文件时的加密数字证书对投标文件进行解密。</w:t>
      </w:r>
    </w:p>
    <w:p w14:paraId="1914FD09">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开标过程由采购代理机构负责记录，由参加开标的各投标人代表和相关工作人员签字确认后随采购文件一并存档。</w:t>
      </w:r>
    </w:p>
    <w:p w14:paraId="4DB686E7">
      <w:pPr>
        <w:pStyle w:val="94"/>
        <w:keepNext w:val="0"/>
        <w:keepLines w:val="0"/>
        <w:pageBreakBefore w:val="0"/>
        <w:widowControl w:val="0"/>
        <w:shd w:val="clear"/>
        <w:kinsoku/>
        <w:wordWrap/>
        <w:overflowPunct/>
        <w:topLinePunct w:val="0"/>
        <w:bidi w:val="0"/>
        <w:snapToGrid w:val="0"/>
        <w:spacing w:line="360" w:lineRule="auto"/>
        <w:ind w:left="1132" w:leftChars="53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代表对开标过程和开标记录有疑义，以及认为采购人、采购代理机构相关工作人员有需要回避的情形的，应当场提出询问或者回避申请。开标过程中如有问题，可以在线提出异议，由代理机构给予回复。在规定的异议询问时间内未提出异议的，则视为对开标结果无异议。</w:t>
      </w:r>
    </w:p>
    <w:p w14:paraId="105381D0">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投标人对开标过程有</w:t>
      </w:r>
      <w:r>
        <w:rPr>
          <w:rFonts w:hint="eastAsia" w:ascii="宋体" w:hAnsi="宋体" w:eastAsia="宋体" w:cs="宋体"/>
          <w:color w:val="auto"/>
          <w:kern w:val="0"/>
          <w:sz w:val="21"/>
          <w:szCs w:val="21"/>
          <w:highlight w:val="none"/>
          <w:lang w:val="en-US" w:eastAsia="zh-CN"/>
        </w:rPr>
        <w:t>异议</w:t>
      </w:r>
      <w:r>
        <w:rPr>
          <w:rFonts w:hint="eastAsia" w:ascii="宋体" w:hAnsi="宋体" w:eastAsia="宋体" w:cs="宋体"/>
          <w:color w:val="auto"/>
          <w:kern w:val="0"/>
          <w:sz w:val="21"/>
          <w:szCs w:val="21"/>
          <w:highlight w:val="none"/>
        </w:rPr>
        <w:t>的，在开标结束后七个工作日内，按本须知2.5款接收质疑函的方式以书面形式一次性提出质疑。</w:t>
      </w:r>
    </w:p>
    <w:p w14:paraId="1E6B32E5">
      <w:pPr>
        <w:pStyle w:val="6"/>
        <w:numPr>
          <w:ilvl w:val="0"/>
          <w:numId w:val="6"/>
        </w:numPr>
        <w:bidi w:val="0"/>
        <w:spacing w:line="240" w:lineRule="auto"/>
        <w:rPr>
          <w:rFonts w:hint="eastAsia" w:ascii="宋体" w:hAnsi="宋体" w:eastAsia="宋体" w:cs="宋体"/>
          <w:color w:val="auto"/>
          <w:sz w:val="24"/>
          <w:szCs w:val="24"/>
          <w:highlight w:val="none"/>
        </w:rPr>
      </w:pPr>
      <w:bookmarkStart w:id="77" w:name="_Toc28911"/>
      <w:bookmarkStart w:id="78" w:name="_Toc6719"/>
      <w:bookmarkStart w:id="79" w:name="_Toc195921826"/>
      <w:r>
        <w:rPr>
          <w:rFonts w:hint="eastAsia" w:ascii="宋体" w:hAnsi="宋体" w:eastAsia="宋体" w:cs="宋体"/>
          <w:color w:val="auto"/>
          <w:sz w:val="24"/>
          <w:szCs w:val="24"/>
          <w:highlight w:val="none"/>
        </w:rPr>
        <w:t>资格审查</w:t>
      </w:r>
      <w:bookmarkEnd w:id="77"/>
      <w:bookmarkEnd w:id="78"/>
    </w:p>
    <w:p w14:paraId="2B9D727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开标结束后，采购代理机构依法对投标人的资格进行审查。</w:t>
      </w:r>
    </w:p>
    <w:p w14:paraId="2AC7DCB4">
      <w:pPr>
        <w:pStyle w:val="94"/>
        <w:keepNext w:val="0"/>
        <w:keepLines w:val="0"/>
        <w:pageBreakBefore w:val="0"/>
        <w:widowControl w:val="0"/>
        <w:shd w:val="clear"/>
        <w:kinsoku/>
        <w:wordWrap/>
        <w:overflowPunct/>
        <w:topLinePunct w:val="0"/>
        <w:bidi w:val="0"/>
        <w:snapToGrid w:val="0"/>
        <w:spacing w:line="360" w:lineRule="auto"/>
        <w:ind w:left="1132" w:leftChars="53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通过资格审查的投标人不足3家的，不得评标。</w:t>
      </w:r>
    </w:p>
    <w:p w14:paraId="4C789444">
      <w:pPr>
        <w:pStyle w:val="6"/>
        <w:numPr>
          <w:ilvl w:val="0"/>
          <w:numId w:val="6"/>
        </w:numPr>
        <w:bidi w:val="0"/>
        <w:spacing w:line="240" w:lineRule="auto"/>
        <w:rPr>
          <w:rFonts w:hint="eastAsia" w:ascii="宋体" w:hAnsi="宋体" w:eastAsia="宋体" w:cs="宋体"/>
          <w:color w:val="auto"/>
          <w:sz w:val="24"/>
          <w:szCs w:val="24"/>
          <w:highlight w:val="none"/>
        </w:rPr>
      </w:pPr>
      <w:bookmarkStart w:id="80" w:name="_Toc30234"/>
      <w:bookmarkStart w:id="81" w:name="_Toc8893"/>
      <w:r>
        <w:rPr>
          <w:rFonts w:hint="eastAsia" w:ascii="宋体" w:hAnsi="宋体" w:eastAsia="宋体" w:cs="宋体"/>
          <w:color w:val="auto"/>
          <w:sz w:val="24"/>
          <w:szCs w:val="24"/>
          <w:highlight w:val="none"/>
        </w:rPr>
        <w:t>评标</w:t>
      </w:r>
      <w:bookmarkEnd w:id="79"/>
      <w:bookmarkEnd w:id="80"/>
      <w:bookmarkEnd w:id="81"/>
    </w:p>
    <w:p w14:paraId="5D7D22CC">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82" w:name="_Toc195921827"/>
      <w:r>
        <w:rPr>
          <w:rFonts w:hint="eastAsia" w:ascii="宋体" w:hAnsi="宋体" w:eastAsia="宋体" w:cs="宋体"/>
          <w:color w:val="auto"/>
          <w:kern w:val="0"/>
          <w:sz w:val="21"/>
          <w:szCs w:val="21"/>
          <w:highlight w:val="none"/>
        </w:rPr>
        <w:t>评标委员会</w:t>
      </w:r>
      <w:bookmarkEnd w:id="82"/>
    </w:p>
    <w:p w14:paraId="76E8F77E">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评标由采购人依法组建的评标委员会负责。评标委员会由采购人代表和有关技术、经济等方面的专家组成。</w:t>
      </w:r>
    </w:p>
    <w:p w14:paraId="2E7CF538">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评标委员会成员有下列情形之一的，应当回避：</w:t>
      </w:r>
    </w:p>
    <w:p w14:paraId="6B8E6ED2">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（1）参加采购活动前3年内与投标人存在劳动关系；</w:t>
      </w:r>
    </w:p>
    <w:p w14:paraId="568C4A2C">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（2）参加采购活动前3年内担任投标人的董事、监事；</w:t>
      </w:r>
    </w:p>
    <w:p w14:paraId="7935CC97">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（3）参加采购活动前3年内是投标人的控股股东或者实际控制人；</w:t>
      </w:r>
    </w:p>
    <w:p w14:paraId="45582792">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（4）与投标人的法定代表人或者负责人有夫妻、直系血亲、三代以内旁系血亲或者近姻亲关系；</w:t>
      </w:r>
    </w:p>
    <w:p w14:paraId="5B383E73">
      <w:pPr>
        <w:pStyle w:val="94"/>
        <w:keepNext w:val="0"/>
        <w:keepLines w:val="0"/>
        <w:pageBreakBefore w:val="0"/>
        <w:widowControl w:val="0"/>
        <w:shd w:val="clear"/>
        <w:kinsoku/>
        <w:wordWrap/>
        <w:overflowPunct/>
        <w:topLinePunct w:val="0"/>
        <w:bidi w:val="0"/>
        <w:snapToGrid w:val="0"/>
        <w:spacing w:line="360" w:lineRule="auto"/>
        <w:ind w:left="1659" w:leftChars="540" w:hanging="525" w:hanging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（5）与投标人有其他可能影响政府采购活动公平、公正进行的关系。</w:t>
      </w:r>
    </w:p>
    <w:p w14:paraId="3ED40AB3">
      <w:pPr>
        <w:keepNext w:val="0"/>
        <w:keepLines w:val="0"/>
        <w:pageBreakBefore w:val="0"/>
        <w:widowControl w:val="0"/>
        <w:numPr>
          <w:ilvl w:val="2"/>
          <w:numId w:val="6"/>
        </w:numPr>
        <w:shd w:val="clear"/>
        <w:tabs>
          <w:tab w:val="left" w:pos="1260"/>
          <w:tab w:val="left" w:pos="1418"/>
          <w:tab w:val="left" w:pos="180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w:t>
      </w:r>
      <w:r>
        <w:rPr>
          <w:rFonts w:hint="eastAsia" w:ascii="宋体" w:hAnsi="宋体" w:eastAsia="宋体" w:cs="宋体"/>
          <w:color w:val="auto"/>
          <w:sz w:val="21"/>
          <w:szCs w:val="21"/>
          <w:highlight w:val="none"/>
        </w:rPr>
        <w:t>负责具体评标事务，并独立履行下列职责</w:t>
      </w:r>
      <w:r>
        <w:rPr>
          <w:rFonts w:hint="eastAsia" w:ascii="宋体" w:hAnsi="宋体" w:eastAsia="宋体" w:cs="宋体"/>
          <w:color w:val="auto"/>
          <w:kern w:val="0"/>
          <w:sz w:val="21"/>
          <w:szCs w:val="21"/>
          <w:highlight w:val="none"/>
        </w:rPr>
        <w:t>：</w:t>
      </w:r>
    </w:p>
    <w:p w14:paraId="18CCF659">
      <w:pPr>
        <w:pStyle w:val="94"/>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bookmarkStart w:id="83" w:name="_Toc195921828"/>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审查、评价投标文件是否符合招标文件的商务、技术等实质性要求；</w:t>
      </w:r>
    </w:p>
    <w:p w14:paraId="19221C79">
      <w:pPr>
        <w:pStyle w:val="94"/>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要求投标人对投标文件有关事项作出澄清或者说明；</w:t>
      </w:r>
    </w:p>
    <w:p w14:paraId="433400B0">
      <w:pPr>
        <w:pStyle w:val="94"/>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对投标文件进行比较和评价；</w:t>
      </w:r>
    </w:p>
    <w:p w14:paraId="74339B82">
      <w:pPr>
        <w:pStyle w:val="94"/>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确定中标候选人名单，以及根据采购人委托直接确定中标人；</w:t>
      </w:r>
    </w:p>
    <w:p w14:paraId="32F1D3C7">
      <w:pPr>
        <w:pStyle w:val="94"/>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向采购人、采购代理机构或者有关部门报告评标中发现的违法行为。</w:t>
      </w:r>
    </w:p>
    <w:p w14:paraId="459EA5FC">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评标委员会应当对符合资格的投标人的投标文件进行符合性审查，以确定其是否满足招标文件的实质性要求。</w:t>
      </w:r>
      <w:bookmarkEnd w:id="83"/>
    </w:p>
    <w:p w14:paraId="44BD0361">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按照第三章“资格审查、评标办法和标准”规定的评标方法和标准，对符合性审查合格的投标文件进行商务和技术评估，综合比较与评价。“评标办法”没有规定的方法、评审因素和标准，不作为评标依据。</w:t>
      </w:r>
    </w:p>
    <w:p w14:paraId="0E5D37D9">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在评标过程中发现投标人有不遵循公平竞争的原则，恶意串通，妨碍其他投标人的竞争行为，损害采购人或者其他投标人的合法权益的，评标委员会应当认定其投标无效，并书面报告本级财政部门。</w:t>
      </w:r>
    </w:p>
    <w:p w14:paraId="1DFA34B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公开招标数额标准以上的采购项目，投标截止后投标人不足3家或者通过资格审查或符合性审查的投标人不足3家的，除采购任务取消情形外，将重新招标或采用其他采购方式采购。</w:t>
      </w:r>
    </w:p>
    <w:p w14:paraId="47197547">
      <w:pPr>
        <w:pStyle w:val="6"/>
        <w:numPr>
          <w:ilvl w:val="0"/>
          <w:numId w:val="6"/>
        </w:numPr>
        <w:bidi w:val="0"/>
        <w:spacing w:line="240" w:lineRule="auto"/>
        <w:rPr>
          <w:rFonts w:hint="eastAsia" w:ascii="宋体" w:hAnsi="宋体" w:eastAsia="宋体" w:cs="宋体"/>
          <w:color w:val="auto"/>
          <w:sz w:val="24"/>
          <w:szCs w:val="24"/>
          <w:highlight w:val="none"/>
        </w:rPr>
      </w:pPr>
      <w:bookmarkStart w:id="84" w:name="_Toc22849"/>
      <w:bookmarkStart w:id="85" w:name="_Toc19223"/>
      <w:bookmarkStart w:id="86" w:name="_Toc195921830"/>
      <w:r>
        <w:rPr>
          <w:rFonts w:hint="eastAsia" w:ascii="宋体" w:hAnsi="宋体" w:eastAsia="宋体" w:cs="宋体"/>
          <w:color w:val="auto"/>
          <w:sz w:val="24"/>
          <w:szCs w:val="24"/>
          <w:highlight w:val="none"/>
        </w:rPr>
        <w:t>合同授予</w:t>
      </w:r>
      <w:bookmarkEnd w:id="84"/>
      <w:bookmarkEnd w:id="85"/>
      <w:bookmarkEnd w:id="86"/>
    </w:p>
    <w:p w14:paraId="0DED967C">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1470" w:hanging="1470" w:hangingChars="700"/>
        <w:textAlignment w:val="auto"/>
        <w:rPr>
          <w:rFonts w:hint="eastAsia" w:ascii="宋体" w:hAnsi="宋体" w:eastAsia="宋体" w:cs="宋体"/>
          <w:color w:val="auto"/>
          <w:kern w:val="0"/>
          <w:sz w:val="21"/>
          <w:szCs w:val="21"/>
          <w:highlight w:val="none"/>
        </w:rPr>
      </w:pPr>
      <w:bookmarkStart w:id="87" w:name="_Toc195921831"/>
      <w:r>
        <w:rPr>
          <w:rFonts w:hint="eastAsia" w:ascii="宋体" w:hAnsi="宋体" w:eastAsia="宋体" w:cs="宋体"/>
          <w:color w:val="auto"/>
          <w:kern w:val="0"/>
          <w:sz w:val="21"/>
          <w:szCs w:val="21"/>
          <w:highlight w:val="none"/>
        </w:rPr>
        <w:t>定标方式</w:t>
      </w:r>
      <w:bookmarkEnd w:id="87"/>
    </w:p>
    <w:p w14:paraId="3F30A41C">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采购人按评标报告确定的中标候选人名单中按顺序确定中标人。评标委员会确定的中标候选人的人数见投标人须知前附表。</w:t>
      </w:r>
    </w:p>
    <w:p w14:paraId="6BE468DE">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1470" w:hanging="1470" w:hangingChars="7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中标公告</w:t>
      </w:r>
    </w:p>
    <w:p w14:paraId="3457251B">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采购人或者采购代理机构应当自中标人确定之日起2个工作日内，在省级以上财政部门指定的媒体上公告中标结果。中标公告期限为1个工作日。</w:t>
      </w:r>
    </w:p>
    <w:p w14:paraId="12E6E4D5">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投标人认为中标结果使自己的权益受到损害的，在中标公告期限届满之日</w:t>
      </w:r>
      <w:r>
        <w:rPr>
          <w:rFonts w:hint="eastAsia" w:ascii="宋体" w:hAnsi="宋体" w:eastAsia="宋体" w:cs="宋体"/>
          <w:color w:val="auto"/>
          <w:sz w:val="21"/>
          <w:szCs w:val="21"/>
          <w:highlight w:val="none"/>
        </w:rPr>
        <w:t>起七个工作日内，按本须知2.5款接收质疑函的方式以书面形式一次性提出对中标结果的质疑。</w:t>
      </w:r>
    </w:p>
    <w:p w14:paraId="06BF133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1470" w:hanging="1470" w:hangingChars="700"/>
        <w:textAlignment w:val="auto"/>
        <w:rPr>
          <w:rFonts w:hint="eastAsia" w:ascii="宋体" w:hAnsi="宋体" w:eastAsia="宋体" w:cs="宋体"/>
          <w:color w:val="auto"/>
          <w:kern w:val="0"/>
          <w:sz w:val="21"/>
          <w:szCs w:val="21"/>
          <w:highlight w:val="none"/>
        </w:rPr>
      </w:pPr>
      <w:bookmarkStart w:id="88" w:name="_Toc195921832"/>
      <w:r>
        <w:rPr>
          <w:rFonts w:hint="eastAsia" w:ascii="宋体" w:hAnsi="宋体" w:eastAsia="宋体" w:cs="宋体"/>
          <w:color w:val="auto"/>
          <w:kern w:val="0"/>
          <w:sz w:val="21"/>
          <w:szCs w:val="21"/>
          <w:highlight w:val="none"/>
        </w:rPr>
        <w:t>中标通知</w:t>
      </w:r>
      <w:bookmarkEnd w:id="88"/>
    </w:p>
    <w:p w14:paraId="1DDBD362">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在公告中标结果的同时，采购人以书面形式向中标人发出中标通知书，同时将中标结果通知未中标的投标人。</w:t>
      </w:r>
      <w:r>
        <w:rPr>
          <w:rFonts w:hint="eastAsia" w:ascii="宋体" w:hAnsi="宋体" w:eastAsia="宋体" w:cs="宋体"/>
          <w:color w:val="auto"/>
          <w:sz w:val="21"/>
          <w:szCs w:val="21"/>
          <w:highlight w:val="none"/>
        </w:rPr>
        <w:t>中标通知书发出后，采购人不得违法改变中标结果，中标人无正当理由不得放弃中标。</w:t>
      </w:r>
    </w:p>
    <w:p w14:paraId="2542BD06">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p w14:paraId="059E84E8">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bookmarkStart w:id="89" w:name="_Ref421009348"/>
      <w:r>
        <w:rPr>
          <w:rFonts w:hint="eastAsia" w:ascii="宋体" w:hAnsi="宋体" w:eastAsia="宋体" w:cs="宋体"/>
          <w:color w:val="auto"/>
          <w:kern w:val="0"/>
          <w:sz w:val="21"/>
          <w:szCs w:val="21"/>
          <w:highlight w:val="none"/>
        </w:rPr>
        <w:t>中标人应按投标人须知前附表规定的金额、担保形式向采购人提交履约保证金。</w:t>
      </w:r>
      <w:bookmarkEnd w:id="89"/>
    </w:p>
    <w:p w14:paraId="415A3F96">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中标人不能按本章第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_Ref421009348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8.4.1</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项要求提交履约保证金的，视为放弃中标，其投标保证金不予退还，给采购人造成的损失超过投标保证金数额的，中标人还应当对超过部分予以赔偿。</w:t>
      </w:r>
    </w:p>
    <w:p w14:paraId="358F69B5">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90" w:name="_Toc195921834"/>
      <w:r>
        <w:rPr>
          <w:rFonts w:hint="eastAsia" w:ascii="宋体" w:hAnsi="宋体" w:eastAsia="宋体" w:cs="宋体"/>
          <w:color w:val="auto"/>
          <w:kern w:val="0"/>
          <w:sz w:val="21"/>
          <w:szCs w:val="21"/>
          <w:highlight w:val="none"/>
        </w:rPr>
        <w:t>签订合同</w:t>
      </w:r>
      <w:bookmarkEnd w:id="90"/>
    </w:p>
    <w:p w14:paraId="2C6111CB">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采购人应当自中标通知书发出之日起30日内，按照招标文件和中标人投标文件的规定，与中标人签订书面合同。所签订的合同不得对招标文件确定的事项和中标人投标文件作实质性修改。</w:t>
      </w:r>
    </w:p>
    <w:p w14:paraId="3F678DE5">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采购人不得向中标人提出任何不合理的要求作为签订合同的条件。</w:t>
      </w:r>
    </w:p>
    <w:p w14:paraId="1BAC0107">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中标或者成交</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拒绝与采购人签订合同的，采购人可以按照评审报告推荐的中标或者成交候选人名单排序，确定下一候选人为中标或者成交</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，也可以重新开展政府采购活动。中标人无正当理由拒签合同的，采购人取消其中标资格，其投标保证金不予退还；给采购人造成的损失超过投标保证金数额的，中标人还应当对超过部分予以赔偿。</w:t>
      </w:r>
    </w:p>
    <w:p w14:paraId="3DE6C624">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发出中标通知书后，采购人无正当理由拒签合同的，采购人向中标人退还投标保证金；给中标人造成损失的，还应当赔偿损失。</w:t>
      </w:r>
    </w:p>
    <w:p w14:paraId="0783C8A8">
      <w:pPr>
        <w:keepNext w:val="0"/>
        <w:keepLines w:val="0"/>
        <w:pageBreakBefore w:val="0"/>
        <w:widowControl w:val="0"/>
        <w:numPr>
          <w:ilvl w:val="2"/>
          <w:numId w:val="6"/>
        </w:numPr>
        <w:shd w:val="clea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依据《政府采购促进中小企业发展管理办法》（财库〔2020〕46号）规定享受扶持政策获得政府采购合同的，小微企业不得将合同分包给大中型企业，中型企业不得将合同分包给大型企业。</w:t>
      </w:r>
    </w:p>
    <w:p w14:paraId="5D56EF18">
      <w:pPr>
        <w:pStyle w:val="6"/>
        <w:numPr>
          <w:ilvl w:val="0"/>
          <w:numId w:val="6"/>
        </w:numPr>
        <w:bidi w:val="0"/>
        <w:spacing w:line="240" w:lineRule="auto"/>
        <w:rPr>
          <w:rFonts w:hint="eastAsia" w:ascii="宋体" w:hAnsi="宋体" w:eastAsia="宋体" w:cs="宋体"/>
          <w:color w:val="auto"/>
          <w:sz w:val="24"/>
          <w:szCs w:val="24"/>
          <w:highlight w:val="none"/>
        </w:rPr>
      </w:pPr>
      <w:bookmarkStart w:id="91" w:name="_Toc2343"/>
      <w:bookmarkStart w:id="92" w:name="_Toc195921838"/>
      <w:bookmarkStart w:id="93" w:name="_Toc28634"/>
      <w:r>
        <w:rPr>
          <w:rFonts w:hint="eastAsia" w:ascii="宋体" w:hAnsi="宋体" w:eastAsia="宋体" w:cs="宋体"/>
          <w:color w:val="auto"/>
          <w:sz w:val="24"/>
          <w:szCs w:val="24"/>
          <w:highlight w:val="none"/>
        </w:rPr>
        <w:t>纪律和监督</w:t>
      </w:r>
      <w:bookmarkEnd w:id="91"/>
      <w:bookmarkEnd w:id="92"/>
      <w:bookmarkEnd w:id="93"/>
    </w:p>
    <w:p w14:paraId="2985A24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94" w:name="_Toc195921839"/>
      <w:r>
        <w:rPr>
          <w:rFonts w:hint="eastAsia" w:ascii="宋体" w:hAnsi="宋体" w:eastAsia="宋体" w:cs="宋体"/>
          <w:color w:val="auto"/>
          <w:kern w:val="0"/>
          <w:sz w:val="21"/>
          <w:szCs w:val="21"/>
          <w:highlight w:val="none"/>
        </w:rPr>
        <w:t>对采购人的要求</w:t>
      </w:r>
      <w:bookmarkEnd w:id="94"/>
    </w:p>
    <w:p w14:paraId="60F791B3">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采购人在政府采购活动中应当维护国家利益和社会公共利益，公正廉洁，诚实守信，执行政府采购政策。采购人不得向投标人索要或者接受其给予的赠品、回扣或者与采购无关的其他商品、服务</w:t>
      </w:r>
      <w:r>
        <w:rPr>
          <w:rFonts w:hint="eastAsia" w:ascii="宋体" w:hAnsi="宋体" w:eastAsia="宋体" w:cs="宋体"/>
          <w:color w:val="auto"/>
          <w:kern w:val="0"/>
          <w:sz w:val="21"/>
          <w:szCs w:val="21"/>
          <w:highlight w:val="none"/>
        </w:rPr>
        <w:t>。</w:t>
      </w:r>
    </w:p>
    <w:p w14:paraId="2883C0B2">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95" w:name="_Toc195921840"/>
      <w:r>
        <w:rPr>
          <w:rFonts w:hint="eastAsia" w:ascii="宋体" w:hAnsi="宋体" w:eastAsia="宋体" w:cs="宋体"/>
          <w:color w:val="auto"/>
          <w:kern w:val="0"/>
          <w:sz w:val="21"/>
          <w:szCs w:val="21"/>
          <w:highlight w:val="none"/>
        </w:rPr>
        <w:t>对采购代理机构的要求</w:t>
      </w:r>
    </w:p>
    <w:p w14:paraId="712BD34A">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采购代理机构不得与采购人、投标人恶意串通操纵政府采购活动。</w:t>
      </w:r>
    </w:p>
    <w:p w14:paraId="2237AA2A">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采购代理机构工作人员不得接受采购人或者投标人组织的宴请、旅游、娱乐，不得收受礼品、现金、有价证券等，不得向采购人或投标人报销应当由个人承担的费用。</w:t>
      </w:r>
    </w:p>
    <w:p w14:paraId="20C1012B">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对投标人的纪律要求</w:t>
      </w:r>
      <w:bookmarkEnd w:id="95"/>
    </w:p>
    <w:p w14:paraId="461005A6">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4AA352CB">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96" w:name="_Toc195921841"/>
      <w:r>
        <w:rPr>
          <w:rFonts w:hint="eastAsia" w:ascii="宋体" w:hAnsi="宋体" w:eastAsia="宋体" w:cs="宋体"/>
          <w:color w:val="auto"/>
          <w:kern w:val="0"/>
          <w:sz w:val="21"/>
          <w:szCs w:val="21"/>
          <w:highlight w:val="none"/>
        </w:rPr>
        <w:t>评标委员会及其成员不得有下列行为</w:t>
      </w:r>
      <w:bookmarkEnd w:id="96"/>
    </w:p>
    <w:p w14:paraId="78CB100D">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确定参与评标至评标结束前私自接触投标人；</w:t>
      </w:r>
    </w:p>
    <w:p w14:paraId="119FE755">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接受投标人提出的与投标文件不一致的澄清或者说明，评标委员会要求投标人作出必要的澄清、说明或者补正的情形除外；</w:t>
      </w:r>
    </w:p>
    <w:p w14:paraId="02673E38">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违反评标纪律发表倾向性意见或者征询采购人的倾向性意见；</w:t>
      </w:r>
    </w:p>
    <w:p w14:paraId="13BAAD15">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对需要专业判断的主观评审因素协商评分；</w:t>
      </w:r>
    </w:p>
    <w:p w14:paraId="0833D0D4">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在评标过程中擅离职守，影响评标程序正常进行的；</w:t>
      </w:r>
    </w:p>
    <w:p w14:paraId="135959A5">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记录、复制或者带走任何评标资料；</w:t>
      </w:r>
    </w:p>
    <w:p w14:paraId="11604102">
      <w:pPr>
        <w:keepNext w:val="0"/>
        <w:keepLines w:val="0"/>
        <w:pageBreakBefore w:val="0"/>
        <w:widowControl w:val="0"/>
        <w:shd w:val="clear"/>
        <w:kinsoku/>
        <w:wordWrap/>
        <w:overflowPunct/>
        <w:topLinePunct w:val="0"/>
        <w:bidi w:val="0"/>
        <w:snapToGrid w:val="0"/>
        <w:spacing w:line="360" w:lineRule="auto"/>
        <w:ind w:left="1751" w:leftChars="539" w:hanging="619" w:hangingChars="2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其他不遵守评标纪律的行为。</w:t>
      </w:r>
    </w:p>
    <w:p w14:paraId="3242FA98">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bookmarkStart w:id="97" w:name="_Toc195921842"/>
      <w:r>
        <w:rPr>
          <w:rFonts w:hint="eastAsia" w:ascii="宋体" w:hAnsi="宋体" w:eastAsia="宋体" w:cs="宋体"/>
          <w:color w:val="auto"/>
          <w:kern w:val="0"/>
          <w:sz w:val="21"/>
          <w:szCs w:val="21"/>
          <w:highlight w:val="none"/>
        </w:rPr>
        <w:t>对与评标活动有关的工作人员的纪律要求</w:t>
      </w:r>
      <w:bookmarkEnd w:id="97"/>
    </w:p>
    <w:p w14:paraId="5318305A">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与评标活动有关的工作人员不得收受他人的财物或者其他好处，不得向他人</w:t>
      </w:r>
      <w:r>
        <w:rPr>
          <w:rFonts w:hint="eastAsia" w:ascii="宋体" w:hAnsi="宋体" w:eastAsia="宋体" w:cs="宋体"/>
          <w:color w:val="auto"/>
          <w:kern w:val="0"/>
          <w:sz w:val="21"/>
          <w:szCs w:val="21"/>
          <w:highlight w:val="none"/>
          <w:lang w:val="en-US" w:eastAsia="zh-CN"/>
        </w:rPr>
        <w:t>透露</w:t>
      </w:r>
      <w:r>
        <w:rPr>
          <w:rFonts w:hint="eastAsia" w:ascii="宋体" w:hAnsi="宋体" w:eastAsia="宋体" w:cs="宋体"/>
          <w:color w:val="auto"/>
          <w:kern w:val="0"/>
          <w:sz w:val="21"/>
          <w:szCs w:val="21"/>
          <w:highlight w:val="none"/>
        </w:rPr>
        <w:t>对投标文件的评审和比较、中标候选人的推荐情况以及评标有关的其他情况。在评标活动中，与评标活动有关的工作人员不得擅离职守，影响评标程序正常进行。</w:t>
      </w:r>
    </w:p>
    <w:p w14:paraId="131CF58D">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1680" w:hanging="1680" w:hangingChars="800"/>
        <w:textAlignment w:val="auto"/>
        <w:rPr>
          <w:rFonts w:hint="eastAsia" w:ascii="宋体" w:hAnsi="宋体" w:eastAsia="宋体" w:cs="宋体"/>
          <w:color w:val="auto"/>
          <w:kern w:val="0"/>
          <w:sz w:val="21"/>
          <w:szCs w:val="21"/>
          <w:highlight w:val="none"/>
        </w:rPr>
      </w:pPr>
      <w:bookmarkStart w:id="98" w:name="_Toc195921843"/>
      <w:r>
        <w:rPr>
          <w:rFonts w:hint="eastAsia" w:ascii="宋体" w:hAnsi="宋体" w:eastAsia="宋体" w:cs="宋体"/>
          <w:color w:val="auto"/>
          <w:kern w:val="0"/>
          <w:sz w:val="21"/>
          <w:szCs w:val="21"/>
          <w:highlight w:val="none"/>
        </w:rPr>
        <w:t>投诉</w:t>
      </w:r>
      <w:bookmarkEnd w:id="98"/>
    </w:p>
    <w:p w14:paraId="4C4F6959">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投标人和其他利害关系人认为本次招标活动违反法律、法规和规章规定的，有权向有关行政监督部门投诉。</w:t>
      </w:r>
    </w:p>
    <w:p w14:paraId="025BE5C1">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恶意质疑、投诉的法律后果：</w:t>
      </w:r>
    </w:p>
    <w:p w14:paraId="51B97B9A">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对捏造事实、提供虚假材料进行质疑、投诉的行为予以严肃处理：《政府采购质疑和投诉办法》（财政部 94 号令）规定，投诉人在全国范围内十二个月内三次以上投诉查无实据的，由财政部门列入不良行为记录名单。</w:t>
      </w:r>
    </w:p>
    <w:p w14:paraId="0E3DC232">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4B6C1E7">
      <w:pPr>
        <w:keepNext w:val="0"/>
        <w:keepLines w:val="0"/>
        <w:pageBreakBefore w:val="0"/>
        <w:widowControl w:val="0"/>
        <w:shd w:val="clear"/>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对捏造事实诬告陷害他人、诽谤他人的法律适用： 《中华人民共和国刑法》第 243 条【诬告陷害罪】捏造事实诬告陷害他人，意图使他人受刑事追究，情节严重的，处三年以下有期徒刑、拘役或者管制；造成严重后果的，处三年以上十年以下有期徒刑。 《中华人民共和国刑法》第 246 条【侮辱罪、诽谤罪】以暴力或者其他方法公然侮辱他人或者捏造事实诽谤他人，情节严重的，处三年以下有期徒刑、拘役、管制或者剥夺政治权利。</w:t>
      </w:r>
    </w:p>
    <w:p w14:paraId="236008B9">
      <w:pPr>
        <w:pStyle w:val="6"/>
        <w:numPr>
          <w:ilvl w:val="0"/>
          <w:numId w:val="6"/>
        </w:numPr>
        <w:bidi w:val="0"/>
        <w:spacing w:line="240" w:lineRule="auto"/>
        <w:rPr>
          <w:rFonts w:hint="eastAsia" w:ascii="宋体" w:hAnsi="宋体" w:eastAsia="宋体" w:cs="宋体"/>
          <w:color w:val="auto"/>
          <w:sz w:val="24"/>
          <w:szCs w:val="24"/>
          <w:highlight w:val="none"/>
        </w:rPr>
      </w:pPr>
      <w:bookmarkStart w:id="99" w:name="_Toc29652"/>
      <w:bookmarkStart w:id="100" w:name="_Toc195921844"/>
      <w:bookmarkStart w:id="101" w:name="_Toc25557"/>
      <w:r>
        <w:rPr>
          <w:rFonts w:hint="eastAsia" w:ascii="宋体" w:hAnsi="宋体" w:eastAsia="宋体" w:cs="宋体"/>
          <w:color w:val="auto"/>
          <w:sz w:val="24"/>
          <w:szCs w:val="24"/>
          <w:highlight w:val="none"/>
        </w:rPr>
        <w:t>需要补充的其他内容</w:t>
      </w:r>
      <w:bookmarkEnd w:id="99"/>
      <w:bookmarkEnd w:id="100"/>
      <w:bookmarkEnd w:id="101"/>
    </w:p>
    <w:p w14:paraId="4451300A">
      <w:pPr>
        <w:keepNext w:val="0"/>
        <w:keepLines w:val="0"/>
        <w:pageBreakBefore w:val="0"/>
        <w:widowControl w:val="0"/>
        <w:numPr>
          <w:ilvl w:val="1"/>
          <w:numId w:val="6"/>
        </w:numPr>
        <w:shd w:val="clear"/>
        <w:kinsoku/>
        <w:wordWrap/>
        <w:overflowPunct/>
        <w:topLinePunct w:val="0"/>
        <w:autoSpaceDE w:val="0"/>
        <w:autoSpaceDN w:val="0"/>
        <w:bidi w:val="0"/>
        <w:adjustRightInd w:val="0"/>
        <w:snapToGrid w:val="0"/>
        <w:spacing w:line="360" w:lineRule="auto"/>
        <w:ind w:left="991" w:hanging="991" w:hanging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需要补充的其他内容：见投标人须知前附表。</w:t>
      </w:r>
    </w:p>
    <w:p w14:paraId="0217AF3A">
      <w:pPr>
        <w:shd w:val="clea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bookmarkEnd w:id="39"/>
    <w:p w14:paraId="02FBB85C">
      <w:pPr>
        <w:pStyle w:val="2"/>
        <w:shd w:val="clear"/>
        <w:jc w:val="center"/>
        <w:rPr>
          <w:rFonts w:hint="eastAsia" w:ascii="宋体" w:hAnsi="宋体" w:eastAsia="宋体" w:cs="宋体"/>
          <w:color w:val="auto"/>
          <w:highlight w:val="none"/>
          <w:lang w:eastAsia="zh-CN"/>
        </w:rPr>
      </w:pPr>
      <w:bookmarkStart w:id="102" w:name="_Toc195921851"/>
      <w:bookmarkStart w:id="103" w:name="_Toc9706"/>
      <w:bookmarkStart w:id="104" w:name="_Toc16268"/>
      <w:bookmarkStart w:id="105" w:name="_Toc28166"/>
      <w:bookmarkStart w:id="106" w:name="_Toc29029"/>
      <w:r>
        <w:rPr>
          <w:rFonts w:hint="eastAsia" w:ascii="宋体" w:hAnsi="宋体" w:eastAsia="宋体" w:cs="宋体"/>
          <w:color w:val="auto"/>
          <w:highlight w:val="none"/>
          <w:lang w:eastAsia="zh-CN"/>
        </w:rPr>
        <w:t>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资格审查、评标办法</w:t>
      </w:r>
      <w:bookmarkEnd w:id="102"/>
      <w:r>
        <w:rPr>
          <w:rFonts w:hint="eastAsia" w:ascii="宋体" w:hAnsi="宋体" w:eastAsia="宋体" w:cs="宋体"/>
          <w:color w:val="auto"/>
          <w:highlight w:val="none"/>
          <w:lang w:eastAsia="zh-CN"/>
        </w:rPr>
        <w:t>和标准</w:t>
      </w:r>
      <w:bookmarkEnd w:id="103"/>
      <w:bookmarkEnd w:id="104"/>
      <w:bookmarkEnd w:id="105"/>
      <w:bookmarkEnd w:id="106"/>
    </w:p>
    <w:p w14:paraId="7739793F">
      <w:pPr>
        <w:pStyle w:val="4"/>
        <w:numPr>
          <w:ilvl w:val="0"/>
          <w:numId w:val="9"/>
        </w:numPr>
        <w:bidi w:val="0"/>
        <w:spacing w:line="240" w:lineRule="auto"/>
        <w:rPr>
          <w:rFonts w:hint="eastAsia" w:ascii="宋体" w:hAnsi="宋体" w:eastAsia="宋体" w:cs="宋体"/>
          <w:color w:val="auto"/>
          <w:sz w:val="24"/>
          <w:szCs w:val="24"/>
          <w:highlight w:val="none"/>
        </w:rPr>
      </w:pPr>
      <w:bookmarkStart w:id="107" w:name="_Toc31577"/>
      <w:bookmarkStart w:id="108" w:name="_Toc13499"/>
      <w:r>
        <w:rPr>
          <w:rFonts w:hint="eastAsia" w:ascii="宋体" w:hAnsi="宋体" w:eastAsia="宋体" w:cs="宋体"/>
          <w:color w:val="auto"/>
          <w:sz w:val="24"/>
          <w:szCs w:val="24"/>
          <w:highlight w:val="none"/>
        </w:rPr>
        <w:t>资格审查及标准</w:t>
      </w:r>
      <w:bookmarkEnd w:id="107"/>
      <w:bookmarkEnd w:id="108"/>
    </w:p>
    <w:p w14:paraId="6A4D97F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991" w:leftChars="47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详见投标人须知前附表6.1，由采购代理机构按附表一所列审查标准，对投标人资格进行审查，以确定投标人是否具备投标资格，投标人未通过资格审查的，其投标无效。</w:t>
      </w:r>
    </w:p>
    <w:p w14:paraId="6E04C496">
      <w:pPr>
        <w:pStyle w:val="4"/>
        <w:numPr>
          <w:ilvl w:val="0"/>
          <w:numId w:val="9"/>
        </w:numPr>
        <w:bidi w:val="0"/>
        <w:spacing w:line="240" w:lineRule="auto"/>
        <w:rPr>
          <w:rFonts w:hint="eastAsia" w:ascii="宋体" w:hAnsi="宋体" w:eastAsia="宋体" w:cs="宋体"/>
          <w:color w:val="auto"/>
          <w:sz w:val="24"/>
          <w:szCs w:val="24"/>
          <w:highlight w:val="none"/>
        </w:rPr>
      </w:pPr>
      <w:bookmarkStart w:id="109" w:name="_Toc10671"/>
      <w:bookmarkStart w:id="110" w:name="_Toc25398"/>
      <w:r>
        <w:rPr>
          <w:rFonts w:hint="eastAsia" w:ascii="宋体" w:hAnsi="宋体" w:eastAsia="宋体" w:cs="宋体"/>
          <w:color w:val="auto"/>
          <w:sz w:val="24"/>
          <w:szCs w:val="24"/>
          <w:highlight w:val="none"/>
        </w:rPr>
        <w:t>评标方法</w:t>
      </w:r>
      <w:bookmarkEnd w:id="109"/>
      <w:bookmarkEnd w:id="110"/>
    </w:p>
    <w:p w14:paraId="424F50D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991" w:leftChars="472"/>
        <w:textAlignment w:val="auto"/>
        <w:rPr>
          <w:rFonts w:hint="eastAsia" w:ascii="宋体" w:hAnsi="宋体" w:eastAsia="宋体" w:cs="宋体"/>
          <w:color w:val="auto"/>
          <w:kern w:val="0"/>
          <w:sz w:val="21"/>
          <w:szCs w:val="21"/>
          <w:highlight w:val="none"/>
        </w:rPr>
      </w:pPr>
      <w:bookmarkStart w:id="111" w:name="_Toc23815"/>
      <w:bookmarkStart w:id="112" w:name="_Toc12642"/>
      <w:bookmarkStart w:id="113" w:name="_Toc17609"/>
      <w:r>
        <w:rPr>
          <w:rFonts w:hint="eastAsia" w:ascii="宋体" w:hAnsi="宋体" w:eastAsia="宋体" w:cs="宋体"/>
          <w:color w:val="auto"/>
          <w:kern w:val="0"/>
          <w:sz w:val="21"/>
          <w:szCs w:val="21"/>
          <w:highlight w:val="none"/>
        </w:rPr>
        <w:t>本次评标采用综合评分法。评标委员会对满足招标文件实质性要求的投标文件，按照本章第3条规定的评审标准进行打分，并按得分由高到低顺序推荐中标候选人，或根据采购人授权直接确定中标人。</w:t>
      </w:r>
      <w:bookmarkEnd w:id="111"/>
      <w:bookmarkEnd w:id="112"/>
      <w:r>
        <w:rPr>
          <w:rFonts w:hint="eastAsia" w:ascii="宋体" w:hAnsi="宋体" w:eastAsia="宋体" w:cs="宋体"/>
          <w:color w:val="auto"/>
          <w:kern w:val="0"/>
          <w:sz w:val="21"/>
          <w:szCs w:val="21"/>
          <w:highlight w:val="none"/>
        </w:rPr>
        <w:t>得分相同的，按投标报价由低到高顺序排列。得分且投标报价相同的并列。中标候选人并列的，由采购人委托评标委员会按照招标文件规定的方式确定中标人</w:t>
      </w:r>
      <w:bookmarkEnd w:id="113"/>
      <w:r>
        <w:rPr>
          <w:rFonts w:hint="eastAsia" w:ascii="宋体" w:hAnsi="宋体" w:eastAsia="宋体" w:cs="宋体"/>
          <w:color w:val="auto"/>
          <w:kern w:val="0"/>
          <w:sz w:val="21"/>
          <w:szCs w:val="21"/>
          <w:highlight w:val="none"/>
        </w:rPr>
        <w:t>。</w:t>
      </w:r>
    </w:p>
    <w:p w14:paraId="5F2CC835">
      <w:pPr>
        <w:pStyle w:val="4"/>
        <w:numPr>
          <w:ilvl w:val="0"/>
          <w:numId w:val="9"/>
        </w:numPr>
        <w:bidi w:val="0"/>
        <w:spacing w:line="240" w:lineRule="auto"/>
        <w:rPr>
          <w:rFonts w:hint="eastAsia" w:ascii="宋体" w:hAnsi="宋体" w:eastAsia="宋体" w:cs="宋体"/>
          <w:color w:val="auto"/>
          <w:sz w:val="24"/>
          <w:szCs w:val="24"/>
          <w:highlight w:val="none"/>
        </w:rPr>
      </w:pPr>
      <w:bookmarkStart w:id="114" w:name="_Toc17932"/>
      <w:bookmarkStart w:id="115" w:name="_Toc12479"/>
      <w:r>
        <w:rPr>
          <w:rFonts w:hint="eastAsia" w:ascii="宋体" w:hAnsi="宋体" w:eastAsia="宋体" w:cs="宋体"/>
          <w:color w:val="auto"/>
          <w:sz w:val="24"/>
          <w:szCs w:val="24"/>
          <w:highlight w:val="none"/>
        </w:rPr>
        <w:t>评审标准</w:t>
      </w:r>
      <w:bookmarkEnd w:id="114"/>
      <w:bookmarkEnd w:id="115"/>
    </w:p>
    <w:p w14:paraId="7290B57C">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符合性评审标准：见附表二。投标人须满足附表二符合性审查表的全部内容，否则其投标无效。</w:t>
      </w:r>
    </w:p>
    <w:p w14:paraId="5D07BA8C">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分值构成</w:t>
      </w:r>
    </w:p>
    <w:p w14:paraId="69FC2D18">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116" w:leftChars="514" w:hanging="1037" w:hangingChars="494"/>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分值构成：满分100分，其中</w:t>
      </w:r>
    </w:p>
    <w:p w14:paraId="651813F8">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报价部分：满分</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0分</w:t>
      </w:r>
      <w:r>
        <w:rPr>
          <w:rFonts w:hint="eastAsia" w:ascii="宋体" w:hAnsi="宋体" w:eastAsia="宋体" w:cs="宋体"/>
          <w:color w:val="auto"/>
          <w:kern w:val="0"/>
          <w:sz w:val="21"/>
          <w:szCs w:val="21"/>
          <w:highlight w:val="none"/>
          <w:lang w:eastAsia="zh-CN"/>
        </w:rPr>
        <w:t>；</w:t>
      </w:r>
    </w:p>
    <w:p w14:paraId="3FF3BC06">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商务、技术部分：满分</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0分</w:t>
      </w:r>
      <w:r>
        <w:rPr>
          <w:rFonts w:hint="eastAsia" w:ascii="宋体" w:hAnsi="宋体" w:eastAsia="宋体" w:cs="宋体"/>
          <w:color w:val="auto"/>
          <w:kern w:val="0"/>
          <w:sz w:val="21"/>
          <w:szCs w:val="21"/>
          <w:highlight w:val="none"/>
          <w:lang w:eastAsia="zh-CN"/>
        </w:rPr>
        <w:t>；</w:t>
      </w:r>
    </w:p>
    <w:p w14:paraId="23DEEEC3">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bookmarkStart w:id="116" w:name="_Ref426362114"/>
      <w:r>
        <w:rPr>
          <w:rFonts w:hint="eastAsia" w:ascii="宋体" w:hAnsi="宋体" w:eastAsia="宋体" w:cs="宋体"/>
          <w:color w:val="auto"/>
          <w:kern w:val="0"/>
          <w:sz w:val="21"/>
          <w:szCs w:val="21"/>
          <w:highlight w:val="none"/>
        </w:rPr>
        <w:t>商务和技术评审标准</w:t>
      </w:r>
      <w:bookmarkEnd w:id="116"/>
    </w:p>
    <w:p w14:paraId="66BA36B5">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bookmarkStart w:id="117" w:name="_Ref426362140"/>
      <w:r>
        <w:rPr>
          <w:rFonts w:hint="eastAsia" w:ascii="宋体" w:hAnsi="宋体" w:eastAsia="宋体" w:cs="宋体"/>
          <w:color w:val="auto"/>
          <w:kern w:val="0"/>
          <w:sz w:val="21"/>
          <w:szCs w:val="21"/>
          <w:highlight w:val="none"/>
        </w:rPr>
        <w:t>商务、技术部分评分标准：见附表</w:t>
      </w:r>
      <w:bookmarkEnd w:id="117"/>
      <w:r>
        <w:rPr>
          <w:rFonts w:hint="eastAsia" w:ascii="宋体" w:hAnsi="宋体" w:eastAsia="宋体" w:cs="宋体"/>
          <w:color w:val="auto"/>
          <w:kern w:val="0"/>
          <w:sz w:val="21"/>
          <w:szCs w:val="21"/>
          <w:highlight w:val="none"/>
        </w:rPr>
        <w:t>三</w:t>
      </w:r>
    </w:p>
    <w:p w14:paraId="6D045F70">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bookmarkStart w:id="118" w:name="_Ref426362176"/>
      <w:r>
        <w:rPr>
          <w:rFonts w:hint="eastAsia" w:ascii="宋体" w:hAnsi="宋体" w:eastAsia="宋体" w:cs="宋体"/>
          <w:color w:val="auto"/>
          <w:kern w:val="0"/>
          <w:sz w:val="21"/>
          <w:szCs w:val="21"/>
          <w:highlight w:val="none"/>
        </w:rPr>
        <w:t>投标报价评分标准：</w:t>
      </w:r>
      <w:bookmarkEnd w:id="118"/>
    </w:p>
    <w:p w14:paraId="20A9BBE8">
      <w:pPr>
        <w:keepNext w:val="0"/>
        <w:keepLines w:val="0"/>
        <w:pageBreakBefore w:val="0"/>
        <w:widowControl w:val="0"/>
        <w:numPr>
          <w:ilvl w:val="0"/>
          <w:numId w:val="10"/>
        </w:numPr>
        <w:shd w:val="clear"/>
        <w:tabs>
          <w:tab w:val="left" w:pos="993"/>
        </w:tabs>
        <w:kinsoku/>
        <w:wordWrap/>
        <w:overflowPunct/>
        <w:topLinePunct w:val="0"/>
        <w:autoSpaceDE w:val="0"/>
        <w:autoSpaceDN w:val="0"/>
        <w:bidi w:val="0"/>
        <w:adjustRightInd w:val="0"/>
        <w:snapToGrid w:val="0"/>
        <w:spacing w:line="360" w:lineRule="auto"/>
        <w:ind w:left="1048" w:leftChars="399" w:hanging="210" w:hangingChars="1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根据《关于进一步加大政府采购支持中小企业力度的通知》财库（2022）19号调整投标人参与评标的价格，用扣除后的价格参加评审。本项目小型和微型企业产品的价格给予10%的扣除，用扣除后的价格参与评审。对于大中型企业向小微企业分包的采购项目按规定对大中型企业报价给予6%的扣除，用扣除后的价格参与评审。监狱企业、残疾人福利性单位视同小微企业；监狱企业、残疾人福利性单位属于小型、微型企业的，不重复享受政策。</w:t>
      </w:r>
    </w:p>
    <w:p w14:paraId="517492DE">
      <w:pPr>
        <w:keepNext w:val="0"/>
        <w:keepLines w:val="0"/>
        <w:pageBreakBefore w:val="0"/>
        <w:widowControl w:val="0"/>
        <w:numPr>
          <w:ilvl w:val="0"/>
          <w:numId w:val="10"/>
        </w:numPr>
        <w:shd w:val="clear"/>
        <w:tabs>
          <w:tab w:val="left" w:pos="993"/>
        </w:tabs>
        <w:kinsoku/>
        <w:wordWrap/>
        <w:overflowPunct/>
        <w:topLinePunct w:val="0"/>
        <w:autoSpaceDE w:val="0"/>
        <w:autoSpaceDN w:val="0"/>
        <w:bidi w:val="0"/>
        <w:adjustRightInd w:val="0"/>
        <w:snapToGrid w:val="0"/>
        <w:spacing w:line="360" w:lineRule="auto"/>
        <w:ind w:left="1048" w:leftChars="399" w:hanging="210" w:hangingChars="1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属于小微企业的应填写《中小企业声明函》；监狱企业须投标人提供由监狱管理局、戒毒管理局（含新疆生产建设兵团）出具的属于监狱企业的证明文件；残疾人福利性单位应填写《残疾人福利性单位声明函》，否则不认定价格扣除。说明：投标人应当认真填写声明函，若有虚假将追究其责任。投标人可通过“国家企业信用信息公示系统”（http://www.gsxt.gov.cn/index.html），点击“小微企业名录”（http://xwqy.gsxt.gov.cn/）对投标人和核心设备制造商进行搜索、查询，自行核实是否属于小微企业。</w:t>
      </w:r>
    </w:p>
    <w:p w14:paraId="0A3411D5">
      <w:pPr>
        <w:keepNext w:val="0"/>
        <w:keepLines w:val="0"/>
        <w:pageBreakBefore w:val="0"/>
        <w:widowControl w:val="0"/>
        <w:numPr>
          <w:ilvl w:val="0"/>
          <w:numId w:val="10"/>
        </w:numPr>
        <w:shd w:val="clear"/>
        <w:tabs>
          <w:tab w:val="left" w:pos="993"/>
        </w:tabs>
        <w:kinsoku/>
        <w:wordWrap/>
        <w:overflowPunct/>
        <w:topLinePunct w:val="0"/>
        <w:autoSpaceDE w:val="0"/>
        <w:autoSpaceDN w:val="0"/>
        <w:bidi w:val="0"/>
        <w:adjustRightInd w:val="0"/>
        <w:snapToGrid w:val="0"/>
        <w:spacing w:line="360" w:lineRule="auto"/>
        <w:ind w:left="1049" w:leftChars="399" w:hanging="211" w:hangingChars="100"/>
        <w:jc w:val="lef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提供投标人的《中小企业声明函》、《残疾人福利性单位声明函》（格式后附，不可修改），未提供、未盖章或填写内容与相关材料不符的不予价格扣除。</w:t>
      </w:r>
    </w:p>
    <w:p w14:paraId="4DF4F3BF">
      <w:pPr>
        <w:keepNext w:val="0"/>
        <w:keepLines w:val="0"/>
        <w:pageBreakBefore w:val="0"/>
        <w:widowControl w:val="0"/>
        <w:numPr>
          <w:ilvl w:val="0"/>
          <w:numId w:val="10"/>
        </w:numPr>
        <w:shd w:val="clear"/>
        <w:tabs>
          <w:tab w:val="left" w:pos="993"/>
        </w:tabs>
        <w:kinsoku/>
        <w:wordWrap/>
        <w:overflowPunct/>
        <w:topLinePunct w:val="0"/>
        <w:autoSpaceDE w:val="0"/>
        <w:autoSpaceDN w:val="0"/>
        <w:bidi w:val="0"/>
        <w:adjustRightInd w:val="0"/>
        <w:snapToGrid w:val="0"/>
        <w:spacing w:line="360" w:lineRule="auto"/>
        <w:ind w:left="1048" w:leftChars="399" w:hanging="210" w:hangingChars="1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评标基准价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有效投标文件中的并按3.3.2项（1）进行调整的最低报价为评标基准价。</w:t>
      </w:r>
    </w:p>
    <w:p w14:paraId="11D2823F">
      <w:pPr>
        <w:keepNext w:val="0"/>
        <w:keepLines w:val="0"/>
        <w:pageBreakBefore w:val="0"/>
        <w:widowControl w:val="0"/>
        <w:numPr>
          <w:ilvl w:val="0"/>
          <w:numId w:val="10"/>
        </w:numPr>
        <w:shd w:val="clear"/>
        <w:tabs>
          <w:tab w:val="left" w:pos="993"/>
        </w:tabs>
        <w:kinsoku/>
        <w:wordWrap/>
        <w:overflowPunct/>
        <w:topLinePunct w:val="0"/>
        <w:autoSpaceDE w:val="0"/>
        <w:autoSpaceDN w:val="0"/>
        <w:bidi w:val="0"/>
        <w:adjustRightInd w:val="0"/>
        <w:snapToGrid w:val="0"/>
        <w:spacing w:line="360" w:lineRule="auto"/>
        <w:ind w:left="1048" w:leftChars="399" w:hanging="210" w:hangingChars="1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投标人报价（按3.3.2项（1）进行调整后价格）得分：报价部分得分=(评标基准价／投标报价)×30</w:t>
      </w:r>
    </w:p>
    <w:p w14:paraId="52105B2F">
      <w:pPr>
        <w:pStyle w:val="4"/>
        <w:numPr>
          <w:ilvl w:val="0"/>
          <w:numId w:val="9"/>
        </w:numPr>
        <w:bidi w:val="0"/>
        <w:spacing w:line="240" w:lineRule="auto"/>
        <w:rPr>
          <w:rFonts w:hint="eastAsia" w:ascii="宋体" w:hAnsi="宋体" w:eastAsia="宋体" w:cs="宋体"/>
          <w:color w:val="auto"/>
          <w:sz w:val="24"/>
          <w:szCs w:val="24"/>
          <w:highlight w:val="none"/>
        </w:rPr>
      </w:pPr>
      <w:bookmarkStart w:id="119" w:name="_Toc17270"/>
      <w:bookmarkStart w:id="120" w:name="_Toc18755"/>
      <w:r>
        <w:rPr>
          <w:rFonts w:hint="eastAsia" w:ascii="宋体" w:hAnsi="宋体" w:eastAsia="宋体" w:cs="宋体"/>
          <w:color w:val="auto"/>
          <w:sz w:val="24"/>
          <w:szCs w:val="24"/>
          <w:highlight w:val="none"/>
        </w:rPr>
        <w:t>评审程序</w:t>
      </w:r>
      <w:bookmarkEnd w:id="119"/>
      <w:bookmarkEnd w:id="120"/>
    </w:p>
    <w:p w14:paraId="027117DB">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符合性检查。</w:t>
      </w:r>
    </w:p>
    <w:p w14:paraId="19A2D864">
      <w:pPr>
        <w:keepNext w:val="0"/>
        <w:keepLines w:val="0"/>
        <w:pageBreakBefore w:val="0"/>
        <w:widowControl w:val="0"/>
        <w:numPr>
          <w:ilvl w:val="2"/>
          <w:numId w:val="9"/>
        </w:numPr>
        <w:shd w:val="clea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评标委员会按附表二所列标准，对投标文件的有效性、完整性和对招标文件的响应程度进行审查，以确定是否对招标文件的实质性要求作出响应。</w:t>
      </w:r>
    </w:p>
    <w:p w14:paraId="2A5AD48B">
      <w:pPr>
        <w:keepNext w:val="0"/>
        <w:keepLines w:val="0"/>
        <w:pageBreakBefore w:val="0"/>
        <w:widowControl w:val="0"/>
        <w:numPr>
          <w:ilvl w:val="2"/>
          <w:numId w:val="9"/>
        </w:numPr>
        <w:shd w:val="clea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澄清有关问题。</w:t>
      </w:r>
    </w:p>
    <w:p w14:paraId="2E8CBDE5">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610" w:leftChars="472" w:hanging="619" w:hangingChars="2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对投标文件中含义不明确、同类问题表述不一致或者有明显文字和计算错误的内容，评标委员会可以书面形式要求投标人作出必要的澄清、说明或者纠正。投标人的澄清、说明或者补正应当采用书面形式，由其授权的代表签字，并不得超出投标文件的范围或者改变投标文件的实质性内容。</w:t>
      </w:r>
    </w:p>
    <w:p w14:paraId="3C5C7D64">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610" w:leftChars="472" w:hanging="619" w:hangingChars="2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评标委员会不接受投标人主动提出的澄清、说明或补正。</w:t>
      </w:r>
    </w:p>
    <w:p w14:paraId="5514F56E">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610" w:leftChars="472" w:hanging="619" w:hangingChars="2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投标人的书面澄清、说明和补正属于投标文件的组成部分。</w:t>
      </w:r>
    </w:p>
    <w:p w14:paraId="2465A7F4">
      <w:pPr>
        <w:keepNext w:val="0"/>
        <w:keepLines w:val="0"/>
        <w:pageBreakBefore w:val="0"/>
        <w:widowControl w:val="0"/>
        <w:shd w:val="clear"/>
        <w:tabs>
          <w:tab w:val="left" w:pos="993"/>
          <w:tab w:val="left" w:pos="1418"/>
        </w:tabs>
        <w:kinsoku/>
        <w:wordWrap/>
        <w:overflowPunct/>
        <w:topLinePunct w:val="0"/>
        <w:autoSpaceDE w:val="0"/>
        <w:autoSpaceDN w:val="0"/>
        <w:bidi w:val="0"/>
        <w:adjustRightInd w:val="0"/>
        <w:snapToGrid w:val="0"/>
        <w:spacing w:line="360" w:lineRule="auto"/>
        <w:ind w:left="1610" w:leftChars="472" w:hanging="619" w:hangingChars="2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评标委员会对投标人提交的澄清、说明或补正有疑问的，可以要求投标人进一步澄清、说明或补正，直至满足评标委员会的要求。</w:t>
      </w:r>
    </w:p>
    <w:p w14:paraId="5DC6D16C">
      <w:pPr>
        <w:keepNext w:val="0"/>
        <w:keepLines w:val="0"/>
        <w:pageBreakBefore w:val="0"/>
        <w:widowControl w:val="0"/>
        <w:numPr>
          <w:ilvl w:val="2"/>
          <w:numId w:val="9"/>
        </w:numPr>
        <w:shd w:val="clea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投标文件报价出现前后不一致的，除招标文件另有规定外，按照下列规定修正：</w:t>
      </w:r>
    </w:p>
    <w:p w14:paraId="06339203">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投标文件中开标一览表（报价表）内容与投标文件中相应内容不一致的，以开标一览表（报价表）为准；</w:t>
      </w:r>
    </w:p>
    <w:p w14:paraId="3F71BA1A">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大写金额和小写金额不一致的，以大写金额为准；</w:t>
      </w:r>
    </w:p>
    <w:p w14:paraId="553AC718">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单价金额小数点或者百分比有明显错位的，以开标一览表（报价表）的总价为准，并修改单价；</w:t>
      </w:r>
    </w:p>
    <w:p w14:paraId="1A897B1C">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总价金额与按单价汇总金额不一致的，以单价金额计算结果为准。</w:t>
      </w:r>
    </w:p>
    <w:p w14:paraId="3C9CB486">
      <w:pPr>
        <w:keepNext w:val="0"/>
        <w:keepLines w:val="0"/>
        <w:pageBreakBefore w:val="0"/>
        <w:widowControl w:val="0"/>
        <w:shd w:val="clear"/>
        <w:tabs>
          <w:tab w:val="left" w:pos="993"/>
        </w:tabs>
        <w:kinsoku/>
        <w:wordWrap/>
        <w:overflowPunct/>
        <w:topLinePunct w:val="0"/>
        <w:bidi w:val="0"/>
        <w:snapToGrid w:val="0"/>
        <w:spacing w:line="360" w:lineRule="auto"/>
        <w:ind w:left="991" w:leftChars="472" w:firstLine="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同时出现两种以上不一致的，按照前款规定的顺序修正。修正后的报价经投标人确认后产生约束力，投标人不确认的，其投标无效。</w:t>
      </w:r>
    </w:p>
    <w:p w14:paraId="707134C7">
      <w:pPr>
        <w:keepNext w:val="0"/>
        <w:keepLines w:val="0"/>
        <w:pageBreakBefore w:val="0"/>
        <w:widowControl w:val="0"/>
        <w:shd w:val="clear"/>
        <w:tabs>
          <w:tab w:val="left" w:pos="993"/>
        </w:tabs>
        <w:kinsoku/>
        <w:wordWrap/>
        <w:overflowPunct/>
        <w:topLinePunct w:val="0"/>
        <w:bidi w:val="0"/>
        <w:snapToGrid w:val="0"/>
        <w:spacing w:line="360" w:lineRule="auto"/>
        <w:ind w:left="991" w:leftChars="472" w:firstLine="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投标人的确认应当采用书面形式，并加盖公章，或者由法定代表人或其授权的代表签字。</w:t>
      </w:r>
    </w:p>
    <w:p w14:paraId="72431A88">
      <w:pPr>
        <w:keepNext w:val="0"/>
        <w:keepLines w:val="0"/>
        <w:pageBreakBefore w:val="0"/>
        <w:widowControl w:val="0"/>
        <w:numPr>
          <w:ilvl w:val="2"/>
          <w:numId w:val="9"/>
        </w:numPr>
        <w:shd w:val="clea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异常低价审查</w:t>
      </w:r>
    </w:p>
    <w:p w14:paraId="6557C106">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 xml:space="preserve">评审中出现下列情形之一的，评标委员会启动异常低价投标审查程序： </w:t>
      </w:r>
    </w:p>
    <w:p w14:paraId="02D81561">
      <w:pPr>
        <w:keepNext w:val="0"/>
        <w:keepLines w:val="0"/>
        <w:pageBreakBefore w:val="0"/>
        <w:widowControl w:val="0"/>
        <w:numPr>
          <w:ilvl w:val="0"/>
          <w:numId w:val="11"/>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 xml:space="preserve">投标报价低于全部通过符合性审查供应商投标报价平均值50%的，即投标报价&lt;全部通过符合性审查供应商投标报价平均值×50%； </w:t>
      </w:r>
    </w:p>
    <w:p w14:paraId="0ABB6D44">
      <w:pPr>
        <w:keepNext w:val="0"/>
        <w:keepLines w:val="0"/>
        <w:pageBreakBefore w:val="0"/>
        <w:widowControl w:val="0"/>
        <w:numPr>
          <w:ilvl w:val="0"/>
          <w:numId w:val="11"/>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 xml:space="preserve">投标报价低于通过符合性审查的次低报价供应商投标报价50%的，即投标报价&lt;通过符合性审查的次低报价供应商投标报价×50%； </w:t>
      </w:r>
    </w:p>
    <w:p w14:paraId="06ABDEE1">
      <w:pPr>
        <w:keepNext w:val="0"/>
        <w:keepLines w:val="0"/>
        <w:pageBreakBefore w:val="0"/>
        <w:widowControl w:val="0"/>
        <w:numPr>
          <w:ilvl w:val="0"/>
          <w:numId w:val="11"/>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投标报价低于采购项目最高限价45%的，即投标报价&lt;采购项目最高限价×45%；</w:t>
      </w:r>
    </w:p>
    <w:p w14:paraId="35E74611">
      <w:pPr>
        <w:keepNext w:val="0"/>
        <w:keepLines w:val="0"/>
        <w:pageBreakBefore w:val="0"/>
        <w:widowControl w:val="0"/>
        <w:numPr>
          <w:ilvl w:val="2"/>
          <w:numId w:val="9"/>
        </w:numPr>
        <w:shd w:val="clea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异常低价审查程序</w:t>
      </w:r>
    </w:p>
    <w:p w14:paraId="42A6ACDF">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评标委员会</w:t>
      </w:r>
      <w:r>
        <w:rPr>
          <w:rFonts w:hint="eastAsia" w:ascii="宋体" w:hAnsi="宋体" w:eastAsia="宋体" w:cs="宋体"/>
          <w:color w:val="auto"/>
          <w:kern w:val="0"/>
          <w:sz w:val="21"/>
          <w:szCs w:val="21"/>
          <w:highlight w:val="none"/>
        </w:rPr>
        <w:t>启动异常低价投标审查后，</w:t>
      </w:r>
      <w:r>
        <w:rPr>
          <w:rFonts w:hint="eastAsia" w:ascii="宋体" w:hAnsi="宋体" w:eastAsia="宋体" w:cs="宋体"/>
          <w:color w:val="auto"/>
          <w:kern w:val="0"/>
          <w:sz w:val="21"/>
          <w:szCs w:val="21"/>
          <w:highlight w:val="none"/>
          <w:lang w:val="en-US" w:eastAsia="zh-CN"/>
        </w:rPr>
        <w:t>将</w:t>
      </w:r>
      <w:r>
        <w:rPr>
          <w:rFonts w:hint="eastAsia" w:ascii="宋体" w:hAnsi="宋体" w:eastAsia="宋体" w:cs="宋体"/>
          <w:color w:val="auto"/>
          <w:kern w:val="0"/>
          <w:sz w:val="21"/>
          <w:szCs w:val="21"/>
          <w:highlight w:val="none"/>
        </w:rPr>
        <w:t>相关</w:t>
      </w:r>
      <w:r>
        <w:rPr>
          <w:rFonts w:hint="eastAsia" w:ascii="宋体" w:hAnsi="宋体" w:eastAsia="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在</w:t>
      </w:r>
      <w:r>
        <w:rPr>
          <w:rFonts w:hint="eastAsia" w:ascii="宋体" w:hAnsi="宋体" w:eastAsia="宋体" w:cs="宋体"/>
          <w:color w:val="auto"/>
          <w:kern w:val="0"/>
          <w:sz w:val="21"/>
          <w:szCs w:val="21"/>
          <w:highlight w:val="none"/>
          <w:lang w:val="en-US" w:eastAsia="zh-CN"/>
        </w:rPr>
        <w:t>30分钟</w:t>
      </w:r>
      <w:r>
        <w:rPr>
          <w:rFonts w:hint="eastAsia" w:ascii="宋体" w:hAnsi="宋体" w:eastAsia="宋体" w:cs="宋体"/>
          <w:color w:val="auto"/>
          <w:kern w:val="0"/>
          <w:sz w:val="21"/>
          <w:szCs w:val="21"/>
          <w:highlight w:val="none"/>
        </w:rPr>
        <w:t>内对投标价格作出解释，提供项目具体成本测算等与报价合理性相关的书面说明及必要的证明材料，包括但不限于原材料成本、人工成本、制造费用等，</w:t>
      </w:r>
      <w:r>
        <w:rPr>
          <w:rFonts w:hint="eastAsia" w:ascii="宋体" w:hAnsi="宋体" w:eastAsia="宋体" w:cs="宋体"/>
          <w:color w:val="auto"/>
          <w:kern w:val="0"/>
          <w:sz w:val="21"/>
          <w:szCs w:val="21"/>
          <w:highlight w:val="none"/>
          <w:lang w:val="en-US" w:eastAsia="zh-CN"/>
        </w:rPr>
        <w:t>如投标人</w:t>
      </w:r>
      <w:r>
        <w:rPr>
          <w:rFonts w:hint="eastAsia" w:ascii="宋体" w:hAnsi="宋体" w:eastAsia="宋体" w:cs="宋体"/>
          <w:color w:val="auto"/>
          <w:kern w:val="0"/>
          <w:sz w:val="21"/>
          <w:szCs w:val="21"/>
          <w:highlight w:val="none"/>
        </w:rPr>
        <w:t>已随投标</w:t>
      </w:r>
      <w:r>
        <w:rPr>
          <w:rFonts w:hint="eastAsia" w:ascii="宋体" w:hAnsi="宋体" w:eastAsia="宋体" w:cs="宋体"/>
          <w:color w:val="auto"/>
          <w:kern w:val="0"/>
          <w:sz w:val="21"/>
          <w:szCs w:val="21"/>
          <w:highlight w:val="none"/>
          <w:lang w:val="en-US" w:eastAsia="zh-CN"/>
        </w:rPr>
        <w:t>文件</w:t>
      </w:r>
      <w:r>
        <w:rPr>
          <w:rFonts w:hint="eastAsia" w:ascii="宋体" w:hAnsi="宋体" w:eastAsia="宋体" w:cs="宋体"/>
          <w:color w:val="auto"/>
          <w:kern w:val="0"/>
          <w:sz w:val="21"/>
          <w:szCs w:val="21"/>
          <w:highlight w:val="none"/>
        </w:rPr>
        <w:t>一并提交相关书面说明及必要的证明材料的，在评审现场可不再重复提交。</w:t>
      </w:r>
    </w:p>
    <w:p w14:paraId="56CA6C69">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w:t>
      </w:r>
      <w:r>
        <w:rPr>
          <w:rFonts w:hint="eastAsia" w:ascii="宋体" w:hAnsi="宋体" w:eastAsia="宋体" w:cs="宋体"/>
          <w:color w:val="auto"/>
          <w:kern w:val="0"/>
          <w:sz w:val="21"/>
          <w:szCs w:val="21"/>
          <w:highlight w:val="none"/>
          <w:lang w:val="en-US" w:eastAsia="zh-CN"/>
        </w:rPr>
        <w:t>标</w:t>
      </w:r>
      <w:r>
        <w:rPr>
          <w:rFonts w:hint="eastAsia" w:ascii="宋体" w:hAnsi="宋体" w:eastAsia="宋体" w:cs="宋体"/>
          <w:color w:val="auto"/>
          <w:kern w:val="0"/>
          <w:sz w:val="21"/>
          <w:szCs w:val="21"/>
          <w:highlight w:val="none"/>
        </w:rPr>
        <w:t>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eastAsia="宋体" w:cs="宋体"/>
          <w:color w:val="auto"/>
          <w:kern w:val="0"/>
          <w:sz w:val="21"/>
          <w:szCs w:val="21"/>
          <w:highlight w:val="none"/>
          <w:lang w:val="en-US" w:eastAsia="zh-CN"/>
        </w:rPr>
        <w:t>人</w:t>
      </w:r>
      <w:r>
        <w:rPr>
          <w:rFonts w:hint="eastAsia" w:ascii="宋体" w:hAnsi="宋体" w:eastAsia="宋体" w:cs="宋体"/>
          <w:color w:val="auto"/>
          <w:kern w:val="0"/>
          <w:sz w:val="21"/>
          <w:szCs w:val="21"/>
          <w:highlight w:val="none"/>
        </w:rPr>
        <w:t>不能提供书面说明、证明材料，或者提供的书面说明、证明材料不能证明其报价合理性的，</w:t>
      </w:r>
      <w:r>
        <w:rPr>
          <w:rFonts w:hint="eastAsia" w:ascii="宋体" w:hAnsi="宋体" w:eastAsia="宋体" w:cs="宋体"/>
          <w:color w:val="auto"/>
          <w:kern w:val="0"/>
          <w:sz w:val="21"/>
          <w:szCs w:val="21"/>
          <w:highlight w:val="none"/>
          <w:lang w:eastAsia="zh-CN"/>
        </w:rPr>
        <w:t>评标委员会</w:t>
      </w:r>
      <w:r>
        <w:rPr>
          <w:rFonts w:hint="eastAsia" w:ascii="宋体" w:hAnsi="宋体" w:eastAsia="宋体" w:cs="宋体"/>
          <w:color w:val="auto"/>
          <w:kern w:val="0"/>
          <w:sz w:val="21"/>
          <w:szCs w:val="21"/>
          <w:highlight w:val="none"/>
        </w:rPr>
        <w:t>应当将其作为无效投标处理。</w:t>
      </w:r>
    </w:p>
    <w:p w14:paraId="4F837D73">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采购人、采购代理机构应当为</w:t>
      </w:r>
      <w:r>
        <w:rPr>
          <w:rFonts w:hint="eastAsia" w:ascii="宋体" w:hAnsi="宋体" w:eastAsia="宋体" w:cs="宋体"/>
          <w:color w:val="auto"/>
          <w:kern w:val="0"/>
          <w:sz w:val="21"/>
          <w:szCs w:val="21"/>
          <w:highlight w:val="none"/>
          <w:lang w:eastAsia="zh-CN"/>
        </w:rPr>
        <w:t>评标委员会</w:t>
      </w:r>
      <w:r>
        <w:rPr>
          <w:rFonts w:hint="eastAsia" w:ascii="宋体" w:hAnsi="宋体" w:eastAsia="宋体" w:cs="宋体"/>
          <w:color w:val="auto"/>
          <w:kern w:val="0"/>
          <w:sz w:val="21"/>
          <w:szCs w:val="21"/>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kern w:val="0"/>
          <w:sz w:val="21"/>
          <w:szCs w:val="21"/>
          <w:highlight w:val="none"/>
          <w:lang w:eastAsia="zh-CN"/>
        </w:rPr>
        <w:t>评标委员会</w:t>
      </w:r>
      <w:r>
        <w:rPr>
          <w:rFonts w:hint="eastAsia" w:ascii="宋体" w:hAnsi="宋体" w:eastAsia="宋体" w:cs="宋体"/>
          <w:color w:val="auto"/>
          <w:kern w:val="0"/>
          <w:sz w:val="21"/>
          <w:szCs w:val="21"/>
          <w:highlight w:val="none"/>
        </w:rPr>
        <w:t>借助互联网等渠道查询相关信息的，应当严格遵守评审工作纪律，不得实施影响评审公正的行为。</w:t>
      </w:r>
    </w:p>
    <w:p w14:paraId="7FA7D8FB">
      <w:pPr>
        <w:keepNext w:val="0"/>
        <w:keepLines w:val="0"/>
        <w:pageBreakBefore w:val="0"/>
        <w:widowControl w:val="0"/>
        <w:numPr>
          <w:ilvl w:val="0"/>
          <w:numId w:val="12"/>
        </w:numPr>
        <w:shd w:val="clear"/>
        <w:tabs>
          <w:tab w:val="left" w:pos="993"/>
        </w:tabs>
        <w:kinsoku/>
        <w:wordWrap/>
        <w:overflowPunct/>
        <w:topLinePunct w:val="0"/>
        <w:autoSpaceDE w:val="0"/>
        <w:autoSpaceDN w:val="0"/>
        <w:bidi w:val="0"/>
        <w:adjustRightInd w:val="0"/>
        <w:snapToGrid w:val="0"/>
        <w:spacing w:line="360" w:lineRule="auto"/>
        <w:ind w:left="1618" w:leftChars="513" w:hanging="541" w:hangingChars="258"/>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异常低价投标审查的启动原因、审查意见和审查结果应当在评审报告中记录，并随供应商提供的相关书面说明及证明材料，以及</w:t>
      </w:r>
      <w:r>
        <w:rPr>
          <w:rFonts w:hint="eastAsia" w:ascii="宋体" w:hAnsi="宋体" w:eastAsia="宋体" w:cs="宋体"/>
          <w:color w:val="auto"/>
          <w:kern w:val="0"/>
          <w:sz w:val="21"/>
          <w:szCs w:val="21"/>
          <w:highlight w:val="none"/>
          <w:lang w:eastAsia="zh-CN"/>
        </w:rPr>
        <w:t>评标委员会</w:t>
      </w:r>
      <w:r>
        <w:rPr>
          <w:rFonts w:hint="eastAsia" w:ascii="宋体" w:hAnsi="宋体" w:eastAsia="宋体" w:cs="宋体"/>
          <w:color w:val="auto"/>
          <w:kern w:val="0"/>
          <w:sz w:val="21"/>
          <w:szCs w:val="21"/>
          <w:highlight w:val="none"/>
        </w:rPr>
        <w:t>有关互联网浏览、查询历史一并归档。</w:t>
      </w:r>
    </w:p>
    <w:p w14:paraId="745DDEDB">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商务和技术评审</w:t>
      </w:r>
    </w:p>
    <w:p w14:paraId="69A07FEA">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比较与评价</w:t>
      </w:r>
    </w:p>
    <w:p w14:paraId="32BA275D">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991" w:leftChars="47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评标委员会按本章第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_Ref426362114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3.3</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款[详细评审标准]</w:t>
      </w:r>
      <w:r>
        <w:rPr>
          <w:rFonts w:hint="eastAsia" w:ascii="宋体" w:hAnsi="宋体" w:eastAsia="宋体" w:cs="宋体"/>
          <w:color w:val="auto"/>
          <w:sz w:val="21"/>
          <w:szCs w:val="21"/>
          <w:highlight w:val="none"/>
        </w:rPr>
        <w:t>对资格审查合格且符合性审查合格的投标文件进行商务和技术评估，综合比较与评价。</w:t>
      </w:r>
    </w:p>
    <w:p w14:paraId="03FC6719">
      <w:pPr>
        <w:keepNext w:val="0"/>
        <w:keepLines w:val="0"/>
        <w:pageBreakBefore w:val="0"/>
        <w:widowControl w:val="0"/>
        <w:shd w:val="clear"/>
        <w:tabs>
          <w:tab w:val="left" w:pos="993"/>
        </w:tabs>
        <w:kinsoku/>
        <w:wordWrap/>
        <w:overflowPunct/>
        <w:topLinePunct w:val="0"/>
        <w:autoSpaceDE w:val="0"/>
        <w:autoSpaceDN w:val="0"/>
        <w:bidi w:val="0"/>
        <w:adjustRightInd w:val="0"/>
        <w:snapToGrid w:val="0"/>
        <w:spacing w:line="360" w:lineRule="auto"/>
        <w:ind w:left="991" w:leftChars="47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8D001FB">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评标委员会按本章第</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REF _Ref426362114 \r \h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3.3</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款规定的量化因素和分值进行打分，并计算出综合评估得分。</w:t>
      </w:r>
    </w:p>
    <w:p w14:paraId="044E0873">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03EFB03B">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评分分值为所有评委的算术平均值，保留小数点后两位，小数点后第三位“四舍五入”。</w:t>
      </w:r>
    </w:p>
    <w:p w14:paraId="0E75F7DE">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投标人得分=报价部分得分＋商务技术部分得分</w:t>
      </w:r>
    </w:p>
    <w:p w14:paraId="3506EE43">
      <w:pPr>
        <w:keepNext w:val="0"/>
        <w:keepLines w:val="0"/>
        <w:pageBreakBefore w:val="0"/>
        <w:widowControl w:val="0"/>
        <w:numPr>
          <w:ilvl w:val="1"/>
          <w:numId w:val="9"/>
        </w:numPr>
        <w:shd w:val="clea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评标结果</w:t>
      </w:r>
    </w:p>
    <w:p w14:paraId="34D1D928">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除第二章“投标人须知”前附表授权直接确定中标人外，评标委员会按照得分由高到低的顺序推荐中标候选人。</w:t>
      </w:r>
    </w:p>
    <w:p w14:paraId="6FD4BB7E">
      <w:pPr>
        <w:keepNext w:val="0"/>
        <w:keepLines w:val="0"/>
        <w:pageBreakBefore w:val="0"/>
        <w:widowControl w:val="0"/>
        <w:numPr>
          <w:ilvl w:val="2"/>
          <w:numId w:val="9"/>
        </w:numPr>
        <w:shd w:val="clea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评标委员会完成评标后，应当向采购人提交书面评标报告。</w:t>
      </w:r>
    </w:p>
    <w:p w14:paraId="38410D53">
      <w:pPr>
        <w:numPr>
          <w:ilvl w:val="0"/>
          <w:numId w:val="0"/>
        </w:numPr>
        <w:shd w:val="clear"/>
        <w:tabs>
          <w:tab w:val="left" w:pos="993"/>
        </w:tabs>
        <w:autoSpaceDE w:val="0"/>
        <w:autoSpaceDN w:val="0"/>
        <w:adjustRightInd w:val="0"/>
        <w:snapToGrid w:val="0"/>
        <w:spacing w:after="156" w:afterLines="50"/>
        <w:ind w:leftChars="0"/>
        <w:jc w:val="left"/>
        <w:rPr>
          <w:rFonts w:hint="eastAsia" w:ascii="宋体" w:hAnsi="宋体" w:eastAsia="宋体" w:cs="宋体"/>
          <w:color w:val="auto"/>
          <w:kern w:val="0"/>
          <w:sz w:val="21"/>
          <w:szCs w:val="21"/>
          <w:highlight w:val="none"/>
        </w:rPr>
      </w:pPr>
    </w:p>
    <w:p w14:paraId="28595FAC">
      <w:pPr>
        <w:pStyle w:val="4"/>
        <w:bidi w:val="0"/>
        <w:spacing w:line="240" w:lineRule="auto"/>
        <w:jc w:val="center"/>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21" w:name="_Toc19011"/>
      <w:bookmarkStart w:id="122" w:name="_Toc414446032"/>
      <w:bookmarkStart w:id="123" w:name="_Toc410631196"/>
      <w:bookmarkStart w:id="124" w:name="_Toc28300"/>
      <w:r>
        <w:rPr>
          <w:rFonts w:hint="eastAsia" w:ascii="宋体" w:hAnsi="宋体" w:eastAsia="宋体" w:cs="宋体"/>
          <w:color w:val="auto"/>
          <w:highlight w:val="none"/>
        </w:rPr>
        <w:t>附表一 资格审查表</w:t>
      </w:r>
      <w:bookmarkEnd w:id="121"/>
      <w:bookmarkEnd w:id="122"/>
      <w:bookmarkEnd w:id="123"/>
      <w:bookmarkEnd w:id="124"/>
    </w:p>
    <w:tbl>
      <w:tblPr>
        <w:tblStyle w:val="4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385"/>
        <w:gridCol w:w="6756"/>
      </w:tblGrid>
      <w:tr w14:paraId="682B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17" w:type="dxa"/>
            <w:vAlign w:val="center"/>
          </w:tcPr>
          <w:p w14:paraId="6C62EC39">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385" w:type="dxa"/>
            <w:vAlign w:val="center"/>
          </w:tcPr>
          <w:p w14:paraId="470EF953">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评审内容</w:t>
            </w:r>
          </w:p>
        </w:tc>
        <w:tc>
          <w:tcPr>
            <w:tcW w:w="6756" w:type="dxa"/>
            <w:vAlign w:val="center"/>
          </w:tcPr>
          <w:p w14:paraId="1963BD85">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评审合格标准</w:t>
            </w:r>
          </w:p>
        </w:tc>
      </w:tr>
      <w:tr w14:paraId="0280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5B386450">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p>
        </w:tc>
        <w:tc>
          <w:tcPr>
            <w:tcW w:w="2385" w:type="dxa"/>
            <w:vAlign w:val="center"/>
          </w:tcPr>
          <w:p w14:paraId="183E08AC">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6756" w:type="dxa"/>
            <w:vAlign w:val="center"/>
          </w:tcPr>
          <w:p w14:paraId="0342FCD4">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投标人为企业的，提供有效的营业执照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；投标人为事业单位的，提供有效的事业单位法人证书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；投标人为社会团体的，提供有效的社会团体法人登记证书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；投标人为合伙企业、个体工商户的，提供有效的营业执照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；投标人为非企业专业服务机构的，提供有效的执业许可证等证明材料</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；投标人为自然人的，提供有效的自然人身份证件</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；其他投标人应按照有关法律、法规和规章规定，提供有效的相应具体证照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w:t>
            </w:r>
          </w:p>
          <w:p w14:paraId="03E3A5C7">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w:t>
            </w:r>
            <w:r>
              <w:rPr>
                <w:rFonts w:hint="eastAsia" w:ascii="宋体" w:hAnsi="宋体" w:eastAsia="宋体" w:cs="宋体"/>
                <w:color w:val="auto"/>
                <w:sz w:val="21"/>
                <w:szCs w:val="21"/>
                <w:highlight w:val="none"/>
                <w:lang w:val="en-US" w:eastAsia="zh-CN"/>
              </w:rPr>
              <w:t>证照</w:t>
            </w:r>
            <w:r>
              <w:rPr>
                <w:rFonts w:hint="eastAsia" w:ascii="宋体" w:hAnsi="宋体" w:eastAsia="宋体" w:cs="宋体"/>
                <w:color w:val="auto"/>
                <w:sz w:val="21"/>
                <w:szCs w:val="21"/>
                <w:highlight w:val="none"/>
              </w:rPr>
              <w:t>扫描件</w:t>
            </w:r>
          </w:p>
        </w:tc>
      </w:tr>
      <w:tr w14:paraId="6695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3" w:hRule="atLeast"/>
          <w:jc w:val="center"/>
        </w:trPr>
        <w:tc>
          <w:tcPr>
            <w:tcW w:w="717" w:type="dxa"/>
            <w:vAlign w:val="center"/>
          </w:tcPr>
          <w:p w14:paraId="0E3D6CA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385" w:type="dxa"/>
            <w:vAlign w:val="center"/>
          </w:tcPr>
          <w:p w14:paraId="5B9BD61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具有健全的财务会计制度</w:t>
            </w:r>
          </w:p>
        </w:tc>
        <w:tc>
          <w:tcPr>
            <w:tcW w:w="6756" w:type="dxa"/>
            <w:vAlign w:val="center"/>
          </w:tcPr>
          <w:p w14:paraId="69F22617">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投标人具有健全的财务会计制度，提供下列两项证明材料之一：</w:t>
            </w:r>
          </w:p>
          <w:p w14:paraId="08E97B61">
            <w:pPr>
              <w:shd w:val="clear"/>
              <w:snapToGrid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（1）提供</w:t>
            </w:r>
            <w:r>
              <w:rPr>
                <w:rFonts w:hint="eastAsia" w:ascii="宋体" w:hAnsi="宋体" w:eastAsia="宋体" w:cs="宋体"/>
                <w:color w:val="auto"/>
                <w:sz w:val="21"/>
                <w:szCs w:val="21"/>
                <w:highlight w:val="none"/>
                <w:lang w:val="en-US" w:eastAsia="zh-CN"/>
              </w:rPr>
              <w:t>近三年（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2至</w:t>
            </w:r>
            <w:r>
              <w:rPr>
                <w:rFonts w:hint="eastAsia" w:ascii="宋体" w:hAnsi="宋体" w:eastAsia="宋体" w:cs="宋体"/>
                <w:color w:val="auto"/>
                <w:sz w:val="21"/>
                <w:szCs w:val="21"/>
                <w:highlight w:val="none"/>
              </w:rPr>
              <w:t>2024年</w:t>
            </w:r>
            <w:r>
              <w:rPr>
                <w:rFonts w:hint="eastAsia" w:ascii="宋体" w:hAnsi="宋体" w:eastAsia="宋体" w:cs="宋体"/>
                <w:color w:val="auto"/>
                <w:sz w:val="21"/>
                <w:szCs w:val="21"/>
                <w:highlight w:val="none"/>
                <w:lang w:val="en-US" w:eastAsia="zh-CN"/>
              </w:rPr>
              <w:t>）任意一年</w:t>
            </w:r>
            <w:r>
              <w:rPr>
                <w:rFonts w:hint="eastAsia" w:ascii="宋体" w:hAnsi="宋体" w:eastAsia="宋体" w:cs="宋体"/>
                <w:color w:val="auto"/>
                <w:sz w:val="21"/>
                <w:szCs w:val="21"/>
                <w:highlight w:val="none"/>
              </w:rPr>
              <w:t>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中提供提交</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截止时间前近三个月内基本开户银行出具的资信证明。</w:t>
            </w:r>
            <w:r>
              <w:rPr>
                <w:rFonts w:hint="eastAsia" w:ascii="宋体" w:hAnsi="宋体" w:eastAsia="宋体" w:cs="宋体"/>
                <w:color w:val="auto"/>
                <w:sz w:val="21"/>
                <w:szCs w:val="21"/>
                <w:highlight w:val="none"/>
                <w:lang w:val="en-US" w:eastAsia="zh-CN"/>
              </w:rPr>
              <w:t>请注意2024年9月5日后出具的财务报告</w:t>
            </w:r>
            <w:r>
              <w:rPr>
                <w:rFonts w:hint="eastAsia" w:ascii="宋体" w:hAnsi="宋体" w:eastAsia="宋体" w:cs="宋体"/>
                <w:color w:val="auto"/>
                <w:sz w:val="21"/>
                <w:szCs w:val="21"/>
                <w:highlight w:val="none"/>
              </w:rPr>
              <w:t>财务报表（至少包括资产负债表、现金流量表、利润表/损益表、附注）</w:t>
            </w:r>
            <w:r>
              <w:rPr>
                <w:rFonts w:hint="eastAsia" w:ascii="宋体" w:hAnsi="宋体" w:eastAsia="宋体" w:cs="宋体"/>
                <w:color w:val="auto"/>
                <w:sz w:val="21"/>
                <w:szCs w:val="21"/>
                <w:highlight w:val="none"/>
                <w:lang w:val="en-US" w:eastAsia="zh-CN"/>
              </w:rPr>
              <w:t>也应附二维码。（二维码指</w:t>
            </w:r>
            <w:r>
              <w:rPr>
                <w:rFonts w:hint="eastAsia" w:ascii="宋体" w:hAnsi="宋体" w:eastAsia="宋体" w:cs="宋体"/>
                <w:color w:val="auto"/>
                <w:sz w:val="21"/>
                <w:szCs w:val="21"/>
                <w:highlight w:val="none"/>
              </w:rPr>
              <w:t>注册会计师行业统一监管平台</w:t>
            </w:r>
            <w:r>
              <w:rPr>
                <w:rFonts w:hint="eastAsia" w:ascii="宋体" w:hAnsi="宋体" w:eastAsia="宋体" w:cs="宋体"/>
                <w:color w:val="auto"/>
                <w:sz w:val="21"/>
                <w:szCs w:val="21"/>
                <w:highlight w:val="none"/>
                <w:lang w:val="en-US" w:eastAsia="zh-CN"/>
              </w:rPr>
              <w:t>赋码，并非会计师事务所自行赋码）</w:t>
            </w:r>
          </w:p>
          <w:p w14:paraId="58D284FB">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（2）提供具有健全的财务会计制度且财务状况良好的书面承诺函。</w:t>
            </w:r>
          </w:p>
          <w:p w14:paraId="2ED68222">
            <w:pPr>
              <w:shd w:val="clear"/>
              <w:snapToGrid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审核近三年（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至</w:t>
            </w:r>
            <w:r>
              <w:rPr>
                <w:rFonts w:hint="eastAsia" w:ascii="宋体" w:hAnsi="宋体" w:eastAsia="宋体" w:cs="宋体"/>
                <w:color w:val="auto"/>
                <w:sz w:val="21"/>
                <w:szCs w:val="21"/>
                <w:highlight w:val="none"/>
              </w:rPr>
              <w:t>2024年</w:t>
            </w:r>
            <w:r>
              <w:rPr>
                <w:rFonts w:hint="eastAsia" w:ascii="宋体" w:hAnsi="宋体" w:eastAsia="宋体" w:cs="宋体"/>
                <w:color w:val="auto"/>
                <w:sz w:val="21"/>
                <w:szCs w:val="21"/>
                <w:highlight w:val="none"/>
                <w:lang w:val="en-US" w:eastAsia="zh-CN"/>
              </w:rPr>
              <w:t>）任意一年</w:t>
            </w:r>
            <w:r>
              <w:rPr>
                <w:rFonts w:hint="eastAsia" w:ascii="宋体" w:hAnsi="宋体" w:eastAsia="宋体" w:cs="宋体"/>
                <w:color w:val="auto"/>
                <w:sz w:val="21"/>
                <w:szCs w:val="21"/>
                <w:highlight w:val="none"/>
              </w:rPr>
              <w:t>第三方审计机构出具的财务审计报告正文和必要的财务报表（至少包括资产负债表、现金流量表、利润表/损益表、附注），成立时间不足一个完整会计年度的供应商，</w:t>
            </w:r>
            <w:r>
              <w:rPr>
                <w:rFonts w:hint="eastAsia" w:ascii="宋体" w:hAnsi="宋体" w:eastAsia="宋体" w:cs="宋体"/>
                <w:color w:val="auto"/>
                <w:sz w:val="21"/>
                <w:szCs w:val="21"/>
                <w:highlight w:val="none"/>
                <w:lang w:val="en-US" w:eastAsia="zh-CN"/>
              </w:rPr>
              <w:t>审核</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截止时间前近三个月内基本开户银行出具的资信证明</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具有健全的财务会计制度且财务状况良好的书面承诺函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承诺函格式可自拟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55C2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7" w:type="dxa"/>
            <w:vAlign w:val="center"/>
          </w:tcPr>
          <w:p w14:paraId="10C47D91">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385" w:type="dxa"/>
            <w:vAlign w:val="center"/>
          </w:tcPr>
          <w:p w14:paraId="74A8A55E">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具有履行合同所必需的货物和专业技术能力</w:t>
            </w:r>
          </w:p>
        </w:tc>
        <w:tc>
          <w:tcPr>
            <w:tcW w:w="6756" w:type="dxa"/>
            <w:vAlign w:val="center"/>
          </w:tcPr>
          <w:p w14:paraId="28AAAD63">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提供了可充分满足履行合同所需货物和专业技术能力的证明材料或承诺。</w:t>
            </w:r>
            <w:r>
              <w:rPr>
                <w:rFonts w:hint="eastAsia" w:ascii="宋体" w:hAnsi="宋体" w:eastAsia="宋体" w:cs="宋体"/>
                <w:color w:val="auto"/>
                <w:highlight w:val="none"/>
              </w:rPr>
              <w:t>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审核电子件</w:t>
            </w:r>
          </w:p>
        </w:tc>
      </w:tr>
      <w:tr w14:paraId="50DD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2C9A1871">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385" w:type="dxa"/>
            <w:vAlign w:val="center"/>
          </w:tcPr>
          <w:p w14:paraId="1C19B75B">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6756" w:type="dxa"/>
            <w:vAlign w:val="center"/>
          </w:tcPr>
          <w:p w14:paraId="1416FE80">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w:t>
            </w:r>
            <w:r>
              <w:rPr>
                <w:rFonts w:hint="eastAsia" w:ascii="宋体" w:hAnsi="宋体" w:eastAsia="宋体" w:cs="宋体"/>
                <w:color w:val="auto"/>
                <w:sz w:val="21"/>
                <w:szCs w:val="21"/>
                <w:highlight w:val="none"/>
                <w:lang w:val="en-US" w:eastAsia="zh-CN"/>
              </w:rPr>
              <w:t>公司2025年1月（含）以来至今任意1个</w:t>
            </w:r>
            <w:r>
              <w:rPr>
                <w:rFonts w:hint="eastAsia" w:ascii="宋体" w:hAnsi="宋体" w:eastAsia="宋体" w:cs="宋体"/>
                <w:color w:val="auto"/>
                <w:sz w:val="21"/>
                <w:szCs w:val="21"/>
                <w:highlight w:val="none"/>
              </w:rPr>
              <w:t>月缴纳税收证明文件（银行出具的缴税凭证或税务机关出具的证明的扫描件）或免税证明，</w:t>
            </w:r>
            <w:r>
              <w:rPr>
                <w:rFonts w:hint="eastAsia" w:ascii="宋体" w:hAnsi="宋体" w:eastAsia="宋体" w:cs="宋体"/>
                <w:color w:val="auto"/>
                <w:sz w:val="21"/>
                <w:szCs w:val="21"/>
                <w:highlight w:val="none"/>
                <w:lang w:val="en-US" w:eastAsia="zh-CN"/>
              </w:rPr>
              <w:t>或投标人自行出具的具有良好依法缴税的承诺函</w:t>
            </w:r>
            <w:r>
              <w:rPr>
                <w:rFonts w:hint="eastAsia" w:ascii="宋体" w:hAnsi="宋体" w:eastAsia="宋体" w:cs="宋体"/>
                <w:color w:val="auto"/>
                <w:sz w:val="21"/>
                <w:szCs w:val="21"/>
                <w:highlight w:val="none"/>
              </w:rPr>
              <w:t>。</w:t>
            </w:r>
          </w:p>
          <w:p w14:paraId="0B2876E5">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提供</w:t>
            </w:r>
            <w:r>
              <w:rPr>
                <w:rFonts w:hint="eastAsia" w:ascii="宋体" w:hAnsi="宋体" w:eastAsia="宋体" w:cs="宋体"/>
                <w:color w:val="auto"/>
                <w:sz w:val="21"/>
                <w:szCs w:val="21"/>
                <w:highlight w:val="none"/>
                <w:lang w:val="en-US" w:eastAsia="zh-CN"/>
              </w:rPr>
              <w:t>公司2025年1月（含）以来至今任意1个</w:t>
            </w:r>
            <w:r>
              <w:rPr>
                <w:rFonts w:hint="eastAsia" w:ascii="宋体" w:hAnsi="宋体" w:eastAsia="宋体" w:cs="宋体"/>
                <w:color w:val="auto"/>
                <w:sz w:val="21"/>
                <w:szCs w:val="21"/>
                <w:highlight w:val="none"/>
              </w:rPr>
              <w:t>月的社会保障资金缴纳记录（其中基本养老保险、基本医疗保险（含生育保险）、工伤保险、失业保险均须依法缴纳）或免缴纳证明，</w:t>
            </w:r>
            <w:r>
              <w:rPr>
                <w:rFonts w:hint="eastAsia" w:ascii="宋体" w:hAnsi="宋体" w:eastAsia="宋体" w:cs="宋体"/>
                <w:color w:val="auto"/>
                <w:sz w:val="21"/>
                <w:szCs w:val="21"/>
                <w:highlight w:val="none"/>
                <w:lang w:val="en-US" w:eastAsia="zh-CN"/>
              </w:rPr>
              <w:t>或投标人自行出具的具有良好依法缴纳社会保障资金的承诺函</w:t>
            </w:r>
            <w:r>
              <w:rPr>
                <w:rFonts w:hint="eastAsia" w:ascii="宋体" w:hAnsi="宋体" w:eastAsia="宋体" w:cs="宋体"/>
                <w:color w:val="auto"/>
                <w:sz w:val="21"/>
                <w:szCs w:val="21"/>
                <w:highlight w:val="none"/>
              </w:rPr>
              <w:t>。</w:t>
            </w:r>
          </w:p>
          <w:p w14:paraId="20EBB3ED">
            <w:pPr>
              <w:shd w:val="clear"/>
              <w:snapToGrid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审核本款1和2要求的材料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承诺函格式可自拟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5563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24DB7BA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385" w:type="dxa"/>
            <w:vAlign w:val="center"/>
          </w:tcPr>
          <w:p w14:paraId="1A3F9841">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w:t>
            </w:r>
          </w:p>
        </w:tc>
        <w:tc>
          <w:tcPr>
            <w:tcW w:w="6756" w:type="dxa"/>
            <w:vAlign w:val="center"/>
          </w:tcPr>
          <w:p w14:paraId="2BC5FBF7">
            <w:pPr>
              <w:shd w:val="clear"/>
              <w:snapToGrid w:val="0"/>
              <w:jc w:val="left"/>
              <w:rPr>
                <w:rFonts w:hint="eastAsia" w:ascii="宋体" w:hAnsi="宋体" w:eastAsia="宋体" w:cs="宋体"/>
                <w:color w:val="auto"/>
                <w:highlight w:val="none"/>
              </w:rPr>
            </w:pPr>
            <w:r>
              <w:rPr>
                <w:rFonts w:hint="eastAsia" w:ascii="宋体" w:hAnsi="宋体" w:eastAsia="宋体" w:cs="宋体"/>
                <w:color w:val="auto"/>
                <w:sz w:val="21"/>
                <w:szCs w:val="21"/>
                <w:highlight w:val="none"/>
              </w:rPr>
              <w:t>提供了有效的参加政府采购活动前3年内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2023年1月1日起至今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在经营活动中没有重大违法记录的书面声明。</w:t>
            </w:r>
            <w:r>
              <w:rPr>
                <w:rFonts w:hint="eastAsia" w:ascii="宋体" w:hAnsi="宋体" w:eastAsia="宋体" w:cs="宋体"/>
                <w:color w:val="auto"/>
                <w:highlight w:val="none"/>
              </w:rPr>
              <w:t>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w:t>
            </w:r>
          </w:p>
          <w:p w14:paraId="1D8A62BF">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审核电子件</w:t>
            </w:r>
          </w:p>
        </w:tc>
      </w:tr>
      <w:tr w14:paraId="4CC8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4195CD1C">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385" w:type="dxa"/>
            <w:vAlign w:val="center"/>
          </w:tcPr>
          <w:p w14:paraId="138F4C5D">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“信用中国”网站和中国政府采购网（www.ccgp.gov.cn）查询记录</w:t>
            </w:r>
          </w:p>
        </w:tc>
        <w:tc>
          <w:tcPr>
            <w:tcW w:w="6756" w:type="dxa"/>
            <w:vAlign w:val="center"/>
          </w:tcPr>
          <w:p w14:paraId="1EAA6309">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shd w:val="clear" w:color="auto" w:fill="FFFFFF"/>
              </w:rPr>
              <w:t>本项目投标截止期前，投标人未被列入“信用中国”网站（www.creditchina.gov.cn）失信被执行人、重大税收违法失信主体；未被列入中国政府采购网（www.ccgp.gov.cn）“政府采购严重违法失信行为信息记录”（处罚决定规定的时间和地域范围内）。注：投标时投标人提供承诺，招标代理机构开标后将在相关网站查询并以此查询结果为准，存档备查。</w:t>
            </w:r>
          </w:p>
        </w:tc>
      </w:tr>
      <w:tr w14:paraId="3909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7C45D7F7">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385" w:type="dxa"/>
            <w:vAlign w:val="center"/>
          </w:tcPr>
          <w:p w14:paraId="25EDF301">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单位负责人为同一人或者</w:t>
            </w:r>
            <w:r>
              <w:rPr>
                <w:rFonts w:hint="eastAsia" w:ascii="宋体" w:hAnsi="宋体" w:eastAsia="宋体" w:cs="宋体"/>
                <w:color w:val="auto"/>
                <w:sz w:val="21"/>
                <w:szCs w:val="21"/>
                <w:highlight w:val="none"/>
                <w:lang w:eastAsia="zh-CN"/>
              </w:rPr>
              <w:t>存在直接控股</w:t>
            </w:r>
            <w:r>
              <w:rPr>
                <w:rFonts w:hint="eastAsia" w:ascii="宋体" w:hAnsi="宋体" w:eastAsia="宋体" w:cs="宋体"/>
                <w:color w:val="auto"/>
                <w:sz w:val="21"/>
                <w:szCs w:val="21"/>
                <w:highlight w:val="none"/>
              </w:rPr>
              <w:t>、管理关系的不同单位，不得同时参加本项目的投标。</w:t>
            </w:r>
          </w:p>
        </w:tc>
        <w:tc>
          <w:tcPr>
            <w:tcW w:w="6756" w:type="dxa"/>
            <w:vAlign w:val="center"/>
          </w:tcPr>
          <w:p w14:paraId="5C66EA03">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提供了“投标人关联企业情况声明”。各投标人之间不存在单位负责人为同一人或者</w:t>
            </w:r>
            <w:r>
              <w:rPr>
                <w:rFonts w:hint="eastAsia" w:ascii="宋体" w:hAnsi="宋体" w:eastAsia="宋体" w:cs="宋体"/>
                <w:color w:val="auto"/>
                <w:sz w:val="21"/>
                <w:szCs w:val="21"/>
                <w:highlight w:val="none"/>
                <w:lang w:eastAsia="zh-CN"/>
              </w:rPr>
              <w:t>存在直接控股</w:t>
            </w:r>
            <w:r>
              <w:rPr>
                <w:rFonts w:hint="eastAsia" w:ascii="宋体" w:hAnsi="宋体" w:eastAsia="宋体" w:cs="宋体"/>
                <w:color w:val="auto"/>
                <w:sz w:val="21"/>
                <w:szCs w:val="21"/>
                <w:highlight w:val="none"/>
              </w:rPr>
              <w:t>、管理关系情形。</w:t>
            </w:r>
            <w:r>
              <w:rPr>
                <w:rFonts w:hint="eastAsia" w:ascii="宋体" w:hAnsi="宋体" w:eastAsia="宋体" w:cs="宋体"/>
                <w:color w:val="auto"/>
                <w:highlight w:val="none"/>
              </w:rPr>
              <w:t>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w:t>
            </w:r>
            <w:r>
              <w:rPr>
                <w:rFonts w:hint="eastAsia" w:ascii="宋体" w:hAnsi="宋体" w:eastAsia="宋体" w:cs="宋体"/>
                <w:b/>
                <w:bCs/>
                <w:color w:val="auto"/>
                <w:sz w:val="21"/>
                <w:szCs w:val="21"/>
                <w:highlight w:val="none"/>
              </w:rPr>
              <w:t>审核电子件</w:t>
            </w:r>
          </w:p>
        </w:tc>
      </w:tr>
      <w:tr w14:paraId="1643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717" w:type="dxa"/>
            <w:vAlign w:val="center"/>
          </w:tcPr>
          <w:p w14:paraId="4FEFF23E">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385" w:type="dxa"/>
            <w:vAlign w:val="center"/>
          </w:tcPr>
          <w:p w14:paraId="028C587A">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为本项目提供整体设计、规范编制或者项目管理、监理、检测等服务的投标人，不得再参加本项目投标。</w:t>
            </w:r>
          </w:p>
        </w:tc>
        <w:tc>
          <w:tcPr>
            <w:tcW w:w="6756" w:type="dxa"/>
            <w:vAlign w:val="center"/>
          </w:tcPr>
          <w:p w14:paraId="618493CF">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提供了投标人未为本项目提供整体设计、规范编制或者项目管理、监理、检测等服务的声明。</w:t>
            </w:r>
            <w:r>
              <w:rPr>
                <w:rFonts w:hint="eastAsia" w:ascii="宋体" w:hAnsi="宋体" w:eastAsia="宋体" w:cs="宋体"/>
                <w:color w:val="auto"/>
                <w:highlight w:val="none"/>
              </w:rPr>
              <w:t>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w:t>
            </w:r>
            <w:r>
              <w:rPr>
                <w:rFonts w:hint="eastAsia" w:ascii="宋体" w:hAnsi="宋体" w:eastAsia="宋体" w:cs="宋体"/>
                <w:b/>
                <w:bCs/>
                <w:color w:val="auto"/>
                <w:sz w:val="21"/>
                <w:szCs w:val="21"/>
                <w:highlight w:val="none"/>
              </w:rPr>
              <w:t>审核电子件</w:t>
            </w:r>
          </w:p>
        </w:tc>
      </w:tr>
      <w:tr w14:paraId="5DC6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4B8020F3">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385" w:type="dxa"/>
            <w:vAlign w:val="center"/>
          </w:tcPr>
          <w:p w14:paraId="469DFE5A">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与采购人存在利害关系可能影响招标公正性的法人、其他组织或者个人，不得参加投标</w:t>
            </w:r>
          </w:p>
        </w:tc>
        <w:tc>
          <w:tcPr>
            <w:tcW w:w="6756" w:type="dxa"/>
            <w:vAlign w:val="center"/>
          </w:tcPr>
          <w:p w14:paraId="18EF2CD3">
            <w:pPr>
              <w:shd w:val="clear"/>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w:t>
            </w:r>
            <w:r>
              <w:rPr>
                <w:rFonts w:hint="eastAsia" w:ascii="宋体" w:hAnsi="宋体" w:eastAsia="宋体" w:cs="宋体"/>
                <w:color w:val="auto"/>
                <w:sz w:val="21"/>
                <w:szCs w:val="21"/>
                <w:highlight w:val="none"/>
                <w:lang w:val="en-US" w:eastAsia="zh-CN"/>
              </w:rPr>
              <w:t>利害关系</w:t>
            </w:r>
            <w:r>
              <w:rPr>
                <w:rFonts w:hint="eastAsia" w:ascii="宋体" w:hAnsi="宋体" w:eastAsia="宋体" w:cs="宋体"/>
                <w:color w:val="auto"/>
                <w:sz w:val="21"/>
                <w:szCs w:val="21"/>
                <w:highlight w:val="none"/>
              </w:rPr>
              <w:t>声明。</w:t>
            </w:r>
            <w:r>
              <w:rPr>
                <w:rFonts w:hint="eastAsia" w:ascii="宋体" w:hAnsi="宋体" w:eastAsia="宋体" w:cs="宋体"/>
                <w:color w:val="auto"/>
                <w:highlight w:val="none"/>
              </w:rPr>
              <w:t>依据</w:t>
            </w:r>
            <w:r>
              <w:rPr>
                <w:rFonts w:hint="eastAsia" w:ascii="宋体" w:hAnsi="宋体" w:eastAsia="宋体" w:cs="宋体"/>
                <w:color w:val="auto"/>
                <w:highlight w:val="none"/>
                <w:lang w:val="en-US" w:eastAsia="zh-CN"/>
              </w:rPr>
              <w:t>招标文件</w:t>
            </w:r>
            <w:r>
              <w:rPr>
                <w:rFonts w:hint="eastAsia" w:ascii="宋体" w:hAnsi="宋体" w:eastAsia="宋体" w:cs="宋体"/>
                <w:color w:val="auto"/>
                <w:highlight w:val="none"/>
              </w:rPr>
              <w:t>相关格式内容</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w:t>
            </w:r>
            <w:r>
              <w:rPr>
                <w:rFonts w:hint="eastAsia" w:ascii="宋体" w:hAnsi="宋体" w:eastAsia="宋体" w:cs="宋体"/>
                <w:b/>
                <w:bCs/>
                <w:color w:val="auto"/>
                <w:sz w:val="21"/>
                <w:szCs w:val="21"/>
                <w:highlight w:val="none"/>
              </w:rPr>
              <w:t>审核电子件</w:t>
            </w:r>
          </w:p>
        </w:tc>
      </w:tr>
      <w:tr w14:paraId="019D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7" w:type="dxa"/>
            <w:vAlign w:val="center"/>
          </w:tcPr>
          <w:p w14:paraId="1D264890">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385" w:type="dxa"/>
            <w:vAlign w:val="center"/>
          </w:tcPr>
          <w:p w14:paraId="66BA81E8">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6756" w:type="dxa"/>
            <w:vAlign w:val="center"/>
          </w:tcPr>
          <w:p w14:paraId="3469C984">
            <w:pPr>
              <w:shd w:val="clear"/>
              <w:snapToGrid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投标人为非联合体投标</w:t>
            </w:r>
          </w:p>
        </w:tc>
      </w:tr>
      <w:tr w14:paraId="0638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17" w:type="dxa"/>
            <w:vAlign w:val="center"/>
          </w:tcPr>
          <w:p w14:paraId="7FA0CD5D">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2385" w:type="dxa"/>
            <w:vAlign w:val="center"/>
          </w:tcPr>
          <w:p w14:paraId="632260F8">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特定要求</w:t>
            </w:r>
          </w:p>
        </w:tc>
        <w:tc>
          <w:tcPr>
            <w:tcW w:w="6756" w:type="dxa"/>
            <w:shd w:val="clear" w:color="auto" w:fill="auto"/>
            <w:vAlign w:val="center"/>
          </w:tcPr>
          <w:p w14:paraId="3C4355C1">
            <w:pPr>
              <w:shd w:val="clear"/>
              <w:snapToGrid w:val="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无</w:t>
            </w:r>
          </w:p>
        </w:tc>
      </w:tr>
    </w:tbl>
    <w:p w14:paraId="2BE5A03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注意事项： </w:t>
      </w:r>
    </w:p>
    <w:p w14:paraId="27146F28">
      <w:pPr>
        <w:keepNext w:val="0"/>
        <w:keepLines w:val="0"/>
        <w:pageBreakBefore w:val="0"/>
        <w:widowControl w:val="0"/>
        <w:numPr>
          <w:ilvl w:val="0"/>
          <w:numId w:val="13"/>
        </w:numPr>
        <w:shd w:val="clear"/>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 </w:t>
      </w:r>
    </w:p>
    <w:p w14:paraId="211075BF">
      <w:pPr>
        <w:keepNext w:val="0"/>
        <w:keepLines w:val="0"/>
        <w:pageBreakBefore w:val="0"/>
        <w:widowControl w:val="0"/>
        <w:numPr>
          <w:ilvl w:val="0"/>
          <w:numId w:val="13"/>
        </w:numPr>
        <w:shd w:val="clear"/>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事业单位参与投标时，可不提供财务状况报告、社会保障资金和税收缴纳证明；依法免税或不需要缴纳社会保障资金的投标人，应提供相应证明文件，证明其依法免税或不需要缴纳社会保障资金；自然人（仅限中国公民）参与投标时，只须提供身份证扫描件。</w:t>
      </w:r>
    </w:p>
    <w:p w14:paraId="442F22FF">
      <w:pPr>
        <w:keepNext w:val="0"/>
        <w:keepLines w:val="0"/>
        <w:pageBreakBefore w:val="0"/>
        <w:widowControl w:val="0"/>
        <w:numPr>
          <w:ilvl w:val="0"/>
          <w:numId w:val="13"/>
        </w:numPr>
        <w:shd w:val="clear"/>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招标文件提供格式的投标人按照其格式填报，未提供格式的投标人可以自拟。</w:t>
      </w:r>
    </w:p>
    <w:p w14:paraId="73F99C94">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8"/>
          <w:szCs w:val="28"/>
          <w:highlight w:val="none"/>
        </w:rPr>
      </w:pPr>
    </w:p>
    <w:p w14:paraId="526DABCA">
      <w:pPr>
        <w:pStyle w:val="4"/>
        <w:bidi w:val="0"/>
        <w:spacing w:line="240" w:lineRule="auto"/>
        <w:jc w:val="center"/>
        <w:rPr>
          <w:rFonts w:hint="eastAsia" w:ascii="宋体" w:hAnsi="宋体" w:eastAsia="宋体" w:cs="宋体"/>
          <w:b/>
          <w:color w:val="auto"/>
          <w:sz w:val="28"/>
          <w:szCs w:val="28"/>
          <w:highlight w:val="none"/>
        </w:rPr>
      </w:pPr>
      <w:r>
        <w:rPr>
          <w:rFonts w:hint="eastAsia" w:ascii="宋体" w:hAnsi="宋体" w:eastAsia="宋体" w:cs="宋体"/>
          <w:color w:val="auto"/>
          <w:sz w:val="21"/>
          <w:szCs w:val="21"/>
          <w:highlight w:val="none"/>
        </w:rPr>
        <w:br w:type="page"/>
      </w:r>
      <w:bookmarkStart w:id="125" w:name="_Toc26132"/>
      <w:bookmarkStart w:id="126" w:name="_Toc414446033"/>
      <w:bookmarkStart w:id="127" w:name="_Toc410631197"/>
      <w:bookmarkStart w:id="128" w:name="_Toc23856"/>
      <w:r>
        <w:rPr>
          <w:rFonts w:hint="eastAsia" w:ascii="宋体" w:hAnsi="宋体" w:eastAsia="宋体" w:cs="宋体"/>
          <w:color w:val="auto"/>
          <w:highlight w:val="none"/>
        </w:rPr>
        <w:t>附表二 符合性审查表</w:t>
      </w:r>
      <w:bookmarkEnd w:id="125"/>
      <w:bookmarkEnd w:id="126"/>
      <w:bookmarkEnd w:id="127"/>
      <w:bookmarkEnd w:id="128"/>
    </w:p>
    <w:tbl>
      <w:tblPr>
        <w:tblStyle w:val="48"/>
        <w:tblW w:w="93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1961"/>
        <w:gridCol w:w="6475"/>
      </w:tblGrid>
      <w:tr w14:paraId="7EFA8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73BEEA54">
            <w:pPr>
              <w:shd w:val="clear"/>
              <w:tabs>
                <w:tab w:val="left" w:pos="1260"/>
                <w:tab w:val="left" w:pos="1620"/>
              </w:tabs>
              <w:adjustRightInd w:val="0"/>
              <w:snapToGrid w:val="0"/>
              <w:jc w:val="center"/>
              <w:textAlignment w:val="baseline"/>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序号</w:t>
            </w:r>
          </w:p>
        </w:tc>
        <w:tc>
          <w:tcPr>
            <w:tcW w:w="1961" w:type="dxa"/>
            <w:vAlign w:val="center"/>
          </w:tcPr>
          <w:p w14:paraId="4D001863">
            <w:pPr>
              <w:shd w:val="clear"/>
              <w:tabs>
                <w:tab w:val="left" w:pos="1260"/>
                <w:tab w:val="left" w:pos="1620"/>
              </w:tabs>
              <w:adjustRightInd w:val="0"/>
              <w:snapToGrid w:val="0"/>
              <w:jc w:val="center"/>
              <w:textAlignment w:val="baseline"/>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评审项目</w:t>
            </w:r>
          </w:p>
        </w:tc>
        <w:tc>
          <w:tcPr>
            <w:tcW w:w="6475" w:type="dxa"/>
            <w:vAlign w:val="center"/>
          </w:tcPr>
          <w:p w14:paraId="53C94576">
            <w:pPr>
              <w:shd w:val="clear"/>
              <w:tabs>
                <w:tab w:val="left" w:pos="1260"/>
                <w:tab w:val="left" w:pos="1620"/>
              </w:tabs>
              <w:adjustRightInd w:val="0"/>
              <w:snapToGrid w:val="0"/>
              <w:jc w:val="center"/>
              <w:textAlignment w:val="baseline"/>
              <w:rPr>
                <w:rFonts w:hint="eastAsia" w:ascii="宋体" w:hAnsi="宋体" w:eastAsia="宋体" w:cs="宋体"/>
                <w:b/>
                <w:caps/>
                <w:color w:val="auto"/>
                <w:sz w:val="21"/>
                <w:szCs w:val="21"/>
                <w:highlight w:val="none"/>
              </w:rPr>
            </w:pPr>
            <w:r>
              <w:rPr>
                <w:rFonts w:hint="eastAsia" w:ascii="宋体" w:hAnsi="宋体" w:eastAsia="宋体" w:cs="宋体"/>
                <w:b/>
                <w:caps/>
                <w:color w:val="auto"/>
                <w:sz w:val="21"/>
                <w:szCs w:val="21"/>
                <w:highlight w:val="none"/>
              </w:rPr>
              <w:t>评审标准</w:t>
            </w:r>
          </w:p>
        </w:tc>
      </w:tr>
      <w:tr w14:paraId="4ED93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7D741F60">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304B507C">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475" w:type="dxa"/>
            <w:vAlign w:val="center"/>
          </w:tcPr>
          <w:p w14:paraId="61C229F0">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按照招标文件的规定提交投标保证金</w:t>
            </w:r>
          </w:p>
        </w:tc>
      </w:tr>
      <w:tr w14:paraId="49E8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01" w:type="dxa"/>
            <w:vAlign w:val="center"/>
          </w:tcPr>
          <w:p w14:paraId="7E6B3C17">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66E6E5F0">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投标文件签署盖章</w:t>
            </w:r>
          </w:p>
        </w:tc>
        <w:tc>
          <w:tcPr>
            <w:tcW w:w="6475" w:type="dxa"/>
            <w:vAlign w:val="center"/>
          </w:tcPr>
          <w:p w14:paraId="33FE02A8">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按招标文件要求在规定位置加盖投标人公章和有法定代表人或其授权代表签字加盖人名章的</w:t>
            </w:r>
          </w:p>
        </w:tc>
      </w:tr>
      <w:tr w14:paraId="71C2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01" w:type="dxa"/>
            <w:vAlign w:val="center"/>
          </w:tcPr>
          <w:p w14:paraId="03AEC145">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52B24C3A">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6475" w:type="dxa"/>
            <w:vAlign w:val="center"/>
          </w:tcPr>
          <w:p w14:paraId="3F6AF90F">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投标报价是固定价且未超过预算金额（招标文件有</w:t>
            </w:r>
            <w:r>
              <w:rPr>
                <w:rFonts w:hint="eastAsia" w:ascii="宋体" w:hAnsi="宋体" w:eastAsia="宋体" w:cs="宋体"/>
                <w:color w:val="auto"/>
                <w:sz w:val="21"/>
                <w:szCs w:val="21"/>
                <w:highlight w:val="none"/>
                <w:lang w:val="en-US" w:eastAsia="zh-CN"/>
              </w:rPr>
              <w:t>单价最高限价和总价最高限价</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投标人投标价均</w:t>
            </w:r>
            <w:r>
              <w:rPr>
                <w:rFonts w:hint="eastAsia" w:ascii="宋体" w:hAnsi="宋体" w:eastAsia="宋体" w:cs="宋体"/>
                <w:color w:val="auto"/>
                <w:sz w:val="21"/>
                <w:szCs w:val="21"/>
                <w:highlight w:val="none"/>
              </w:rPr>
              <w:t xml:space="preserve">未超过最高限价。）                    </w:t>
            </w:r>
          </w:p>
        </w:tc>
      </w:tr>
      <w:tr w14:paraId="639DB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5DBEC622">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7B820CC2">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附加条件</w:t>
            </w:r>
          </w:p>
        </w:tc>
        <w:tc>
          <w:tcPr>
            <w:tcW w:w="6475" w:type="dxa"/>
            <w:vAlign w:val="center"/>
          </w:tcPr>
          <w:p w14:paraId="36BE3B66">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投标文件不含有采购人不能接受的附加条件</w:t>
            </w:r>
          </w:p>
        </w:tc>
      </w:tr>
      <w:tr w14:paraId="09570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0" w:hRule="atLeast"/>
          <w:jc w:val="center"/>
        </w:trPr>
        <w:tc>
          <w:tcPr>
            <w:tcW w:w="901" w:type="dxa"/>
            <w:vAlign w:val="center"/>
          </w:tcPr>
          <w:p w14:paraId="6F032616">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200BA860">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公平竞争</w:t>
            </w:r>
          </w:p>
        </w:tc>
        <w:tc>
          <w:tcPr>
            <w:tcW w:w="6475" w:type="dxa"/>
            <w:vAlign w:val="center"/>
          </w:tcPr>
          <w:p w14:paraId="50250BED">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遵循公平竞争的原则，没有弄虚作假、恶意串通或妨碍其他投标人的竞争行为，损害采购人或者其他投标人的合法权益。</w:t>
            </w:r>
          </w:p>
          <w:p w14:paraId="700F6D40">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弄虚作假、串通投标的情形见附注</w:t>
            </w:r>
          </w:p>
        </w:tc>
      </w:tr>
      <w:tr w14:paraId="0007A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01" w:type="dxa"/>
            <w:vAlign w:val="center"/>
          </w:tcPr>
          <w:p w14:paraId="1C69655F">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19577C69">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报价修正</w:t>
            </w:r>
          </w:p>
        </w:tc>
        <w:tc>
          <w:tcPr>
            <w:tcW w:w="6475" w:type="dxa"/>
            <w:vAlign w:val="center"/>
          </w:tcPr>
          <w:p w14:paraId="650C87F8">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报价出现前后不一致时，投标人按照招标文件评标办法要求确认修正后的报价。</w:t>
            </w:r>
          </w:p>
        </w:tc>
      </w:tr>
      <w:tr w14:paraId="034BA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2D3D8079">
            <w:pPr>
              <w:numPr>
                <w:ilvl w:val="0"/>
                <w:numId w:val="14"/>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667F692E">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其他无效情形</w:t>
            </w:r>
          </w:p>
        </w:tc>
        <w:tc>
          <w:tcPr>
            <w:tcW w:w="6475" w:type="dxa"/>
            <w:vAlign w:val="center"/>
          </w:tcPr>
          <w:p w14:paraId="669AFFED">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法律、法规和招标文件规定的其他无效情形</w:t>
            </w:r>
          </w:p>
        </w:tc>
      </w:tr>
      <w:tr w14:paraId="6A7C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6F161D0F">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7B48D439">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475" w:type="dxa"/>
            <w:vAlign w:val="center"/>
          </w:tcPr>
          <w:p w14:paraId="69912C4D">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投标有效期满足招标文件要求的</w:t>
            </w:r>
          </w:p>
        </w:tc>
      </w:tr>
      <w:tr w14:paraId="3A71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0" w:hRule="atLeast"/>
          <w:jc w:val="center"/>
        </w:trPr>
        <w:tc>
          <w:tcPr>
            <w:tcW w:w="901" w:type="dxa"/>
            <w:vAlign w:val="center"/>
          </w:tcPr>
          <w:p w14:paraId="0AE0623B">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6ABDF88A">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备选方案</w:t>
            </w:r>
          </w:p>
        </w:tc>
        <w:tc>
          <w:tcPr>
            <w:tcW w:w="6475" w:type="dxa"/>
            <w:vAlign w:val="center"/>
          </w:tcPr>
          <w:p w14:paraId="106E01BE">
            <w:pPr>
              <w:shd w:val="clear"/>
              <w:tabs>
                <w:tab w:val="left" w:pos="1260"/>
                <w:tab w:val="left" w:pos="1620"/>
              </w:tabs>
              <w:adjustRightInd w:val="0"/>
              <w:snapToGrid w:val="0"/>
              <w:textAlignment w:val="baseline"/>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投标人不得提交两份或者多份内容不同的投标文件，或者在同一份投标文件中对同一招标项目有两个或者多个报价。</w:t>
            </w:r>
          </w:p>
        </w:tc>
      </w:tr>
      <w:tr w14:paraId="4FDF0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901" w:type="dxa"/>
            <w:vAlign w:val="center"/>
          </w:tcPr>
          <w:p w14:paraId="17E4C156">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2893FD63">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6475" w:type="dxa"/>
            <w:vAlign w:val="center"/>
          </w:tcPr>
          <w:p w14:paraId="5C230539">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投标人提供的货物无实质性遗漏</w:t>
            </w:r>
          </w:p>
        </w:tc>
      </w:tr>
      <w:tr w14:paraId="058C1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0" w:hRule="atLeast"/>
          <w:jc w:val="center"/>
        </w:trPr>
        <w:tc>
          <w:tcPr>
            <w:tcW w:w="901" w:type="dxa"/>
            <w:vAlign w:val="center"/>
          </w:tcPr>
          <w:p w14:paraId="7F26DF7C">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shd w:val="clear" w:color="auto" w:fill="auto"/>
            <w:vAlign w:val="center"/>
          </w:tcPr>
          <w:p w14:paraId="2A80118F">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是否允许采用分包方式履行合同</w:t>
            </w:r>
          </w:p>
        </w:tc>
        <w:tc>
          <w:tcPr>
            <w:tcW w:w="6475" w:type="dxa"/>
            <w:shd w:val="clear" w:color="auto" w:fill="auto"/>
            <w:vAlign w:val="center"/>
          </w:tcPr>
          <w:p w14:paraId="5582B2BC">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不允许中标供应商分包、转包。</w:t>
            </w:r>
          </w:p>
        </w:tc>
      </w:tr>
      <w:tr w14:paraId="21F09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01" w:type="dxa"/>
            <w:vAlign w:val="center"/>
          </w:tcPr>
          <w:p w14:paraId="6A998D5C">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70215211">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技术响应</w:t>
            </w:r>
          </w:p>
        </w:tc>
        <w:tc>
          <w:tcPr>
            <w:tcW w:w="6475" w:type="dxa"/>
            <w:vAlign w:val="center"/>
          </w:tcPr>
          <w:p w14:paraId="1FAE7514">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符合“采购需求”要求，</w:t>
            </w:r>
            <w:r>
              <w:rPr>
                <w:rFonts w:hint="eastAsia" w:ascii="宋体" w:hAnsi="宋体" w:eastAsia="宋体" w:cs="宋体"/>
                <w:color w:val="auto"/>
                <w:sz w:val="21"/>
                <w:szCs w:val="21"/>
                <w:highlight w:val="none"/>
                <w:lang w:val="en-US" w:eastAsia="zh-CN"/>
              </w:rPr>
              <w:t>对招标文件中</w:t>
            </w:r>
            <w:r>
              <w:rPr>
                <w:rFonts w:hint="eastAsia" w:ascii="宋体" w:hAnsi="宋体" w:eastAsia="宋体" w:cs="宋体"/>
                <w:color w:val="auto"/>
                <w:sz w:val="21"/>
                <w:szCs w:val="21"/>
                <w:highlight w:val="none"/>
              </w:rPr>
              <w:t>标记为“■”的内容无负偏差</w:t>
            </w:r>
          </w:p>
        </w:tc>
      </w:tr>
      <w:tr w14:paraId="71A28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01" w:type="dxa"/>
            <w:vAlign w:val="center"/>
          </w:tcPr>
          <w:p w14:paraId="3971BFB4">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599DB031">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交货期和交货地点</w:t>
            </w:r>
          </w:p>
        </w:tc>
        <w:tc>
          <w:tcPr>
            <w:tcW w:w="6475" w:type="dxa"/>
            <w:vAlign w:val="center"/>
          </w:tcPr>
          <w:p w14:paraId="04614482">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w:t>
            </w:r>
          </w:p>
        </w:tc>
      </w:tr>
      <w:tr w14:paraId="1CCB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8" w:hRule="atLeast"/>
          <w:jc w:val="center"/>
        </w:trPr>
        <w:tc>
          <w:tcPr>
            <w:tcW w:w="901" w:type="dxa"/>
            <w:vAlign w:val="center"/>
          </w:tcPr>
          <w:p w14:paraId="4537DFF9">
            <w:pPr>
              <w:numPr>
                <w:ilvl w:val="0"/>
                <w:numId w:val="15"/>
              </w:num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p>
        </w:tc>
        <w:tc>
          <w:tcPr>
            <w:tcW w:w="1961" w:type="dxa"/>
            <w:vAlign w:val="center"/>
          </w:tcPr>
          <w:p w14:paraId="107729CE">
            <w:pPr>
              <w:shd w:val="clear"/>
              <w:tabs>
                <w:tab w:val="left" w:pos="1260"/>
                <w:tab w:val="left" w:pos="1620"/>
              </w:tabs>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475" w:type="dxa"/>
            <w:vAlign w:val="center"/>
          </w:tcPr>
          <w:p w14:paraId="2719A574">
            <w:pPr>
              <w:shd w:val="clear"/>
              <w:tabs>
                <w:tab w:val="left" w:pos="1260"/>
                <w:tab w:val="left" w:pos="1620"/>
              </w:tabs>
              <w:adjustRightInd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投标文件无负偏差。</w:t>
            </w:r>
          </w:p>
        </w:tc>
      </w:tr>
    </w:tbl>
    <w:p w14:paraId="0443B737">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p>
    <w:p w14:paraId="76EEB548">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注：有下列情形之一的，视为投标人相互串通投标：</w:t>
      </w:r>
    </w:p>
    <w:p w14:paraId="4F5181BF">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（1）不同投标人的投标文件由同一单位或者个人编制；</w:t>
      </w:r>
    </w:p>
    <w:p w14:paraId="42EF05F7">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（2）不同投标人委托同一单位或者个人办理投标事宜；</w:t>
      </w:r>
    </w:p>
    <w:p w14:paraId="0254611A">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（3）不同投标人的投标文件载明的项目管理成员或者联系人员为同一人；</w:t>
      </w:r>
    </w:p>
    <w:p w14:paraId="264C01DD">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（4）不同投标人的投标文件异常一致或者投标报价呈规律性差异；</w:t>
      </w:r>
    </w:p>
    <w:p w14:paraId="6E1EB14F">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（5）不同投标人的投标文件相互混装；</w:t>
      </w:r>
    </w:p>
    <w:p w14:paraId="44C3CBCD">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（6）不同投标人的投标保证金从同一单位或者个人的账户转出。</w:t>
      </w:r>
    </w:p>
    <w:p w14:paraId="3F8673C6">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有下列情形之一的，属于提供虚假材料谋取中标的行为：</w:t>
      </w:r>
    </w:p>
    <w:p w14:paraId="435B42B5">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（1）使用伪造、变造的许可证件；</w:t>
      </w:r>
    </w:p>
    <w:p w14:paraId="0C99628C">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（2）提供虚假的财务状况或者业绩；</w:t>
      </w:r>
    </w:p>
    <w:p w14:paraId="503CE9E1">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（3）提供虚假的项目负责人或者主要技术人员简历、劳动关系证明；</w:t>
      </w:r>
    </w:p>
    <w:p w14:paraId="5D2220E7">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（4）提供虚假的信用状况；</w:t>
      </w:r>
    </w:p>
    <w:p w14:paraId="041061A4">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425" w:lef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（5）其他弄虚作假的行为。</w:t>
      </w:r>
    </w:p>
    <w:p w14:paraId="4990D75D">
      <w:pPr>
        <w:shd w:val="clear"/>
        <w:tabs>
          <w:tab w:val="left" w:pos="1260"/>
          <w:tab w:val="left" w:pos="1620"/>
        </w:tabs>
        <w:adjustRightInd w:val="0"/>
        <w:spacing w:line="360" w:lineRule="auto"/>
        <w:jc w:val="left"/>
        <w:textAlignment w:val="baseline"/>
        <w:rPr>
          <w:rFonts w:hint="eastAsia" w:ascii="宋体" w:hAnsi="宋体" w:eastAsia="宋体" w:cs="宋体"/>
          <w:b/>
          <w:color w:val="auto"/>
          <w:szCs w:val="21"/>
          <w:highlight w:val="none"/>
        </w:rPr>
      </w:pPr>
    </w:p>
    <w:p w14:paraId="32522499">
      <w:pPr>
        <w:pStyle w:val="4"/>
        <w:bidi w:val="0"/>
        <w:spacing w:line="24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Cs w:val="21"/>
          <w:highlight w:val="none"/>
        </w:rPr>
        <w:br w:type="page"/>
      </w:r>
      <w:bookmarkStart w:id="129" w:name="_Toc11463"/>
      <w:bookmarkStart w:id="130" w:name="_Toc410631198"/>
      <w:bookmarkStart w:id="131" w:name="_Toc15146"/>
      <w:bookmarkStart w:id="132" w:name="_Toc414446034"/>
      <w:r>
        <w:rPr>
          <w:rFonts w:hint="eastAsia" w:ascii="宋体" w:hAnsi="宋体" w:eastAsia="宋体" w:cs="宋体"/>
          <w:color w:val="auto"/>
          <w:highlight w:val="none"/>
        </w:rPr>
        <w:t>附表三 商务、技术评审因素及分值分配表</w:t>
      </w:r>
      <w:bookmarkEnd w:id="129"/>
      <w:bookmarkEnd w:id="130"/>
      <w:bookmarkEnd w:id="131"/>
      <w:bookmarkEnd w:id="132"/>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满分70分</w:t>
      </w:r>
      <w:r>
        <w:rPr>
          <w:rFonts w:hint="eastAsia" w:ascii="宋体" w:hAnsi="宋体" w:eastAsia="宋体" w:cs="宋体"/>
          <w:color w:val="auto"/>
          <w:highlight w:val="none"/>
          <w:lang w:eastAsia="zh-CN"/>
        </w:rPr>
        <w:t>）</w:t>
      </w:r>
    </w:p>
    <w:tbl>
      <w:tblPr>
        <w:tblStyle w:val="48"/>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275"/>
        <w:gridCol w:w="7136"/>
        <w:gridCol w:w="1046"/>
      </w:tblGrid>
      <w:tr w14:paraId="5B3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shd w:val="clear" w:color="auto" w:fill="F1F1F1"/>
            <w:noWrap w:val="0"/>
            <w:vAlign w:val="center"/>
          </w:tcPr>
          <w:p w14:paraId="3583873B">
            <w:pPr>
              <w:snapToGrid w:val="0"/>
              <w:spacing w:line="360" w:lineRule="auto"/>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序号</w:t>
            </w:r>
          </w:p>
        </w:tc>
        <w:tc>
          <w:tcPr>
            <w:tcW w:w="1275" w:type="dxa"/>
            <w:shd w:val="clear" w:color="auto" w:fill="F1F1F1"/>
            <w:noWrap w:val="0"/>
            <w:vAlign w:val="center"/>
          </w:tcPr>
          <w:p w14:paraId="2D6A41EE">
            <w:pPr>
              <w:snapToGrid w:val="0"/>
              <w:spacing w:line="360" w:lineRule="auto"/>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评审内容</w:t>
            </w:r>
          </w:p>
        </w:tc>
        <w:tc>
          <w:tcPr>
            <w:tcW w:w="7136" w:type="dxa"/>
            <w:shd w:val="clear" w:color="auto" w:fill="F1F1F1"/>
            <w:noWrap w:val="0"/>
            <w:vAlign w:val="center"/>
          </w:tcPr>
          <w:p w14:paraId="70C254D7">
            <w:pPr>
              <w:snapToGrid w:val="0"/>
              <w:spacing w:line="360" w:lineRule="auto"/>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评分标准</w:t>
            </w:r>
          </w:p>
        </w:tc>
        <w:tc>
          <w:tcPr>
            <w:tcW w:w="1046" w:type="dxa"/>
            <w:shd w:val="clear" w:color="auto" w:fill="F1F1F1"/>
            <w:noWrap w:val="0"/>
            <w:vAlign w:val="center"/>
          </w:tcPr>
          <w:p w14:paraId="1CA14073">
            <w:pPr>
              <w:snapToGrid w:val="0"/>
              <w:spacing w:line="360" w:lineRule="auto"/>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分值（分）</w:t>
            </w:r>
          </w:p>
        </w:tc>
      </w:tr>
      <w:tr w14:paraId="392F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noWrap w:val="0"/>
            <w:vAlign w:val="center"/>
          </w:tcPr>
          <w:p w14:paraId="54F29CB8">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b w:val="0"/>
                <w:bCs w:val="0"/>
                <w:color w:val="auto"/>
                <w:sz w:val="21"/>
                <w:szCs w:val="21"/>
                <w:highlight w:val="none"/>
              </w:rPr>
            </w:pPr>
          </w:p>
        </w:tc>
        <w:tc>
          <w:tcPr>
            <w:tcW w:w="1275" w:type="dxa"/>
            <w:shd w:val="clear" w:color="auto" w:fill="auto"/>
            <w:noWrap w:val="0"/>
            <w:vAlign w:val="center"/>
          </w:tcPr>
          <w:p w14:paraId="0DFF1488">
            <w:pPr>
              <w:keepNext w:val="0"/>
              <w:keepLines w:val="0"/>
              <w:pageBreakBefore w:val="0"/>
              <w:widowControl/>
              <w:suppressLineNumbers w:val="0"/>
              <w:shd w:val="clear"/>
              <w:kinsoku/>
              <w:wordWrap/>
              <w:overflowPunct/>
              <w:topLinePunct w:val="0"/>
              <w:autoSpaceDE/>
              <w:autoSpaceDN/>
              <w:bidi w:val="0"/>
              <w:spacing w:before="0" w:beforeAutospacing="0" w:after="0" w:afterAutospacing="0"/>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对招标文件第五章第二条采购需求第（</w:t>
            </w:r>
            <w:r>
              <w:rPr>
                <w:rFonts w:hint="eastAsia" w:ascii="宋体" w:hAnsi="宋体" w:cs="宋体"/>
                <w:b w:val="0"/>
                <w:bCs w:val="0"/>
                <w:color w:val="auto"/>
                <w:kern w:val="2"/>
                <w:sz w:val="21"/>
                <w:szCs w:val="21"/>
                <w:highlight w:val="none"/>
                <w:lang w:val="en-US" w:eastAsia="zh-CN" w:bidi="ar-SA"/>
              </w:rPr>
              <w:t>九</w:t>
            </w:r>
            <w:r>
              <w:rPr>
                <w:rFonts w:hint="eastAsia" w:ascii="宋体" w:hAnsi="宋体" w:eastAsia="宋体" w:cs="宋体"/>
                <w:b w:val="0"/>
                <w:bCs w:val="0"/>
                <w:color w:val="auto"/>
                <w:kern w:val="2"/>
                <w:sz w:val="21"/>
                <w:szCs w:val="21"/>
                <w:highlight w:val="none"/>
                <w:lang w:val="en-US" w:eastAsia="zh-CN" w:bidi="ar-SA"/>
              </w:rPr>
              <w:t>）技术参数的响应程度</w:t>
            </w:r>
          </w:p>
        </w:tc>
        <w:tc>
          <w:tcPr>
            <w:tcW w:w="7136" w:type="dxa"/>
            <w:shd w:val="clear" w:color="auto" w:fill="auto"/>
            <w:noWrap w:val="0"/>
            <w:vAlign w:val="center"/>
          </w:tcPr>
          <w:p w14:paraId="1A67BFC6">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对招标文件第五章第二条采购需求第（</w:t>
            </w:r>
            <w:r>
              <w:rPr>
                <w:rFonts w:hint="eastAsia" w:ascii="宋体" w:hAnsi="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val="en-US" w:eastAsia="zh-CN"/>
              </w:rPr>
              <w:t>）技术参数标记“▲”的要求共</w:t>
            </w:r>
            <w:r>
              <w:rPr>
                <w:rFonts w:hint="eastAsia" w:ascii="宋体" w:hAnsi="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lang w:val="en-US" w:eastAsia="zh-CN"/>
              </w:rPr>
              <w:t>项，本项满分</w:t>
            </w:r>
            <w:r>
              <w:rPr>
                <w:rFonts w:hint="eastAsia" w:ascii="宋体" w:hAnsi="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lang w:val="en-US" w:eastAsia="zh-CN"/>
              </w:rPr>
              <w:t>分。投标产品无偏离或正偏离得分但不加分，负偏离每有1项扣</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分。本项扣到0分为止。</w:t>
            </w:r>
          </w:p>
          <w:p w14:paraId="58AFBF6B">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color w:val="auto"/>
                <w:sz w:val="21"/>
                <w:szCs w:val="21"/>
                <w:highlight w:val="none"/>
                <w:lang w:val="en-US" w:eastAsia="zh-CN"/>
              </w:rPr>
            </w:pPr>
          </w:p>
          <w:p w14:paraId="02B2A142">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【如采购需求中有明确要求提供证明材料的，则以采购需求要求的为准；如采购需求中无明确要求证明材料的，则提供投标产品</w:t>
            </w:r>
            <w:r>
              <w:rPr>
                <w:rFonts w:hint="eastAsia" w:ascii="宋体" w:hAnsi="宋体" w:cs="宋体"/>
                <w:b w:val="0"/>
                <w:bCs w:val="0"/>
                <w:color w:val="auto"/>
                <w:sz w:val="21"/>
                <w:szCs w:val="21"/>
                <w:highlight w:val="none"/>
                <w:lang w:val="en-US" w:eastAsia="zh-CN"/>
              </w:rPr>
              <w:t>功能截图及说明</w:t>
            </w:r>
            <w:r>
              <w:rPr>
                <w:rFonts w:hint="eastAsia" w:ascii="宋体" w:hAnsi="宋体" w:eastAsia="宋体" w:cs="宋体"/>
                <w:b w:val="0"/>
                <w:bCs w:val="0"/>
                <w:color w:val="auto"/>
                <w:sz w:val="21"/>
                <w:szCs w:val="21"/>
                <w:highlight w:val="none"/>
                <w:lang w:val="en-US" w:eastAsia="zh-CN"/>
              </w:rPr>
              <w:t>或产品使用说明书或厂家公开发布的印刷资料作为技术证明文件，并标记出参数所在位置，未提供上述技术证明文件的视为不响应，不得分(如相关技术证明文件为英文版，请同时提供中文版，不提供不得分），证明材料中请使用框图标记，以便评标时对应评审】如投标人仅提供了技术偏离表而未提供对应的支持材料，均视为负偏离；</w:t>
            </w:r>
          </w:p>
          <w:p w14:paraId="443746AC">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如采购需求有要求提供具体证明材料的，需按采购需求要求提供；如采购需求无明确要求提供的证明材料，评标委员会根据投标人</w:t>
            </w:r>
            <w:r>
              <w:rPr>
                <w:rFonts w:hint="eastAsia" w:ascii="宋体" w:hAnsi="宋体" w:cs="宋体"/>
                <w:b/>
                <w:bCs/>
                <w:color w:val="auto"/>
                <w:szCs w:val="21"/>
                <w:highlight w:val="none"/>
              </w:rPr>
              <w:t xml:space="preserve">附件10 </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对招标文件</w:t>
            </w: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
                <w:bCs/>
                <w:color w:val="auto"/>
                <w:sz w:val="21"/>
                <w:szCs w:val="21"/>
                <w:highlight w:val="none"/>
              </w:rPr>
              <w:t>技术参数的响应程度</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中的响应情况和提供的证明材料进行评定。</w:t>
            </w:r>
          </w:p>
        </w:tc>
        <w:tc>
          <w:tcPr>
            <w:tcW w:w="1046" w:type="dxa"/>
            <w:noWrap w:val="0"/>
            <w:vAlign w:val="center"/>
          </w:tcPr>
          <w:p w14:paraId="70766327">
            <w:pPr>
              <w:tabs>
                <w:tab w:val="left" w:pos="-94"/>
                <w:tab w:val="left" w:pos="1620"/>
              </w:tabs>
              <w:adjustRightInd w:val="0"/>
              <w:snapToGrid w:val="0"/>
              <w:spacing w:line="360" w:lineRule="auto"/>
              <w:jc w:val="center"/>
              <w:textAlignment w:val="baseline"/>
              <w:outlineLvl w:val="1"/>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29</w:t>
            </w:r>
          </w:p>
        </w:tc>
      </w:tr>
      <w:tr w14:paraId="0AE29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noWrap w:val="0"/>
            <w:vAlign w:val="center"/>
          </w:tcPr>
          <w:p w14:paraId="45832122">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color w:val="auto"/>
                <w:sz w:val="21"/>
                <w:szCs w:val="21"/>
                <w:highlight w:val="none"/>
              </w:rPr>
            </w:pPr>
          </w:p>
        </w:tc>
        <w:tc>
          <w:tcPr>
            <w:tcW w:w="1275" w:type="dxa"/>
            <w:noWrap w:val="0"/>
            <w:vAlign w:val="center"/>
          </w:tcPr>
          <w:p w14:paraId="32462635">
            <w:pPr>
              <w:snapToGrid w:val="0"/>
              <w:spacing w:line="360" w:lineRule="auto"/>
              <w:jc w:val="center"/>
              <w:rPr>
                <w:rFonts w:hint="eastAsia" w:ascii="宋体" w:hAnsi="宋体" w:eastAsia="宋体" w:cs="宋体"/>
                <w:b w:val="0"/>
                <w:bCs w:val="0"/>
                <w:caps/>
                <w:color w:val="auto"/>
                <w:sz w:val="21"/>
                <w:szCs w:val="21"/>
                <w:highlight w:val="none"/>
              </w:rPr>
            </w:pPr>
            <w:r>
              <w:rPr>
                <w:rFonts w:hint="eastAsia" w:ascii="宋体" w:hAnsi="宋体" w:eastAsia="宋体" w:cs="宋体"/>
                <w:color w:val="auto"/>
                <w:highlight w:val="none"/>
              </w:rPr>
              <w:t>项目</w:t>
            </w:r>
            <w:r>
              <w:rPr>
                <w:rFonts w:hint="eastAsia" w:ascii="宋体" w:hAnsi="宋体" w:eastAsia="宋体" w:cs="宋体"/>
                <w:color w:val="auto"/>
                <w:highlight w:val="none"/>
                <w:lang w:val="en-US" w:eastAsia="zh-CN"/>
              </w:rPr>
              <w:t>需求的理解及总体方案设计</w:t>
            </w:r>
          </w:p>
        </w:tc>
        <w:tc>
          <w:tcPr>
            <w:tcW w:w="7136" w:type="dxa"/>
            <w:noWrap w:val="0"/>
            <w:vAlign w:val="center"/>
          </w:tcPr>
          <w:p w14:paraId="481EF020">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评标委员会根据投标人提供的项目需求的理解及总体方案设计（应包含①对项目背景和需求的理解、②建设内容</w:t>
            </w:r>
            <w:r>
              <w:rPr>
                <w:rFonts w:hint="eastAsia" w:ascii="宋体" w:hAnsi="宋体" w:cs="宋体"/>
                <w:b/>
                <w:bCs/>
                <w:color w:val="auto"/>
                <w:sz w:val="21"/>
                <w:szCs w:val="21"/>
                <w:highlight w:val="none"/>
                <w:lang w:val="en-US" w:eastAsia="zh-CN"/>
              </w:rPr>
              <w:t>及其</w:t>
            </w:r>
            <w:r>
              <w:rPr>
                <w:rFonts w:hint="eastAsia" w:ascii="宋体" w:hAnsi="宋体" w:eastAsia="宋体" w:cs="宋体"/>
                <w:b/>
                <w:bCs/>
                <w:color w:val="auto"/>
                <w:sz w:val="21"/>
                <w:szCs w:val="21"/>
                <w:highlight w:val="none"/>
                <w:lang w:val="en-US" w:eastAsia="zh-CN"/>
              </w:rPr>
              <w:t>重难点分析</w:t>
            </w:r>
            <w:r>
              <w:rPr>
                <w:rFonts w:hint="eastAsia" w:ascii="宋体" w:hAnsi="宋体" w:cs="宋体"/>
                <w:b/>
                <w:bCs/>
                <w:color w:val="auto"/>
                <w:sz w:val="21"/>
                <w:szCs w:val="21"/>
                <w:highlight w:val="none"/>
                <w:lang w:val="en-US" w:eastAsia="zh-CN"/>
              </w:rPr>
              <w:t>和</w:t>
            </w:r>
            <w:r>
              <w:rPr>
                <w:rFonts w:hint="eastAsia" w:ascii="宋体" w:hAnsi="宋体" w:eastAsia="宋体" w:cs="宋体"/>
                <w:b/>
                <w:bCs/>
                <w:color w:val="auto"/>
                <w:sz w:val="21"/>
                <w:szCs w:val="21"/>
                <w:highlight w:val="none"/>
                <w:lang w:val="en-US" w:eastAsia="zh-CN"/>
              </w:rPr>
              <w:t>解决措施（建设内容应涵盖第五章采购需求（八）建设内容中的所有</w:t>
            </w:r>
            <w:r>
              <w:rPr>
                <w:rFonts w:hint="eastAsia" w:ascii="宋体" w:hAnsi="宋体" w:cs="宋体"/>
                <w:b/>
                <w:bCs/>
                <w:color w:val="auto"/>
                <w:sz w:val="21"/>
                <w:szCs w:val="21"/>
                <w:highlight w:val="none"/>
                <w:lang w:val="en-US" w:eastAsia="zh-CN"/>
              </w:rPr>
              <w:t>建设内容</w:t>
            </w:r>
            <w:r>
              <w:rPr>
                <w:rFonts w:hint="eastAsia" w:ascii="宋体" w:hAnsi="宋体" w:eastAsia="宋体" w:cs="宋体"/>
                <w:b/>
                <w:bCs/>
                <w:color w:val="auto"/>
                <w:sz w:val="21"/>
                <w:szCs w:val="21"/>
                <w:highlight w:val="none"/>
                <w:lang w:val="en-US" w:eastAsia="zh-CN"/>
              </w:rPr>
              <w:t>）、③总体框架设计、④功能设计、⑤</w:t>
            </w:r>
            <w:r>
              <w:rPr>
                <w:rFonts w:hint="eastAsia" w:ascii="宋体" w:hAnsi="宋体" w:cs="宋体"/>
                <w:b/>
                <w:bCs/>
                <w:color w:val="auto"/>
                <w:highlight w:val="none"/>
              </w:rPr>
              <w:t>对国产化软硬件环境的兼容与适配能力</w:t>
            </w:r>
            <w:r>
              <w:rPr>
                <w:rFonts w:hint="eastAsia" w:ascii="宋体" w:hAnsi="宋体" w:eastAsia="宋体" w:cs="宋体"/>
                <w:b/>
                <w:bCs/>
                <w:color w:val="auto"/>
                <w:sz w:val="21"/>
                <w:szCs w:val="21"/>
                <w:highlight w:val="none"/>
                <w:lang w:val="en-US" w:eastAsia="zh-CN"/>
              </w:rPr>
              <w:t>进行评审。</w:t>
            </w:r>
          </w:p>
          <w:p w14:paraId="6CCD6393">
            <w:pPr>
              <w:pStyle w:val="5"/>
              <w:rPr>
                <w:rFonts w:hint="eastAsia" w:ascii="宋体" w:hAnsi="宋体" w:eastAsia="宋体" w:cs="宋体"/>
                <w:color w:val="auto"/>
                <w:highlight w:val="none"/>
                <w:lang w:val="en-US" w:eastAsia="zh-CN"/>
              </w:rPr>
            </w:pPr>
          </w:p>
          <w:p w14:paraId="52C3C3C8">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评分原则：</w:t>
            </w:r>
          </w:p>
          <w:p w14:paraId="630141C6">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上述小项①至⑤方案具有针对性和可行性，内容完整合理满足采购需求要求的每项得</w:t>
            </w:r>
            <w:r>
              <w:rPr>
                <w:rFonts w:hint="eastAsia" w:ascii="宋体" w:hAnsi="宋体" w:cs="宋体"/>
                <w:color w:val="auto"/>
                <w:sz w:val="21"/>
                <w:szCs w:val="21"/>
                <w:highlight w:val="none"/>
                <w:lang w:val="en-US" w:eastAsia="zh-CN"/>
              </w:rPr>
              <w:t>3.8</w:t>
            </w:r>
            <w:r>
              <w:rPr>
                <w:rFonts w:hint="eastAsia" w:ascii="宋体" w:hAnsi="宋体" w:eastAsia="宋体" w:cs="宋体"/>
                <w:color w:val="auto"/>
                <w:sz w:val="21"/>
                <w:szCs w:val="21"/>
                <w:highlight w:val="none"/>
                <w:lang w:val="en-US" w:eastAsia="zh-CN"/>
              </w:rPr>
              <w:t>分；</w:t>
            </w:r>
          </w:p>
          <w:p w14:paraId="2F830C49">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基本符合采购需求但存在一般缺陷的或针对性有缺陷的小项方案每项得</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分（一般缺陷是指方案内容前后不一致、前后逻辑错误，不影响项目的实施、缺漏）；</w:t>
            </w:r>
          </w:p>
          <w:p w14:paraId="5010792D">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未提供或存在重大缺陷的小项方案该小项不得分（重大缺陷是指方案凭空编造、与采购项目和采购需求无关，无法指导项目实施）。</w:t>
            </w:r>
          </w:p>
        </w:tc>
        <w:tc>
          <w:tcPr>
            <w:tcW w:w="1046" w:type="dxa"/>
            <w:noWrap w:val="0"/>
            <w:vAlign w:val="center"/>
          </w:tcPr>
          <w:p w14:paraId="1221926C">
            <w:pPr>
              <w:tabs>
                <w:tab w:val="left" w:pos="-94"/>
                <w:tab w:val="left" w:pos="1620"/>
              </w:tabs>
              <w:adjustRightInd w:val="0"/>
              <w:snapToGrid w:val="0"/>
              <w:spacing w:line="360" w:lineRule="auto"/>
              <w:jc w:val="center"/>
              <w:textAlignment w:val="baseline"/>
              <w:outlineLvl w:val="1"/>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p>
        </w:tc>
      </w:tr>
      <w:tr w14:paraId="691C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noWrap w:val="0"/>
            <w:vAlign w:val="center"/>
          </w:tcPr>
          <w:p w14:paraId="4232C37E">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color w:val="auto"/>
                <w:sz w:val="21"/>
                <w:szCs w:val="21"/>
                <w:highlight w:val="none"/>
              </w:rPr>
            </w:pPr>
          </w:p>
        </w:tc>
        <w:tc>
          <w:tcPr>
            <w:tcW w:w="1275" w:type="dxa"/>
            <w:shd w:val="clear" w:color="auto" w:fill="auto"/>
            <w:noWrap w:val="0"/>
            <w:vAlign w:val="center"/>
          </w:tcPr>
          <w:p w14:paraId="2B02D491">
            <w:pPr>
              <w:keepNext w:val="0"/>
              <w:keepLines w:val="0"/>
              <w:pageBreakBefore w:val="0"/>
              <w:widowControl/>
              <w:suppressLineNumbers w:val="0"/>
              <w:shd w:val="clear"/>
              <w:kinsoku/>
              <w:wordWrap/>
              <w:overflowPunct/>
              <w:topLinePunct w:val="0"/>
              <w:autoSpaceDE/>
              <w:autoSpaceDN/>
              <w:bidi w:val="0"/>
              <w:spacing w:before="0" w:beforeAutospacing="0" w:after="0" w:afterAutospacing="0"/>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rPr>
              <w:t>项目实施方案</w:t>
            </w:r>
          </w:p>
        </w:tc>
        <w:tc>
          <w:tcPr>
            <w:tcW w:w="7136" w:type="dxa"/>
            <w:shd w:val="clear" w:color="auto" w:fill="auto"/>
            <w:noWrap w:val="0"/>
            <w:vAlign w:val="center"/>
          </w:tcPr>
          <w:p w14:paraId="5801AA56">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评标委员会根据投标人提供的项目实施方案（应包含①项目实施计划、②培训方案、③</w:t>
            </w:r>
            <w:r>
              <w:rPr>
                <w:rFonts w:hint="eastAsia" w:ascii="宋体" w:hAnsi="宋体" w:cs="宋体"/>
                <w:b/>
                <w:bCs/>
                <w:color w:val="auto"/>
                <w:sz w:val="21"/>
                <w:szCs w:val="21"/>
                <w:highlight w:val="none"/>
                <w:lang w:val="en-US" w:eastAsia="zh-CN"/>
              </w:rPr>
              <w:t>专项提升升级</w:t>
            </w:r>
            <w:r>
              <w:rPr>
                <w:rFonts w:hint="eastAsia" w:ascii="宋体" w:hAnsi="宋体" w:eastAsia="宋体" w:cs="宋体"/>
                <w:b/>
                <w:bCs/>
                <w:color w:val="auto"/>
                <w:sz w:val="21"/>
                <w:szCs w:val="21"/>
                <w:highlight w:val="none"/>
                <w:lang w:val="en-US" w:eastAsia="zh-CN"/>
              </w:rPr>
              <w:t>方案）进行评审。</w:t>
            </w:r>
          </w:p>
          <w:p w14:paraId="61578561">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color w:val="auto"/>
                <w:sz w:val="21"/>
                <w:szCs w:val="21"/>
                <w:highlight w:val="none"/>
                <w:lang w:val="en-US" w:eastAsia="zh-CN"/>
              </w:rPr>
            </w:pPr>
          </w:p>
          <w:p w14:paraId="740E8438">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评分原则：</w:t>
            </w:r>
          </w:p>
          <w:p w14:paraId="2F3A2D78">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上述小项①至</w:t>
            </w:r>
            <w:r>
              <w:rPr>
                <w:rFonts w:hint="eastAsia" w:ascii="宋体" w:hAnsi="宋体" w:cs="宋体"/>
                <w:b w:val="0"/>
                <w:bCs w:val="0"/>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方案具有针对性和可行性，内容完整合理满足采购需求要求的每项得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162BF568">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基本符合采购需求但存在一般缺陷的或针对性有缺陷的小项方案每项得</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分（一般缺陷是指方案内容前后不一致、前后逻辑错误，不影响项目的实施、缺漏）；</w:t>
            </w:r>
          </w:p>
          <w:p w14:paraId="76791176">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未提供或存在重大缺陷的小项方案该小项不得分（重大缺陷是指方案凭空编造、与采购项目和采购需求无关，无法指导项目实施）。</w:t>
            </w:r>
          </w:p>
        </w:tc>
        <w:tc>
          <w:tcPr>
            <w:tcW w:w="1046" w:type="dxa"/>
            <w:noWrap w:val="0"/>
            <w:vAlign w:val="center"/>
          </w:tcPr>
          <w:p w14:paraId="5522BD53">
            <w:pPr>
              <w:tabs>
                <w:tab w:val="left" w:pos="-94"/>
                <w:tab w:val="left" w:pos="1620"/>
              </w:tabs>
              <w:adjustRightInd w:val="0"/>
              <w:snapToGrid w:val="0"/>
              <w:spacing w:line="360" w:lineRule="auto"/>
              <w:jc w:val="center"/>
              <w:textAlignment w:val="baseline"/>
              <w:outlineLvl w:val="1"/>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r>
      <w:tr w14:paraId="2E7E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noWrap w:val="0"/>
            <w:vAlign w:val="center"/>
          </w:tcPr>
          <w:p w14:paraId="33BF0F09">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5" w:type="dxa"/>
            <w:shd w:val="clear" w:color="auto" w:fill="auto"/>
            <w:noWrap w:val="0"/>
            <w:vAlign w:val="center"/>
          </w:tcPr>
          <w:p w14:paraId="19961AE6">
            <w:pPr>
              <w:numPr>
                <w:ilvl w:val="0"/>
                <w:numId w:val="0"/>
              </w:numPr>
              <w:shd w:val="clear"/>
              <w:tabs>
                <w:tab w:val="left" w:pos="-94"/>
                <w:tab w:val="left" w:pos="1620"/>
              </w:tabs>
              <w:adjustRightInd w:val="0"/>
              <w:snapToGrid w:val="0"/>
              <w:spacing w:line="360" w:lineRule="auto"/>
              <w:ind w:left="0" w:leftChars="0" w:firstLine="0" w:firstLineChars="0"/>
              <w:jc w:val="center"/>
              <w:textAlignment w:val="baseline"/>
              <w:outlineLvl w:val="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质量保证及承诺方案</w:t>
            </w:r>
          </w:p>
        </w:tc>
        <w:tc>
          <w:tcPr>
            <w:tcW w:w="7136" w:type="dxa"/>
            <w:shd w:val="clear" w:color="auto" w:fill="auto"/>
            <w:noWrap w:val="0"/>
            <w:vAlign w:val="center"/>
          </w:tcPr>
          <w:p w14:paraId="62BE68F4">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评标委员会根据投标人提供的项目质量保障措施方案（应包含①研发及售后服务能力、②针对本项目下预防性、日常性、应急性的措施保障、③售后服务方案）进行评审。</w:t>
            </w:r>
          </w:p>
          <w:p w14:paraId="7723B9F2">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color w:val="auto"/>
                <w:sz w:val="21"/>
                <w:szCs w:val="21"/>
                <w:highlight w:val="none"/>
                <w:lang w:val="en-US" w:eastAsia="zh-CN"/>
              </w:rPr>
            </w:pPr>
          </w:p>
          <w:p w14:paraId="527E271E">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评分原则：</w:t>
            </w:r>
          </w:p>
          <w:p w14:paraId="295D6B94">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上述小项①至③方案具有针对性和可行性，内容完整合理满足采购需求要求的每项</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4C7F17D8">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基本符合采购需求但存在一般缺陷的或针对性有缺陷的小项方案每项得</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分（一般缺陷是指方案内容前后不一致、前后逻辑错误，不影响项目的实施、缺漏）；</w:t>
            </w:r>
          </w:p>
          <w:p w14:paraId="0834B669">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未提供或存在重大缺陷的小项方案该小项不得分（重大缺陷是指方案凭空编造、与采购项目和采购需求无关，无法指导项目实施）。</w:t>
            </w:r>
          </w:p>
        </w:tc>
        <w:tc>
          <w:tcPr>
            <w:tcW w:w="1046" w:type="dxa"/>
            <w:noWrap w:val="0"/>
            <w:vAlign w:val="center"/>
          </w:tcPr>
          <w:p w14:paraId="3901DFFF">
            <w:pPr>
              <w:tabs>
                <w:tab w:val="left" w:pos="-94"/>
                <w:tab w:val="left" w:pos="1620"/>
              </w:tabs>
              <w:adjustRightInd w:val="0"/>
              <w:snapToGrid w:val="0"/>
              <w:spacing w:line="360" w:lineRule="auto"/>
              <w:jc w:val="center"/>
              <w:textAlignment w:val="baseline"/>
              <w:outlineLvl w:val="1"/>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r>
      <w:tr w14:paraId="339A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noWrap w:val="0"/>
            <w:vAlign w:val="center"/>
          </w:tcPr>
          <w:p w14:paraId="26878843">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color w:val="auto"/>
                <w:sz w:val="21"/>
                <w:szCs w:val="21"/>
                <w:highlight w:val="none"/>
              </w:rPr>
            </w:pPr>
          </w:p>
        </w:tc>
        <w:tc>
          <w:tcPr>
            <w:tcW w:w="1275" w:type="dxa"/>
            <w:shd w:val="clear" w:color="auto" w:fill="auto"/>
            <w:noWrap w:val="0"/>
            <w:vAlign w:val="center"/>
          </w:tcPr>
          <w:p w14:paraId="6E5403B3">
            <w:pPr>
              <w:numPr>
                <w:ilvl w:val="0"/>
                <w:numId w:val="0"/>
              </w:numPr>
              <w:shd w:val="clear"/>
              <w:tabs>
                <w:tab w:val="left" w:pos="-94"/>
                <w:tab w:val="left" w:pos="1620"/>
              </w:tabs>
              <w:adjustRightInd w:val="0"/>
              <w:snapToGrid w:val="0"/>
              <w:spacing w:line="360" w:lineRule="auto"/>
              <w:ind w:left="0" w:leftChars="0" w:firstLine="0" w:firstLineChars="0"/>
              <w:jc w:val="center"/>
              <w:textAlignment w:val="baseline"/>
              <w:outlineLvl w:val="1"/>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项目</w:t>
            </w:r>
            <w:r>
              <w:rPr>
                <w:rFonts w:hint="eastAsia" w:ascii="宋体" w:hAnsi="宋体" w:cs="宋体"/>
                <w:color w:val="auto"/>
                <w:sz w:val="21"/>
                <w:szCs w:val="21"/>
                <w:highlight w:val="none"/>
                <w:lang w:val="en-US" w:eastAsia="zh-CN"/>
              </w:rPr>
              <w:t>团队</w:t>
            </w:r>
            <w:r>
              <w:rPr>
                <w:rFonts w:hint="default" w:ascii="宋体" w:hAnsi="宋体" w:eastAsia="宋体" w:cs="宋体"/>
                <w:color w:val="auto"/>
                <w:sz w:val="21"/>
                <w:szCs w:val="21"/>
                <w:highlight w:val="none"/>
                <w:lang w:val="en-US" w:eastAsia="zh-CN"/>
              </w:rPr>
              <w:t>人员</w:t>
            </w:r>
            <w:r>
              <w:rPr>
                <w:rFonts w:hint="eastAsia" w:ascii="宋体" w:hAnsi="宋体" w:cs="宋体"/>
                <w:color w:val="auto"/>
                <w:sz w:val="21"/>
                <w:szCs w:val="21"/>
                <w:highlight w:val="none"/>
                <w:lang w:val="en-US" w:eastAsia="zh-CN"/>
              </w:rPr>
              <w:t>保障方案</w:t>
            </w:r>
          </w:p>
        </w:tc>
        <w:tc>
          <w:tcPr>
            <w:tcW w:w="7136" w:type="dxa"/>
            <w:shd w:val="clear" w:color="auto" w:fill="auto"/>
            <w:noWrap w:val="0"/>
            <w:vAlign w:val="center"/>
          </w:tcPr>
          <w:p w14:paraId="2E54570D">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标委员会根据投标人提供的项目团队人员保障方案（应包含①人员结构与‌核心成员专业性（如项目经理、系统工程师、项目实施运维服务人员、项目管理与上线支持人员等）②‌人员稳定性保障措施③团队岗位设置及专业搭配）进行评审。</w:t>
            </w:r>
          </w:p>
          <w:p w14:paraId="70FD8E37">
            <w:pPr>
              <w:numPr>
                <w:ilvl w:val="0"/>
                <w:numId w:val="0"/>
              </w:numPr>
              <w:shd w:val="clear"/>
              <w:tabs>
                <w:tab w:val="left" w:pos="-94"/>
                <w:tab w:val="left" w:pos="1620"/>
              </w:tabs>
              <w:adjustRightInd w:val="0"/>
              <w:snapToGrid w:val="0"/>
              <w:spacing w:line="360" w:lineRule="auto"/>
              <w:textAlignment w:val="baseline"/>
              <w:outlineLvl w:val="1"/>
              <w:rPr>
                <w:rFonts w:hint="eastAsia" w:ascii="宋体" w:hAnsi="宋体" w:eastAsia="宋体" w:cs="宋体"/>
                <w:b/>
                <w:bCs/>
                <w:color w:val="auto"/>
                <w:sz w:val="21"/>
                <w:szCs w:val="21"/>
                <w:highlight w:val="none"/>
                <w:lang w:val="en-US" w:eastAsia="zh-CN"/>
              </w:rPr>
            </w:pPr>
          </w:p>
          <w:p w14:paraId="7C9BF750">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评分原则：</w:t>
            </w:r>
          </w:p>
          <w:p w14:paraId="4D472110">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上述小项①至③方案具有针对性和可行性，内容完整合理满足采购需求要求的每项</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p w14:paraId="7827D4E9">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基本符合采购需求但存在一般缺陷的或针对性有缺陷的小项方案每项得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分（一般缺陷是指方案内容前后不一致、前后逻辑错误，不影响项目的实施、缺漏）；</w:t>
            </w:r>
          </w:p>
          <w:p w14:paraId="3648A96A">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未提供或存在重大缺陷的小项方案该小项不得分（重大缺陷是指方案凭空编造、与采购项目和采购需求无关，无法指导项目实施）。</w:t>
            </w:r>
          </w:p>
        </w:tc>
        <w:tc>
          <w:tcPr>
            <w:tcW w:w="1046" w:type="dxa"/>
            <w:noWrap w:val="0"/>
            <w:vAlign w:val="center"/>
          </w:tcPr>
          <w:p w14:paraId="3CA3393A">
            <w:pPr>
              <w:tabs>
                <w:tab w:val="left" w:pos="-94"/>
                <w:tab w:val="left" w:pos="1620"/>
              </w:tabs>
              <w:adjustRightInd w:val="0"/>
              <w:snapToGrid w:val="0"/>
              <w:spacing w:line="360" w:lineRule="auto"/>
              <w:jc w:val="center"/>
              <w:textAlignment w:val="baseline"/>
              <w:outlineLvl w:val="1"/>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3745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1" w:type="dxa"/>
            <w:noWrap w:val="0"/>
            <w:vAlign w:val="center"/>
          </w:tcPr>
          <w:p w14:paraId="330C25B1">
            <w:pPr>
              <w:numPr>
                <w:ilvl w:val="0"/>
                <w:numId w:val="16"/>
              </w:numPr>
              <w:tabs>
                <w:tab w:val="left" w:pos="-94"/>
                <w:tab w:val="left" w:pos="1620"/>
              </w:tabs>
              <w:adjustRightInd w:val="0"/>
              <w:snapToGrid w:val="0"/>
              <w:spacing w:line="360" w:lineRule="auto"/>
              <w:jc w:val="center"/>
              <w:textAlignment w:val="baseline"/>
              <w:outlineLvl w:val="1"/>
              <w:rPr>
                <w:rFonts w:hint="eastAsia" w:ascii="宋体" w:hAnsi="宋体" w:eastAsia="宋体" w:cs="宋体"/>
                <w:color w:val="auto"/>
                <w:sz w:val="21"/>
                <w:szCs w:val="21"/>
                <w:highlight w:val="none"/>
              </w:rPr>
            </w:pPr>
          </w:p>
        </w:tc>
        <w:tc>
          <w:tcPr>
            <w:tcW w:w="1275" w:type="dxa"/>
            <w:shd w:val="clear" w:color="auto" w:fill="auto"/>
            <w:noWrap w:val="0"/>
            <w:vAlign w:val="center"/>
          </w:tcPr>
          <w:p w14:paraId="04026B12">
            <w:pPr>
              <w:numPr>
                <w:ilvl w:val="0"/>
                <w:numId w:val="0"/>
              </w:numPr>
              <w:shd w:val="clear"/>
              <w:tabs>
                <w:tab w:val="left" w:pos="-94"/>
                <w:tab w:val="left" w:pos="1620"/>
              </w:tabs>
              <w:adjustRightInd w:val="0"/>
              <w:snapToGrid w:val="0"/>
              <w:spacing w:line="360" w:lineRule="auto"/>
              <w:ind w:left="0" w:leftChars="0" w:firstLine="0" w:firstLineChars="0"/>
              <w:jc w:val="center"/>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aps/>
                <w:color w:val="auto"/>
                <w:sz w:val="21"/>
                <w:szCs w:val="21"/>
                <w:highlight w:val="none"/>
              </w:rPr>
              <w:t>类似业绩评审</w:t>
            </w:r>
            <w:r>
              <w:rPr>
                <w:rFonts w:hint="eastAsia" w:ascii="宋体" w:hAnsi="宋体" w:eastAsia="宋体" w:cs="宋体"/>
                <w:b w:val="0"/>
                <w:bCs w:val="0"/>
                <w:caps/>
                <w:color w:val="auto"/>
                <w:sz w:val="21"/>
                <w:szCs w:val="21"/>
                <w:highlight w:val="none"/>
                <w:lang w:val="en-US" w:eastAsia="zh-CN"/>
              </w:rPr>
              <w:t>评分</w:t>
            </w:r>
          </w:p>
        </w:tc>
        <w:tc>
          <w:tcPr>
            <w:tcW w:w="7136" w:type="dxa"/>
            <w:shd w:val="clear" w:color="auto" w:fill="auto"/>
            <w:noWrap w:val="0"/>
            <w:vAlign w:val="center"/>
          </w:tcPr>
          <w:p w14:paraId="011F9D7B">
            <w:pPr>
              <w:numPr>
                <w:ilvl w:val="0"/>
                <w:numId w:val="0"/>
              </w:numPr>
              <w:tabs>
                <w:tab w:val="left" w:pos="-94"/>
                <w:tab w:val="left" w:pos="1620"/>
              </w:tabs>
              <w:adjustRightInd w:val="0"/>
              <w:snapToGrid w:val="0"/>
              <w:spacing w:line="360" w:lineRule="auto"/>
              <w:textAlignment w:val="baseline"/>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2023</w:t>
            </w:r>
            <w:r>
              <w:rPr>
                <w:rFonts w:hint="eastAsia" w:ascii="宋体" w:hAnsi="宋体" w:eastAsia="宋体" w:cs="宋体"/>
                <w:b w:val="0"/>
                <w:bCs w:val="0"/>
                <w:color w:val="auto"/>
                <w:sz w:val="21"/>
                <w:szCs w:val="21"/>
                <w:highlight w:val="none"/>
              </w:rPr>
              <w:t>年1月1日至今，投标人每提供1项类似项目业绩的，得</w:t>
            </w:r>
            <w:r>
              <w:rPr>
                <w:rFonts w:hint="eastAsia" w:ascii="宋体" w:hAnsi="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分，加至满分为止。</w:t>
            </w:r>
          </w:p>
          <w:p w14:paraId="2C89D5EC">
            <w:pPr>
              <w:numPr>
                <w:ilvl w:val="0"/>
                <w:numId w:val="0"/>
              </w:numPr>
              <w:tabs>
                <w:tab w:val="left" w:pos="-94"/>
                <w:tab w:val="left" w:pos="1620"/>
              </w:tabs>
              <w:adjustRightInd w:val="0"/>
              <w:snapToGrid w:val="0"/>
              <w:spacing w:line="360" w:lineRule="auto"/>
              <w:textAlignment w:val="baseline"/>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w:t>
            </w:r>
          </w:p>
          <w:p w14:paraId="45996FAB">
            <w:pPr>
              <w:numPr>
                <w:ilvl w:val="0"/>
                <w:numId w:val="0"/>
              </w:numPr>
              <w:tabs>
                <w:tab w:val="left" w:pos="-94"/>
                <w:tab w:val="left" w:pos="1620"/>
              </w:tabs>
              <w:adjustRightInd w:val="0"/>
              <w:snapToGrid w:val="0"/>
              <w:spacing w:line="360" w:lineRule="auto"/>
              <w:textAlignment w:val="baseline"/>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（1）投标文件中须提供业绩列表及相对应的业绩证明材料，业绩证明材料为合同/协议扫描件（包括首页、服务内容、服务期限、大签页等）。</w:t>
            </w:r>
          </w:p>
          <w:p w14:paraId="7F839501">
            <w:pPr>
              <w:numPr>
                <w:ilvl w:val="0"/>
                <w:numId w:val="0"/>
              </w:numPr>
              <w:shd w:val="clear"/>
              <w:tabs>
                <w:tab w:val="left" w:pos="-94"/>
                <w:tab w:val="left" w:pos="1620"/>
              </w:tabs>
              <w:adjustRightInd w:val="0"/>
              <w:snapToGrid w:val="0"/>
              <w:spacing w:line="360" w:lineRule="auto"/>
              <w:ind w:left="0" w:leftChars="0" w:firstLine="0" w:firstLineChars="0"/>
              <w:textAlignment w:val="baseline"/>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（2）未按要求提供或不提供的不得分，不接受分包或转包业绩。</w:t>
            </w:r>
          </w:p>
        </w:tc>
        <w:tc>
          <w:tcPr>
            <w:tcW w:w="1046" w:type="dxa"/>
            <w:noWrap w:val="0"/>
            <w:vAlign w:val="center"/>
          </w:tcPr>
          <w:p w14:paraId="5641FAA3">
            <w:pPr>
              <w:tabs>
                <w:tab w:val="left" w:pos="-94"/>
                <w:tab w:val="left" w:pos="1620"/>
              </w:tabs>
              <w:adjustRightInd w:val="0"/>
              <w:snapToGrid w:val="0"/>
              <w:spacing w:line="360" w:lineRule="auto"/>
              <w:jc w:val="center"/>
              <w:textAlignment w:val="baseline"/>
              <w:outlineLvl w:val="1"/>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r>
    </w:tbl>
    <w:p w14:paraId="0058A4E7">
      <w:pPr>
        <w:shd w:val="clear"/>
        <w:rPr>
          <w:rFonts w:hint="eastAsia" w:ascii="宋体" w:hAnsi="宋体" w:eastAsia="宋体" w:cs="宋体"/>
          <w:color w:val="auto"/>
          <w:szCs w:val="21"/>
          <w:highlight w:val="none"/>
        </w:rPr>
      </w:pPr>
    </w:p>
    <w:p w14:paraId="0BD3483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投标人应在投标文件中提供所投标产品国家确定的认证机构出具的、处于有效期之内的节能产品、环境标志产品认证证书，否则不予认可。《节能产品政府采购品目清单》及《环境标志产品政府采购品目清单》可通过中国政府采购网（http://www.ccgp.gov.cn/ ）查阅、下载。 </w:t>
      </w:r>
    </w:p>
    <w:p w14:paraId="42BFE35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（1）参与实施政府采购节能产品认证机构名录：</w:t>
      </w:r>
    </w:p>
    <w:tbl>
      <w:tblPr>
        <w:tblStyle w:val="48"/>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30" w:type="dxa"/>
          <w:left w:w="30" w:type="dxa"/>
          <w:bottom w:w="30" w:type="dxa"/>
          <w:right w:w="30" w:type="dxa"/>
        </w:tblCellMar>
      </w:tblPr>
      <w:tblGrid>
        <w:gridCol w:w="673"/>
        <w:gridCol w:w="1220"/>
        <w:gridCol w:w="1506"/>
        <w:gridCol w:w="1280"/>
        <w:gridCol w:w="1981"/>
        <w:gridCol w:w="3411"/>
      </w:tblGrid>
      <w:tr w14:paraId="4DF0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restart"/>
            <w:shd w:val="clear" w:color="auto" w:fill="auto"/>
            <w:tcMar>
              <w:top w:w="0" w:type="dxa"/>
              <w:left w:w="108" w:type="dxa"/>
              <w:bottom w:w="0" w:type="dxa"/>
              <w:right w:w="108" w:type="dxa"/>
            </w:tcMar>
            <w:vAlign w:val="center"/>
          </w:tcPr>
          <w:p w14:paraId="0548CC0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726" w:type="dxa"/>
            <w:gridSpan w:val="2"/>
            <w:shd w:val="clear" w:color="auto" w:fill="auto"/>
            <w:tcMar>
              <w:top w:w="0" w:type="dxa"/>
              <w:left w:w="108" w:type="dxa"/>
              <w:bottom w:w="0" w:type="dxa"/>
              <w:right w:w="108" w:type="dxa"/>
            </w:tcMar>
            <w:vAlign w:val="center"/>
          </w:tcPr>
          <w:p w14:paraId="1F5B92E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一级目录</w:t>
            </w:r>
          </w:p>
        </w:tc>
        <w:tc>
          <w:tcPr>
            <w:tcW w:w="3261" w:type="dxa"/>
            <w:gridSpan w:val="2"/>
            <w:shd w:val="clear" w:color="auto" w:fill="auto"/>
            <w:tcMar>
              <w:top w:w="0" w:type="dxa"/>
              <w:left w:w="108" w:type="dxa"/>
              <w:bottom w:w="0" w:type="dxa"/>
              <w:right w:w="108" w:type="dxa"/>
            </w:tcMar>
            <w:vAlign w:val="center"/>
          </w:tcPr>
          <w:p w14:paraId="6D9CEC1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二级目录</w:t>
            </w:r>
          </w:p>
        </w:tc>
        <w:tc>
          <w:tcPr>
            <w:tcW w:w="3411" w:type="dxa"/>
            <w:vMerge w:val="restart"/>
            <w:shd w:val="clear" w:color="auto" w:fill="auto"/>
            <w:tcMar>
              <w:top w:w="0" w:type="dxa"/>
              <w:left w:w="108" w:type="dxa"/>
              <w:bottom w:w="0" w:type="dxa"/>
              <w:right w:w="108" w:type="dxa"/>
            </w:tcMar>
            <w:vAlign w:val="center"/>
          </w:tcPr>
          <w:p w14:paraId="57C036F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认证机构名录</w:t>
            </w:r>
          </w:p>
        </w:tc>
      </w:tr>
      <w:tr w14:paraId="0116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52A5B40E">
            <w:pPr>
              <w:widowControl/>
              <w:shd w:val="clear"/>
              <w:jc w:val="center"/>
              <w:rPr>
                <w:rFonts w:hint="eastAsia" w:ascii="宋体" w:hAnsi="宋体" w:eastAsia="宋体" w:cs="宋体"/>
                <w:color w:val="auto"/>
                <w:kern w:val="0"/>
                <w:sz w:val="21"/>
                <w:szCs w:val="21"/>
                <w:highlight w:val="none"/>
              </w:rPr>
            </w:pPr>
          </w:p>
        </w:tc>
        <w:tc>
          <w:tcPr>
            <w:tcW w:w="1220" w:type="dxa"/>
            <w:shd w:val="clear" w:color="auto" w:fill="auto"/>
            <w:tcMar>
              <w:top w:w="0" w:type="dxa"/>
              <w:left w:w="108" w:type="dxa"/>
              <w:bottom w:w="0" w:type="dxa"/>
              <w:right w:w="108" w:type="dxa"/>
            </w:tcMar>
            <w:vAlign w:val="center"/>
          </w:tcPr>
          <w:p w14:paraId="6489F09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产品代码</w:t>
            </w:r>
          </w:p>
        </w:tc>
        <w:tc>
          <w:tcPr>
            <w:tcW w:w="1506" w:type="dxa"/>
            <w:shd w:val="clear" w:color="auto" w:fill="auto"/>
            <w:tcMar>
              <w:top w:w="0" w:type="dxa"/>
              <w:left w:w="108" w:type="dxa"/>
              <w:bottom w:w="0" w:type="dxa"/>
              <w:right w:w="108" w:type="dxa"/>
            </w:tcMar>
            <w:vAlign w:val="center"/>
          </w:tcPr>
          <w:p w14:paraId="7CC9EAA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产品名称</w:t>
            </w:r>
          </w:p>
        </w:tc>
        <w:tc>
          <w:tcPr>
            <w:tcW w:w="1280" w:type="dxa"/>
            <w:shd w:val="clear" w:color="auto" w:fill="auto"/>
            <w:tcMar>
              <w:top w:w="0" w:type="dxa"/>
              <w:left w:w="108" w:type="dxa"/>
              <w:bottom w:w="0" w:type="dxa"/>
              <w:right w:w="108" w:type="dxa"/>
            </w:tcMar>
            <w:vAlign w:val="center"/>
          </w:tcPr>
          <w:p w14:paraId="4884A82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产品代码</w:t>
            </w:r>
          </w:p>
        </w:tc>
        <w:tc>
          <w:tcPr>
            <w:tcW w:w="1981" w:type="dxa"/>
            <w:shd w:val="clear" w:color="auto" w:fill="auto"/>
            <w:tcMar>
              <w:top w:w="0" w:type="dxa"/>
              <w:left w:w="108" w:type="dxa"/>
              <w:bottom w:w="0" w:type="dxa"/>
              <w:right w:w="108" w:type="dxa"/>
            </w:tcMar>
            <w:vAlign w:val="center"/>
          </w:tcPr>
          <w:p w14:paraId="707FC6E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产品名称</w:t>
            </w:r>
          </w:p>
        </w:tc>
        <w:tc>
          <w:tcPr>
            <w:tcW w:w="3411" w:type="dxa"/>
            <w:vMerge w:val="continue"/>
            <w:shd w:val="clear" w:color="auto" w:fill="auto"/>
            <w:tcMar>
              <w:top w:w="0" w:type="dxa"/>
              <w:left w:w="0" w:type="dxa"/>
              <w:bottom w:w="0" w:type="dxa"/>
              <w:right w:w="0" w:type="dxa"/>
            </w:tcMar>
            <w:vAlign w:val="center"/>
          </w:tcPr>
          <w:p w14:paraId="5FEC3F22">
            <w:pPr>
              <w:widowControl/>
              <w:shd w:val="clear"/>
              <w:jc w:val="center"/>
              <w:rPr>
                <w:rFonts w:hint="eastAsia" w:ascii="宋体" w:hAnsi="宋体" w:eastAsia="宋体" w:cs="宋体"/>
                <w:color w:val="auto"/>
                <w:kern w:val="0"/>
                <w:sz w:val="21"/>
                <w:szCs w:val="21"/>
                <w:highlight w:val="none"/>
              </w:rPr>
            </w:pPr>
          </w:p>
        </w:tc>
      </w:tr>
      <w:tr w14:paraId="3443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restart"/>
            <w:shd w:val="clear" w:color="auto" w:fill="auto"/>
            <w:tcMar>
              <w:top w:w="0" w:type="dxa"/>
              <w:left w:w="108" w:type="dxa"/>
              <w:bottom w:w="0" w:type="dxa"/>
              <w:right w:w="108" w:type="dxa"/>
            </w:tcMar>
            <w:vAlign w:val="center"/>
          </w:tcPr>
          <w:p w14:paraId="1A3ACAF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20" w:type="dxa"/>
            <w:vMerge w:val="restart"/>
            <w:shd w:val="clear" w:color="auto" w:fill="auto"/>
            <w:tcMar>
              <w:top w:w="0" w:type="dxa"/>
              <w:left w:w="108" w:type="dxa"/>
              <w:bottom w:w="0" w:type="dxa"/>
              <w:right w:w="108" w:type="dxa"/>
            </w:tcMar>
            <w:vAlign w:val="center"/>
          </w:tcPr>
          <w:p w14:paraId="3284D4C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A020101</w:t>
            </w:r>
          </w:p>
        </w:tc>
        <w:tc>
          <w:tcPr>
            <w:tcW w:w="1506" w:type="dxa"/>
            <w:vMerge w:val="restart"/>
            <w:shd w:val="clear" w:color="auto" w:fill="auto"/>
            <w:tcMar>
              <w:top w:w="0" w:type="dxa"/>
              <w:left w:w="108" w:type="dxa"/>
              <w:bottom w:w="0" w:type="dxa"/>
              <w:right w:w="108" w:type="dxa"/>
            </w:tcMar>
            <w:vAlign w:val="center"/>
          </w:tcPr>
          <w:p w14:paraId="31CCC3C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计算机设备</w:t>
            </w:r>
          </w:p>
        </w:tc>
        <w:tc>
          <w:tcPr>
            <w:tcW w:w="1280" w:type="dxa"/>
            <w:shd w:val="clear" w:color="auto" w:fill="auto"/>
            <w:tcMar>
              <w:top w:w="0" w:type="dxa"/>
              <w:left w:w="108" w:type="dxa"/>
              <w:bottom w:w="0" w:type="dxa"/>
              <w:right w:w="108" w:type="dxa"/>
            </w:tcMar>
            <w:vAlign w:val="center"/>
          </w:tcPr>
          <w:p w14:paraId="1317908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A02010104</w:t>
            </w:r>
          </w:p>
        </w:tc>
        <w:tc>
          <w:tcPr>
            <w:tcW w:w="1981" w:type="dxa"/>
            <w:shd w:val="clear" w:color="auto" w:fill="auto"/>
            <w:tcMar>
              <w:top w:w="0" w:type="dxa"/>
              <w:left w:w="108" w:type="dxa"/>
              <w:bottom w:w="0" w:type="dxa"/>
              <w:right w:w="108" w:type="dxa"/>
            </w:tcMar>
            <w:vAlign w:val="center"/>
          </w:tcPr>
          <w:p w14:paraId="30A667D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台式计算机</w:t>
            </w:r>
          </w:p>
        </w:tc>
        <w:tc>
          <w:tcPr>
            <w:tcW w:w="3411" w:type="dxa"/>
            <w:vMerge w:val="restart"/>
            <w:shd w:val="clear" w:color="auto" w:fill="auto"/>
            <w:tcMar>
              <w:top w:w="0" w:type="dxa"/>
              <w:left w:w="108" w:type="dxa"/>
              <w:bottom w:w="0" w:type="dxa"/>
              <w:right w:w="108" w:type="dxa"/>
            </w:tcMar>
            <w:vAlign w:val="center"/>
          </w:tcPr>
          <w:p w14:paraId="7CB150B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505C451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北京赛西认证有限责任公司</w:t>
            </w:r>
          </w:p>
          <w:p w14:paraId="48E780D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中国网络安全审查技术与认证中心</w:t>
            </w:r>
          </w:p>
          <w:p w14:paraId="5F37AEA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广州赛宝认证中心服务有限公司</w:t>
            </w:r>
          </w:p>
        </w:tc>
      </w:tr>
      <w:tr w14:paraId="6305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1761F500">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6831C929">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192D8674">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4EED276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A02010105</w:t>
            </w:r>
          </w:p>
        </w:tc>
        <w:tc>
          <w:tcPr>
            <w:tcW w:w="1981" w:type="dxa"/>
            <w:shd w:val="clear" w:color="auto" w:fill="auto"/>
            <w:tcMar>
              <w:top w:w="0" w:type="dxa"/>
              <w:left w:w="108" w:type="dxa"/>
              <w:bottom w:w="0" w:type="dxa"/>
              <w:right w:w="108" w:type="dxa"/>
            </w:tcMar>
            <w:vAlign w:val="center"/>
          </w:tcPr>
          <w:p w14:paraId="64EFBFA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便携式计算机</w:t>
            </w:r>
          </w:p>
        </w:tc>
        <w:tc>
          <w:tcPr>
            <w:tcW w:w="3411" w:type="dxa"/>
            <w:vMerge w:val="continue"/>
            <w:shd w:val="clear" w:color="auto" w:fill="auto"/>
            <w:tcMar>
              <w:top w:w="0" w:type="dxa"/>
              <w:left w:w="0" w:type="dxa"/>
              <w:bottom w:w="0" w:type="dxa"/>
              <w:right w:w="0" w:type="dxa"/>
            </w:tcMar>
            <w:vAlign w:val="center"/>
          </w:tcPr>
          <w:p w14:paraId="5001FFB9">
            <w:pPr>
              <w:widowControl/>
              <w:shd w:val="clear"/>
              <w:jc w:val="center"/>
              <w:rPr>
                <w:rFonts w:hint="eastAsia" w:ascii="宋体" w:hAnsi="宋体" w:eastAsia="宋体" w:cs="宋体"/>
                <w:color w:val="auto"/>
                <w:kern w:val="0"/>
                <w:sz w:val="21"/>
                <w:szCs w:val="21"/>
                <w:highlight w:val="none"/>
              </w:rPr>
            </w:pPr>
          </w:p>
        </w:tc>
      </w:tr>
      <w:tr w14:paraId="07F6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0348C2FA">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5D564085">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2C7CA0C1">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347CA7B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A02010107</w:t>
            </w:r>
          </w:p>
        </w:tc>
        <w:tc>
          <w:tcPr>
            <w:tcW w:w="1981" w:type="dxa"/>
            <w:shd w:val="clear" w:color="auto" w:fill="auto"/>
            <w:tcMar>
              <w:top w:w="0" w:type="dxa"/>
              <w:left w:w="108" w:type="dxa"/>
              <w:bottom w:w="0" w:type="dxa"/>
              <w:right w:w="108" w:type="dxa"/>
            </w:tcMar>
            <w:vAlign w:val="center"/>
          </w:tcPr>
          <w:p w14:paraId="7D5CE70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平板式微型计算机</w:t>
            </w:r>
          </w:p>
        </w:tc>
        <w:tc>
          <w:tcPr>
            <w:tcW w:w="3411" w:type="dxa"/>
            <w:vMerge w:val="continue"/>
            <w:shd w:val="clear" w:color="auto" w:fill="auto"/>
            <w:tcMar>
              <w:top w:w="0" w:type="dxa"/>
              <w:left w:w="0" w:type="dxa"/>
              <w:bottom w:w="0" w:type="dxa"/>
              <w:right w:w="0" w:type="dxa"/>
            </w:tcMar>
            <w:vAlign w:val="center"/>
          </w:tcPr>
          <w:p w14:paraId="3474AE65">
            <w:pPr>
              <w:widowControl/>
              <w:shd w:val="clear"/>
              <w:jc w:val="center"/>
              <w:rPr>
                <w:rFonts w:hint="eastAsia" w:ascii="宋体" w:hAnsi="宋体" w:eastAsia="宋体" w:cs="宋体"/>
                <w:color w:val="auto"/>
                <w:kern w:val="0"/>
                <w:sz w:val="21"/>
                <w:szCs w:val="21"/>
                <w:highlight w:val="none"/>
              </w:rPr>
            </w:pPr>
          </w:p>
        </w:tc>
      </w:tr>
      <w:tr w14:paraId="543E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restart"/>
            <w:shd w:val="clear" w:color="auto" w:fill="auto"/>
            <w:tcMar>
              <w:top w:w="0" w:type="dxa"/>
              <w:left w:w="108" w:type="dxa"/>
              <w:bottom w:w="0" w:type="dxa"/>
              <w:right w:w="108" w:type="dxa"/>
            </w:tcMar>
            <w:vAlign w:val="center"/>
          </w:tcPr>
          <w:p w14:paraId="4B246C4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220" w:type="dxa"/>
            <w:vMerge w:val="restart"/>
            <w:shd w:val="clear" w:color="auto" w:fill="auto"/>
            <w:tcMar>
              <w:top w:w="0" w:type="dxa"/>
              <w:left w:w="108" w:type="dxa"/>
              <w:bottom w:w="0" w:type="dxa"/>
              <w:right w:w="108" w:type="dxa"/>
            </w:tcMar>
            <w:vAlign w:val="center"/>
          </w:tcPr>
          <w:p w14:paraId="1522A6E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A020106</w:t>
            </w:r>
          </w:p>
        </w:tc>
        <w:tc>
          <w:tcPr>
            <w:tcW w:w="1506" w:type="dxa"/>
            <w:vMerge w:val="restart"/>
            <w:shd w:val="clear" w:color="auto" w:fill="auto"/>
            <w:tcMar>
              <w:top w:w="0" w:type="dxa"/>
              <w:left w:w="108" w:type="dxa"/>
              <w:bottom w:w="0" w:type="dxa"/>
              <w:right w:w="108" w:type="dxa"/>
            </w:tcMar>
            <w:vAlign w:val="center"/>
          </w:tcPr>
          <w:p w14:paraId="569816B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输入输出设备</w:t>
            </w:r>
          </w:p>
        </w:tc>
        <w:tc>
          <w:tcPr>
            <w:tcW w:w="1280" w:type="dxa"/>
            <w:shd w:val="clear" w:color="auto" w:fill="auto"/>
            <w:tcMar>
              <w:top w:w="0" w:type="dxa"/>
              <w:left w:w="108" w:type="dxa"/>
              <w:bottom w:w="0" w:type="dxa"/>
              <w:right w:w="108" w:type="dxa"/>
            </w:tcMar>
            <w:vAlign w:val="center"/>
          </w:tcPr>
          <w:p w14:paraId="01E1107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A02010601</w:t>
            </w:r>
          </w:p>
        </w:tc>
        <w:tc>
          <w:tcPr>
            <w:tcW w:w="1981" w:type="dxa"/>
            <w:shd w:val="clear" w:color="auto" w:fill="auto"/>
            <w:tcMar>
              <w:top w:w="0" w:type="dxa"/>
              <w:left w:w="108" w:type="dxa"/>
              <w:bottom w:w="0" w:type="dxa"/>
              <w:right w:w="108" w:type="dxa"/>
            </w:tcMar>
            <w:vAlign w:val="center"/>
          </w:tcPr>
          <w:p w14:paraId="313C827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打印设备</w:t>
            </w:r>
          </w:p>
        </w:tc>
        <w:tc>
          <w:tcPr>
            <w:tcW w:w="3411" w:type="dxa"/>
            <w:vMerge w:val="continue"/>
            <w:shd w:val="clear" w:color="auto" w:fill="auto"/>
            <w:tcMar>
              <w:top w:w="0" w:type="dxa"/>
              <w:left w:w="0" w:type="dxa"/>
              <w:bottom w:w="0" w:type="dxa"/>
              <w:right w:w="0" w:type="dxa"/>
            </w:tcMar>
            <w:vAlign w:val="center"/>
          </w:tcPr>
          <w:p w14:paraId="2F504528">
            <w:pPr>
              <w:widowControl/>
              <w:shd w:val="clear"/>
              <w:jc w:val="center"/>
              <w:rPr>
                <w:rFonts w:hint="eastAsia" w:ascii="宋体" w:hAnsi="宋体" w:eastAsia="宋体" w:cs="宋体"/>
                <w:color w:val="auto"/>
                <w:kern w:val="0"/>
                <w:sz w:val="21"/>
                <w:szCs w:val="21"/>
                <w:highlight w:val="none"/>
              </w:rPr>
            </w:pPr>
          </w:p>
        </w:tc>
      </w:tr>
      <w:tr w14:paraId="291D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5650D3AF">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19BC08A6">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1BD94BCF">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099FFFA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A02010604</w:t>
            </w:r>
          </w:p>
        </w:tc>
        <w:tc>
          <w:tcPr>
            <w:tcW w:w="1981" w:type="dxa"/>
            <w:shd w:val="clear" w:color="auto" w:fill="auto"/>
            <w:tcMar>
              <w:top w:w="0" w:type="dxa"/>
              <w:left w:w="108" w:type="dxa"/>
              <w:bottom w:w="0" w:type="dxa"/>
              <w:right w:w="108" w:type="dxa"/>
            </w:tcMar>
            <w:vAlign w:val="center"/>
          </w:tcPr>
          <w:p w14:paraId="240F65D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显示设备</w:t>
            </w:r>
          </w:p>
        </w:tc>
        <w:tc>
          <w:tcPr>
            <w:tcW w:w="3411" w:type="dxa"/>
            <w:vMerge w:val="continue"/>
            <w:shd w:val="clear" w:color="auto" w:fill="auto"/>
            <w:tcMar>
              <w:top w:w="0" w:type="dxa"/>
              <w:left w:w="0" w:type="dxa"/>
              <w:bottom w:w="0" w:type="dxa"/>
              <w:right w:w="0" w:type="dxa"/>
            </w:tcMar>
            <w:vAlign w:val="center"/>
          </w:tcPr>
          <w:p w14:paraId="5ADF22DB">
            <w:pPr>
              <w:widowControl/>
              <w:shd w:val="clear"/>
              <w:jc w:val="center"/>
              <w:rPr>
                <w:rFonts w:hint="eastAsia" w:ascii="宋体" w:hAnsi="宋体" w:eastAsia="宋体" w:cs="宋体"/>
                <w:color w:val="auto"/>
                <w:kern w:val="0"/>
                <w:sz w:val="21"/>
                <w:szCs w:val="21"/>
                <w:highlight w:val="none"/>
              </w:rPr>
            </w:pPr>
          </w:p>
        </w:tc>
      </w:tr>
      <w:tr w14:paraId="1E61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0B861566">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52A8AB95">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28D66ACA">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1E2C06F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A02010609</w:t>
            </w:r>
          </w:p>
        </w:tc>
        <w:tc>
          <w:tcPr>
            <w:tcW w:w="1981" w:type="dxa"/>
            <w:shd w:val="clear" w:color="auto" w:fill="auto"/>
            <w:tcMar>
              <w:top w:w="0" w:type="dxa"/>
              <w:left w:w="108" w:type="dxa"/>
              <w:bottom w:w="0" w:type="dxa"/>
              <w:right w:w="108" w:type="dxa"/>
            </w:tcMar>
            <w:vAlign w:val="center"/>
          </w:tcPr>
          <w:p w14:paraId="4F3F539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图形图像输入设备</w:t>
            </w:r>
          </w:p>
        </w:tc>
        <w:tc>
          <w:tcPr>
            <w:tcW w:w="3411" w:type="dxa"/>
            <w:vMerge w:val="continue"/>
            <w:shd w:val="clear" w:color="auto" w:fill="auto"/>
            <w:tcMar>
              <w:top w:w="0" w:type="dxa"/>
              <w:left w:w="0" w:type="dxa"/>
              <w:bottom w:w="0" w:type="dxa"/>
              <w:right w:w="0" w:type="dxa"/>
            </w:tcMar>
            <w:vAlign w:val="center"/>
          </w:tcPr>
          <w:p w14:paraId="1245D01B">
            <w:pPr>
              <w:widowControl/>
              <w:shd w:val="clear"/>
              <w:jc w:val="center"/>
              <w:rPr>
                <w:rFonts w:hint="eastAsia" w:ascii="宋体" w:hAnsi="宋体" w:eastAsia="宋体" w:cs="宋体"/>
                <w:color w:val="auto"/>
                <w:kern w:val="0"/>
                <w:sz w:val="21"/>
                <w:szCs w:val="21"/>
                <w:highlight w:val="none"/>
              </w:rPr>
            </w:pPr>
          </w:p>
        </w:tc>
      </w:tr>
      <w:tr w14:paraId="00CD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4777537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220" w:type="dxa"/>
            <w:shd w:val="clear" w:color="auto" w:fill="auto"/>
            <w:tcMar>
              <w:top w:w="0" w:type="dxa"/>
              <w:left w:w="108" w:type="dxa"/>
              <w:bottom w:w="0" w:type="dxa"/>
              <w:right w:w="108" w:type="dxa"/>
            </w:tcMar>
            <w:vAlign w:val="center"/>
          </w:tcPr>
          <w:p w14:paraId="638E9D7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A020202</w:t>
            </w:r>
          </w:p>
        </w:tc>
        <w:tc>
          <w:tcPr>
            <w:tcW w:w="1506" w:type="dxa"/>
            <w:shd w:val="clear" w:color="auto" w:fill="auto"/>
            <w:tcMar>
              <w:top w:w="0" w:type="dxa"/>
              <w:left w:w="108" w:type="dxa"/>
              <w:bottom w:w="0" w:type="dxa"/>
              <w:right w:w="108" w:type="dxa"/>
            </w:tcMar>
            <w:vAlign w:val="center"/>
          </w:tcPr>
          <w:p w14:paraId="43AB201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投影仪</w:t>
            </w:r>
          </w:p>
        </w:tc>
        <w:tc>
          <w:tcPr>
            <w:tcW w:w="1280" w:type="dxa"/>
            <w:shd w:val="clear" w:color="auto" w:fill="auto"/>
            <w:tcMar>
              <w:top w:w="0" w:type="dxa"/>
              <w:left w:w="108" w:type="dxa"/>
              <w:bottom w:w="0" w:type="dxa"/>
              <w:right w:w="108" w:type="dxa"/>
            </w:tcMar>
            <w:vAlign w:val="center"/>
          </w:tcPr>
          <w:p w14:paraId="3034F263">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6FDCDC3B">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continue"/>
            <w:shd w:val="clear" w:color="auto" w:fill="auto"/>
            <w:tcMar>
              <w:top w:w="0" w:type="dxa"/>
              <w:left w:w="0" w:type="dxa"/>
              <w:bottom w:w="0" w:type="dxa"/>
              <w:right w:w="0" w:type="dxa"/>
            </w:tcMar>
            <w:vAlign w:val="center"/>
          </w:tcPr>
          <w:p w14:paraId="3C8DBF9E">
            <w:pPr>
              <w:widowControl/>
              <w:shd w:val="clear"/>
              <w:jc w:val="center"/>
              <w:rPr>
                <w:rFonts w:hint="eastAsia" w:ascii="宋体" w:hAnsi="宋体" w:eastAsia="宋体" w:cs="宋体"/>
                <w:color w:val="auto"/>
                <w:kern w:val="0"/>
                <w:sz w:val="21"/>
                <w:szCs w:val="21"/>
                <w:highlight w:val="none"/>
              </w:rPr>
            </w:pPr>
          </w:p>
        </w:tc>
      </w:tr>
      <w:tr w14:paraId="38B5F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7539CB4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220" w:type="dxa"/>
            <w:shd w:val="clear" w:color="auto" w:fill="auto"/>
            <w:tcMar>
              <w:top w:w="0" w:type="dxa"/>
              <w:left w:w="108" w:type="dxa"/>
              <w:bottom w:w="0" w:type="dxa"/>
              <w:right w:w="108" w:type="dxa"/>
            </w:tcMar>
            <w:vAlign w:val="center"/>
          </w:tcPr>
          <w:p w14:paraId="2ADB2CD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A020204</w:t>
            </w:r>
          </w:p>
        </w:tc>
        <w:tc>
          <w:tcPr>
            <w:tcW w:w="1506" w:type="dxa"/>
            <w:shd w:val="clear" w:color="auto" w:fill="auto"/>
            <w:tcMar>
              <w:top w:w="0" w:type="dxa"/>
              <w:left w:w="108" w:type="dxa"/>
              <w:bottom w:w="0" w:type="dxa"/>
              <w:right w:w="108" w:type="dxa"/>
            </w:tcMar>
            <w:vAlign w:val="center"/>
          </w:tcPr>
          <w:p w14:paraId="3941FA3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多功能一体机</w:t>
            </w:r>
          </w:p>
        </w:tc>
        <w:tc>
          <w:tcPr>
            <w:tcW w:w="1280" w:type="dxa"/>
            <w:shd w:val="clear" w:color="auto" w:fill="auto"/>
            <w:tcMar>
              <w:top w:w="0" w:type="dxa"/>
              <w:left w:w="108" w:type="dxa"/>
              <w:bottom w:w="0" w:type="dxa"/>
              <w:right w:w="108" w:type="dxa"/>
            </w:tcMar>
            <w:vAlign w:val="center"/>
          </w:tcPr>
          <w:p w14:paraId="78B8FF65">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4BC5BAD8">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continue"/>
            <w:shd w:val="clear" w:color="auto" w:fill="auto"/>
            <w:tcMar>
              <w:top w:w="0" w:type="dxa"/>
              <w:left w:w="0" w:type="dxa"/>
              <w:bottom w:w="0" w:type="dxa"/>
              <w:right w:w="0" w:type="dxa"/>
            </w:tcMar>
            <w:vAlign w:val="center"/>
          </w:tcPr>
          <w:p w14:paraId="50EFF279">
            <w:pPr>
              <w:widowControl/>
              <w:shd w:val="clear"/>
              <w:jc w:val="center"/>
              <w:rPr>
                <w:rFonts w:hint="eastAsia" w:ascii="宋体" w:hAnsi="宋体" w:eastAsia="宋体" w:cs="宋体"/>
                <w:color w:val="auto"/>
                <w:kern w:val="0"/>
                <w:sz w:val="21"/>
                <w:szCs w:val="21"/>
                <w:highlight w:val="none"/>
              </w:rPr>
            </w:pPr>
          </w:p>
        </w:tc>
      </w:tr>
      <w:tr w14:paraId="6D297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799" w:hRule="atLeast"/>
          <w:jc w:val="center"/>
        </w:trPr>
        <w:tc>
          <w:tcPr>
            <w:tcW w:w="673" w:type="dxa"/>
            <w:shd w:val="clear" w:color="auto" w:fill="auto"/>
            <w:tcMar>
              <w:top w:w="0" w:type="dxa"/>
              <w:left w:w="108" w:type="dxa"/>
              <w:bottom w:w="0" w:type="dxa"/>
              <w:right w:w="108" w:type="dxa"/>
            </w:tcMar>
            <w:vAlign w:val="center"/>
          </w:tcPr>
          <w:p w14:paraId="000A880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220" w:type="dxa"/>
            <w:shd w:val="clear" w:color="auto" w:fill="auto"/>
            <w:tcMar>
              <w:top w:w="0" w:type="dxa"/>
              <w:left w:w="108" w:type="dxa"/>
              <w:bottom w:w="0" w:type="dxa"/>
              <w:right w:w="108" w:type="dxa"/>
            </w:tcMar>
            <w:vAlign w:val="center"/>
          </w:tcPr>
          <w:p w14:paraId="0176AD9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A020519</w:t>
            </w:r>
          </w:p>
        </w:tc>
        <w:tc>
          <w:tcPr>
            <w:tcW w:w="1506" w:type="dxa"/>
            <w:shd w:val="clear" w:color="auto" w:fill="auto"/>
            <w:tcMar>
              <w:top w:w="0" w:type="dxa"/>
              <w:left w:w="108" w:type="dxa"/>
              <w:bottom w:w="0" w:type="dxa"/>
              <w:right w:w="108" w:type="dxa"/>
            </w:tcMar>
            <w:vAlign w:val="center"/>
          </w:tcPr>
          <w:p w14:paraId="745B235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泵</w:t>
            </w:r>
          </w:p>
        </w:tc>
        <w:tc>
          <w:tcPr>
            <w:tcW w:w="1280" w:type="dxa"/>
            <w:shd w:val="clear" w:color="auto" w:fill="auto"/>
            <w:tcMar>
              <w:top w:w="0" w:type="dxa"/>
              <w:left w:w="108" w:type="dxa"/>
              <w:bottom w:w="0" w:type="dxa"/>
              <w:right w:w="108" w:type="dxa"/>
            </w:tcMar>
            <w:vAlign w:val="center"/>
          </w:tcPr>
          <w:p w14:paraId="46F99F0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A02051901</w:t>
            </w:r>
          </w:p>
        </w:tc>
        <w:tc>
          <w:tcPr>
            <w:tcW w:w="1981" w:type="dxa"/>
            <w:shd w:val="clear" w:color="auto" w:fill="auto"/>
            <w:tcMar>
              <w:top w:w="0" w:type="dxa"/>
              <w:left w:w="108" w:type="dxa"/>
              <w:bottom w:w="0" w:type="dxa"/>
              <w:right w:w="108" w:type="dxa"/>
            </w:tcMar>
            <w:vAlign w:val="center"/>
          </w:tcPr>
          <w:p w14:paraId="5044F2A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离心泵</w:t>
            </w:r>
          </w:p>
        </w:tc>
        <w:tc>
          <w:tcPr>
            <w:tcW w:w="3411" w:type="dxa"/>
            <w:shd w:val="clear" w:color="auto" w:fill="auto"/>
            <w:tcMar>
              <w:top w:w="0" w:type="dxa"/>
              <w:left w:w="108" w:type="dxa"/>
              <w:bottom w:w="0" w:type="dxa"/>
              <w:right w:w="108" w:type="dxa"/>
            </w:tcMar>
            <w:vAlign w:val="center"/>
          </w:tcPr>
          <w:p w14:paraId="0CE324A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106615F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电能（北京）认证中心有限公司</w:t>
            </w:r>
          </w:p>
          <w:p w14:paraId="3AFAB0B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方圆标志认证集团有限公司</w:t>
            </w:r>
          </w:p>
        </w:tc>
      </w:tr>
      <w:tr w14:paraId="6806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restart"/>
            <w:shd w:val="clear" w:color="auto" w:fill="auto"/>
            <w:tcMar>
              <w:top w:w="0" w:type="dxa"/>
              <w:left w:w="108" w:type="dxa"/>
              <w:bottom w:w="0" w:type="dxa"/>
              <w:right w:w="108" w:type="dxa"/>
            </w:tcMar>
            <w:vAlign w:val="center"/>
          </w:tcPr>
          <w:p w14:paraId="4727785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220" w:type="dxa"/>
            <w:vMerge w:val="restart"/>
            <w:shd w:val="clear" w:color="auto" w:fill="auto"/>
            <w:tcMar>
              <w:top w:w="0" w:type="dxa"/>
              <w:left w:w="108" w:type="dxa"/>
              <w:bottom w:w="0" w:type="dxa"/>
              <w:right w:w="108" w:type="dxa"/>
            </w:tcMar>
            <w:vAlign w:val="center"/>
          </w:tcPr>
          <w:p w14:paraId="5476493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A020523</w:t>
            </w:r>
          </w:p>
        </w:tc>
        <w:tc>
          <w:tcPr>
            <w:tcW w:w="1506" w:type="dxa"/>
            <w:vMerge w:val="restart"/>
            <w:shd w:val="clear" w:color="auto" w:fill="auto"/>
            <w:tcMar>
              <w:top w:w="0" w:type="dxa"/>
              <w:left w:w="108" w:type="dxa"/>
              <w:bottom w:w="0" w:type="dxa"/>
              <w:right w:w="108" w:type="dxa"/>
            </w:tcMar>
            <w:vAlign w:val="center"/>
          </w:tcPr>
          <w:p w14:paraId="1BD914C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制冷空调设备</w:t>
            </w:r>
          </w:p>
        </w:tc>
        <w:tc>
          <w:tcPr>
            <w:tcW w:w="1280" w:type="dxa"/>
            <w:shd w:val="clear" w:color="auto" w:fill="auto"/>
            <w:tcMar>
              <w:top w:w="0" w:type="dxa"/>
              <w:left w:w="108" w:type="dxa"/>
              <w:bottom w:w="0" w:type="dxa"/>
              <w:right w:w="108" w:type="dxa"/>
            </w:tcMar>
            <w:vAlign w:val="center"/>
          </w:tcPr>
          <w:p w14:paraId="0EFCCAC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A02052301</w:t>
            </w:r>
          </w:p>
        </w:tc>
        <w:tc>
          <w:tcPr>
            <w:tcW w:w="1981" w:type="dxa"/>
            <w:shd w:val="clear" w:color="auto" w:fill="auto"/>
            <w:tcMar>
              <w:top w:w="0" w:type="dxa"/>
              <w:left w:w="108" w:type="dxa"/>
              <w:bottom w:w="0" w:type="dxa"/>
              <w:right w:w="108" w:type="dxa"/>
            </w:tcMar>
            <w:vAlign w:val="center"/>
          </w:tcPr>
          <w:p w14:paraId="1733500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制冷压缩机</w:t>
            </w:r>
          </w:p>
        </w:tc>
        <w:tc>
          <w:tcPr>
            <w:tcW w:w="3411" w:type="dxa"/>
            <w:vMerge w:val="restart"/>
            <w:shd w:val="clear" w:color="auto" w:fill="auto"/>
            <w:tcMar>
              <w:top w:w="0" w:type="dxa"/>
              <w:left w:w="108" w:type="dxa"/>
              <w:bottom w:w="0" w:type="dxa"/>
              <w:right w:w="108" w:type="dxa"/>
            </w:tcMar>
            <w:vAlign w:val="center"/>
          </w:tcPr>
          <w:p w14:paraId="420AF92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06B367C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1011BF8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合肥通用机械产品认证有限公司</w:t>
            </w:r>
          </w:p>
          <w:p w14:paraId="5291032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北京中冷通质量认证中心有限公司</w:t>
            </w:r>
          </w:p>
        </w:tc>
      </w:tr>
      <w:tr w14:paraId="071E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428FE67D">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32CE5F3E">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4E870F65">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764E515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A02052305</w:t>
            </w:r>
          </w:p>
        </w:tc>
        <w:tc>
          <w:tcPr>
            <w:tcW w:w="1981" w:type="dxa"/>
            <w:shd w:val="clear" w:color="auto" w:fill="auto"/>
            <w:tcMar>
              <w:top w:w="0" w:type="dxa"/>
              <w:left w:w="108" w:type="dxa"/>
              <w:bottom w:w="0" w:type="dxa"/>
              <w:right w:w="108" w:type="dxa"/>
            </w:tcMar>
            <w:vAlign w:val="center"/>
          </w:tcPr>
          <w:p w14:paraId="1E5DA01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空调机组</w:t>
            </w:r>
          </w:p>
        </w:tc>
        <w:tc>
          <w:tcPr>
            <w:tcW w:w="3411" w:type="dxa"/>
            <w:vMerge w:val="continue"/>
            <w:shd w:val="clear" w:color="auto" w:fill="auto"/>
            <w:tcMar>
              <w:top w:w="0" w:type="dxa"/>
              <w:left w:w="0" w:type="dxa"/>
              <w:bottom w:w="0" w:type="dxa"/>
              <w:right w:w="0" w:type="dxa"/>
            </w:tcMar>
            <w:vAlign w:val="center"/>
          </w:tcPr>
          <w:p w14:paraId="5BAEDD9D">
            <w:pPr>
              <w:widowControl/>
              <w:shd w:val="clear"/>
              <w:jc w:val="center"/>
              <w:rPr>
                <w:rFonts w:hint="eastAsia" w:ascii="宋体" w:hAnsi="宋体" w:eastAsia="宋体" w:cs="宋体"/>
                <w:color w:val="auto"/>
                <w:kern w:val="0"/>
                <w:sz w:val="21"/>
                <w:szCs w:val="21"/>
                <w:highlight w:val="none"/>
              </w:rPr>
            </w:pPr>
          </w:p>
        </w:tc>
      </w:tr>
      <w:tr w14:paraId="5ACC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47B32501">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59A55FAD">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275095B1">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2C43761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A02052309</w:t>
            </w:r>
          </w:p>
        </w:tc>
        <w:tc>
          <w:tcPr>
            <w:tcW w:w="1981" w:type="dxa"/>
            <w:shd w:val="clear" w:color="auto" w:fill="auto"/>
            <w:tcMar>
              <w:top w:w="0" w:type="dxa"/>
              <w:left w:w="108" w:type="dxa"/>
              <w:bottom w:w="0" w:type="dxa"/>
              <w:right w:w="108" w:type="dxa"/>
            </w:tcMar>
            <w:vAlign w:val="center"/>
          </w:tcPr>
          <w:p w14:paraId="217C0FD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专用制冷、空调设备</w:t>
            </w:r>
          </w:p>
        </w:tc>
        <w:tc>
          <w:tcPr>
            <w:tcW w:w="3411" w:type="dxa"/>
            <w:vMerge w:val="continue"/>
            <w:shd w:val="clear" w:color="auto" w:fill="auto"/>
            <w:tcMar>
              <w:top w:w="0" w:type="dxa"/>
              <w:left w:w="0" w:type="dxa"/>
              <w:bottom w:w="0" w:type="dxa"/>
              <w:right w:w="0" w:type="dxa"/>
            </w:tcMar>
            <w:vAlign w:val="center"/>
          </w:tcPr>
          <w:p w14:paraId="3EFC0336">
            <w:pPr>
              <w:widowControl/>
              <w:shd w:val="clear"/>
              <w:jc w:val="center"/>
              <w:rPr>
                <w:rFonts w:hint="eastAsia" w:ascii="宋体" w:hAnsi="宋体" w:eastAsia="宋体" w:cs="宋体"/>
                <w:color w:val="auto"/>
                <w:kern w:val="0"/>
                <w:sz w:val="21"/>
                <w:szCs w:val="21"/>
                <w:highlight w:val="none"/>
              </w:rPr>
            </w:pPr>
          </w:p>
        </w:tc>
      </w:tr>
      <w:tr w14:paraId="4A01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7FAECB94">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619173E3">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44455E15">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007745A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A02052399</w:t>
            </w:r>
          </w:p>
        </w:tc>
        <w:tc>
          <w:tcPr>
            <w:tcW w:w="1981" w:type="dxa"/>
            <w:shd w:val="clear" w:color="auto" w:fill="auto"/>
            <w:tcMar>
              <w:top w:w="0" w:type="dxa"/>
              <w:left w:w="108" w:type="dxa"/>
              <w:bottom w:w="0" w:type="dxa"/>
              <w:right w:w="108" w:type="dxa"/>
            </w:tcMar>
            <w:vAlign w:val="center"/>
          </w:tcPr>
          <w:p w14:paraId="1A7B9CF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其他制冷空调设备</w:t>
            </w:r>
          </w:p>
        </w:tc>
        <w:tc>
          <w:tcPr>
            <w:tcW w:w="3411" w:type="dxa"/>
            <w:vMerge w:val="continue"/>
            <w:shd w:val="clear" w:color="auto" w:fill="auto"/>
            <w:tcMar>
              <w:top w:w="0" w:type="dxa"/>
              <w:left w:w="0" w:type="dxa"/>
              <w:bottom w:w="0" w:type="dxa"/>
              <w:right w:w="0" w:type="dxa"/>
            </w:tcMar>
            <w:vAlign w:val="center"/>
          </w:tcPr>
          <w:p w14:paraId="55E387A5">
            <w:pPr>
              <w:widowControl/>
              <w:shd w:val="clear"/>
              <w:jc w:val="center"/>
              <w:rPr>
                <w:rFonts w:hint="eastAsia" w:ascii="宋体" w:hAnsi="宋体" w:eastAsia="宋体" w:cs="宋体"/>
                <w:color w:val="auto"/>
                <w:kern w:val="0"/>
                <w:sz w:val="21"/>
                <w:szCs w:val="21"/>
                <w:highlight w:val="none"/>
              </w:rPr>
            </w:pPr>
          </w:p>
        </w:tc>
      </w:tr>
      <w:tr w14:paraId="6A10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1033" w:hRule="atLeast"/>
          <w:jc w:val="center"/>
        </w:trPr>
        <w:tc>
          <w:tcPr>
            <w:tcW w:w="673" w:type="dxa"/>
            <w:shd w:val="clear" w:color="auto" w:fill="auto"/>
            <w:tcMar>
              <w:top w:w="0" w:type="dxa"/>
              <w:left w:w="108" w:type="dxa"/>
              <w:bottom w:w="0" w:type="dxa"/>
              <w:right w:w="108" w:type="dxa"/>
            </w:tcMar>
            <w:vAlign w:val="center"/>
          </w:tcPr>
          <w:p w14:paraId="5EAA18E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220" w:type="dxa"/>
            <w:shd w:val="clear" w:color="auto" w:fill="auto"/>
            <w:tcMar>
              <w:top w:w="0" w:type="dxa"/>
              <w:left w:w="108" w:type="dxa"/>
              <w:bottom w:w="0" w:type="dxa"/>
              <w:right w:w="108" w:type="dxa"/>
            </w:tcMar>
            <w:vAlign w:val="center"/>
          </w:tcPr>
          <w:p w14:paraId="69A7C1F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A020601</w:t>
            </w:r>
          </w:p>
        </w:tc>
        <w:tc>
          <w:tcPr>
            <w:tcW w:w="1506" w:type="dxa"/>
            <w:shd w:val="clear" w:color="auto" w:fill="auto"/>
            <w:tcMar>
              <w:top w:w="0" w:type="dxa"/>
              <w:left w:w="108" w:type="dxa"/>
              <w:bottom w:w="0" w:type="dxa"/>
              <w:right w:w="108" w:type="dxa"/>
            </w:tcMar>
            <w:vAlign w:val="center"/>
          </w:tcPr>
          <w:p w14:paraId="12F0B44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电机</w:t>
            </w:r>
          </w:p>
        </w:tc>
        <w:tc>
          <w:tcPr>
            <w:tcW w:w="1280" w:type="dxa"/>
            <w:shd w:val="clear" w:color="auto" w:fill="auto"/>
            <w:tcMar>
              <w:top w:w="0" w:type="dxa"/>
              <w:left w:w="108" w:type="dxa"/>
              <w:bottom w:w="0" w:type="dxa"/>
              <w:right w:w="108" w:type="dxa"/>
            </w:tcMar>
            <w:vAlign w:val="center"/>
          </w:tcPr>
          <w:p w14:paraId="01178267">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324C8038">
            <w:pPr>
              <w:widowControl/>
              <w:shd w:val="clear"/>
              <w:jc w:val="center"/>
              <w:textAlignment w:val="baseline"/>
              <w:rPr>
                <w:rFonts w:hint="eastAsia" w:ascii="宋体" w:hAnsi="宋体" w:eastAsia="宋体" w:cs="宋体"/>
                <w:color w:val="auto"/>
                <w:kern w:val="0"/>
                <w:sz w:val="21"/>
                <w:szCs w:val="21"/>
                <w:highlight w:val="none"/>
              </w:rPr>
            </w:pPr>
          </w:p>
        </w:tc>
        <w:tc>
          <w:tcPr>
            <w:tcW w:w="3411" w:type="dxa"/>
            <w:shd w:val="clear" w:color="auto" w:fill="auto"/>
            <w:tcMar>
              <w:top w:w="0" w:type="dxa"/>
              <w:left w:w="108" w:type="dxa"/>
              <w:bottom w:w="0" w:type="dxa"/>
              <w:right w:w="108" w:type="dxa"/>
            </w:tcMar>
            <w:vAlign w:val="center"/>
          </w:tcPr>
          <w:p w14:paraId="4DBB5CC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5F3EE82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0FBC20F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电能（北京）认证中心有限公司</w:t>
            </w:r>
          </w:p>
          <w:p w14:paraId="7726184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中国船级社质量认证公司</w:t>
            </w:r>
          </w:p>
        </w:tc>
      </w:tr>
      <w:tr w14:paraId="43A5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861" w:hRule="atLeast"/>
          <w:jc w:val="center"/>
        </w:trPr>
        <w:tc>
          <w:tcPr>
            <w:tcW w:w="673" w:type="dxa"/>
            <w:shd w:val="clear" w:color="auto" w:fill="auto"/>
            <w:tcMar>
              <w:top w:w="0" w:type="dxa"/>
              <w:left w:w="108" w:type="dxa"/>
              <w:bottom w:w="0" w:type="dxa"/>
              <w:right w:w="108" w:type="dxa"/>
            </w:tcMar>
            <w:vAlign w:val="center"/>
          </w:tcPr>
          <w:p w14:paraId="53BA806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220" w:type="dxa"/>
            <w:shd w:val="clear" w:color="auto" w:fill="auto"/>
            <w:tcMar>
              <w:top w:w="0" w:type="dxa"/>
              <w:left w:w="108" w:type="dxa"/>
              <w:bottom w:w="0" w:type="dxa"/>
              <w:right w:w="108" w:type="dxa"/>
            </w:tcMar>
            <w:vAlign w:val="center"/>
          </w:tcPr>
          <w:p w14:paraId="6102985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A020602</w:t>
            </w:r>
          </w:p>
        </w:tc>
        <w:tc>
          <w:tcPr>
            <w:tcW w:w="1506" w:type="dxa"/>
            <w:shd w:val="clear" w:color="auto" w:fill="auto"/>
            <w:tcMar>
              <w:top w:w="0" w:type="dxa"/>
              <w:left w:w="108" w:type="dxa"/>
              <w:bottom w:w="0" w:type="dxa"/>
              <w:right w:w="108" w:type="dxa"/>
            </w:tcMar>
            <w:vAlign w:val="center"/>
          </w:tcPr>
          <w:p w14:paraId="796462E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变压器</w:t>
            </w:r>
          </w:p>
        </w:tc>
        <w:tc>
          <w:tcPr>
            <w:tcW w:w="1280" w:type="dxa"/>
            <w:shd w:val="clear" w:color="auto" w:fill="auto"/>
            <w:tcMar>
              <w:top w:w="0" w:type="dxa"/>
              <w:left w:w="108" w:type="dxa"/>
              <w:bottom w:w="0" w:type="dxa"/>
              <w:right w:w="108" w:type="dxa"/>
            </w:tcMar>
            <w:vAlign w:val="center"/>
          </w:tcPr>
          <w:p w14:paraId="4DEE204D">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13696A47">
            <w:pPr>
              <w:widowControl/>
              <w:shd w:val="clear"/>
              <w:jc w:val="center"/>
              <w:textAlignment w:val="baseline"/>
              <w:rPr>
                <w:rFonts w:hint="eastAsia" w:ascii="宋体" w:hAnsi="宋体" w:eastAsia="宋体" w:cs="宋体"/>
                <w:color w:val="auto"/>
                <w:kern w:val="0"/>
                <w:sz w:val="21"/>
                <w:szCs w:val="21"/>
                <w:highlight w:val="none"/>
              </w:rPr>
            </w:pPr>
          </w:p>
        </w:tc>
        <w:tc>
          <w:tcPr>
            <w:tcW w:w="3411" w:type="dxa"/>
            <w:shd w:val="clear" w:color="auto" w:fill="auto"/>
            <w:tcMar>
              <w:top w:w="0" w:type="dxa"/>
              <w:left w:w="108" w:type="dxa"/>
              <w:bottom w:w="0" w:type="dxa"/>
              <w:right w:w="108" w:type="dxa"/>
            </w:tcMar>
            <w:vAlign w:val="center"/>
          </w:tcPr>
          <w:p w14:paraId="6F8C9D1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20AE1CC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电能（北京）认证中心有限公司</w:t>
            </w:r>
          </w:p>
          <w:p w14:paraId="6793334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方圆标志认证集团有限公司</w:t>
            </w:r>
          </w:p>
        </w:tc>
      </w:tr>
      <w:tr w14:paraId="5B4C1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844" w:hRule="atLeast"/>
          <w:jc w:val="center"/>
        </w:trPr>
        <w:tc>
          <w:tcPr>
            <w:tcW w:w="673" w:type="dxa"/>
            <w:shd w:val="clear" w:color="auto" w:fill="auto"/>
            <w:tcMar>
              <w:top w:w="0" w:type="dxa"/>
              <w:left w:w="108" w:type="dxa"/>
              <w:bottom w:w="0" w:type="dxa"/>
              <w:right w:w="108" w:type="dxa"/>
            </w:tcMar>
            <w:vAlign w:val="center"/>
          </w:tcPr>
          <w:p w14:paraId="274572A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220" w:type="dxa"/>
            <w:shd w:val="clear" w:color="auto" w:fill="auto"/>
            <w:tcMar>
              <w:top w:w="0" w:type="dxa"/>
              <w:left w:w="108" w:type="dxa"/>
              <w:bottom w:w="0" w:type="dxa"/>
              <w:right w:w="108" w:type="dxa"/>
            </w:tcMar>
            <w:vAlign w:val="center"/>
          </w:tcPr>
          <w:p w14:paraId="1229A9B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A020609</w:t>
            </w:r>
          </w:p>
        </w:tc>
        <w:tc>
          <w:tcPr>
            <w:tcW w:w="1506" w:type="dxa"/>
            <w:shd w:val="clear" w:color="auto" w:fill="auto"/>
            <w:tcMar>
              <w:top w:w="0" w:type="dxa"/>
              <w:left w:w="108" w:type="dxa"/>
              <w:bottom w:w="0" w:type="dxa"/>
              <w:right w:w="108" w:type="dxa"/>
            </w:tcMar>
            <w:vAlign w:val="center"/>
          </w:tcPr>
          <w:p w14:paraId="20FF235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镇流器</w:t>
            </w:r>
          </w:p>
        </w:tc>
        <w:tc>
          <w:tcPr>
            <w:tcW w:w="1280" w:type="dxa"/>
            <w:shd w:val="clear" w:color="auto" w:fill="auto"/>
            <w:tcMar>
              <w:top w:w="0" w:type="dxa"/>
              <w:left w:w="108" w:type="dxa"/>
              <w:bottom w:w="0" w:type="dxa"/>
              <w:right w:w="108" w:type="dxa"/>
            </w:tcMar>
            <w:vAlign w:val="center"/>
          </w:tcPr>
          <w:p w14:paraId="4F811A86">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3FAC0422">
            <w:pPr>
              <w:widowControl/>
              <w:shd w:val="clear"/>
              <w:jc w:val="center"/>
              <w:textAlignment w:val="baseline"/>
              <w:rPr>
                <w:rFonts w:hint="eastAsia" w:ascii="宋体" w:hAnsi="宋体" w:eastAsia="宋体" w:cs="宋体"/>
                <w:color w:val="auto"/>
                <w:kern w:val="0"/>
                <w:sz w:val="21"/>
                <w:szCs w:val="21"/>
                <w:highlight w:val="none"/>
              </w:rPr>
            </w:pPr>
          </w:p>
        </w:tc>
        <w:tc>
          <w:tcPr>
            <w:tcW w:w="3411" w:type="dxa"/>
            <w:shd w:val="clear" w:color="auto" w:fill="auto"/>
            <w:tcMar>
              <w:top w:w="0" w:type="dxa"/>
              <w:left w:w="108" w:type="dxa"/>
              <w:bottom w:w="0" w:type="dxa"/>
              <w:right w:w="108" w:type="dxa"/>
            </w:tcMar>
            <w:vAlign w:val="center"/>
          </w:tcPr>
          <w:p w14:paraId="0806DAD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15D0B45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深圳市计量质量检测研究院</w:t>
            </w:r>
          </w:p>
          <w:p w14:paraId="24A5028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中标合信（北京）认证有限公司</w:t>
            </w:r>
          </w:p>
        </w:tc>
      </w:tr>
      <w:tr w14:paraId="6D9E5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400" w:hRule="atLeast"/>
          <w:jc w:val="center"/>
        </w:trPr>
        <w:tc>
          <w:tcPr>
            <w:tcW w:w="673" w:type="dxa"/>
            <w:vMerge w:val="restart"/>
            <w:shd w:val="clear" w:color="auto" w:fill="auto"/>
            <w:tcMar>
              <w:top w:w="0" w:type="dxa"/>
              <w:left w:w="108" w:type="dxa"/>
              <w:bottom w:w="0" w:type="dxa"/>
              <w:right w:w="108" w:type="dxa"/>
            </w:tcMar>
            <w:vAlign w:val="center"/>
          </w:tcPr>
          <w:p w14:paraId="03AC64F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220" w:type="dxa"/>
            <w:vMerge w:val="restart"/>
            <w:shd w:val="clear" w:color="auto" w:fill="auto"/>
            <w:tcMar>
              <w:top w:w="0" w:type="dxa"/>
              <w:left w:w="108" w:type="dxa"/>
              <w:bottom w:w="0" w:type="dxa"/>
              <w:right w:w="108" w:type="dxa"/>
            </w:tcMar>
            <w:vAlign w:val="center"/>
          </w:tcPr>
          <w:p w14:paraId="7193F2C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A020618</w:t>
            </w:r>
          </w:p>
        </w:tc>
        <w:tc>
          <w:tcPr>
            <w:tcW w:w="1506" w:type="dxa"/>
            <w:vMerge w:val="restart"/>
            <w:shd w:val="clear" w:color="auto" w:fill="auto"/>
            <w:tcMar>
              <w:top w:w="0" w:type="dxa"/>
              <w:left w:w="108" w:type="dxa"/>
              <w:bottom w:w="0" w:type="dxa"/>
              <w:right w:w="108" w:type="dxa"/>
            </w:tcMar>
            <w:vAlign w:val="center"/>
          </w:tcPr>
          <w:p w14:paraId="1CE31FD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生活用电器</w:t>
            </w:r>
          </w:p>
        </w:tc>
        <w:tc>
          <w:tcPr>
            <w:tcW w:w="1280" w:type="dxa"/>
            <w:shd w:val="clear" w:color="auto" w:fill="auto"/>
            <w:tcMar>
              <w:top w:w="0" w:type="dxa"/>
              <w:left w:w="108" w:type="dxa"/>
              <w:bottom w:w="0" w:type="dxa"/>
              <w:right w:w="108" w:type="dxa"/>
            </w:tcMar>
            <w:vAlign w:val="center"/>
          </w:tcPr>
          <w:p w14:paraId="5420D9A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A0206180101</w:t>
            </w:r>
          </w:p>
        </w:tc>
        <w:tc>
          <w:tcPr>
            <w:tcW w:w="1981" w:type="dxa"/>
            <w:shd w:val="clear" w:color="auto" w:fill="auto"/>
            <w:tcMar>
              <w:top w:w="0" w:type="dxa"/>
              <w:left w:w="108" w:type="dxa"/>
              <w:bottom w:w="0" w:type="dxa"/>
              <w:right w:w="108" w:type="dxa"/>
            </w:tcMar>
            <w:vAlign w:val="center"/>
          </w:tcPr>
          <w:p w14:paraId="1636FBE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电冰箱</w:t>
            </w:r>
          </w:p>
        </w:tc>
        <w:tc>
          <w:tcPr>
            <w:tcW w:w="3411" w:type="dxa"/>
            <w:shd w:val="clear" w:color="auto" w:fill="auto"/>
            <w:tcMar>
              <w:top w:w="0" w:type="dxa"/>
              <w:left w:w="108" w:type="dxa"/>
              <w:bottom w:w="0" w:type="dxa"/>
              <w:right w:w="108" w:type="dxa"/>
            </w:tcMar>
            <w:vAlign w:val="center"/>
          </w:tcPr>
          <w:p w14:paraId="217E8C1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2A2506F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641D206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中家院（北京）检测认证有限公司</w:t>
            </w:r>
          </w:p>
        </w:tc>
      </w:tr>
      <w:tr w14:paraId="610B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1CD3D38E">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4D0619F0">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4F8F0484">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6A6A8B7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A0206180203</w:t>
            </w:r>
          </w:p>
        </w:tc>
        <w:tc>
          <w:tcPr>
            <w:tcW w:w="1981" w:type="dxa"/>
            <w:shd w:val="clear" w:color="auto" w:fill="auto"/>
            <w:tcMar>
              <w:top w:w="0" w:type="dxa"/>
              <w:left w:w="108" w:type="dxa"/>
              <w:bottom w:w="0" w:type="dxa"/>
              <w:right w:w="108" w:type="dxa"/>
            </w:tcMar>
            <w:vAlign w:val="center"/>
          </w:tcPr>
          <w:p w14:paraId="2E520BC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空调机</w:t>
            </w:r>
          </w:p>
        </w:tc>
        <w:tc>
          <w:tcPr>
            <w:tcW w:w="3411" w:type="dxa"/>
            <w:shd w:val="clear" w:color="auto" w:fill="auto"/>
            <w:tcMar>
              <w:top w:w="0" w:type="dxa"/>
              <w:left w:w="108" w:type="dxa"/>
              <w:bottom w:w="0" w:type="dxa"/>
              <w:right w:w="108" w:type="dxa"/>
            </w:tcMar>
            <w:vAlign w:val="center"/>
          </w:tcPr>
          <w:p w14:paraId="4632015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309FD7FF">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0AE5552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中家院（北京）检测认证有限公司</w:t>
            </w:r>
          </w:p>
          <w:p w14:paraId="0AD9B62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合肥通用机械产品认证有限公司</w:t>
            </w:r>
          </w:p>
        </w:tc>
      </w:tr>
      <w:tr w14:paraId="1C77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49EC0E39">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1DAFBD5E">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1966E565">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2FD4019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A0206180301</w:t>
            </w:r>
          </w:p>
        </w:tc>
        <w:tc>
          <w:tcPr>
            <w:tcW w:w="1981" w:type="dxa"/>
            <w:shd w:val="clear" w:color="auto" w:fill="auto"/>
            <w:tcMar>
              <w:top w:w="0" w:type="dxa"/>
              <w:left w:w="108" w:type="dxa"/>
              <w:bottom w:w="0" w:type="dxa"/>
              <w:right w:w="108" w:type="dxa"/>
            </w:tcMar>
            <w:vAlign w:val="center"/>
          </w:tcPr>
          <w:p w14:paraId="0F7E6EF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洗衣机</w:t>
            </w:r>
          </w:p>
        </w:tc>
        <w:tc>
          <w:tcPr>
            <w:tcW w:w="3411" w:type="dxa"/>
            <w:shd w:val="clear" w:color="auto" w:fill="auto"/>
            <w:tcMar>
              <w:top w:w="0" w:type="dxa"/>
              <w:left w:w="108" w:type="dxa"/>
              <w:bottom w:w="0" w:type="dxa"/>
              <w:right w:w="108" w:type="dxa"/>
            </w:tcMar>
            <w:vAlign w:val="center"/>
          </w:tcPr>
          <w:p w14:paraId="0B590F0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7A22C22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04DD617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中家院（北京）检测认证有限公司</w:t>
            </w:r>
          </w:p>
        </w:tc>
      </w:tr>
      <w:tr w14:paraId="3936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vMerge w:val="continue"/>
            <w:shd w:val="clear" w:color="auto" w:fill="auto"/>
            <w:tcMar>
              <w:top w:w="0" w:type="dxa"/>
              <w:left w:w="0" w:type="dxa"/>
              <w:bottom w:w="0" w:type="dxa"/>
              <w:right w:w="0" w:type="dxa"/>
            </w:tcMar>
            <w:vAlign w:val="center"/>
          </w:tcPr>
          <w:p w14:paraId="11C86F59">
            <w:pPr>
              <w:widowControl/>
              <w:shd w:val="clear"/>
              <w:jc w:val="center"/>
              <w:rPr>
                <w:rFonts w:hint="eastAsia" w:ascii="宋体" w:hAnsi="宋体" w:eastAsia="宋体" w:cs="宋体"/>
                <w:color w:val="auto"/>
                <w:kern w:val="0"/>
                <w:sz w:val="21"/>
                <w:szCs w:val="21"/>
                <w:highlight w:val="none"/>
              </w:rPr>
            </w:pPr>
          </w:p>
        </w:tc>
        <w:tc>
          <w:tcPr>
            <w:tcW w:w="1220" w:type="dxa"/>
            <w:vMerge w:val="continue"/>
            <w:shd w:val="clear" w:color="auto" w:fill="auto"/>
            <w:tcMar>
              <w:top w:w="0" w:type="dxa"/>
              <w:left w:w="0" w:type="dxa"/>
              <w:bottom w:w="0" w:type="dxa"/>
              <w:right w:w="0" w:type="dxa"/>
            </w:tcMar>
            <w:vAlign w:val="center"/>
          </w:tcPr>
          <w:p w14:paraId="6AD44A02">
            <w:pPr>
              <w:widowControl/>
              <w:shd w:val="clear"/>
              <w:jc w:val="center"/>
              <w:rPr>
                <w:rFonts w:hint="eastAsia" w:ascii="宋体" w:hAnsi="宋体" w:eastAsia="宋体" w:cs="宋体"/>
                <w:color w:val="auto"/>
                <w:kern w:val="0"/>
                <w:sz w:val="21"/>
                <w:szCs w:val="21"/>
                <w:highlight w:val="none"/>
              </w:rPr>
            </w:pPr>
          </w:p>
        </w:tc>
        <w:tc>
          <w:tcPr>
            <w:tcW w:w="1506" w:type="dxa"/>
            <w:vMerge w:val="continue"/>
            <w:shd w:val="clear" w:color="auto" w:fill="auto"/>
            <w:tcMar>
              <w:top w:w="0" w:type="dxa"/>
              <w:left w:w="0" w:type="dxa"/>
              <w:bottom w:w="0" w:type="dxa"/>
              <w:right w:w="0" w:type="dxa"/>
            </w:tcMar>
            <w:vAlign w:val="center"/>
          </w:tcPr>
          <w:p w14:paraId="4A1D7BBA">
            <w:pPr>
              <w:widowControl/>
              <w:shd w:val="clear"/>
              <w:jc w:val="center"/>
              <w:rPr>
                <w:rFonts w:hint="eastAsia" w:ascii="宋体" w:hAnsi="宋体" w:eastAsia="宋体" w:cs="宋体"/>
                <w:color w:val="auto"/>
                <w:kern w:val="0"/>
                <w:sz w:val="21"/>
                <w:szCs w:val="21"/>
                <w:highlight w:val="none"/>
              </w:rPr>
            </w:pPr>
          </w:p>
        </w:tc>
        <w:tc>
          <w:tcPr>
            <w:tcW w:w="1280" w:type="dxa"/>
            <w:shd w:val="clear" w:color="auto" w:fill="auto"/>
            <w:tcMar>
              <w:top w:w="0" w:type="dxa"/>
              <w:left w:w="108" w:type="dxa"/>
              <w:bottom w:w="0" w:type="dxa"/>
              <w:right w:w="108" w:type="dxa"/>
            </w:tcMar>
            <w:vAlign w:val="center"/>
          </w:tcPr>
          <w:p w14:paraId="0F9EB56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A02061808</w:t>
            </w:r>
          </w:p>
        </w:tc>
        <w:tc>
          <w:tcPr>
            <w:tcW w:w="1981" w:type="dxa"/>
            <w:shd w:val="clear" w:color="auto" w:fill="auto"/>
            <w:tcMar>
              <w:top w:w="0" w:type="dxa"/>
              <w:left w:w="108" w:type="dxa"/>
              <w:bottom w:w="0" w:type="dxa"/>
              <w:right w:w="108" w:type="dxa"/>
            </w:tcMar>
            <w:vAlign w:val="center"/>
          </w:tcPr>
          <w:p w14:paraId="30E3FD5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热水器</w:t>
            </w:r>
          </w:p>
        </w:tc>
        <w:tc>
          <w:tcPr>
            <w:tcW w:w="3411" w:type="dxa"/>
            <w:shd w:val="clear" w:color="auto" w:fill="auto"/>
            <w:tcMar>
              <w:top w:w="0" w:type="dxa"/>
              <w:left w:w="108" w:type="dxa"/>
              <w:bottom w:w="0" w:type="dxa"/>
              <w:right w:w="108" w:type="dxa"/>
            </w:tcMar>
            <w:vAlign w:val="center"/>
          </w:tcPr>
          <w:p w14:paraId="4F9BCF8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1C0060C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威凯认证检测有限公司</w:t>
            </w:r>
          </w:p>
          <w:p w14:paraId="6195005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中家院（北京）检测认证有限公司</w:t>
            </w:r>
          </w:p>
          <w:p w14:paraId="3A635BF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合肥通用机械产品认证有限公司(范围仅限于“热泵热水器”)</w:t>
            </w:r>
          </w:p>
        </w:tc>
      </w:tr>
      <w:tr w14:paraId="66C5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737" w:hRule="atLeast"/>
          <w:jc w:val="center"/>
        </w:trPr>
        <w:tc>
          <w:tcPr>
            <w:tcW w:w="673" w:type="dxa"/>
            <w:shd w:val="clear" w:color="auto" w:fill="auto"/>
            <w:tcMar>
              <w:top w:w="0" w:type="dxa"/>
              <w:left w:w="108" w:type="dxa"/>
              <w:bottom w:w="0" w:type="dxa"/>
              <w:right w:w="108" w:type="dxa"/>
            </w:tcMar>
            <w:vAlign w:val="center"/>
          </w:tcPr>
          <w:p w14:paraId="39E026B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1220" w:type="dxa"/>
            <w:shd w:val="clear" w:color="auto" w:fill="auto"/>
            <w:tcMar>
              <w:top w:w="0" w:type="dxa"/>
              <w:left w:w="108" w:type="dxa"/>
              <w:bottom w:w="0" w:type="dxa"/>
              <w:right w:w="108" w:type="dxa"/>
            </w:tcMar>
            <w:vAlign w:val="center"/>
          </w:tcPr>
          <w:p w14:paraId="0483967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A020619</w:t>
            </w:r>
          </w:p>
        </w:tc>
        <w:tc>
          <w:tcPr>
            <w:tcW w:w="1506" w:type="dxa"/>
            <w:shd w:val="clear" w:color="auto" w:fill="auto"/>
            <w:tcMar>
              <w:top w:w="0" w:type="dxa"/>
              <w:left w:w="108" w:type="dxa"/>
              <w:bottom w:w="0" w:type="dxa"/>
              <w:right w:w="108" w:type="dxa"/>
            </w:tcMar>
            <w:vAlign w:val="center"/>
          </w:tcPr>
          <w:p w14:paraId="454DFC3C">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照明设备</w:t>
            </w:r>
          </w:p>
        </w:tc>
        <w:tc>
          <w:tcPr>
            <w:tcW w:w="1280" w:type="dxa"/>
            <w:shd w:val="clear" w:color="auto" w:fill="auto"/>
            <w:tcMar>
              <w:top w:w="0" w:type="dxa"/>
              <w:left w:w="108" w:type="dxa"/>
              <w:bottom w:w="0" w:type="dxa"/>
              <w:right w:w="108" w:type="dxa"/>
            </w:tcMar>
            <w:vAlign w:val="center"/>
          </w:tcPr>
          <w:p w14:paraId="481DF0D2">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632D6E2F">
            <w:pPr>
              <w:widowControl/>
              <w:shd w:val="clear"/>
              <w:jc w:val="center"/>
              <w:textAlignment w:val="baseline"/>
              <w:rPr>
                <w:rFonts w:hint="eastAsia" w:ascii="宋体" w:hAnsi="宋体" w:eastAsia="宋体" w:cs="宋体"/>
                <w:color w:val="auto"/>
                <w:kern w:val="0"/>
                <w:sz w:val="21"/>
                <w:szCs w:val="21"/>
                <w:highlight w:val="none"/>
              </w:rPr>
            </w:pPr>
          </w:p>
        </w:tc>
        <w:tc>
          <w:tcPr>
            <w:tcW w:w="3411" w:type="dxa"/>
            <w:shd w:val="clear" w:color="auto" w:fill="auto"/>
            <w:tcMar>
              <w:top w:w="0" w:type="dxa"/>
              <w:left w:w="108" w:type="dxa"/>
              <w:bottom w:w="0" w:type="dxa"/>
              <w:right w:w="108" w:type="dxa"/>
            </w:tcMar>
            <w:vAlign w:val="center"/>
          </w:tcPr>
          <w:p w14:paraId="5996DCC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4F8D10D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深圳市计量质量检测研究院</w:t>
            </w:r>
          </w:p>
          <w:p w14:paraId="3049931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中标合信（北京）认证有限公司</w:t>
            </w:r>
          </w:p>
        </w:tc>
      </w:tr>
      <w:tr w14:paraId="02EA0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19" w:hRule="atLeast"/>
          <w:jc w:val="center"/>
        </w:trPr>
        <w:tc>
          <w:tcPr>
            <w:tcW w:w="673" w:type="dxa"/>
            <w:shd w:val="clear" w:color="auto" w:fill="auto"/>
            <w:tcMar>
              <w:top w:w="0" w:type="dxa"/>
              <w:left w:w="108" w:type="dxa"/>
              <w:bottom w:w="0" w:type="dxa"/>
              <w:right w:w="108" w:type="dxa"/>
            </w:tcMar>
            <w:vAlign w:val="center"/>
          </w:tcPr>
          <w:p w14:paraId="033B9CB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1220" w:type="dxa"/>
            <w:shd w:val="clear" w:color="auto" w:fill="auto"/>
            <w:tcMar>
              <w:top w:w="0" w:type="dxa"/>
              <w:left w:w="108" w:type="dxa"/>
              <w:bottom w:w="0" w:type="dxa"/>
              <w:right w:w="108" w:type="dxa"/>
            </w:tcMar>
            <w:vAlign w:val="center"/>
          </w:tcPr>
          <w:p w14:paraId="0229614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A020910</w:t>
            </w:r>
          </w:p>
        </w:tc>
        <w:tc>
          <w:tcPr>
            <w:tcW w:w="1506" w:type="dxa"/>
            <w:shd w:val="clear" w:color="auto" w:fill="auto"/>
            <w:tcMar>
              <w:top w:w="0" w:type="dxa"/>
              <w:left w:w="108" w:type="dxa"/>
              <w:bottom w:w="0" w:type="dxa"/>
              <w:right w:w="108" w:type="dxa"/>
            </w:tcMar>
            <w:vAlign w:val="center"/>
          </w:tcPr>
          <w:p w14:paraId="390661F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电视设备</w:t>
            </w:r>
          </w:p>
        </w:tc>
        <w:tc>
          <w:tcPr>
            <w:tcW w:w="1280" w:type="dxa"/>
            <w:shd w:val="clear" w:color="auto" w:fill="auto"/>
            <w:tcMar>
              <w:top w:w="0" w:type="dxa"/>
              <w:left w:w="108" w:type="dxa"/>
              <w:bottom w:w="0" w:type="dxa"/>
              <w:right w:w="108" w:type="dxa"/>
            </w:tcMar>
            <w:vAlign w:val="center"/>
          </w:tcPr>
          <w:p w14:paraId="6B9D442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A02091001</w:t>
            </w:r>
          </w:p>
        </w:tc>
        <w:tc>
          <w:tcPr>
            <w:tcW w:w="1981" w:type="dxa"/>
            <w:shd w:val="clear" w:color="auto" w:fill="auto"/>
            <w:tcMar>
              <w:top w:w="0" w:type="dxa"/>
              <w:left w:w="108" w:type="dxa"/>
              <w:bottom w:w="0" w:type="dxa"/>
              <w:right w:w="108" w:type="dxa"/>
            </w:tcMar>
            <w:vAlign w:val="center"/>
          </w:tcPr>
          <w:p w14:paraId="7108AAE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普通电视设备（电视机）</w:t>
            </w:r>
          </w:p>
        </w:tc>
        <w:tc>
          <w:tcPr>
            <w:tcW w:w="3411" w:type="dxa"/>
            <w:vMerge w:val="restart"/>
            <w:shd w:val="clear" w:color="auto" w:fill="auto"/>
            <w:tcMar>
              <w:top w:w="0" w:type="dxa"/>
              <w:left w:w="108" w:type="dxa"/>
              <w:bottom w:w="0" w:type="dxa"/>
              <w:right w:w="108" w:type="dxa"/>
            </w:tcMar>
            <w:vAlign w:val="center"/>
          </w:tcPr>
          <w:p w14:paraId="4774E8D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2352FD0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北京泰瑞特认证有限责任公司</w:t>
            </w:r>
          </w:p>
          <w:p w14:paraId="009D495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广州赛宝认证中心服务有限公司</w:t>
            </w:r>
          </w:p>
        </w:tc>
      </w:tr>
      <w:tr w14:paraId="32DE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410" w:hRule="atLeast"/>
          <w:jc w:val="center"/>
        </w:trPr>
        <w:tc>
          <w:tcPr>
            <w:tcW w:w="673" w:type="dxa"/>
            <w:shd w:val="clear" w:color="auto" w:fill="auto"/>
            <w:tcMar>
              <w:top w:w="0" w:type="dxa"/>
              <w:left w:w="108" w:type="dxa"/>
              <w:bottom w:w="0" w:type="dxa"/>
              <w:right w:w="108" w:type="dxa"/>
            </w:tcMar>
            <w:vAlign w:val="center"/>
          </w:tcPr>
          <w:p w14:paraId="4AA3DE4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1220" w:type="dxa"/>
            <w:shd w:val="clear" w:color="auto" w:fill="auto"/>
            <w:tcMar>
              <w:top w:w="0" w:type="dxa"/>
              <w:left w:w="108" w:type="dxa"/>
              <w:bottom w:w="0" w:type="dxa"/>
              <w:right w:w="108" w:type="dxa"/>
            </w:tcMar>
            <w:vAlign w:val="center"/>
          </w:tcPr>
          <w:p w14:paraId="22E42FC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A020911</w:t>
            </w:r>
          </w:p>
        </w:tc>
        <w:tc>
          <w:tcPr>
            <w:tcW w:w="1506" w:type="dxa"/>
            <w:shd w:val="clear" w:color="auto" w:fill="auto"/>
            <w:tcMar>
              <w:top w:w="0" w:type="dxa"/>
              <w:left w:w="108" w:type="dxa"/>
              <w:bottom w:w="0" w:type="dxa"/>
              <w:right w:w="108" w:type="dxa"/>
            </w:tcMar>
            <w:vAlign w:val="center"/>
          </w:tcPr>
          <w:p w14:paraId="2A040F0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视频设备</w:t>
            </w:r>
          </w:p>
        </w:tc>
        <w:tc>
          <w:tcPr>
            <w:tcW w:w="1280" w:type="dxa"/>
            <w:shd w:val="clear" w:color="auto" w:fill="auto"/>
            <w:tcMar>
              <w:top w:w="0" w:type="dxa"/>
              <w:left w:w="108" w:type="dxa"/>
              <w:bottom w:w="0" w:type="dxa"/>
              <w:right w:w="108" w:type="dxa"/>
            </w:tcMar>
            <w:vAlign w:val="center"/>
          </w:tcPr>
          <w:p w14:paraId="7208087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A02091107</w:t>
            </w:r>
          </w:p>
        </w:tc>
        <w:tc>
          <w:tcPr>
            <w:tcW w:w="1981" w:type="dxa"/>
            <w:shd w:val="clear" w:color="auto" w:fill="auto"/>
            <w:tcMar>
              <w:top w:w="0" w:type="dxa"/>
              <w:left w:w="108" w:type="dxa"/>
              <w:bottom w:w="0" w:type="dxa"/>
              <w:right w:w="108" w:type="dxa"/>
            </w:tcMar>
            <w:vAlign w:val="center"/>
          </w:tcPr>
          <w:p w14:paraId="04FF93A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视频监控设备</w:t>
            </w:r>
          </w:p>
        </w:tc>
        <w:tc>
          <w:tcPr>
            <w:tcW w:w="3411" w:type="dxa"/>
            <w:vMerge w:val="continue"/>
            <w:shd w:val="clear" w:color="auto" w:fill="auto"/>
            <w:tcMar>
              <w:top w:w="0" w:type="dxa"/>
              <w:left w:w="0" w:type="dxa"/>
              <w:bottom w:w="0" w:type="dxa"/>
              <w:right w:w="0" w:type="dxa"/>
            </w:tcMar>
            <w:vAlign w:val="center"/>
          </w:tcPr>
          <w:p w14:paraId="21DD5B11">
            <w:pPr>
              <w:widowControl/>
              <w:shd w:val="clear"/>
              <w:jc w:val="center"/>
              <w:rPr>
                <w:rFonts w:hint="eastAsia" w:ascii="宋体" w:hAnsi="宋体" w:eastAsia="宋体" w:cs="宋体"/>
                <w:color w:val="auto"/>
                <w:kern w:val="0"/>
                <w:sz w:val="21"/>
                <w:szCs w:val="21"/>
                <w:highlight w:val="none"/>
              </w:rPr>
            </w:pPr>
          </w:p>
        </w:tc>
      </w:tr>
      <w:tr w14:paraId="5F1F0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775" w:hRule="atLeast"/>
          <w:jc w:val="center"/>
        </w:trPr>
        <w:tc>
          <w:tcPr>
            <w:tcW w:w="673" w:type="dxa"/>
            <w:shd w:val="clear" w:color="auto" w:fill="auto"/>
            <w:tcMar>
              <w:top w:w="0" w:type="dxa"/>
              <w:left w:w="108" w:type="dxa"/>
              <w:bottom w:w="0" w:type="dxa"/>
              <w:right w:w="108" w:type="dxa"/>
            </w:tcMar>
            <w:vAlign w:val="center"/>
          </w:tcPr>
          <w:p w14:paraId="1CB68B8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1220" w:type="dxa"/>
            <w:shd w:val="clear" w:color="auto" w:fill="auto"/>
            <w:tcMar>
              <w:top w:w="0" w:type="dxa"/>
              <w:left w:w="108" w:type="dxa"/>
              <w:bottom w:w="0" w:type="dxa"/>
              <w:right w:w="108" w:type="dxa"/>
            </w:tcMar>
            <w:vAlign w:val="center"/>
          </w:tcPr>
          <w:p w14:paraId="73E037C3">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A031210</w:t>
            </w:r>
          </w:p>
        </w:tc>
        <w:tc>
          <w:tcPr>
            <w:tcW w:w="1506" w:type="dxa"/>
            <w:shd w:val="clear" w:color="auto" w:fill="auto"/>
            <w:tcMar>
              <w:top w:w="0" w:type="dxa"/>
              <w:left w:w="108" w:type="dxa"/>
              <w:bottom w:w="0" w:type="dxa"/>
              <w:right w:w="108" w:type="dxa"/>
            </w:tcMar>
            <w:vAlign w:val="center"/>
          </w:tcPr>
          <w:p w14:paraId="1579FF1D">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饮食炊事机械</w:t>
            </w:r>
          </w:p>
        </w:tc>
        <w:tc>
          <w:tcPr>
            <w:tcW w:w="1280" w:type="dxa"/>
            <w:shd w:val="clear" w:color="auto" w:fill="auto"/>
            <w:tcMar>
              <w:top w:w="0" w:type="dxa"/>
              <w:left w:w="108" w:type="dxa"/>
              <w:bottom w:w="0" w:type="dxa"/>
              <w:right w:w="108" w:type="dxa"/>
            </w:tcMar>
            <w:vAlign w:val="center"/>
          </w:tcPr>
          <w:p w14:paraId="44EF800D">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6D99B226">
            <w:pPr>
              <w:widowControl/>
              <w:shd w:val="clear"/>
              <w:jc w:val="center"/>
              <w:textAlignment w:val="baseline"/>
              <w:rPr>
                <w:rFonts w:hint="eastAsia" w:ascii="宋体" w:hAnsi="宋体" w:eastAsia="宋体" w:cs="宋体"/>
                <w:color w:val="auto"/>
                <w:kern w:val="0"/>
                <w:sz w:val="21"/>
                <w:szCs w:val="21"/>
                <w:highlight w:val="none"/>
              </w:rPr>
            </w:pPr>
          </w:p>
        </w:tc>
        <w:tc>
          <w:tcPr>
            <w:tcW w:w="3411" w:type="dxa"/>
            <w:shd w:val="clear" w:color="auto" w:fill="auto"/>
            <w:tcMar>
              <w:top w:w="0" w:type="dxa"/>
              <w:left w:w="108" w:type="dxa"/>
              <w:bottom w:w="0" w:type="dxa"/>
              <w:right w:w="108" w:type="dxa"/>
            </w:tcMar>
            <w:vAlign w:val="center"/>
          </w:tcPr>
          <w:p w14:paraId="1C8262A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652DC51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北京鉴衡认证中心</w:t>
            </w:r>
          </w:p>
          <w:p w14:paraId="40F53C6A">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中国市政工程华北设计研究总院有限公司</w:t>
            </w:r>
          </w:p>
        </w:tc>
      </w:tr>
      <w:tr w14:paraId="1A024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3B88A2C1">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1220" w:type="dxa"/>
            <w:shd w:val="clear" w:color="auto" w:fill="auto"/>
            <w:tcMar>
              <w:top w:w="0" w:type="dxa"/>
              <w:left w:w="108" w:type="dxa"/>
              <w:bottom w:w="0" w:type="dxa"/>
              <w:right w:w="108" w:type="dxa"/>
            </w:tcMar>
            <w:vAlign w:val="center"/>
          </w:tcPr>
          <w:p w14:paraId="008E4829">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A060805</w:t>
            </w:r>
          </w:p>
        </w:tc>
        <w:tc>
          <w:tcPr>
            <w:tcW w:w="1506" w:type="dxa"/>
            <w:shd w:val="clear" w:color="auto" w:fill="auto"/>
            <w:tcMar>
              <w:top w:w="0" w:type="dxa"/>
              <w:left w:w="108" w:type="dxa"/>
              <w:bottom w:w="0" w:type="dxa"/>
              <w:right w:w="108" w:type="dxa"/>
            </w:tcMar>
            <w:vAlign w:val="center"/>
          </w:tcPr>
          <w:p w14:paraId="5C105F9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便器</w:t>
            </w:r>
          </w:p>
        </w:tc>
        <w:tc>
          <w:tcPr>
            <w:tcW w:w="1280" w:type="dxa"/>
            <w:shd w:val="clear" w:color="auto" w:fill="auto"/>
            <w:tcMar>
              <w:top w:w="0" w:type="dxa"/>
              <w:left w:w="108" w:type="dxa"/>
              <w:bottom w:w="0" w:type="dxa"/>
              <w:right w:w="108" w:type="dxa"/>
            </w:tcMar>
            <w:vAlign w:val="center"/>
          </w:tcPr>
          <w:p w14:paraId="62E78A9E">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6AA96338">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restart"/>
            <w:shd w:val="clear" w:color="auto" w:fill="auto"/>
            <w:tcMar>
              <w:top w:w="0" w:type="dxa"/>
              <w:left w:w="108" w:type="dxa"/>
              <w:bottom w:w="0" w:type="dxa"/>
              <w:right w:w="108" w:type="dxa"/>
            </w:tcMar>
            <w:vAlign w:val="center"/>
          </w:tcPr>
          <w:p w14:paraId="50D754D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中国质量认证中心</w:t>
            </w:r>
          </w:p>
          <w:p w14:paraId="41A9661B">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北京新华节水产品认证有限公司</w:t>
            </w:r>
          </w:p>
          <w:p w14:paraId="0967442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方圆标志认证集团有限公司</w:t>
            </w:r>
          </w:p>
        </w:tc>
      </w:tr>
      <w:tr w14:paraId="609C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2AAC7C98">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1220" w:type="dxa"/>
            <w:shd w:val="clear" w:color="auto" w:fill="auto"/>
            <w:tcMar>
              <w:top w:w="0" w:type="dxa"/>
              <w:left w:w="108" w:type="dxa"/>
              <w:bottom w:w="0" w:type="dxa"/>
              <w:right w:w="108" w:type="dxa"/>
            </w:tcMar>
            <w:vAlign w:val="center"/>
          </w:tcPr>
          <w:p w14:paraId="16D9DA67">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A060806</w:t>
            </w:r>
          </w:p>
        </w:tc>
        <w:tc>
          <w:tcPr>
            <w:tcW w:w="1506" w:type="dxa"/>
            <w:shd w:val="clear" w:color="auto" w:fill="auto"/>
            <w:tcMar>
              <w:top w:w="0" w:type="dxa"/>
              <w:left w:w="108" w:type="dxa"/>
              <w:bottom w:w="0" w:type="dxa"/>
              <w:right w:w="108" w:type="dxa"/>
            </w:tcMar>
            <w:vAlign w:val="center"/>
          </w:tcPr>
          <w:p w14:paraId="43CC6F64">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水嘴</w:t>
            </w:r>
          </w:p>
        </w:tc>
        <w:tc>
          <w:tcPr>
            <w:tcW w:w="1280" w:type="dxa"/>
            <w:shd w:val="clear" w:color="auto" w:fill="auto"/>
            <w:tcMar>
              <w:top w:w="0" w:type="dxa"/>
              <w:left w:w="108" w:type="dxa"/>
              <w:bottom w:w="0" w:type="dxa"/>
              <w:right w:w="108" w:type="dxa"/>
            </w:tcMar>
            <w:vAlign w:val="center"/>
          </w:tcPr>
          <w:p w14:paraId="35B7C9BB">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16F4A8DA">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continue"/>
            <w:shd w:val="clear" w:color="auto" w:fill="auto"/>
            <w:tcMar>
              <w:top w:w="0" w:type="dxa"/>
              <w:left w:w="0" w:type="dxa"/>
              <w:bottom w:w="0" w:type="dxa"/>
              <w:right w:w="0" w:type="dxa"/>
            </w:tcMar>
            <w:vAlign w:val="center"/>
          </w:tcPr>
          <w:p w14:paraId="2DA76C81">
            <w:pPr>
              <w:widowControl/>
              <w:shd w:val="clear"/>
              <w:jc w:val="center"/>
              <w:rPr>
                <w:rFonts w:hint="eastAsia" w:ascii="宋体" w:hAnsi="宋体" w:eastAsia="宋体" w:cs="宋体"/>
                <w:color w:val="auto"/>
                <w:kern w:val="0"/>
                <w:sz w:val="21"/>
                <w:szCs w:val="21"/>
                <w:highlight w:val="none"/>
              </w:rPr>
            </w:pPr>
          </w:p>
        </w:tc>
      </w:tr>
      <w:tr w14:paraId="5CB8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56002A90">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1220" w:type="dxa"/>
            <w:shd w:val="clear" w:color="auto" w:fill="auto"/>
            <w:tcMar>
              <w:top w:w="0" w:type="dxa"/>
              <w:left w:w="108" w:type="dxa"/>
              <w:bottom w:w="0" w:type="dxa"/>
              <w:right w:w="108" w:type="dxa"/>
            </w:tcMar>
            <w:vAlign w:val="center"/>
          </w:tcPr>
          <w:p w14:paraId="57EE858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A060807</w:t>
            </w:r>
          </w:p>
        </w:tc>
        <w:tc>
          <w:tcPr>
            <w:tcW w:w="1506" w:type="dxa"/>
            <w:shd w:val="clear" w:color="auto" w:fill="auto"/>
            <w:tcMar>
              <w:top w:w="0" w:type="dxa"/>
              <w:left w:w="108" w:type="dxa"/>
              <w:bottom w:w="0" w:type="dxa"/>
              <w:right w:w="108" w:type="dxa"/>
            </w:tcMar>
            <w:vAlign w:val="center"/>
          </w:tcPr>
          <w:p w14:paraId="176FDA02">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便器冲洗阀</w:t>
            </w:r>
          </w:p>
        </w:tc>
        <w:tc>
          <w:tcPr>
            <w:tcW w:w="1280" w:type="dxa"/>
            <w:shd w:val="clear" w:color="auto" w:fill="auto"/>
            <w:tcMar>
              <w:top w:w="0" w:type="dxa"/>
              <w:left w:w="108" w:type="dxa"/>
              <w:bottom w:w="0" w:type="dxa"/>
              <w:right w:w="108" w:type="dxa"/>
            </w:tcMar>
            <w:vAlign w:val="center"/>
          </w:tcPr>
          <w:p w14:paraId="4011CA20">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48E2695B">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continue"/>
            <w:shd w:val="clear" w:color="auto" w:fill="auto"/>
            <w:tcMar>
              <w:top w:w="0" w:type="dxa"/>
              <w:left w:w="0" w:type="dxa"/>
              <w:bottom w:w="0" w:type="dxa"/>
              <w:right w:w="0" w:type="dxa"/>
            </w:tcMar>
            <w:vAlign w:val="center"/>
          </w:tcPr>
          <w:p w14:paraId="6A4E7131">
            <w:pPr>
              <w:widowControl/>
              <w:shd w:val="clear"/>
              <w:jc w:val="center"/>
              <w:rPr>
                <w:rFonts w:hint="eastAsia" w:ascii="宋体" w:hAnsi="宋体" w:eastAsia="宋体" w:cs="宋体"/>
                <w:color w:val="auto"/>
                <w:kern w:val="0"/>
                <w:sz w:val="21"/>
                <w:szCs w:val="21"/>
                <w:highlight w:val="none"/>
              </w:rPr>
            </w:pPr>
          </w:p>
        </w:tc>
      </w:tr>
      <w:tr w14:paraId="2269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0" w:type="dxa"/>
            <w:left w:w="30" w:type="dxa"/>
            <w:bottom w:w="30" w:type="dxa"/>
            <w:right w:w="30" w:type="dxa"/>
          </w:tblCellMar>
        </w:tblPrEx>
        <w:trPr>
          <w:trHeight w:val="284" w:hRule="atLeast"/>
          <w:jc w:val="center"/>
        </w:trPr>
        <w:tc>
          <w:tcPr>
            <w:tcW w:w="673" w:type="dxa"/>
            <w:shd w:val="clear" w:color="auto" w:fill="auto"/>
            <w:tcMar>
              <w:top w:w="0" w:type="dxa"/>
              <w:left w:w="108" w:type="dxa"/>
              <w:bottom w:w="0" w:type="dxa"/>
              <w:right w:w="108" w:type="dxa"/>
            </w:tcMar>
            <w:vAlign w:val="center"/>
          </w:tcPr>
          <w:p w14:paraId="72BF6926">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1220" w:type="dxa"/>
            <w:shd w:val="clear" w:color="auto" w:fill="auto"/>
            <w:tcMar>
              <w:top w:w="0" w:type="dxa"/>
              <w:left w:w="108" w:type="dxa"/>
              <w:bottom w:w="0" w:type="dxa"/>
              <w:right w:w="108" w:type="dxa"/>
            </w:tcMar>
            <w:vAlign w:val="center"/>
          </w:tcPr>
          <w:p w14:paraId="3BE969E5">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A060810</w:t>
            </w:r>
          </w:p>
        </w:tc>
        <w:tc>
          <w:tcPr>
            <w:tcW w:w="1506" w:type="dxa"/>
            <w:shd w:val="clear" w:color="auto" w:fill="auto"/>
            <w:tcMar>
              <w:top w:w="0" w:type="dxa"/>
              <w:left w:w="108" w:type="dxa"/>
              <w:bottom w:w="0" w:type="dxa"/>
              <w:right w:w="108" w:type="dxa"/>
            </w:tcMar>
            <w:vAlign w:val="center"/>
          </w:tcPr>
          <w:p w14:paraId="46387C8E">
            <w:pPr>
              <w:widowControl/>
              <w:shd w:val="clear"/>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淋浴器</w:t>
            </w:r>
          </w:p>
        </w:tc>
        <w:tc>
          <w:tcPr>
            <w:tcW w:w="1280" w:type="dxa"/>
            <w:shd w:val="clear" w:color="auto" w:fill="auto"/>
            <w:tcMar>
              <w:top w:w="0" w:type="dxa"/>
              <w:left w:w="108" w:type="dxa"/>
              <w:bottom w:w="0" w:type="dxa"/>
              <w:right w:w="108" w:type="dxa"/>
            </w:tcMar>
            <w:vAlign w:val="center"/>
          </w:tcPr>
          <w:p w14:paraId="5E90400E">
            <w:pPr>
              <w:widowControl/>
              <w:shd w:val="clear"/>
              <w:jc w:val="center"/>
              <w:textAlignment w:val="baseline"/>
              <w:rPr>
                <w:rFonts w:hint="eastAsia" w:ascii="宋体" w:hAnsi="宋体" w:eastAsia="宋体" w:cs="宋体"/>
                <w:color w:val="auto"/>
                <w:kern w:val="0"/>
                <w:sz w:val="21"/>
                <w:szCs w:val="21"/>
                <w:highlight w:val="none"/>
              </w:rPr>
            </w:pPr>
          </w:p>
        </w:tc>
        <w:tc>
          <w:tcPr>
            <w:tcW w:w="1981" w:type="dxa"/>
            <w:shd w:val="clear" w:color="auto" w:fill="auto"/>
            <w:tcMar>
              <w:top w:w="0" w:type="dxa"/>
              <w:left w:w="108" w:type="dxa"/>
              <w:bottom w:w="0" w:type="dxa"/>
              <w:right w:w="108" w:type="dxa"/>
            </w:tcMar>
            <w:vAlign w:val="center"/>
          </w:tcPr>
          <w:p w14:paraId="07B17E0F">
            <w:pPr>
              <w:widowControl/>
              <w:shd w:val="clear"/>
              <w:jc w:val="center"/>
              <w:textAlignment w:val="baseline"/>
              <w:rPr>
                <w:rFonts w:hint="eastAsia" w:ascii="宋体" w:hAnsi="宋体" w:eastAsia="宋体" w:cs="宋体"/>
                <w:color w:val="auto"/>
                <w:kern w:val="0"/>
                <w:sz w:val="21"/>
                <w:szCs w:val="21"/>
                <w:highlight w:val="none"/>
              </w:rPr>
            </w:pPr>
          </w:p>
        </w:tc>
        <w:tc>
          <w:tcPr>
            <w:tcW w:w="3411" w:type="dxa"/>
            <w:vMerge w:val="continue"/>
            <w:shd w:val="clear" w:color="auto" w:fill="auto"/>
            <w:tcMar>
              <w:top w:w="0" w:type="dxa"/>
              <w:left w:w="0" w:type="dxa"/>
              <w:bottom w:w="0" w:type="dxa"/>
              <w:right w:w="0" w:type="dxa"/>
            </w:tcMar>
            <w:vAlign w:val="center"/>
          </w:tcPr>
          <w:p w14:paraId="6F814C1F">
            <w:pPr>
              <w:widowControl/>
              <w:shd w:val="clear"/>
              <w:jc w:val="center"/>
              <w:rPr>
                <w:rFonts w:hint="eastAsia" w:ascii="宋体" w:hAnsi="宋体" w:eastAsia="宋体" w:cs="宋体"/>
                <w:color w:val="auto"/>
                <w:kern w:val="0"/>
                <w:sz w:val="21"/>
                <w:szCs w:val="21"/>
                <w:highlight w:val="none"/>
              </w:rPr>
            </w:pPr>
          </w:p>
        </w:tc>
      </w:tr>
    </w:tbl>
    <w:p w14:paraId="105CE30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（2）参与实施政府采购环境标志产品认证机构名录 </w:t>
      </w:r>
    </w:p>
    <w:tbl>
      <w:tblPr>
        <w:tblStyle w:val="48"/>
        <w:tblW w:w="10336"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30" w:type="dxa"/>
          <w:left w:w="30" w:type="dxa"/>
          <w:bottom w:w="30" w:type="dxa"/>
          <w:right w:w="30" w:type="dxa"/>
        </w:tblCellMar>
      </w:tblPr>
      <w:tblGrid>
        <w:gridCol w:w="720"/>
        <w:gridCol w:w="2363"/>
        <w:gridCol w:w="7253"/>
      </w:tblGrid>
      <w:tr w14:paraId="47D8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34" w:hRule="atLeast"/>
        </w:trPr>
        <w:tc>
          <w:tcPr>
            <w:tcW w:w="720" w:type="dxa"/>
            <w:shd w:val="clear" w:color="auto" w:fill="auto"/>
            <w:tcMar>
              <w:top w:w="0" w:type="dxa"/>
              <w:left w:w="108" w:type="dxa"/>
              <w:bottom w:w="0" w:type="dxa"/>
              <w:right w:w="108" w:type="dxa"/>
            </w:tcMar>
            <w:vAlign w:val="bottom"/>
          </w:tcPr>
          <w:p w14:paraId="3494748A">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363" w:type="dxa"/>
            <w:shd w:val="clear" w:color="auto" w:fill="auto"/>
            <w:tcMar>
              <w:top w:w="0" w:type="dxa"/>
              <w:left w:w="108" w:type="dxa"/>
              <w:bottom w:w="0" w:type="dxa"/>
              <w:right w:w="108" w:type="dxa"/>
            </w:tcMar>
            <w:vAlign w:val="bottom"/>
          </w:tcPr>
          <w:p w14:paraId="1F018E13">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目录</w:t>
            </w:r>
          </w:p>
        </w:tc>
        <w:tc>
          <w:tcPr>
            <w:tcW w:w="7253" w:type="dxa"/>
            <w:shd w:val="clear" w:color="auto" w:fill="auto"/>
            <w:tcMar>
              <w:top w:w="0" w:type="dxa"/>
              <w:left w:w="108" w:type="dxa"/>
              <w:bottom w:w="0" w:type="dxa"/>
              <w:right w:w="108" w:type="dxa"/>
            </w:tcMar>
            <w:vAlign w:val="bottom"/>
          </w:tcPr>
          <w:p w14:paraId="1E796BE3">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认证机构名录</w:t>
            </w:r>
          </w:p>
        </w:tc>
      </w:tr>
      <w:tr w14:paraId="0F9F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861" w:hRule="atLeast"/>
        </w:trPr>
        <w:tc>
          <w:tcPr>
            <w:tcW w:w="720" w:type="dxa"/>
            <w:shd w:val="clear" w:color="auto" w:fill="auto"/>
            <w:tcMar>
              <w:top w:w="0" w:type="dxa"/>
              <w:left w:w="108" w:type="dxa"/>
              <w:bottom w:w="0" w:type="dxa"/>
              <w:right w:w="108" w:type="dxa"/>
            </w:tcMar>
            <w:vAlign w:val="center"/>
          </w:tcPr>
          <w:p w14:paraId="7737F385">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363" w:type="dxa"/>
            <w:shd w:val="clear" w:color="auto" w:fill="auto"/>
            <w:tcMar>
              <w:top w:w="0" w:type="dxa"/>
              <w:left w:w="108" w:type="dxa"/>
              <w:bottom w:w="0" w:type="dxa"/>
              <w:right w:w="108" w:type="dxa"/>
            </w:tcMar>
            <w:vAlign w:val="center"/>
          </w:tcPr>
          <w:p w14:paraId="2F524110">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环境标志产品</w:t>
            </w:r>
          </w:p>
        </w:tc>
        <w:tc>
          <w:tcPr>
            <w:tcW w:w="7253" w:type="dxa"/>
            <w:shd w:val="clear" w:color="auto" w:fill="auto"/>
            <w:tcMar>
              <w:top w:w="0" w:type="dxa"/>
              <w:left w:w="108" w:type="dxa"/>
              <w:bottom w:w="0" w:type="dxa"/>
              <w:right w:w="108" w:type="dxa"/>
            </w:tcMar>
            <w:vAlign w:val="center"/>
          </w:tcPr>
          <w:p w14:paraId="2A7295BB">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中环联合（北京）认证中心有限公司</w:t>
            </w:r>
          </w:p>
          <w:p w14:paraId="3A255BF3">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中标合信（北京）认证有限公司</w:t>
            </w:r>
          </w:p>
          <w:p w14:paraId="25C58532">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中环协（北京）认证中心</w:t>
            </w:r>
          </w:p>
          <w:p w14:paraId="38447EE6">
            <w:pPr>
              <w:widowControl/>
              <w:shd w:val="clear"/>
              <w:spacing w:line="240" w:lineRule="atLeast"/>
              <w:jc w:val="center"/>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天津华诚认证有限公司</w:t>
            </w:r>
          </w:p>
        </w:tc>
      </w:tr>
    </w:tbl>
    <w:p w14:paraId="5AFE1C1C">
      <w:pPr>
        <w:shd w:val="clear"/>
        <w:rPr>
          <w:rFonts w:hint="eastAsia" w:ascii="宋体" w:hAnsi="宋体" w:eastAsia="宋体" w:cs="宋体"/>
          <w:color w:val="auto"/>
          <w:szCs w:val="21"/>
          <w:highlight w:val="none"/>
        </w:rPr>
      </w:pPr>
    </w:p>
    <w:p w14:paraId="6113EC79">
      <w:pPr>
        <w:bidi w:val="0"/>
        <w:rPr>
          <w:rFonts w:hint="eastAsia" w:ascii="宋体" w:hAnsi="宋体" w:cs="宋体"/>
          <w:color w:val="auto"/>
          <w:highlight w:val="none"/>
          <w:lang w:val="en-US" w:eastAsia="zh-CN"/>
        </w:rPr>
      </w:pPr>
      <w:bookmarkStart w:id="133" w:name="_Toc5437"/>
    </w:p>
    <w:p w14:paraId="032AD8BB">
      <w:pPr>
        <w:rPr>
          <w:rFonts w:hint="eastAsia" w:ascii="宋体" w:hAnsi="宋体" w:eastAsia="宋体" w:cs="宋体"/>
          <w:b/>
          <w:bCs/>
          <w:color w:val="auto"/>
          <w:kern w:val="44"/>
          <w:sz w:val="44"/>
          <w:szCs w:val="44"/>
          <w:highlight w:val="none"/>
          <w:lang w:val="en-US" w:eastAsia="zh-CN"/>
        </w:rPr>
      </w:pPr>
      <w:r>
        <w:rPr>
          <w:rFonts w:hint="eastAsia" w:ascii="宋体" w:hAnsi="宋体" w:eastAsia="宋体" w:cs="宋体"/>
          <w:b/>
          <w:bCs/>
          <w:color w:val="auto"/>
          <w:kern w:val="44"/>
          <w:sz w:val="44"/>
          <w:szCs w:val="44"/>
          <w:highlight w:val="none"/>
          <w:lang w:val="en-US" w:eastAsia="zh-CN"/>
        </w:rPr>
        <w:br w:type="page"/>
      </w:r>
    </w:p>
    <w:p w14:paraId="38A30D20">
      <w:pPr>
        <w:pStyle w:val="2"/>
        <w:shd w:val="clear"/>
        <w:jc w:val="center"/>
        <w:rPr>
          <w:rFonts w:hint="eastAsia" w:ascii="宋体" w:hAnsi="宋体" w:cs="宋体"/>
          <w:color w:val="auto"/>
          <w:highlight w:val="none"/>
          <w:lang w:val="en-US" w:eastAsia="zh-CN"/>
        </w:rPr>
      </w:pPr>
      <w:bookmarkStart w:id="134" w:name="_Toc776"/>
      <w:r>
        <w:rPr>
          <w:rFonts w:hint="eastAsia" w:ascii="宋体" w:hAnsi="宋体" w:eastAsia="宋体" w:cs="宋体"/>
          <w:color w:val="auto"/>
          <w:highlight w:val="none"/>
          <w:lang w:val="en-US" w:eastAsia="zh-CN"/>
        </w:rPr>
        <w:t xml:space="preserve">第四章 </w:t>
      </w:r>
      <w:r>
        <w:rPr>
          <w:rFonts w:hint="eastAsia" w:ascii="宋体" w:hAnsi="宋体" w:eastAsia="宋体" w:cs="宋体"/>
          <w:color w:val="auto"/>
          <w:highlight w:val="none"/>
          <w:lang w:eastAsia="zh-CN"/>
        </w:rPr>
        <w:t>合同条款</w:t>
      </w:r>
      <w:bookmarkEnd w:id="133"/>
      <w:bookmarkEnd w:id="134"/>
    </w:p>
    <w:p w14:paraId="2F9979D0">
      <w:pPr>
        <w:bidi w:val="0"/>
        <w:rPr>
          <w:rFonts w:hint="eastAsia" w:ascii="宋体" w:hAnsi="宋体" w:cs="宋体"/>
          <w:color w:val="auto"/>
          <w:highlight w:val="none"/>
          <w:lang w:val="en-US" w:eastAsia="zh-CN"/>
        </w:rPr>
      </w:pPr>
    </w:p>
    <w:p w14:paraId="3CAF6D72">
      <w:pPr>
        <w:pStyle w:val="5"/>
        <w:rPr>
          <w:rFonts w:hint="eastAsia" w:ascii="宋体" w:hAnsi="宋体" w:cs="宋体"/>
          <w:color w:val="auto"/>
          <w:highlight w:val="none"/>
        </w:rPr>
      </w:pPr>
    </w:p>
    <w:p w14:paraId="4290195F">
      <w:pPr>
        <w:widowControl/>
        <w:spacing w:after="240"/>
        <w:ind w:right="-109" w:rightChars="-52"/>
        <w:jc w:val="left"/>
        <w:rPr>
          <w:rFonts w:hint="eastAsia" w:ascii="宋体" w:hAnsi="宋体" w:cs="宋体"/>
          <w:color w:val="auto"/>
          <w:kern w:val="0"/>
          <w:sz w:val="24"/>
          <w:highlight w:val="none"/>
        </w:rPr>
      </w:pPr>
    </w:p>
    <w:p w14:paraId="5C6100AE">
      <w:pPr>
        <w:widowControl/>
        <w:spacing w:after="240"/>
        <w:ind w:right="-109" w:rightChars="-52"/>
        <w:jc w:val="center"/>
        <w:rPr>
          <w:rFonts w:hint="eastAsia" w:ascii="宋体" w:hAnsi="宋体" w:cs="宋体"/>
          <w:b/>
          <w:color w:val="auto"/>
          <w:kern w:val="0"/>
          <w:sz w:val="84"/>
          <w:szCs w:val="84"/>
          <w:highlight w:val="none"/>
          <w:lang w:eastAsia="zh-CN"/>
        </w:rPr>
      </w:pPr>
      <w:r>
        <w:rPr>
          <w:rFonts w:hint="eastAsia" w:ascii="宋体" w:hAnsi="宋体" w:cs="宋体"/>
          <w:b/>
          <w:color w:val="auto"/>
          <w:kern w:val="0"/>
          <w:sz w:val="84"/>
          <w:szCs w:val="84"/>
          <w:highlight w:val="none"/>
          <w:lang w:eastAsia="zh-CN"/>
        </w:rPr>
        <w:t>政府采购合同</w:t>
      </w:r>
    </w:p>
    <w:p w14:paraId="486A5E8B">
      <w:pPr>
        <w:pStyle w:val="5"/>
        <w:jc w:val="center"/>
        <w:rPr>
          <w:rFonts w:hint="eastAsia" w:ascii="宋体" w:hAnsi="宋体" w:cs="宋体"/>
          <w:color w:val="auto"/>
          <w:sz w:val="21"/>
          <w:szCs w:val="21"/>
          <w:highlight w:val="none"/>
          <w:lang w:eastAsia="zh-CN"/>
        </w:rPr>
      </w:pPr>
      <w:r>
        <w:rPr>
          <w:rFonts w:hint="eastAsia" w:ascii="宋体" w:hAnsi="宋体" w:cs="宋体"/>
          <w:b/>
          <w:color w:val="auto"/>
          <w:kern w:val="0"/>
          <w:sz w:val="21"/>
          <w:szCs w:val="21"/>
          <w:highlight w:val="none"/>
          <w:lang w:eastAsia="zh-CN"/>
        </w:rPr>
        <w:t>（电子交易项目适用）</w:t>
      </w:r>
    </w:p>
    <w:p w14:paraId="4A0C6181">
      <w:pPr>
        <w:pStyle w:val="5"/>
        <w:rPr>
          <w:rFonts w:hint="eastAsia" w:ascii="宋体" w:hAnsi="宋体" w:cs="宋体"/>
          <w:color w:val="auto"/>
          <w:highlight w:val="none"/>
        </w:rPr>
      </w:pPr>
    </w:p>
    <w:p w14:paraId="52D94A98">
      <w:pPr>
        <w:widowControl/>
        <w:spacing w:after="240"/>
        <w:ind w:right="-109" w:rightChars="-52"/>
        <w:jc w:val="center"/>
        <w:rPr>
          <w:rFonts w:hint="eastAsia" w:ascii="宋体" w:hAnsi="宋体" w:cs="宋体"/>
          <w:b/>
          <w:color w:val="auto"/>
          <w:kern w:val="0"/>
          <w:sz w:val="84"/>
          <w:szCs w:val="84"/>
          <w:highlight w:val="none"/>
        </w:rPr>
      </w:pPr>
    </w:p>
    <w:p w14:paraId="57232B3D">
      <w:pPr>
        <w:widowControl/>
        <w:spacing w:line="520" w:lineRule="exact"/>
        <w:ind w:right="-109" w:rightChars="-52" w:firstLine="1265" w:firstLineChars="600"/>
        <w:rPr>
          <w:rFonts w:hint="eastAsia" w:ascii="宋体" w:hAnsi="宋体" w:eastAsia="宋体" w:cs="宋体"/>
          <w:b/>
          <w:bCs/>
          <w:color w:val="auto"/>
          <w:kern w:val="0"/>
          <w:sz w:val="21"/>
          <w:szCs w:val="21"/>
          <w:highlight w:val="none"/>
          <w:u w:val="single"/>
          <w:lang w:val="en-US" w:eastAsia="zh-CN"/>
        </w:rPr>
      </w:pPr>
      <w:r>
        <w:rPr>
          <w:rFonts w:hint="eastAsia" w:ascii="宋体" w:hAnsi="宋体" w:cs="宋体"/>
          <w:b/>
          <w:bCs/>
          <w:color w:val="auto"/>
          <w:kern w:val="0"/>
          <w:sz w:val="21"/>
          <w:szCs w:val="21"/>
          <w:highlight w:val="none"/>
        </w:rPr>
        <w:t>项目名称:</w:t>
      </w:r>
      <w:r>
        <w:rPr>
          <w:rFonts w:hint="eastAsia" w:ascii="宋体" w:hAnsi="宋体" w:cs="宋体"/>
          <w:b/>
          <w:bCs/>
          <w:color w:val="auto"/>
          <w:kern w:val="0"/>
          <w:sz w:val="21"/>
          <w:szCs w:val="21"/>
          <w:highlight w:val="none"/>
          <w:u w:val="single"/>
          <w:lang w:val="en-US" w:eastAsia="zh-CN"/>
        </w:rPr>
        <w:t xml:space="preserve">                    </w:t>
      </w:r>
    </w:p>
    <w:p w14:paraId="22A13DEB">
      <w:pPr>
        <w:widowControl/>
        <w:spacing w:line="520" w:lineRule="exact"/>
        <w:ind w:right="-109" w:rightChars="-52" w:firstLine="1265" w:firstLineChars="600"/>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rPr>
        <w:t>合同编号:</w:t>
      </w:r>
      <w:r>
        <w:rPr>
          <w:rFonts w:hint="eastAsia" w:ascii="宋体" w:hAnsi="宋体" w:cs="宋体"/>
          <w:b/>
          <w:bCs/>
          <w:color w:val="auto"/>
          <w:kern w:val="0"/>
          <w:sz w:val="21"/>
          <w:szCs w:val="21"/>
          <w:highlight w:val="none"/>
          <w:u w:val="single"/>
          <w:lang w:val="en-US" w:eastAsia="zh-CN"/>
        </w:rPr>
        <w:t xml:space="preserve">                    </w:t>
      </w:r>
      <w:r>
        <w:rPr>
          <w:rFonts w:hint="eastAsia" w:ascii="宋体" w:hAnsi="宋体" w:cs="宋体"/>
          <w:b/>
          <w:bCs/>
          <w:color w:val="auto"/>
          <w:kern w:val="0"/>
          <w:sz w:val="21"/>
          <w:szCs w:val="21"/>
          <w:highlight w:val="none"/>
          <w:lang w:val="en-US" w:eastAsia="zh-CN"/>
        </w:rPr>
        <w:t>（系统编号）</w:t>
      </w:r>
    </w:p>
    <w:p w14:paraId="0678476E">
      <w:pPr>
        <w:widowControl/>
        <w:spacing w:line="520" w:lineRule="exact"/>
        <w:ind w:right="-109" w:rightChars="-52" w:firstLine="1265" w:firstLineChars="600"/>
        <w:rPr>
          <w:rFonts w:hint="eastAsia" w:ascii="宋体" w:hAnsi="宋体" w:cs="宋体"/>
          <w:b/>
          <w:bCs/>
          <w:color w:val="auto"/>
          <w:kern w:val="0"/>
          <w:sz w:val="21"/>
          <w:szCs w:val="21"/>
          <w:highlight w:val="none"/>
          <w:u w:val="single"/>
          <w:lang w:val="en-US" w:eastAsia="zh-CN"/>
        </w:rPr>
      </w:pPr>
      <w:r>
        <w:rPr>
          <w:rFonts w:hint="eastAsia" w:ascii="宋体" w:hAnsi="宋体" w:cs="宋体"/>
          <w:b/>
          <w:bCs/>
          <w:color w:val="auto"/>
          <w:kern w:val="0"/>
          <w:sz w:val="21"/>
          <w:szCs w:val="21"/>
          <w:highlight w:val="none"/>
        </w:rPr>
        <w:t>自编号:</w:t>
      </w:r>
      <w:r>
        <w:rPr>
          <w:rFonts w:hint="eastAsia" w:ascii="宋体" w:hAnsi="宋体" w:cs="宋体"/>
          <w:b/>
          <w:bCs/>
          <w:color w:val="auto"/>
          <w:kern w:val="0"/>
          <w:sz w:val="21"/>
          <w:szCs w:val="21"/>
          <w:highlight w:val="none"/>
          <w:u w:val="single"/>
          <w:lang w:val="en-US" w:eastAsia="zh-CN"/>
        </w:rPr>
        <w:t xml:space="preserve">                      </w:t>
      </w:r>
    </w:p>
    <w:p w14:paraId="3FE92BC1">
      <w:pPr>
        <w:widowControl/>
        <w:spacing w:line="520" w:lineRule="exact"/>
        <w:ind w:right="-109" w:rightChars="-52" w:firstLine="1265" w:firstLineChars="600"/>
        <w:rPr>
          <w:rFonts w:hint="eastAsia" w:ascii="宋体" w:hAnsi="宋体" w:cs="宋体"/>
          <w:b/>
          <w:bCs/>
          <w:color w:val="auto"/>
          <w:kern w:val="0"/>
          <w:sz w:val="21"/>
          <w:szCs w:val="21"/>
          <w:highlight w:val="none"/>
          <w:u w:val="single"/>
        </w:rPr>
      </w:pPr>
      <w:r>
        <w:rPr>
          <w:rFonts w:hint="eastAsia" w:ascii="宋体" w:hAnsi="宋体" w:cs="宋体"/>
          <w:b/>
          <w:bCs/>
          <w:color w:val="auto"/>
          <w:kern w:val="0"/>
          <w:sz w:val="21"/>
          <w:szCs w:val="21"/>
          <w:highlight w:val="none"/>
          <w:lang w:val="en-US" w:eastAsia="zh-CN"/>
        </w:rPr>
        <w:t>甲  方：</w:t>
      </w:r>
      <w:r>
        <w:rPr>
          <w:rFonts w:hint="eastAsia" w:ascii="宋体" w:hAnsi="宋体" w:cs="宋体"/>
          <w:b/>
          <w:bCs/>
          <w:color w:val="auto"/>
          <w:kern w:val="0"/>
          <w:sz w:val="21"/>
          <w:szCs w:val="21"/>
          <w:highlight w:val="none"/>
          <w:u w:val="single"/>
        </w:rPr>
        <w:t>昆明医科大学第一附属医院</w:t>
      </w:r>
    </w:p>
    <w:p w14:paraId="2392B658">
      <w:pPr>
        <w:widowControl/>
        <w:spacing w:line="520" w:lineRule="exact"/>
        <w:ind w:right="-109" w:rightChars="-52" w:firstLine="1265" w:firstLineChars="600"/>
        <w:rPr>
          <w:rFonts w:hint="eastAsia" w:ascii="宋体" w:hAnsi="宋体" w:cs="宋体"/>
          <w:b/>
          <w:bCs/>
          <w:color w:val="auto"/>
          <w:kern w:val="0"/>
          <w:sz w:val="21"/>
          <w:szCs w:val="21"/>
          <w:highlight w:val="none"/>
          <w:u w:val="single"/>
          <w:lang w:val="en-US" w:eastAsia="zh-CN"/>
        </w:rPr>
      </w:pPr>
      <w:r>
        <w:rPr>
          <w:rFonts w:hint="eastAsia" w:ascii="宋体" w:hAnsi="宋体" w:cs="宋体"/>
          <w:b/>
          <w:bCs/>
          <w:color w:val="auto"/>
          <w:kern w:val="0"/>
          <w:sz w:val="21"/>
          <w:szCs w:val="21"/>
          <w:highlight w:val="none"/>
          <w:lang w:val="en-US" w:eastAsia="zh-CN"/>
        </w:rPr>
        <w:t>乙  方：</w:t>
      </w:r>
      <w:r>
        <w:rPr>
          <w:rFonts w:hint="eastAsia" w:ascii="宋体" w:hAnsi="宋体" w:cs="宋体"/>
          <w:b/>
          <w:bCs/>
          <w:color w:val="auto"/>
          <w:kern w:val="0"/>
          <w:sz w:val="21"/>
          <w:szCs w:val="21"/>
          <w:highlight w:val="none"/>
          <w:u w:val="single"/>
          <w:lang w:val="en-US" w:eastAsia="zh-CN"/>
        </w:rPr>
        <w:t xml:space="preserve">                        </w:t>
      </w:r>
    </w:p>
    <w:p w14:paraId="1ECE3C30">
      <w:pPr>
        <w:jc w:val="center"/>
        <w:rPr>
          <w:rFonts w:hint="eastAsia" w:ascii="宋体" w:hAnsi="宋体" w:cs="宋体"/>
          <w:color w:val="auto"/>
          <w:highlight w:val="none"/>
        </w:rPr>
      </w:pPr>
    </w:p>
    <w:p w14:paraId="1494C66F">
      <w:pPr>
        <w:jc w:val="center"/>
        <w:rPr>
          <w:rFonts w:hint="eastAsia" w:ascii="宋体" w:hAnsi="宋体" w:cs="宋体"/>
          <w:color w:val="auto"/>
          <w:highlight w:val="none"/>
        </w:rPr>
      </w:pPr>
    </w:p>
    <w:p w14:paraId="1F10D27C">
      <w:pPr>
        <w:jc w:val="center"/>
        <w:rPr>
          <w:rFonts w:hint="eastAsia" w:ascii="宋体" w:hAnsi="宋体" w:cs="宋体"/>
          <w:color w:val="auto"/>
          <w:highlight w:val="none"/>
        </w:rPr>
      </w:pPr>
    </w:p>
    <w:p w14:paraId="273187A9">
      <w:pPr>
        <w:pStyle w:val="21"/>
        <w:wordWrap w:val="0"/>
        <w:spacing w:after="0" w:line="300" w:lineRule="auto"/>
        <w:ind w:firstLine="3600" w:firstLineChars="1500"/>
        <w:jc w:val="both"/>
        <w:rPr>
          <w:rFonts w:hint="eastAsia" w:ascii="宋体" w:hAnsi="宋体" w:cs="宋体"/>
          <w:b/>
          <w:bCs/>
          <w:color w:val="auto"/>
          <w:sz w:val="28"/>
          <w:szCs w:val="28"/>
          <w:highlight w:val="none"/>
          <w:u w:val="single"/>
        </w:rPr>
      </w:pPr>
      <w:r>
        <w:rPr>
          <w:rFonts w:hint="eastAsia" w:ascii="宋体" w:hAnsi="宋体" w:cs="宋体"/>
          <w:color w:val="auto"/>
          <w:sz w:val="24"/>
          <w:highlight w:val="none"/>
        </w:rPr>
        <w:br w:type="page"/>
      </w:r>
      <w:r>
        <w:rPr>
          <w:rFonts w:hint="eastAsia" w:ascii="宋体" w:hAnsi="宋体" w:cs="宋体"/>
          <w:b/>
          <w:bCs/>
          <w:color w:val="auto"/>
          <w:sz w:val="24"/>
          <w:highlight w:val="none"/>
        </w:rPr>
        <w:t xml:space="preserve"> </w:t>
      </w:r>
      <w:r>
        <w:rPr>
          <w:rFonts w:hint="eastAsia" w:ascii="宋体" w:hAnsi="宋体" w:cs="宋体"/>
          <w:b/>
          <w:bCs/>
          <w:color w:val="auto"/>
          <w:sz w:val="28"/>
          <w:szCs w:val="28"/>
          <w:highlight w:val="none"/>
        </w:rPr>
        <w:t>合同编号：</w:t>
      </w:r>
      <w:r>
        <w:rPr>
          <w:rFonts w:hint="eastAsia" w:ascii="宋体" w:hAnsi="宋体" w:cs="宋体"/>
          <w:b/>
          <w:bCs/>
          <w:color w:val="auto"/>
          <w:sz w:val="28"/>
          <w:szCs w:val="28"/>
          <w:highlight w:val="none"/>
          <w:u w:val="single"/>
        </w:rPr>
        <w:t xml:space="preserve">                  </w:t>
      </w:r>
    </w:p>
    <w:p w14:paraId="5A127604">
      <w:pPr>
        <w:pStyle w:val="21"/>
        <w:spacing w:after="0" w:line="300" w:lineRule="auto"/>
        <w:jc w:val="right"/>
        <w:rPr>
          <w:rFonts w:hint="eastAsia" w:ascii="宋体" w:hAnsi="宋体" w:eastAsia="宋体" w:cs="宋体"/>
          <w:b/>
          <w:bCs/>
          <w:color w:val="auto"/>
          <w:sz w:val="28"/>
          <w:szCs w:val="28"/>
          <w:highlight w:val="none"/>
          <w:u w:val="single"/>
        </w:rPr>
      </w:pPr>
    </w:p>
    <w:p w14:paraId="44858EE8">
      <w:pPr>
        <w:pStyle w:val="21"/>
        <w:spacing w:after="0" w:line="300" w:lineRule="auto"/>
        <w:jc w:val="right"/>
        <w:rPr>
          <w:rFonts w:hint="eastAsia" w:ascii="宋体" w:hAnsi="宋体" w:eastAsia="宋体" w:cs="宋体"/>
          <w:b/>
          <w:bCs/>
          <w:color w:val="auto"/>
          <w:sz w:val="28"/>
          <w:szCs w:val="28"/>
          <w:highlight w:val="none"/>
          <w:u w:val="single"/>
        </w:rPr>
      </w:pPr>
    </w:p>
    <w:p w14:paraId="43C83A4F">
      <w:pPr>
        <w:adjustRightInd w:val="0"/>
        <w:snapToGrid w:val="0"/>
        <w:spacing w:line="30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昆明医科大学第一附属医院</w:t>
      </w:r>
    </w:p>
    <w:p w14:paraId="5F5102FD">
      <w:pPr>
        <w:adjustRightInd w:val="0"/>
        <w:snapToGrid w:val="0"/>
        <w:spacing w:line="30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信息化项目采购合同</w:t>
      </w:r>
    </w:p>
    <w:p w14:paraId="0F34FD00">
      <w:pPr>
        <w:adjustRightInd w:val="0"/>
        <w:snapToGrid w:val="0"/>
        <w:spacing w:line="300" w:lineRule="auto"/>
        <w:jc w:val="center"/>
        <w:rPr>
          <w:rFonts w:hint="eastAsia" w:ascii="宋体" w:hAnsi="宋体" w:eastAsia="宋体" w:cs="宋体"/>
          <w:b/>
          <w:bCs/>
          <w:color w:val="auto"/>
          <w:sz w:val="52"/>
          <w:szCs w:val="52"/>
          <w:highlight w:val="none"/>
        </w:rPr>
      </w:pPr>
    </w:p>
    <w:p w14:paraId="596AD87B">
      <w:pPr>
        <w:adjustRightInd w:val="0"/>
        <w:snapToGrid w:val="0"/>
        <w:spacing w:line="300" w:lineRule="auto"/>
        <w:jc w:val="center"/>
        <w:rPr>
          <w:rFonts w:hint="eastAsia" w:ascii="宋体" w:hAnsi="宋体" w:eastAsia="宋体" w:cs="宋体"/>
          <w:b/>
          <w:bCs/>
          <w:color w:val="auto"/>
          <w:sz w:val="30"/>
          <w:szCs w:val="24"/>
          <w:highlight w:val="none"/>
        </w:rPr>
      </w:pPr>
      <w:r>
        <w:rPr>
          <w:rFonts w:hint="eastAsia" w:ascii="宋体" w:hAnsi="宋体" w:eastAsia="宋体" w:cs="宋体"/>
          <w:color w:val="auto"/>
          <w:sz w:val="32"/>
          <w:szCs w:val="28"/>
          <w:highlight w:val="none"/>
        </w:rPr>
        <w:t>（加盖甲乙双方骑缝章有效）</w:t>
      </w:r>
    </w:p>
    <w:p w14:paraId="7E073DC7">
      <w:pPr>
        <w:pStyle w:val="23"/>
        <w:adjustRightInd w:val="0"/>
        <w:snapToGrid w:val="0"/>
        <w:spacing w:line="300" w:lineRule="auto"/>
        <w:ind w:firstLine="0" w:firstLineChars="0"/>
        <w:jc w:val="center"/>
        <w:rPr>
          <w:rFonts w:hint="eastAsia" w:ascii="宋体" w:hAnsi="宋体" w:cs="宋体"/>
          <w:b/>
          <w:bCs/>
          <w:color w:val="auto"/>
          <w:sz w:val="30"/>
          <w:highlight w:val="none"/>
        </w:rPr>
      </w:pPr>
    </w:p>
    <w:p w14:paraId="6E3DD943">
      <w:pPr>
        <w:pStyle w:val="23"/>
        <w:adjustRightInd w:val="0"/>
        <w:snapToGrid w:val="0"/>
        <w:spacing w:line="560" w:lineRule="exact"/>
        <w:ind w:firstLine="0" w:firstLineChars="0"/>
        <w:jc w:val="center"/>
        <w:rPr>
          <w:rFonts w:hint="eastAsia" w:ascii="宋体" w:hAnsi="宋体" w:cs="宋体"/>
          <w:b/>
          <w:bCs/>
          <w:color w:val="auto"/>
          <w:sz w:val="30"/>
          <w:highlight w:val="none"/>
        </w:rPr>
      </w:pPr>
    </w:p>
    <w:p w14:paraId="4A471CBE">
      <w:pPr>
        <w:pStyle w:val="23"/>
        <w:adjustRightInd w:val="0"/>
        <w:snapToGrid w:val="0"/>
        <w:spacing w:line="560" w:lineRule="exact"/>
        <w:ind w:firstLine="0" w:firstLineChars="0"/>
        <w:jc w:val="center"/>
        <w:rPr>
          <w:rFonts w:hint="eastAsia" w:ascii="宋体" w:hAnsi="宋体" w:cs="宋体"/>
          <w:b/>
          <w:bCs/>
          <w:color w:val="auto"/>
          <w:sz w:val="30"/>
          <w:highlight w:val="none"/>
        </w:rPr>
      </w:pPr>
    </w:p>
    <w:p w14:paraId="726E5F5B">
      <w:pPr>
        <w:pStyle w:val="23"/>
        <w:adjustRightInd w:val="0"/>
        <w:snapToGrid w:val="0"/>
        <w:spacing w:line="560" w:lineRule="exact"/>
        <w:ind w:firstLine="0" w:firstLineChars="0"/>
        <w:jc w:val="center"/>
        <w:rPr>
          <w:rFonts w:hint="eastAsia" w:ascii="宋体" w:hAnsi="宋体" w:cs="宋体"/>
          <w:b/>
          <w:bCs/>
          <w:color w:val="auto"/>
          <w:sz w:val="30"/>
          <w:highlight w:val="none"/>
        </w:rPr>
      </w:pPr>
    </w:p>
    <w:tbl>
      <w:tblPr>
        <w:tblStyle w:val="4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33"/>
        <w:gridCol w:w="5373"/>
      </w:tblGrid>
      <w:tr w14:paraId="36A4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2833" w:type="dxa"/>
            <w:tcBorders>
              <w:tl2br w:val="nil"/>
              <w:tr2bl w:val="nil"/>
            </w:tcBorders>
            <w:vAlign w:val="center"/>
          </w:tcPr>
          <w:p w14:paraId="1C7F97D9">
            <w:pPr>
              <w:spacing w:line="360" w:lineRule="auto"/>
              <w:jc w:val="right"/>
              <w:rPr>
                <w:rFonts w:hint="eastAsia" w:ascii="宋体" w:hAnsi="宋体" w:eastAsia="宋体" w:cs="宋体"/>
                <w:b/>
                <w:bCs/>
                <w:color w:val="auto"/>
                <w:sz w:val="21"/>
                <w:szCs w:val="21"/>
                <w:highlight w:val="none"/>
                <w:vertAlign w:val="baseline"/>
                <w:lang w:val="en-US" w:eastAsia="zh-CN"/>
              </w:rPr>
            </w:pPr>
            <w:r>
              <w:rPr>
                <w:rFonts w:hint="eastAsia" w:ascii="宋体" w:hAnsi="宋体" w:cs="宋体"/>
                <w:b/>
                <w:bCs/>
                <w:color w:val="auto"/>
                <w:sz w:val="21"/>
                <w:szCs w:val="21"/>
                <w:highlight w:val="none"/>
                <w:vertAlign w:val="baseline"/>
                <w:lang w:val="en-US" w:eastAsia="zh-CN"/>
              </w:rPr>
              <w:t>项目名称：</w:t>
            </w:r>
          </w:p>
        </w:tc>
        <w:tc>
          <w:tcPr>
            <w:tcW w:w="5373" w:type="dxa"/>
            <w:tcBorders>
              <w:tl2br w:val="nil"/>
              <w:tr2bl w:val="nil"/>
            </w:tcBorders>
            <w:vAlign w:val="center"/>
          </w:tcPr>
          <w:p w14:paraId="4DC151C0">
            <w:pPr>
              <w:spacing w:line="240" w:lineRule="auto"/>
              <w:jc w:val="both"/>
              <w:rPr>
                <w:rFonts w:hint="eastAsia" w:ascii="宋体" w:hAnsi="宋体" w:eastAsia="宋体" w:cs="宋体"/>
                <w:color w:val="auto"/>
                <w:sz w:val="21"/>
                <w:szCs w:val="21"/>
                <w:highlight w:val="none"/>
                <w:u w:val="single"/>
                <w:vertAlign w:val="baseline"/>
                <w:lang w:val="en-US" w:eastAsia="zh-CN"/>
              </w:rPr>
            </w:pPr>
            <w:r>
              <w:rPr>
                <w:rFonts w:hint="eastAsia" w:ascii="宋体" w:hAnsi="宋体" w:cs="宋体"/>
                <w:color w:val="auto"/>
                <w:sz w:val="21"/>
                <w:szCs w:val="21"/>
                <w:highlight w:val="none"/>
                <w:u w:val="none"/>
                <w:vertAlign w:val="baseline"/>
                <w:lang w:val="en-US" w:eastAsia="zh-CN"/>
              </w:rPr>
              <w:t xml:space="preserve"> </w:t>
            </w:r>
          </w:p>
        </w:tc>
      </w:tr>
      <w:tr w14:paraId="7AEF2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833" w:type="dxa"/>
            <w:tcBorders>
              <w:tl2br w:val="nil"/>
              <w:tr2bl w:val="nil"/>
            </w:tcBorders>
            <w:shd w:val="clear" w:color="auto" w:fill="auto"/>
            <w:vAlign w:val="center"/>
          </w:tcPr>
          <w:p w14:paraId="3063DB12">
            <w:pPr>
              <w:spacing w:line="360" w:lineRule="auto"/>
              <w:jc w:val="right"/>
              <w:rPr>
                <w:rFonts w:hint="eastAsia" w:ascii="宋体" w:hAnsi="宋体" w:cs="宋体"/>
                <w:b/>
                <w:bCs/>
                <w:color w:val="auto"/>
                <w:sz w:val="21"/>
                <w:szCs w:val="21"/>
                <w:highlight w:val="none"/>
                <w:vertAlign w:val="baseline"/>
              </w:rPr>
            </w:pPr>
            <w:r>
              <w:rPr>
                <w:rFonts w:hint="eastAsia" w:ascii="宋体" w:hAnsi="宋体" w:cs="宋体"/>
                <w:b/>
                <w:bCs/>
                <w:color w:val="auto"/>
                <w:sz w:val="21"/>
                <w:szCs w:val="21"/>
                <w:highlight w:val="none"/>
                <w:lang w:eastAsia="zh-CN"/>
              </w:rPr>
              <w:t>甲方：</w:t>
            </w:r>
          </w:p>
        </w:tc>
        <w:tc>
          <w:tcPr>
            <w:tcW w:w="5373" w:type="dxa"/>
            <w:tcBorders>
              <w:tl2br w:val="nil"/>
              <w:tr2bl w:val="nil"/>
            </w:tcBorders>
            <w:shd w:val="clear" w:color="auto" w:fill="auto"/>
            <w:vAlign w:val="center"/>
          </w:tcPr>
          <w:p w14:paraId="44381C9C">
            <w:pPr>
              <w:spacing w:line="360" w:lineRule="auto"/>
              <w:jc w:val="both"/>
              <w:rPr>
                <w:rFonts w:hint="eastAsia" w:ascii="宋体" w:hAnsi="宋体" w:eastAsia="宋体" w:cs="宋体"/>
                <w:color w:val="auto"/>
                <w:sz w:val="21"/>
                <w:szCs w:val="21"/>
                <w:highlight w:val="none"/>
                <w:u w:val="single"/>
                <w:vertAlign w:val="baseline"/>
                <w:lang w:val="en-US" w:eastAsia="zh-CN" w:bidi="ar-SA"/>
              </w:rPr>
            </w:pPr>
            <w:r>
              <w:rPr>
                <w:rFonts w:hint="eastAsia" w:ascii="宋体" w:hAnsi="宋体" w:cs="宋体"/>
                <w:color w:val="auto"/>
                <w:sz w:val="21"/>
                <w:szCs w:val="21"/>
                <w:highlight w:val="none"/>
                <w:u w:val="none"/>
                <w:vertAlign w:val="baseline"/>
                <w:lang w:val="en-US" w:eastAsia="zh-CN"/>
              </w:rPr>
              <w:t xml:space="preserve">昆明医科大学第一附属医院 </w:t>
            </w:r>
          </w:p>
        </w:tc>
      </w:tr>
      <w:tr w14:paraId="1D6A9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833" w:type="dxa"/>
            <w:tcBorders>
              <w:tl2br w:val="nil"/>
              <w:tr2bl w:val="nil"/>
            </w:tcBorders>
            <w:shd w:val="clear" w:color="auto" w:fill="auto"/>
            <w:vAlign w:val="center"/>
          </w:tcPr>
          <w:p w14:paraId="1C6789CE">
            <w:pPr>
              <w:spacing w:line="360" w:lineRule="auto"/>
              <w:jc w:val="right"/>
              <w:rPr>
                <w:rFonts w:hint="eastAsia" w:ascii="宋体" w:hAnsi="宋体" w:cs="宋体"/>
                <w:b/>
                <w:bCs/>
                <w:color w:val="auto"/>
                <w:sz w:val="21"/>
                <w:szCs w:val="21"/>
                <w:highlight w:val="none"/>
                <w:vertAlign w:val="baseline"/>
              </w:rPr>
            </w:pPr>
            <w:r>
              <w:rPr>
                <w:rFonts w:hint="eastAsia" w:ascii="宋体" w:hAnsi="宋体" w:cs="宋体"/>
                <w:b/>
                <w:bCs/>
                <w:color w:val="auto"/>
                <w:sz w:val="21"/>
                <w:szCs w:val="21"/>
                <w:highlight w:val="none"/>
                <w:lang w:eastAsia="zh-CN"/>
              </w:rPr>
              <w:t>乙方：</w:t>
            </w:r>
          </w:p>
        </w:tc>
        <w:tc>
          <w:tcPr>
            <w:tcW w:w="5373" w:type="dxa"/>
            <w:tcBorders>
              <w:tl2br w:val="nil"/>
              <w:tr2bl w:val="nil"/>
            </w:tcBorders>
            <w:shd w:val="clear" w:color="auto" w:fill="auto"/>
            <w:vAlign w:val="center"/>
          </w:tcPr>
          <w:p w14:paraId="232523E3">
            <w:pPr>
              <w:spacing w:line="240" w:lineRule="auto"/>
              <w:jc w:val="both"/>
              <w:rPr>
                <w:rFonts w:hint="eastAsia" w:ascii="宋体" w:hAnsi="宋体" w:eastAsia="宋体" w:cs="宋体"/>
                <w:color w:val="auto"/>
                <w:sz w:val="21"/>
                <w:szCs w:val="21"/>
                <w:highlight w:val="none"/>
                <w:u w:val="single"/>
                <w:vertAlign w:val="baseline"/>
                <w:lang w:val="en-US" w:eastAsia="zh-CN" w:bidi="ar-SA"/>
              </w:rPr>
            </w:pPr>
            <w:r>
              <w:rPr>
                <w:rFonts w:hint="eastAsia" w:ascii="宋体" w:hAnsi="宋体" w:cs="宋体"/>
                <w:color w:val="auto"/>
                <w:sz w:val="21"/>
                <w:szCs w:val="21"/>
                <w:highlight w:val="none"/>
                <w:u w:val="none"/>
                <w:vertAlign w:val="baseline"/>
                <w:lang w:val="en-US" w:eastAsia="zh-CN"/>
              </w:rPr>
              <w:t xml:space="preserve"> </w:t>
            </w:r>
          </w:p>
        </w:tc>
      </w:tr>
      <w:tr w14:paraId="750B7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jc w:val="center"/>
        </w:trPr>
        <w:tc>
          <w:tcPr>
            <w:tcW w:w="2833" w:type="dxa"/>
            <w:tcBorders>
              <w:tl2br w:val="nil"/>
              <w:tr2bl w:val="nil"/>
            </w:tcBorders>
            <w:vAlign w:val="center"/>
          </w:tcPr>
          <w:p w14:paraId="0708DF96">
            <w:pPr>
              <w:spacing w:line="360" w:lineRule="auto"/>
              <w:jc w:val="right"/>
              <w:rPr>
                <w:rFonts w:hint="eastAsia" w:ascii="宋体" w:hAnsi="宋体" w:cs="宋体"/>
                <w:b/>
                <w:bCs/>
                <w:color w:val="auto"/>
                <w:sz w:val="21"/>
                <w:szCs w:val="21"/>
                <w:highlight w:val="none"/>
                <w:vertAlign w:val="baseline"/>
              </w:rPr>
            </w:pPr>
            <w:r>
              <w:rPr>
                <w:rFonts w:hint="eastAsia" w:ascii="宋体" w:hAnsi="宋体" w:cs="宋体"/>
                <w:b/>
                <w:bCs/>
                <w:color w:val="auto"/>
                <w:sz w:val="21"/>
                <w:szCs w:val="21"/>
                <w:highlight w:val="none"/>
              </w:rPr>
              <w:t>签订</w:t>
            </w:r>
            <w:r>
              <w:rPr>
                <w:rFonts w:hint="eastAsia" w:ascii="宋体" w:hAnsi="宋体" w:cs="宋体"/>
                <w:b/>
                <w:bCs/>
                <w:color w:val="auto"/>
                <w:sz w:val="21"/>
                <w:szCs w:val="21"/>
                <w:highlight w:val="none"/>
                <w:lang w:val="en-US" w:eastAsia="zh-CN"/>
              </w:rPr>
              <w:t>地点</w:t>
            </w:r>
            <w:r>
              <w:rPr>
                <w:rFonts w:hint="eastAsia" w:ascii="宋体" w:hAnsi="宋体" w:cs="宋体"/>
                <w:b/>
                <w:bCs/>
                <w:color w:val="auto"/>
                <w:sz w:val="21"/>
                <w:szCs w:val="21"/>
                <w:highlight w:val="none"/>
              </w:rPr>
              <w:t>：</w:t>
            </w:r>
          </w:p>
        </w:tc>
        <w:tc>
          <w:tcPr>
            <w:tcW w:w="5373" w:type="dxa"/>
            <w:tcBorders>
              <w:tl2br w:val="nil"/>
              <w:tr2bl w:val="nil"/>
            </w:tcBorders>
            <w:vAlign w:val="center"/>
          </w:tcPr>
          <w:p w14:paraId="24FD2277">
            <w:pPr>
              <w:spacing w:line="360" w:lineRule="auto"/>
              <w:jc w:val="both"/>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u w:val="none"/>
                <w:vertAlign w:val="baseline"/>
                <w:lang w:val="en-US" w:eastAsia="zh-CN"/>
              </w:rPr>
              <w:t xml:space="preserve">昆明医科大学第一附属医院 </w:t>
            </w:r>
          </w:p>
        </w:tc>
      </w:tr>
      <w:tr w14:paraId="28BE6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2833" w:type="dxa"/>
            <w:tcBorders>
              <w:tl2br w:val="nil"/>
              <w:tr2bl w:val="nil"/>
            </w:tcBorders>
            <w:vAlign w:val="center"/>
          </w:tcPr>
          <w:p w14:paraId="2C49AE51">
            <w:pPr>
              <w:spacing w:line="360" w:lineRule="auto"/>
              <w:jc w:val="right"/>
              <w:rPr>
                <w:rFonts w:hint="eastAsia" w:ascii="宋体" w:hAnsi="宋体" w:cs="宋体"/>
                <w:b/>
                <w:bCs/>
                <w:color w:val="auto"/>
                <w:sz w:val="21"/>
                <w:szCs w:val="21"/>
                <w:highlight w:val="none"/>
                <w:vertAlign w:val="baseline"/>
              </w:rPr>
            </w:pPr>
            <w:r>
              <w:rPr>
                <w:rFonts w:hint="eastAsia" w:ascii="宋体" w:hAnsi="宋体" w:cs="宋体"/>
                <w:b/>
                <w:bCs/>
                <w:color w:val="auto"/>
                <w:sz w:val="21"/>
                <w:szCs w:val="21"/>
                <w:highlight w:val="none"/>
              </w:rPr>
              <w:t>签订日期：</w:t>
            </w:r>
            <w:r>
              <w:rPr>
                <w:rFonts w:hint="eastAsia" w:ascii="宋体" w:hAnsi="宋体" w:cs="宋体"/>
                <w:b/>
                <w:bCs/>
                <w:color w:val="auto"/>
                <w:sz w:val="21"/>
                <w:szCs w:val="21"/>
                <w:highlight w:val="none"/>
                <w:shd w:val="clear" w:color="auto" w:fill="FFFFFF"/>
              </w:rPr>
              <w:t xml:space="preserve"> </w:t>
            </w:r>
          </w:p>
        </w:tc>
        <w:tc>
          <w:tcPr>
            <w:tcW w:w="5373" w:type="dxa"/>
            <w:tcBorders>
              <w:tl2br w:val="nil"/>
              <w:tr2bl w:val="nil"/>
            </w:tcBorders>
            <w:vAlign w:val="center"/>
          </w:tcPr>
          <w:p w14:paraId="13184EA9">
            <w:pPr>
              <w:spacing w:line="360" w:lineRule="auto"/>
              <w:jc w:val="both"/>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年</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u w:val="single"/>
                <w:shd w:val="clear" w:color="auto" w:fill="FFFFFF"/>
                <w:lang w:val="en-US" w:eastAsia="zh-CN"/>
              </w:rPr>
              <w:t xml:space="preserve"> </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月</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日</w:t>
            </w:r>
          </w:p>
        </w:tc>
      </w:tr>
    </w:tbl>
    <w:p w14:paraId="5C8C8C64">
      <w:pPr>
        <w:adjustRightInd w:val="0"/>
        <w:snapToGrid w:val="0"/>
        <w:spacing w:line="560" w:lineRule="exact"/>
        <w:jc w:val="center"/>
        <w:rPr>
          <w:rFonts w:hint="eastAsia" w:ascii="宋体" w:hAnsi="宋体" w:eastAsia="宋体" w:cs="宋体"/>
          <w:b/>
          <w:bCs/>
          <w:color w:val="auto"/>
          <w:sz w:val="30"/>
          <w:szCs w:val="24"/>
          <w:highlight w:val="none"/>
        </w:rPr>
      </w:pPr>
    </w:p>
    <w:p w14:paraId="3BDA4261">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43C1BAC6">
      <w:pPr>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签字盖章页</w:t>
      </w:r>
      <w:r>
        <w:rPr>
          <w:rFonts w:hint="eastAsia" w:ascii="宋体" w:hAnsi="宋体" w:cs="宋体"/>
          <w:b/>
          <w:bCs/>
          <w:color w:val="auto"/>
          <w:sz w:val="28"/>
          <w:szCs w:val="28"/>
          <w:highlight w:val="none"/>
          <w:lang w:eastAsia="zh-CN"/>
        </w:rPr>
        <w:t>）</w:t>
      </w:r>
    </w:p>
    <w:p w14:paraId="2476438C">
      <w:pPr>
        <w:spacing w:line="360" w:lineRule="auto"/>
        <w:rPr>
          <w:rFonts w:hint="eastAsia" w:ascii="宋体" w:hAnsi="宋体" w:cs="宋体"/>
          <w:b/>
          <w:bCs/>
          <w:color w:val="auto"/>
          <w:sz w:val="24"/>
          <w:highlight w:val="none"/>
        </w:rPr>
      </w:pPr>
    </w:p>
    <w:p w14:paraId="5AD758A3">
      <w:pPr>
        <w:spacing w:line="360" w:lineRule="auto"/>
        <w:rPr>
          <w:rFonts w:hint="eastAsia" w:ascii="宋体" w:hAnsi="宋体" w:cs="宋体"/>
          <w:b/>
          <w:bCs/>
          <w:color w:val="auto"/>
          <w:sz w:val="24"/>
          <w:highlight w:val="none"/>
        </w:rPr>
      </w:pPr>
    </w:p>
    <w:p w14:paraId="793A598A">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甲方</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盖章</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：昆明医科大学第一附属医院</w:t>
      </w:r>
    </w:p>
    <w:p w14:paraId="18A4A7D8">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统一社会信用代码：12530000431201891N</w:t>
      </w:r>
    </w:p>
    <w:p w14:paraId="106B4664">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地址：昆明市五华区西昌路295号</w:t>
      </w:r>
    </w:p>
    <w:p w14:paraId="59F62912">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邮 编</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650032</w:t>
      </w:r>
    </w:p>
    <w:p w14:paraId="455C6186">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法定代表人</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签字</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w:t>
      </w:r>
    </w:p>
    <w:p w14:paraId="7B358818">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电话：0871-65324888-2327</w:t>
      </w:r>
    </w:p>
    <w:p w14:paraId="6B5BA37A">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传真</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0871-65324413</w:t>
      </w:r>
    </w:p>
    <w:p w14:paraId="3A8E0F72">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开户银行：工商银行昆明市大观支行</w:t>
      </w:r>
    </w:p>
    <w:p w14:paraId="4E5AB134">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账号：2502024029026413110</w:t>
      </w:r>
    </w:p>
    <w:p w14:paraId="5D7DA076">
      <w:pPr>
        <w:spacing w:line="360" w:lineRule="auto"/>
        <w:rPr>
          <w:rFonts w:hint="eastAsia" w:ascii="宋体" w:hAnsi="宋体" w:cs="宋体"/>
          <w:b/>
          <w:bCs/>
          <w:color w:val="auto"/>
          <w:sz w:val="21"/>
          <w:szCs w:val="21"/>
          <w:highlight w:val="none"/>
        </w:rPr>
      </w:pPr>
    </w:p>
    <w:p w14:paraId="4E601A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p>
    <w:p w14:paraId="0A76A7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乙方</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盖章</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w:t>
      </w:r>
    </w:p>
    <w:p w14:paraId="6104A1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统一社会信用代码：</w:t>
      </w:r>
    </w:p>
    <w:p w14:paraId="380F6F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地址：</w:t>
      </w:r>
    </w:p>
    <w:p w14:paraId="4CB540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邮编：</w:t>
      </w:r>
    </w:p>
    <w:p w14:paraId="300DAD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法定代表人</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签字</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w:t>
      </w:r>
    </w:p>
    <w:p w14:paraId="1BBA11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或</w:t>
      </w:r>
      <w:r>
        <w:rPr>
          <w:rFonts w:hint="eastAsia" w:ascii="宋体" w:hAnsi="宋体" w:cs="宋体"/>
          <w:b/>
          <w:bCs/>
          <w:color w:val="auto"/>
          <w:sz w:val="21"/>
          <w:szCs w:val="21"/>
          <w:highlight w:val="none"/>
        </w:rPr>
        <w:t>委托代理人</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签字</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w:t>
      </w:r>
    </w:p>
    <w:p w14:paraId="2F2649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电话：</w:t>
      </w:r>
    </w:p>
    <w:p w14:paraId="584C15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传真：</w:t>
      </w:r>
    </w:p>
    <w:p w14:paraId="790699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开户银行：</w:t>
      </w:r>
    </w:p>
    <w:p w14:paraId="2A0CED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1"/>
          <w:szCs w:val="21"/>
          <w:highlight w:val="none"/>
        </w:rPr>
      </w:pPr>
      <w:r>
        <w:rPr>
          <w:rFonts w:hint="eastAsia" w:ascii="宋体" w:hAnsi="宋体" w:cs="宋体"/>
          <w:b/>
          <w:bCs/>
          <w:color w:val="auto"/>
          <w:sz w:val="21"/>
          <w:szCs w:val="21"/>
          <w:highlight w:val="none"/>
        </w:rPr>
        <w:t>账号：</w:t>
      </w:r>
    </w:p>
    <w:p w14:paraId="38DD342B">
      <w:pPr>
        <w:spacing w:line="360" w:lineRule="auto"/>
        <w:rPr>
          <w:rFonts w:hint="eastAsia" w:ascii="宋体" w:hAnsi="宋体" w:cs="宋体"/>
          <w:b/>
          <w:bCs/>
          <w:color w:val="auto"/>
          <w:sz w:val="21"/>
          <w:szCs w:val="21"/>
          <w:highlight w:val="none"/>
        </w:rPr>
      </w:pPr>
    </w:p>
    <w:p w14:paraId="686F5304">
      <w:pPr>
        <w:pStyle w:val="43"/>
        <w:adjustRightInd w:val="0"/>
        <w:snapToGrid w:val="0"/>
        <w:spacing w:beforeLines="0" w:after="0" w:line="360" w:lineRule="auto"/>
        <w:rPr>
          <w:rFonts w:hint="eastAsia" w:ascii="宋体" w:hAnsi="宋体" w:eastAsia="宋体" w:cs="宋体"/>
          <w:b/>
          <w:bCs/>
          <w:color w:val="auto"/>
          <w:sz w:val="21"/>
          <w:szCs w:val="21"/>
          <w:highlight w:val="none"/>
        </w:rPr>
      </w:pPr>
    </w:p>
    <w:p w14:paraId="2B3D6C73">
      <w:pPr>
        <w:pStyle w:val="43"/>
        <w:adjustRightInd w:val="0"/>
        <w:snapToGrid w:val="0"/>
        <w:spacing w:beforeLines="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签订日期：</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日</w:t>
      </w:r>
    </w:p>
    <w:p w14:paraId="6CE34716">
      <w:pP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14:paraId="10E32676">
      <w:pPr>
        <w:pStyle w:val="43"/>
        <w:adjustRightInd w:val="0"/>
        <w:snapToGrid w:val="0"/>
        <w:spacing w:beforeLines="0"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甲方采购</w:t>
      </w:r>
      <w:r>
        <w:rPr>
          <w:rFonts w:hint="eastAsia" w:ascii="宋体" w:hAnsi="宋体" w:eastAsia="宋体" w:cs="宋体"/>
          <w:color w:val="auto"/>
          <w:sz w:val="21"/>
          <w:szCs w:val="21"/>
          <w:highlight w:val="none"/>
        </w:rPr>
        <w:t>申请编号为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的采购结果，甲乙双方本着诚实信用，平等互利的原则，依据中华人民共和国有关法律规定，经协商一致，就甲方向乙方购买以下项目事宜签订本合同。</w:t>
      </w:r>
    </w:p>
    <w:p w14:paraId="211A2A55">
      <w:pPr>
        <w:pStyle w:val="43"/>
        <w:adjustRightInd w:val="0"/>
        <w:snapToGrid w:val="0"/>
        <w:spacing w:beforeLines="0" w:after="0"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第一条  项目采购明细</w:t>
      </w:r>
    </w:p>
    <w:p w14:paraId="623A6D6B">
      <w:pPr>
        <w:pStyle w:val="43"/>
        <w:adjustRightInd w:val="0"/>
        <w:snapToGrid w:val="0"/>
        <w:spacing w:beforeLines="0" w:after="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项目名称、类别、品牌、规格型号、厂家、单位、数量、单价、总价、备注</w:t>
      </w:r>
    </w:p>
    <w:tbl>
      <w:tblPr>
        <w:tblStyle w:val="48"/>
        <w:tblW w:w="10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1457"/>
        <w:gridCol w:w="884"/>
        <w:gridCol w:w="1316"/>
        <w:gridCol w:w="1617"/>
        <w:gridCol w:w="1150"/>
        <w:gridCol w:w="467"/>
        <w:gridCol w:w="400"/>
        <w:gridCol w:w="866"/>
        <w:gridCol w:w="886"/>
        <w:gridCol w:w="1010"/>
      </w:tblGrid>
      <w:tr w14:paraId="02D3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jc w:val="center"/>
        </w:trPr>
        <w:tc>
          <w:tcPr>
            <w:tcW w:w="505" w:type="dxa"/>
            <w:vAlign w:val="center"/>
          </w:tcPr>
          <w:p w14:paraId="6C538BAC">
            <w:pPr>
              <w:pStyle w:val="43"/>
              <w:spacing w:beforeLines="0"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1457" w:type="dxa"/>
            <w:vAlign w:val="center"/>
          </w:tcPr>
          <w:p w14:paraId="4FD5AAB4">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884" w:type="dxa"/>
            <w:vAlign w:val="center"/>
          </w:tcPr>
          <w:p w14:paraId="40208CF0">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1316" w:type="dxa"/>
            <w:vAlign w:val="center"/>
          </w:tcPr>
          <w:p w14:paraId="654A617C">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1617" w:type="dxa"/>
            <w:tcBorders>
              <w:right w:val="single" w:color="auto" w:sz="4" w:space="0"/>
            </w:tcBorders>
            <w:vAlign w:val="center"/>
          </w:tcPr>
          <w:p w14:paraId="557A5F03">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生产厂家</w:t>
            </w:r>
          </w:p>
        </w:tc>
        <w:tc>
          <w:tcPr>
            <w:tcW w:w="1150" w:type="dxa"/>
            <w:tcBorders>
              <w:top w:val="single" w:color="auto" w:sz="4" w:space="0"/>
              <w:left w:val="single" w:color="auto" w:sz="4" w:space="0"/>
              <w:bottom w:val="single" w:color="auto" w:sz="4" w:space="0"/>
              <w:right w:val="single" w:color="auto" w:sz="4" w:space="0"/>
            </w:tcBorders>
            <w:vAlign w:val="center"/>
          </w:tcPr>
          <w:p w14:paraId="401C20BD">
            <w:pPr>
              <w:pStyle w:val="43"/>
              <w:spacing w:beforeLines="0"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p w14:paraId="3ED3AE42">
            <w:pPr>
              <w:pStyle w:val="43"/>
              <w:spacing w:beforeLines="0"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（国名）</w:t>
            </w:r>
          </w:p>
        </w:tc>
        <w:tc>
          <w:tcPr>
            <w:tcW w:w="467" w:type="dxa"/>
            <w:tcBorders>
              <w:top w:val="single" w:color="auto" w:sz="4" w:space="0"/>
              <w:left w:val="single" w:color="auto" w:sz="4" w:space="0"/>
              <w:bottom w:val="single" w:color="auto" w:sz="4" w:space="0"/>
              <w:right w:val="single" w:color="auto" w:sz="4" w:space="0"/>
            </w:tcBorders>
            <w:vAlign w:val="center"/>
          </w:tcPr>
          <w:p w14:paraId="7EFC7B60">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400" w:type="dxa"/>
            <w:tcBorders>
              <w:top w:val="single" w:color="auto" w:sz="4" w:space="0"/>
              <w:left w:val="single" w:color="auto" w:sz="4" w:space="0"/>
              <w:bottom w:val="single" w:color="auto" w:sz="4" w:space="0"/>
              <w:right w:val="single" w:color="auto" w:sz="4" w:space="0"/>
            </w:tcBorders>
            <w:vAlign w:val="center"/>
          </w:tcPr>
          <w:p w14:paraId="4E0B4D8A">
            <w:pPr>
              <w:pStyle w:val="43"/>
              <w:spacing w:beforeLines="0"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866" w:type="dxa"/>
            <w:tcBorders>
              <w:left w:val="single" w:color="auto" w:sz="4" w:space="0"/>
            </w:tcBorders>
            <w:vAlign w:val="center"/>
          </w:tcPr>
          <w:p w14:paraId="565A117C">
            <w:pPr>
              <w:pStyle w:val="43"/>
              <w:spacing w:beforeLines="0" w:after="0"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w:t>
            </w:r>
          </w:p>
        </w:tc>
        <w:tc>
          <w:tcPr>
            <w:tcW w:w="886" w:type="dxa"/>
            <w:vAlign w:val="center"/>
          </w:tcPr>
          <w:p w14:paraId="407F033E">
            <w:pPr>
              <w:pStyle w:val="43"/>
              <w:keepNext w:val="0"/>
              <w:keepLines w:val="0"/>
              <w:pageBreakBefore w:val="0"/>
              <w:widowControl w:val="0"/>
              <w:kinsoku/>
              <w:wordWrap/>
              <w:overflowPunct/>
              <w:topLinePunct w:val="0"/>
              <w:autoSpaceDE/>
              <w:autoSpaceDN/>
              <w:bidi w:val="0"/>
              <w:adjustRightInd w:val="0"/>
              <w:snapToGrid w:val="0"/>
              <w:spacing w:beforeLines="0" w:after="0"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p w14:paraId="20D32335">
            <w:pPr>
              <w:pStyle w:val="43"/>
              <w:keepNext w:val="0"/>
              <w:keepLines w:val="0"/>
              <w:pageBreakBefore w:val="0"/>
              <w:widowControl w:val="0"/>
              <w:kinsoku/>
              <w:wordWrap/>
              <w:overflowPunct/>
              <w:topLinePunct w:val="0"/>
              <w:autoSpaceDE/>
              <w:autoSpaceDN/>
              <w:bidi w:val="0"/>
              <w:adjustRightInd w:val="0"/>
              <w:snapToGrid w:val="0"/>
              <w:spacing w:beforeLines="0" w:after="0"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p>
        </w:tc>
        <w:tc>
          <w:tcPr>
            <w:tcW w:w="1010" w:type="dxa"/>
            <w:vAlign w:val="center"/>
          </w:tcPr>
          <w:p w14:paraId="060E5A4E">
            <w:pPr>
              <w:pStyle w:val="43"/>
              <w:spacing w:beforeLines="0" w:after="0"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备注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质保期等</w:t>
            </w:r>
            <w:r>
              <w:rPr>
                <w:rFonts w:hint="eastAsia" w:ascii="宋体" w:hAnsi="宋体" w:eastAsia="宋体" w:cs="宋体"/>
                <w:color w:val="auto"/>
                <w:sz w:val="21"/>
                <w:szCs w:val="21"/>
                <w:highlight w:val="none"/>
                <w:lang w:eastAsia="zh-CN"/>
              </w:rPr>
              <w:t>）</w:t>
            </w:r>
          </w:p>
        </w:tc>
      </w:tr>
      <w:tr w14:paraId="2EE0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505" w:type="dxa"/>
            <w:vAlign w:val="center"/>
          </w:tcPr>
          <w:p w14:paraId="3CF11253">
            <w:pPr>
              <w:pStyle w:val="43"/>
              <w:spacing w:beforeLines="0"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57" w:type="dxa"/>
            <w:vAlign w:val="center"/>
          </w:tcPr>
          <w:p w14:paraId="5F9EA34F">
            <w:pPr>
              <w:pStyle w:val="43"/>
              <w:spacing w:beforeLines="0" w:after="0" w:line="240" w:lineRule="auto"/>
              <w:jc w:val="center"/>
              <w:rPr>
                <w:rFonts w:hint="eastAsia" w:ascii="宋体" w:hAnsi="宋体" w:eastAsia="宋体" w:cs="宋体"/>
                <w:color w:val="auto"/>
                <w:sz w:val="21"/>
                <w:szCs w:val="21"/>
                <w:highlight w:val="none"/>
              </w:rPr>
            </w:pPr>
          </w:p>
        </w:tc>
        <w:tc>
          <w:tcPr>
            <w:tcW w:w="884" w:type="dxa"/>
            <w:vAlign w:val="center"/>
          </w:tcPr>
          <w:p w14:paraId="4D17FB6C">
            <w:pPr>
              <w:pStyle w:val="43"/>
              <w:spacing w:beforeLines="0" w:after="0" w:line="240" w:lineRule="auto"/>
              <w:jc w:val="center"/>
              <w:rPr>
                <w:rFonts w:hint="eastAsia" w:ascii="宋体" w:hAnsi="宋体" w:eastAsia="宋体" w:cs="宋体"/>
                <w:color w:val="auto"/>
                <w:sz w:val="21"/>
                <w:szCs w:val="21"/>
                <w:highlight w:val="none"/>
              </w:rPr>
            </w:pPr>
          </w:p>
        </w:tc>
        <w:tc>
          <w:tcPr>
            <w:tcW w:w="1316" w:type="dxa"/>
            <w:vAlign w:val="center"/>
          </w:tcPr>
          <w:p w14:paraId="4C6F99FD">
            <w:pPr>
              <w:pStyle w:val="43"/>
              <w:spacing w:beforeLines="0" w:after="0" w:line="240" w:lineRule="auto"/>
              <w:jc w:val="center"/>
              <w:rPr>
                <w:rFonts w:hint="eastAsia" w:ascii="宋体" w:hAnsi="宋体" w:eastAsia="宋体" w:cs="宋体"/>
                <w:color w:val="auto"/>
                <w:sz w:val="21"/>
                <w:szCs w:val="21"/>
                <w:highlight w:val="none"/>
              </w:rPr>
            </w:pPr>
          </w:p>
        </w:tc>
        <w:tc>
          <w:tcPr>
            <w:tcW w:w="1617" w:type="dxa"/>
            <w:vAlign w:val="center"/>
          </w:tcPr>
          <w:p w14:paraId="2C97A500">
            <w:pPr>
              <w:pStyle w:val="43"/>
              <w:spacing w:beforeLines="0" w:after="0" w:line="240" w:lineRule="auto"/>
              <w:jc w:val="center"/>
              <w:rPr>
                <w:rFonts w:hint="eastAsia" w:ascii="宋体" w:hAnsi="宋体" w:eastAsia="宋体" w:cs="宋体"/>
                <w:color w:val="auto"/>
                <w:sz w:val="21"/>
                <w:szCs w:val="21"/>
                <w:highlight w:val="none"/>
              </w:rPr>
            </w:pPr>
          </w:p>
        </w:tc>
        <w:tc>
          <w:tcPr>
            <w:tcW w:w="1150" w:type="dxa"/>
            <w:tcBorders>
              <w:top w:val="single" w:color="auto" w:sz="4" w:space="0"/>
              <w:bottom w:val="single" w:color="auto" w:sz="4" w:space="0"/>
            </w:tcBorders>
            <w:vAlign w:val="center"/>
          </w:tcPr>
          <w:p w14:paraId="16E290C4">
            <w:pPr>
              <w:pStyle w:val="43"/>
              <w:spacing w:beforeLines="0" w:after="0" w:line="240" w:lineRule="auto"/>
              <w:jc w:val="center"/>
              <w:rPr>
                <w:rFonts w:hint="eastAsia" w:ascii="宋体" w:hAnsi="宋体" w:eastAsia="宋体" w:cs="宋体"/>
                <w:color w:val="auto"/>
                <w:sz w:val="21"/>
                <w:szCs w:val="21"/>
                <w:highlight w:val="none"/>
              </w:rPr>
            </w:pPr>
          </w:p>
        </w:tc>
        <w:tc>
          <w:tcPr>
            <w:tcW w:w="467" w:type="dxa"/>
            <w:tcBorders>
              <w:top w:val="single" w:color="auto" w:sz="4" w:space="0"/>
              <w:bottom w:val="single" w:color="auto" w:sz="4" w:space="0"/>
            </w:tcBorders>
            <w:vAlign w:val="center"/>
          </w:tcPr>
          <w:p w14:paraId="1F4E3C34">
            <w:pPr>
              <w:pStyle w:val="43"/>
              <w:spacing w:beforeLines="0" w:after="0" w:line="240" w:lineRule="auto"/>
              <w:jc w:val="center"/>
              <w:rPr>
                <w:rFonts w:hint="eastAsia" w:ascii="宋体" w:hAnsi="宋体" w:eastAsia="宋体" w:cs="宋体"/>
                <w:color w:val="auto"/>
                <w:sz w:val="21"/>
                <w:szCs w:val="21"/>
                <w:highlight w:val="none"/>
              </w:rPr>
            </w:pPr>
          </w:p>
        </w:tc>
        <w:tc>
          <w:tcPr>
            <w:tcW w:w="400" w:type="dxa"/>
            <w:tcBorders>
              <w:top w:val="single" w:color="auto" w:sz="4" w:space="0"/>
              <w:bottom w:val="single" w:color="auto" w:sz="4" w:space="0"/>
            </w:tcBorders>
            <w:vAlign w:val="center"/>
          </w:tcPr>
          <w:p w14:paraId="4D94AA4F">
            <w:pPr>
              <w:pStyle w:val="43"/>
              <w:spacing w:beforeLines="0" w:after="0" w:line="240" w:lineRule="auto"/>
              <w:jc w:val="center"/>
              <w:rPr>
                <w:rFonts w:hint="eastAsia" w:ascii="宋体" w:hAnsi="宋体" w:eastAsia="宋体" w:cs="宋体"/>
                <w:color w:val="auto"/>
                <w:sz w:val="21"/>
                <w:szCs w:val="21"/>
                <w:highlight w:val="none"/>
              </w:rPr>
            </w:pPr>
          </w:p>
        </w:tc>
        <w:tc>
          <w:tcPr>
            <w:tcW w:w="866" w:type="dxa"/>
            <w:vAlign w:val="center"/>
          </w:tcPr>
          <w:p w14:paraId="28C11E69">
            <w:pPr>
              <w:pStyle w:val="43"/>
              <w:spacing w:beforeLines="0" w:after="0" w:line="240" w:lineRule="auto"/>
              <w:jc w:val="center"/>
              <w:rPr>
                <w:rFonts w:hint="eastAsia" w:ascii="宋体" w:hAnsi="宋体" w:eastAsia="宋体" w:cs="宋体"/>
                <w:color w:val="auto"/>
                <w:sz w:val="21"/>
                <w:szCs w:val="21"/>
                <w:highlight w:val="none"/>
              </w:rPr>
            </w:pPr>
          </w:p>
        </w:tc>
        <w:tc>
          <w:tcPr>
            <w:tcW w:w="886" w:type="dxa"/>
            <w:vAlign w:val="center"/>
          </w:tcPr>
          <w:p w14:paraId="51FBAF08">
            <w:pPr>
              <w:pStyle w:val="43"/>
              <w:spacing w:beforeLines="0" w:after="0" w:line="240" w:lineRule="auto"/>
              <w:jc w:val="center"/>
              <w:rPr>
                <w:rFonts w:hint="eastAsia" w:ascii="宋体" w:hAnsi="宋体" w:eastAsia="宋体" w:cs="宋体"/>
                <w:color w:val="auto"/>
                <w:sz w:val="21"/>
                <w:szCs w:val="21"/>
                <w:highlight w:val="none"/>
              </w:rPr>
            </w:pPr>
          </w:p>
        </w:tc>
        <w:tc>
          <w:tcPr>
            <w:tcW w:w="1010" w:type="dxa"/>
            <w:vAlign w:val="center"/>
          </w:tcPr>
          <w:p w14:paraId="7F29B709">
            <w:pPr>
              <w:pStyle w:val="43"/>
              <w:spacing w:beforeLines="0" w:after="0" w:line="240" w:lineRule="auto"/>
              <w:jc w:val="center"/>
              <w:rPr>
                <w:rFonts w:hint="eastAsia" w:ascii="宋体" w:hAnsi="宋体" w:eastAsia="宋体" w:cs="宋体"/>
                <w:color w:val="auto"/>
                <w:sz w:val="21"/>
                <w:szCs w:val="21"/>
                <w:highlight w:val="none"/>
              </w:rPr>
            </w:pPr>
          </w:p>
        </w:tc>
      </w:tr>
      <w:tr w14:paraId="7A37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558" w:type="dxa"/>
            <w:gridSpan w:val="11"/>
            <w:vAlign w:val="center"/>
          </w:tcPr>
          <w:p w14:paraId="7A7CB59D">
            <w:pPr>
              <w:pStyle w:val="43"/>
              <w:spacing w:beforeLines="0"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      计：（小写）</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187E9239">
            <w:pPr>
              <w:pStyle w:val="43"/>
              <w:spacing w:beforeLines="0" w:after="0"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不含增值税金额：（小写）</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增值税金额：（小写）</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tc>
      </w:tr>
    </w:tbl>
    <w:p w14:paraId="62E958B5">
      <w:pPr>
        <w:spacing w:before="0" w:beforeLines="0" w:line="360" w:lineRule="auto"/>
        <w:ind w:firstLine="422" w:firstLineChars="200"/>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rPr>
        <w:t xml:space="preserve">第二条  </w:t>
      </w:r>
      <w:r>
        <w:rPr>
          <w:rFonts w:hint="eastAsia" w:ascii="宋体" w:hAnsi="宋体" w:eastAsia="宋体" w:cs="宋体"/>
          <w:color w:val="auto"/>
          <w:sz w:val="21"/>
          <w:szCs w:val="21"/>
          <w:highlight w:val="none"/>
        </w:rPr>
        <w:t>配套资料和配套附属设备、配件、必要消耗品等详见乙方投标（或采购）文件。</w:t>
      </w:r>
    </w:p>
    <w:p w14:paraId="5BD9FB12">
      <w:pPr>
        <w:spacing w:before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w:t>
      </w:r>
      <w:r>
        <w:rPr>
          <w:rFonts w:hint="eastAsia" w:ascii="宋体" w:hAnsi="宋体" w:eastAsia="宋体" w:cs="宋体"/>
          <w:color w:val="auto"/>
          <w:sz w:val="21"/>
          <w:szCs w:val="21"/>
          <w:highlight w:val="none"/>
        </w:rPr>
        <w:t>乙方保证上述硬件设备的配套设备、备品备件（含易损件）、配件消耗品能够长期（不低于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年）向甲方供应。</w:t>
      </w:r>
    </w:p>
    <w:p w14:paraId="0D448EE9">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第四条  乙方送货（交付）时间、地点</w:t>
      </w:r>
    </w:p>
    <w:p w14:paraId="69511E89">
      <w:pPr>
        <w:spacing w:beforeLines="0"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日内，乙方应按本合同约定将</w:t>
      </w:r>
      <w:r>
        <w:rPr>
          <w:rFonts w:hint="eastAsia" w:ascii="宋体" w:hAnsi="宋体" w:eastAsia="宋体" w:cs="宋体"/>
          <w:color w:val="auto"/>
          <w:sz w:val="21"/>
          <w:szCs w:val="21"/>
          <w:highlight w:val="none"/>
          <w:lang w:val="en-US" w:eastAsia="zh-CN"/>
        </w:rPr>
        <w:t>以上采购项目送达</w:t>
      </w:r>
      <w:r>
        <w:rPr>
          <w:rFonts w:hint="eastAsia" w:ascii="宋体" w:hAnsi="宋体" w:eastAsia="宋体" w:cs="宋体"/>
          <w:color w:val="auto"/>
          <w:sz w:val="21"/>
          <w:szCs w:val="21"/>
          <w:highlight w:val="none"/>
        </w:rPr>
        <w:t>甲方指定的地</w:t>
      </w:r>
      <w:r>
        <w:rPr>
          <w:rFonts w:hint="eastAsia" w:ascii="宋体" w:hAnsi="宋体" w:eastAsia="宋体" w:cs="宋体"/>
          <w:color w:val="auto"/>
          <w:sz w:val="21"/>
          <w:szCs w:val="21"/>
          <w:highlight w:val="none"/>
          <w:lang w:val="en-US" w:eastAsia="zh-CN"/>
        </w:rPr>
        <w:t>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。如遇特殊情况，以甲方另行通知时间为准。</w:t>
      </w:r>
    </w:p>
    <w:p w14:paraId="2C9E1842">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乙方应当将到货日期至少提前3天</w:t>
      </w:r>
      <w:r>
        <w:rPr>
          <w:rFonts w:hint="eastAsia" w:ascii="宋体" w:hAnsi="宋体" w:eastAsia="宋体" w:cs="宋体"/>
          <w:color w:val="auto"/>
          <w:sz w:val="21"/>
          <w:szCs w:val="21"/>
          <w:highlight w:val="none"/>
          <w:u w:val="single"/>
        </w:rPr>
        <w:t>告知甲方资产管理科并由资产管理科组织接</w:t>
      </w:r>
      <w:r>
        <w:rPr>
          <w:rFonts w:hint="eastAsia" w:ascii="宋体" w:hAnsi="宋体" w:eastAsia="宋体" w:cs="宋体"/>
          <w:color w:val="auto"/>
          <w:sz w:val="21"/>
          <w:szCs w:val="21"/>
          <w:highlight w:val="none"/>
          <w:u w:val="single"/>
          <w:lang w:val="en-US" w:eastAsia="zh-CN"/>
        </w:rPr>
        <w:t>收</w:t>
      </w:r>
      <w:r>
        <w:rPr>
          <w:rFonts w:hint="eastAsia" w:ascii="宋体" w:hAnsi="宋体" w:eastAsia="宋体" w:cs="宋体"/>
          <w:color w:val="auto"/>
          <w:sz w:val="21"/>
          <w:szCs w:val="21"/>
          <w:highlight w:val="none"/>
        </w:rPr>
        <w:t>，如未提前告知甲方资产管理科擅自将货送至使用部门的，不视为货物已交付，如擅自送货到使用部门且使用部门已开封并且已实际使用的，均不视为验收或验收通过，甲方有权不予支付货物的费用，所产生的一切后果及损失由乙方自行承担。资产管理科联系电话：65324888转</w:t>
      </w:r>
      <w:r>
        <w:rPr>
          <w:rFonts w:hint="eastAsia" w:ascii="宋体" w:hAnsi="宋体" w:eastAsia="宋体" w:cs="宋体"/>
          <w:color w:val="auto"/>
          <w:sz w:val="21"/>
          <w:szCs w:val="21"/>
          <w:highlight w:val="none"/>
          <w:u w:val="single"/>
        </w:rPr>
        <w:t>2368</w:t>
      </w:r>
      <w:r>
        <w:rPr>
          <w:rFonts w:hint="eastAsia" w:ascii="宋体" w:hAnsi="宋体" w:eastAsia="宋体" w:cs="宋体"/>
          <w:color w:val="auto"/>
          <w:sz w:val="21"/>
          <w:szCs w:val="21"/>
          <w:highlight w:val="none"/>
        </w:rPr>
        <w:t>。</w:t>
      </w:r>
    </w:p>
    <w:p w14:paraId="3F0900D9">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第五条  安装调试及项目实施</w:t>
      </w:r>
    </w:p>
    <w:p w14:paraId="04B11DE4">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（一）硬件</w:t>
      </w:r>
      <w:r>
        <w:rPr>
          <w:rFonts w:hint="eastAsia" w:ascii="宋体" w:hAnsi="宋体" w:eastAsia="宋体" w:cs="宋体"/>
          <w:color w:val="auto"/>
          <w:sz w:val="21"/>
          <w:szCs w:val="21"/>
          <w:highlight w:val="none"/>
          <w:lang w:val="en-US" w:eastAsia="zh-CN"/>
        </w:rPr>
        <w:t>设备</w:t>
      </w:r>
    </w:p>
    <w:p w14:paraId="1D9FAA37">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乙方负责所有硬件设备的安装调试。</w:t>
      </w:r>
    </w:p>
    <w:p w14:paraId="0BF47AB7">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硬件设备安装调试必须符合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bookmarkStart w:id="135" w:name="_Hlk153367155"/>
      <w:r>
        <w:rPr>
          <w:rFonts w:hint="eastAsia" w:ascii="宋体" w:hAnsi="宋体" w:eastAsia="宋体" w:cs="宋体"/>
          <w:color w:val="auto"/>
          <w:sz w:val="21"/>
          <w:szCs w:val="21"/>
          <w:highlight w:val="none"/>
        </w:rPr>
        <w:t>国家</w:t>
      </w:r>
      <w:bookmarkEnd w:id="135"/>
      <w:r>
        <w:rPr>
          <w:rFonts w:hint="eastAsia" w:ascii="宋体" w:hAnsi="宋体" w:eastAsia="宋体" w:cs="宋体"/>
          <w:color w:val="auto"/>
          <w:sz w:val="21"/>
          <w:szCs w:val="21"/>
          <w:highlight w:val="none"/>
        </w:rPr>
        <w:t xml:space="preserve">标准、行业标准），并满足甲方技术要求。 </w:t>
      </w:r>
    </w:p>
    <w:p w14:paraId="10BC9461">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本合同约定的所有硬件设备安装调试完成时间（即</w:t>
      </w:r>
      <w:r>
        <w:rPr>
          <w:rFonts w:hint="eastAsia" w:ascii="宋体" w:hAnsi="宋体" w:eastAsia="宋体" w:cs="宋体"/>
          <w:color w:val="auto"/>
          <w:sz w:val="21"/>
          <w:szCs w:val="21"/>
          <w:highlight w:val="none"/>
          <w:lang w:val="en-US" w:eastAsia="zh-CN"/>
        </w:rPr>
        <w:t>硬件</w:t>
      </w:r>
      <w:r>
        <w:rPr>
          <w:rFonts w:hint="eastAsia" w:ascii="宋体" w:hAnsi="宋体" w:eastAsia="宋体" w:cs="宋体"/>
          <w:color w:val="auto"/>
          <w:sz w:val="21"/>
          <w:szCs w:val="21"/>
          <w:highlight w:val="none"/>
        </w:rPr>
        <w:t>设备送达甲方指定地点并按规范安装调试完毕时间）为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天内到货，到货后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天内完成安装调试交付使用。</w:t>
      </w:r>
    </w:p>
    <w:p w14:paraId="77B927F1">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（二）软件</w:t>
      </w:r>
      <w:r>
        <w:rPr>
          <w:rFonts w:hint="eastAsia" w:ascii="宋体" w:hAnsi="宋体" w:eastAsia="宋体" w:cs="宋体"/>
          <w:color w:val="auto"/>
          <w:sz w:val="21"/>
          <w:szCs w:val="21"/>
          <w:highlight w:val="none"/>
          <w:lang w:val="en-US" w:eastAsia="zh-CN"/>
        </w:rPr>
        <w:t>系统</w:t>
      </w:r>
    </w:p>
    <w:p w14:paraId="03ED8949">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建设内容：</w:t>
      </w:r>
      <w:r>
        <w:rPr>
          <w:rFonts w:hint="eastAsia" w:ascii="宋体" w:hAnsi="宋体" w:eastAsia="宋体" w:cs="宋体"/>
          <w:color w:val="auto"/>
          <w:sz w:val="21"/>
          <w:szCs w:val="21"/>
          <w:highlight w:val="none"/>
          <w:lang w:val="en-US" w:eastAsia="zh-CN"/>
        </w:rPr>
        <w:t>乙方负责软件系统的开发、安装调试等工作，软件系统</w:t>
      </w:r>
      <w:r>
        <w:rPr>
          <w:rFonts w:hint="eastAsia" w:ascii="宋体" w:hAnsi="宋体" w:eastAsia="宋体" w:cs="宋体"/>
          <w:color w:val="auto"/>
          <w:sz w:val="21"/>
          <w:szCs w:val="21"/>
          <w:highlight w:val="none"/>
          <w:u w:val="none"/>
          <w:lang w:val="en-US" w:eastAsia="zh-CN"/>
        </w:rPr>
        <w:t>应达到</w:t>
      </w:r>
      <w:r>
        <w:rPr>
          <w:rFonts w:hint="eastAsia" w:ascii="宋体" w:hAnsi="宋体" w:eastAsia="宋体" w:cs="宋体"/>
          <w:b w:val="0"/>
          <w:bCs w:val="0"/>
          <w:color w:val="auto"/>
          <w:sz w:val="21"/>
          <w:szCs w:val="21"/>
          <w:highlight w:val="none"/>
          <w:lang w:val="en-US" w:eastAsia="zh-CN"/>
        </w:rPr>
        <w:t>合同要求（详见附件1.技术参数）；</w:t>
      </w:r>
      <w:r>
        <w:rPr>
          <w:rFonts w:hint="eastAsia" w:ascii="宋体" w:hAnsi="宋体" w:eastAsia="宋体" w:cs="宋体"/>
          <w:color w:val="auto"/>
          <w:sz w:val="21"/>
          <w:szCs w:val="21"/>
          <w:highlight w:val="none"/>
          <w:lang w:val="en-US" w:eastAsia="zh-CN"/>
        </w:rPr>
        <w:t>乙方提供系统使用培训、技术支持、性能优化、运维保障、故障处理等服务。</w:t>
      </w:r>
    </w:p>
    <w:p w14:paraId="74B74641">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实施周期：合同签订之日起___天</w:t>
      </w:r>
      <w:r>
        <w:rPr>
          <w:rFonts w:hint="eastAsia" w:ascii="宋体" w:hAnsi="宋体" w:eastAsia="宋体" w:cs="宋体"/>
          <w:color w:val="auto"/>
          <w:sz w:val="21"/>
          <w:szCs w:val="21"/>
          <w:highlight w:val="none"/>
          <w:lang w:val="en-US" w:eastAsia="zh-CN"/>
        </w:rPr>
        <w:t>交付使用。</w:t>
      </w:r>
    </w:p>
    <w:p w14:paraId="5AA08068">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（三）服务实施</w:t>
      </w:r>
    </w:p>
    <w:p w14:paraId="46A4FB81">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1.乙方向甲方提供</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服务。</w:t>
      </w:r>
    </w:p>
    <w:p w14:paraId="56D25B4B">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2.服务内容主要包括：……。</w:t>
      </w:r>
    </w:p>
    <w:p w14:paraId="4DA6BE10">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3.服务要求：通过……，达成……目的/效果，并达到考核要求（详见附件2.考核方案）。</w:t>
      </w:r>
    </w:p>
    <w:p w14:paraId="73D535C6">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4.服务周期及地点：……。</w:t>
      </w:r>
    </w:p>
    <w:p w14:paraId="67D57BE3">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第六条  验收</w:t>
      </w:r>
      <w:r>
        <w:rPr>
          <w:rFonts w:hint="eastAsia" w:ascii="宋体" w:hAnsi="宋体" w:eastAsia="宋体" w:cs="宋体"/>
          <w:b/>
          <w:bCs/>
          <w:color w:val="auto"/>
          <w:sz w:val="21"/>
          <w:szCs w:val="21"/>
          <w:highlight w:val="none"/>
          <w:lang w:val="en-US" w:eastAsia="zh-CN"/>
        </w:rPr>
        <w:t>方案</w:t>
      </w:r>
      <w:r>
        <w:rPr>
          <w:rFonts w:hint="eastAsia" w:ascii="宋体" w:hAnsi="宋体" w:eastAsia="宋体" w:cs="宋体"/>
          <w:b/>
          <w:bCs/>
          <w:color w:val="auto"/>
          <w:sz w:val="21"/>
          <w:szCs w:val="21"/>
          <w:highlight w:val="none"/>
        </w:rPr>
        <w:t xml:space="preserve"> </w:t>
      </w:r>
    </w:p>
    <w:p w14:paraId="50196ECA">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（一）硬件</w:t>
      </w:r>
      <w:r>
        <w:rPr>
          <w:rFonts w:hint="eastAsia" w:ascii="宋体" w:hAnsi="宋体" w:eastAsia="宋体" w:cs="宋体"/>
          <w:color w:val="auto"/>
          <w:sz w:val="21"/>
          <w:szCs w:val="21"/>
          <w:highlight w:val="none"/>
          <w:lang w:val="en-US" w:eastAsia="zh-CN"/>
        </w:rPr>
        <w:t>设备</w:t>
      </w:r>
    </w:p>
    <w:p w14:paraId="44555145">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硬件设备到货完成安装调试，操作人员经过培训并正常投入使用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工作日</w:t>
      </w:r>
      <w:r>
        <w:rPr>
          <w:rFonts w:hint="eastAsia" w:ascii="宋体" w:hAnsi="宋体" w:eastAsia="宋体" w:cs="宋体"/>
          <w:color w:val="auto"/>
          <w:sz w:val="21"/>
          <w:szCs w:val="21"/>
          <w:highlight w:val="none"/>
        </w:rPr>
        <w:t>，在无任何争议的情况下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乙方可向甲方递交项目验收资料，验收内容包括：功能验收、性能验收、可靠性验收、安全性验收、兼容性验收、可维护性验收、文档验收、培训验收、技术支持验收、项目进度和预算验收等。</w:t>
      </w:r>
    </w:p>
    <w:p w14:paraId="18F71F1E">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验收的基本条件为：资料齐全，</w:t>
      </w:r>
      <w:r>
        <w:rPr>
          <w:rFonts w:hint="eastAsia" w:ascii="宋体" w:hAnsi="宋体" w:eastAsia="宋体" w:cs="宋体"/>
          <w:color w:val="auto"/>
          <w:sz w:val="21"/>
          <w:szCs w:val="21"/>
          <w:highlight w:val="none"/>
          <w:lang w:val="en-US" w:eastAsia="zh-CN"/>
        </w:rPr>
        <w:t>硬件</w:t>
      </w:r>
      <w:r>
        <w:rPr>
          <w:rFonts w:hint="eastAsia" w:ascii="宋体" w:hAnsi="宋体" w:eastAsia="宋体" w:cs="宋体"/>
          <w:color w:val="auto"/>
          <w:sz w:val="21"/>
          <w:szCs w:val="21"/>
          <w:highlight w:val="none"/>
        </w:rPr>
        <w:t>到货齐全，设备功能达到使用要求，设备无质量问题，以及符合验收的其他基本条件。</w:t>
      </w:r>
    </w:p>
    <w:p w14:paraId="6E4D33AF">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甲乙双方对货物正式交接时间为甲乙双方对验收合格的</w:t>
      </w:r>
      <w:r>
        <w:rPr>
          <w:rFonts w:hint="eastAsia" w:ascii="宋体" w:hAnsi="宋体" w:eastAsia="宋体" w:cs="宋体"/>
          <w:color w:val="auto"/>
          <w:sz w:val="21"/>
          <w:szCs w:val="21"/>
          <w:highlight w:val="none"/>
          <w:lang w:val="en-US" w:eastAsia="zh-CN"/>
        </w:rPr>
        <w:t>硬件设备或软件系统</w:t>
      </w:r>
      <w:r>
        <w:rPr>
          <w:rFonts w:hint="eastAsia" w:ascii="宋体" w:hAnsi="宋体" w:eastAsia="宋体" w:cs="宋体"/>
          <w:color w:val="auto"/>
          <w:sz w:val="21"/>
          <w:szCs w:val="21"/>
          <w:highlight w:val="none"/>
        </w:rPr>
        <w:t>进行交接的时间。</w:t>
      </w:r>
    </w:p>
    <w:p w14:paraId="6414BCC4">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（二）软件或系统改造服务</w:t>
      </w:r>
    </w:p>
    <w:p w14:paraId="75A74AD2">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本项目涉及软件系统</w:t>
      </w:r>
      <w:r>
        <w:rPr>
          <w:rFonts w:hint="eastAsia" w:ascii="宋体" w:hAnsi="宋体" w:eastAsia="宋体" w:cs="宋体"/>
          <w:color w:val="auto"/>
          <w:sz w:val="21"/>
          <w:szCs w:val="21"/>
          <w:highlight w:val="none"/>
          <w:u w:val="single"/>
        </w:rPr>
        <w:t>安装调试</w:t>
      </w:r>
      <w:r>
        <w:rPr>
          <w:rFonts w:hint="eastAsia" w:ascii="宋体" w:hAnsi="宋体" w:eastAsia="宋体" w:cs="宋体"/>
          <w:color w:val="auto"/>
          <w:sz w:val="21"/>
          <w:szCs w:val="21"/>
          <w:highlight w:val="none"/>
          <w:u w:val="single"/>
          <w:lang w:val="en-US" w:eastAsia="zh-CN"/>
        </w:rPr>
        <w:t>/改造</w:t>
      </w:r>
      <w:r>
        <w:rPr>
          <w:rFonts w:hint="eastAsia" w:ascii="宋体" w:hAnsi="宋体" w:eastAsia="宋体" w:cs="宋体"/>
          <w:color w:val="auto"/>
          <w:sz w:val="21"/>
          <w:szCs w:val="21"/>
          <w:highlight w:val="none"/>
        </w:rPr>
        <w:t>完成，上线运行正常，试运行满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个工作日，在无任何争议的情况下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乙方可以提出验收申请，由甲方组织验收。如试运行期间发生故障，故障在3天内修复的，试运行期顺延3天，未能在3天内修复的，试运行期自修复后重新投入运行之日起算。</w:t>
      </w:r>
    </w:p>
    <w:p w14:paraId="470DACAC">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验收的基本条件为：资料齐全，功能经过科室验证、达到使用要求，无质量问题，以及符合验收的其他基本条件。</w:t>
      </w:r>
    </w:p>
    <w:p w14:paraId="6FA27B60">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验收依据为招标文件、投标文件、本合同，国家和行业有关规范、规程和标准。</w:t>
      </w:r>
    </w:p>
    <w:p w14:paraId="1C69EC16">
      <w:pPr>
        <w:pStyle w:val="31"/>
        <w:spacing w:beforeLines="0" w:after="0" w:line="360" w:lineRule="auto"/>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（三）服务</w:t>
      </w:r>
      <w:r>
        <w:rPr>
          <w:rFonts w:hint="eastAsia" w:ascii="宋体" w:hAnsi="宋体" w:eastAsia="宋体" w:cs="宋体"/>
          <w:color w:val="auto"/>
          <w:sz w:val="21"/>
          <w:szCs w:val="21"/>
          <w:highlight w:val="none"/>
          <w:lang w:val="en-US" w:eastAsia="zh-CN"/>
        </w:rPr>
        <w:t>项</w:t>
      </w:r>
    </w:p>
    <w:p w14:paraId="74ADE5C4">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项目验收合格后，自验收合格之日起正式投入运行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运行服务期为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年。服务期内，甲方定期对乙方进行考核，考核</w:t>
      </w:r>
      <w:r>
        <w:rPr>
          <w:rFonts w:hint="eastAsia" w:ascii="宋体" w:hAnsi="宋体" w:eastAsia="宋体" w:cs="宋体"/>
          <w:color w:val="auto"/>
          <w:sz w:val="21"/>
          <w:szCs w:val="21"/>
          <w:highlight w:val="none"/>
        </w:rPr>
        <w:t>标准为：服务需求部门制定考核标准，主要包括但不限定于服务响应、出具报告质量、满意度、履约情况等。</w:t>
      </w:r>
    </w:p>
    <w:p w14:paraId="7F53A883">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硬件</w:t>
      </w:r>
      <w:r>
        <w:rPr>
          <w:rFonts w:hint="eastAsia" w:ascii="宋体" w:hAnsi="宋体" w:eastAsia="宋体" w:cs="宋体"/>
          <w:color w:val="auto"/>
          <w:sz w:val="21"/>
          <w:szCs w:val="21"/>
          <w:highlight w:val="none"/>
        </w:rPr>
        <w:t>设备若自带防护或屏蔽设施，需要乙方或制造商提供云南当地有资质的检测单位出具的防护达标的检测报告。</w:t>
      </w:r>
    </w:p>
    <w:p w14:paraId="7D421C23">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）乙方提供的</w:t>
      </w:r>
      <w:r>
        <w:rPr>
          <w:rFonts w:hint="eastAsia" w:ascii="宋体" w:hAnsi="宋体" w:eastAsia="宋体" w:cs="宋体"/>
          <w:color w:val="auto"/>
          <w:sz w:val="21"/>
          <w:szCs w:val="21"/>
          <w:highlight w:val="none"/>
          <w:lang w:val="en-US" w:eastAsia="zh-CN"/>
        </w:rPr>
        <w:t>硬件</w:t>
      </w:r>
      <w:r>
        <w:rPr>
          <w:rFonts w:hint="eastAsia" w:ascii="宋体" w:hAnsi="宋体" w:eastAsia="宋体" w:cs="宋体"/>
          <w:color w:val="auto"/>
          <w:sz w:val="21"/>
          <w:szCs w:val="21"/>
          <w:highlight w:val="none"/>
        </w:rPr>
        <w:t>设备，必须是在到货日期前1年内生产的。</w:t>
      </w:r>
    </w:p>
    <w:p w14:paraId="31B134A9">
      <w:pPr>
        <w:pStyle w:val="31"/>
        <w:spacing w:beforeLines="0" w:after="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第七条  技术培训</w:t>
      </w:r>
    </w:p>
    <w:p w14:paraId="4890D620">
      <w:pPr>
        <w:pStyle w:val="5"/>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乙方向甲方免费提供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天的软硬件的使用现场培训，培训内容包括但不限于软硬件的调试、使用、一般的维修、维护及保养等。</w:t>
      </w:r>
    </w:p>
    <w:p w14:paraId="0E1BD5FF">
      <w:pPr>
        <w:pStyle w:val="5"/>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参加培训的甲乙双方人员食宿自理。</w:t>
      </w:r>
    </w:p>
    <w:p w14:paraId="0838C7EF">
      <w:pPr>
        <w:pStyle w:val="31"/>
        <w:spacing w:beforeLines="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若招标文件对技术培训有特殊要求的，乙方还应出资对甲方技术人员进行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次外地培训，甲方人员交通、食宿及培训等费用由乙方负责。每次培训天数为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天、地点为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p>
    <w:p w14:paraId="21CCB329">
      <w:pPr>
        <w:spacing w:beforeLines="0"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第八条  合同价款及支付</w:t>
      </w:r>
    </w:p>
    <w:p w14:paraId="58C5FAC9">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本合同总价：</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其中不含增值税的合同价为</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，增值税金额为</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 xml:space="preserve"> </w:t>
      </w:r>
    </w:p>
    <w:p w14:paraId="0F94D4B4">
      <w:pPr>
        <w:spacing w:beforeLines="0"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乙方开户名称：</w:t>
      </w:r>
      <w:r>
        <w:rPr>
          <w:rFonts w:hint="eastAsia" w:ascii="宋体" w:hAnsi="宋体" w:eastAsia="宋体" w:cs="宋体"/>
          <w:color w:val="auto"/>
          <w:sz w:val="21"/>
          <w:szCs w:val="21"/>
          <w:highlight w:val="none"/>
          <w:u w:val="single"/>
        </w:rPr>
        <w:t xml:space="preserve">                 </w:t>
      </w:r>
    </w:p>
    <w:p w14:paraId="2D5DA77A">
      <w:pPr>
        <w:spacing w:beforeLines="0"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p>
    <w:p w14:paraId="623A1C59">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418F8AA">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合同总价除了包括软硬件的价格外，还包含但不限于仪器设备的包装、运输、保险、装卸、仓储、搬运、安装调试、培训、验收、配套资料和配套附属设备、配件、必要消耗品、检测费、第三方评估、院内信息系统对接服务等费用。    </w:t>
      </w:r>
    </w:p>
    <w:p w14:paraId="637952F2">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合同价款的支付</w:t>
      </w:r>
    </w:p>
    <w:p w14:paraId="7F1C1543">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合同签订后，甲方根据付款流程向乙方支付合同总金额30%即</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w:t>
      </w:r>
    </w:p>
    <w:p w14:paraId="08C3D06D">
      <w:pPr>
        <w:spacing w:beforeLines="0" w:line="360" w:lineRule="auto"/>
        <w:ind w:firstLine="420" w:firstLineChars="200"/>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2.</w:t>
      </w:r>
      <w:r>
        <w:rPr>
          <w:rFonts w:ascii="宋体" w:hAnsi="宋体" w:eastAsia="宋体" w:cs="宋体"/>
          <w:color w:val="auto"/>
          <w:sz w:val="21"/>
          <w:szCs w:val="21"/>
          <w:highlight w:val="none"/>
        </w:rPr>
        <w:t>“临床专科能力提升”“紧急医学救援能力提升”“智慧服务能力提升”“本地化改造及运维服务能力提升”四个</w:t>
      </w:r>
      <w:r>
        <w:rPr>
          <w:rFonts w:hint="eastAsia" w:ascii="宋体" w:hAnsi="宋体" w:eastAsia="宋体" w:cs="宋体"/>
          <w:color w:val="auto"/>
          <w:sz w:val="21"/>
          <w:szCs w:val="21"/>
          <w:highlight w:val="none"/>
          <w:lang w:val="en-US" w:eastAsia="zh-CN"/>
        </w:rPr>
        <w:t>专项</w:t>
      </w:r>
      <w:r>
        <w:rPr>
          <w:rFonts w:ascii="宋体" w:hAnsi="宋体" w:eastAsia="宋体" w:cs="宋体"/>
          <w:color w:val="auto"/>
          <w:sz w:val="21"/>
          <w:szCs w:val="21"/>
          <w:highlight w:val="none"/>
        </w:rPr>
        <w:t>分阶段组织验收；</w:t>
      </w:r>
      <w:r>
        <w:rPr>
          <w:rFonts w:hint="eastAsia" w:ascii="宋体" w:hAnsi="宋体" w:eastAsia="宋体" w:cs="宋体"/>
          <w:color w:val="auto"/>
          <w:sz w:val="21"/>
          <w:szCs w:val="21"/>
          <w:highlight w:val="none"/>
          <w:lang w:val="en-US" w:eastAsia="zh-CN"/>
        </w:rPr>
        <w:t>每个专项</w:t>
      </w:r>
      <w:r>
        <w:rPr>
          <w:rFonts w:hint="eastAsia" w:ascii="宋体" w:hAnsi="宋体" w:eastAsia="宋体" w:cs="宋体"/>
          <w:color w:val="auto"/>
          <w:sz w:val="21"/>
          <w:szCs w:val="21"/>
          <w:highlight w:val="none"/>
        </w:rPr>
        <w:t>验收合格后1个月内，乙方凭：（1）甲方的验收合格报告；（2）乙方开具的正式发票；（3）甲方要求的其他资料等，向甲方申请支付</w:t>
      </w:r>
      <w:r>
        <w:rPr>
          <w:rFonts w:hint="eastAsia" w:ascii="宋体" w:hAnsi="宋体" w:eastAsia="宋体" w:cs="宋体"/>
          <w:color w:val="auto"/>
          <w:sz w:val="21"/>
          <w:szCs w:val="21"/>
          <w:highlight w:val="none"/>
          <w:lang w:val="en-US" w:eastAsia="zh-CN"/>
        </w:rPr>
        <w:t>该</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对应合同价款</w:t>
      </w:r>
      <w:r>
        <w:rPr>
          <w:rFonts w:hint="eastAsia" w:ascii="宋体" w:hAnsi="宋体" w:cs="宋体"/>
          <w:color w:val="auto"/>
          <w:sz w:val="21"/>
          <w:szCs w:val="21"/>
          <w:highlight w:val="none"/>
          <w:lang w:val="en-US" w:eastAsia="zh-CN"/>
        </w:rPr>
        <w:t>的65%</w:t>
      </w:r>
      <w:r>
        <w:rPr>
          <w:rFonts w:ascii="宋体" w:hAnsi="宋体" w:eastAsia="宋体" w:cs="宋体"/>
          <w:color w:val="auto"/>
          <w:sz w:val="21"/>
          <w:szCs w:val="21"/>
          <w:highlight w:val="none"/>
        </w:rPr>
        <w:t>。</w:t>
      </w:r>
    </w:p>
    <w:p w14:paraId="02B272B4">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rPr>
        <w:t>剩余5%即</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（大写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u w:val="none"/>
          <w:lang w:val="en-US" w:eastAsia="zh-CN"/>
        </w:rPr>
        <w:t>项目整体</w:t>
      </w:r>
      <w:r>
        <w:rPr>
          <w:rFonts w:ascii="宋体" w:hAnsi="宋体" w:eastAsia="宋体" w:cs="宋体"/>
          <w:color w:val="auto"/>
          <w:sz w:val="21"/>
          <w:szCs w:val="21"/>
          <w:highlight w:val="none"/>
        </w:rPr>
        <w:t>验收完成后，待免费维保期满且履约合格，</w:t>
      </w:r>
      <w:r>
        <w:rPr>
          <w:rFonts w:hint="eastAsia" w:ascii="宋体" w:hAnsi="宋体" w:eastAsia="宋体" w:cs="宋体"/>
          <w:color w:val="auto"/>
          <w:sz w:val="21"/>
          <w:szCs w:val="21"/>
          <w:highlight w:val="none"/>
        </w:rPr>
        <w:t>乙方向甲方申请支付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w:t>
      </w:r>
      <w:r>
        <w:rPr>
          <w:rFonts w:hint="eastAsia" w:ascii="宋体" w:hAnsi="宋体" w:eastAsia="宋体" w:cs="宋体"/>
          <w:color w:val="auto"/>
          <w:sz w:val="21"/>
          <w:szCs w:val="21"/>
          <w:highlight w:val="none"/>
          <w:lang w:val="en-US" w:eastAsia="zh-CN"/>
        </w:rPr>
        <w:t>乙方按合同约定完成服务</w:t>
      </w:r>
      <w:r>
        <w:rPr>
          <w:rFonts w:hint="eastAsia" w:ascii="宋体" w:hAnsi="宋体" w:eastAsia="宋体" w:cs="宋体"/>
          <w:color w:val="auto"/>
          <w:sz w:val="21"/>
          <w:szCs w:val="21"/>
          <w:highlight w:val="none"/>
        </w:rPr>
        <w:t>，甲方将剩余的尾款无息</w:t>
      </w:r>
      <w:r>
        <w:rPr>
          <w:rFonts w:hint="eastAsia" w:ascii="宋体" w:hAnsi="宋体" w:cs="宋体"/>
          <w:color w:val="auto"/>
          <w:sz w:val="21"/>
          <w:szCs w:val="21"/>
          <w:highlight w:val="none"/>
          <w:lang w:val="en-US" w:eastAsia="zh-CN"/>
        </w:rPr>
        <w:t>支付</w:t>
      </w:r>
      <w:r>
        <w:rPr>
          <w:rFonts w:hint="eastAsia" w:ascii="宋体" w:hAnsi="宋体" w:eastAsia="宋体" w:cs="宋体"/>
          <w:color w:val="auto"/>
          <w:sz w:val="21"/>
          <w:szCs w:val="21"/>
          <w:highlight w:val="none"/>
        </w:rPr>
        <w:t>给乙方。若乙方有未按照合同约定进行培训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实行定期巡访、维护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及时提供技术支持</w:t>
      </w:r>
      <w:r>
        <w:rPr>
          <w:rFonts w:hint="eastAsia" w:ascii="宋体" w:hAnsi="宋体" w:eastAsia="宋体" w:cs="宋体"/>
          <w:color w:val="auto"/>
          <w:sz w:val="21"/>
          <w:szCs w:val="21"/>
          <w:highlight w:val="none"/>
        </w:rPr>
        <w:t>等行为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每发现一次扣除尾款的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尾款的</w:t>
      </w:r>
      <w:r>
        <w:rPr>
          <w:rFonts w:hint="eastAsia" w:ascii="宋体" w:hAnsi="宋体" w:cs="宋体"/>
          <w:color w:val="auto"/>
          <w:sz w:val="21"/>
          <w:szCs w:val="21"/>
          <w:highlight w:val="none"/>
          <w:lang w:val="en-US" w:eastAsia="zh-CN"/>
        </w:rPr>
        <w:t>支付</w:t>
      </w:r>
      <w:r>
        <w:rPr>
          <w:rFonts w:hint="eastAsia" w:ascii="宋体" w:hAnsi="宋体" w:eastAsia="宋体" w:cs="宋体"/>
          <w:color w:val="auto"/>
          <w:sz w:val="21"/>
          <w:szCs w:val="21"/>
          <w:highlight w:val="none"/>
        </w:rPr>
        <w:t>，并不能解除乙方按合同约定应负的</w:t>
      </w:r>
      <w:r>
        <w:rPr>
          <w:rFonts w:hint="eastAsia" w:ascii="宋体" w:hAnsi="宋体" w:eastAsia="宋体" w:cs="宋体"/>
          <w:color w:val="auto"/>
          <w:sz w:val="21"/>
          <w:szCs w:val="21"/>
          <w:highlight w:val="none"/>
          <w:lang w:val="en-US" w:eastAsia="zh-CN"/>
        </w:rPr>
        <w:t>运维</w:t>
      </w:r>
      <w:r>
        <w:rPr>
          <w:rFonts w:hint="eastAsia" w:ascii="宋体" w:hAnsi="宋体" w:eastAsia="宋体" w:cs="宋体"/>
          <w:color w:val="auto"/>
          <w:sz w:val="21"/>
          <w:szCs w:val="21"/>
          <w:highlight w:val="none"/>
        </w:rPr>
        <w:t>责任。</w:t>
      </w:r>
    </w:p>
    <w:p w14:paraId="7D611CFF">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第九条  质量保证及运维</w:t>
      </w:r>
    </w:p>
    <w:p w14:paraId="0D07ED0A">
      <w:pPr>
        <w:pStyle w:val="2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1.本合同质保期</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年，质保起始日期从验收合格之日起算。乙方保证软硬件在报废前正常运行。</w:t>
      </w:r>
    </w:p>
    <w:p w14:paraId="55948276">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乙方保证软硬件在质保期内免费更换或</w:t>
      </w:r>
      <w:r>
        <w:rPr>
          <w:rFonts w:hint="eastAsia" w:ascii="宋体" w:hAnsi="宋体" w:eastAsia="宋体" w:cs="宋体"/>
          <w:color w:val="auto"/>
          <w:sz w:val="21"/>
          <w:szCs w:val="21"/>
          <w:highlight w:val="none"/>
          <w:lang w:val="en-US" w:eastAsia="zh-CN"/>
        </w:rPr>
        <w:t>维</w:t>
      </w:r>
      <w:r>
        <w:rPr>
          <w:rFonts w:hint="eastAsia" w:ascii="宋体" w:hAnsi="宋体" w:eastAsia="宋体" w:cs="宋体"/>
          <w:color w:val="auto"/>
          <w:sz w:val="21"/>
          <w:szCs w:val="21"/>
          <w:highlight w:val="none"/>
        </w:rPr>
        <w:t>修。具体如下：质保期内，若硬件出现质量问题，乙方应当免费更换整机；质保期内，乙方对软硬件提供全免费保修及维护，包括但不限于：免维修维护费、免费更换零配件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自然灾害及人为故意损坏除外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09CC820">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乙方提供现场维修维护，乙方维修人员在收到故障报告后保证</w:t>
      </w:r>
      <w:r>
        <w:rPr>
          <w:rFonts w:hint="eastAsia" w:ascii="宋体" w:hAnsi="宋体" w:eastAsia="宋体" w:cs="宋体"/>
          <w:color w:val="auto"/>
          <w:sz w:val="21"/>
          <w:szCs w:val="21"/>
          <w:highlight w:val="none"/>
          <w:u w:val="single"/>
        </w:rPr>
        <w:t xml:space="preserve"> 20 </w:t>
      </w:r>
      <w:r>
        <w:rPr>
          <w:rFonts w:hint="eastAsia" w:ascii="宋体" w:hAnsi="宋体" w:eastAsia="宋体" w:cs="宋体"/>
          <w:color w:val="auto"/>
          <w:sz w:val="21"/>
          <w:szCs w:val="21"/>
          <w:highlight w:val="none"/>
        </w:rPr>
        <w:t>分钟内到达现场，一般常规类故障保证在</w:t>
      </w:r>
      <w:r>
        <w:rPr>
          <w:rFonts w:hint="eastAsia" w:ascii="宋体" w:hAnsi="宋体" w:eastAsia="宋体" w:cs="宋体"/>
          <w:color w:val="auto"/>
          <w:sz w:val="21"/>
          <w:szCs w:val="21"/>
          <w:highlight w:val="none"/>
          <w:u w:val="single"/>
        </w:rPr>
        <w:t xml:space="preserve"> 1</w:t>
      </w:r>
      <w:r>
        <w:rPr>
          <w:rFonts w:hint="eastAsia" w:ascii="宋体" w:hAnsi="宋体" w:eastAsia="宋体" w:cs="宋体"/>
          <w:color w:val="auto"/>
          <w:sz w:val="21"/>
          <w:szCs w:val="21"/>
          <w:highlight w:val="none"/>
        </w:rPr>
        <w:t>天内修复，复杂疑难类故障保证在</w:t>
      </w:r>
      <w:r>
        <w:rPr>
          <w:rFonts w:hint="eastAsia" w:ascii="宋体" w:hAnsi="宋体" w:eastAsia="宋体" w:cs="宋体"/>
          <w:color w:val="auto"/>
          <w:sz w:val="21"/>
          <w:szCs w:val="21"/>
          <w:highlight w:val="none"/>
          <w:u w:val="single"/>
        </w:rPr>
        <w:t xml:space="preserve"> 3</w:t>
      </w:r>
      <w:r>
        <w:rPr>
          <w:rFonts w:hint="eastAsia" w:ascii="宋体" w:hAnsi="宋体" w:eastAsia="宋体" w:cs="宋体"/>
          <w:color w:val="auto"/>
          <w:sz w:val="21"/>
          <w:szCs w:val="21"/>
          <w:highlight w:val="none"/>
        </w:rPr>
        <w:t>天内修复，若</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天内不能修复，每超出</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天，质保期顺延</w:t>
      </w:r>
      <w:r>
        <w:rPr>
          <w:rFonts w:hint="eastAsia"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rPr>
        <w:t>天，修复时间超过1天（含1天）的由乙方提供同等配置备机或备件临时使用，直至故障修复。</w:t>
      </w:r>
    </w:p>
    <w:p w14:paraId="387579D6">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乙方对软硬件实行定期</w:t>
      </w:r>
      <w:r>
        <w:rPr>
          <w:rFonts w:hint="eastAsia" w:ascii="宋体" w:hAnsi="宋体" w:eastAsia="宋体" w:cs="宋体"/>
          <w:color w:val="auto"/>
          <w:sz w:val="21"/>
          <w:szCs w:val="21"/>
          <w:highlight w:val="none"/>
          <w:lang w:eastAsia="zh-CN"/>
        </w:rPr>
        <w:t>（每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天一次，每年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次）巡访、维护。</w:t>
      </w:r>
    </w:p>
    <w:p w14:paraId="5D81A670">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乙方对甲方在使用硬件设备及软件系统过程中发生的技术问题提供免费技术支持。</w:t>
      </w:r>
    </w:p>
    <w:p w14:paraId="6A84FBEC">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乙方维修和技术支持电话：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89D11B">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第十条  甲乙双方的权利和义务</w:t>
      </w:r>
    </w:p>
    <w:p w14:paraId="65AD7D99">
      <w:pPr>
        <w:spacing w:before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（一）甲方的权利和义务</w:t>
      </w:r>
    </w:p>
    <w:p w14:paraId="4EB56A6A">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负责合同签订后甲方的组织与协调工作。</w:t>
      </w:r>
    </w:p>
    <w:p w14:paraId="6D2EC8A4">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负责甲方应提供的软硬件及服务安装调试所必须的场地和环境。</w:t>
      </w:r>
    </w:p>
    <w:p w14:paraId="68D686C1">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负责组织成立验收小组对软硬件及服务进行验收并签署验收报告。</w:t>
      </w:r>
    </w:p>
    <w:p w14:paraId="7109577B">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按照合同约定支付货款。</w:t>
      </w:r>
    </w:p>
    <w:p w14:paraId="212543D1">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（二）乙方的权利和义务</w:t>
      </w:r>
    </w:p>
    <w:p w14:paraId="21D498C3">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乙方保证提供的软硬件符合采购文件的要求、是全新的、并符合国家标准和企业标准；进口的仪器设备具有完整的进口手续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包括入关证明、商品检验证明等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3BBB947">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乙方应提前告知甲方</w:t>
      </w:r>
      <w:r>
        <w:rPr>
          <w:rFonts w:hint="eastAsia" w:ascii="宋体" w:hAnsi="宋体" w:eastAsia="宋体" w:cs="宋体"/>
          <w:color w:val="auto"/>
          <w:sz w:val="21"/>
          <w:szCs w:val="21"/>
          <w:highlight w:val="none"/>
          <w:lang w:val="en-US" w:eastAsia="zh-CN"/>
        </w:rPr>
        <w:t>硬件</w:t>
      </w:r>
      <w:r>
        <w:rPr>
          <w:rFonts w:hint="eastAsia" w:ascii="宋体" w:hAnsi="宋体" w:eastAsia="宋体" w:cs="宋体"/>
          <w:color w:val="auto"/>
          <w:sz w:val="21"/>
          <w:szCs w:val="21"/>
          <w:highlight w:val="none"/>
        </w:rPr>
        <w:t>设备涉及的</w:t>
      </w:r>
      <w:r>
        <w:rPr>
          <w:rFonts w:hint="eastAsia" w:ascii="宋体" w:hAnsi="宋体" w:eastAsia="宋体" w:cs="宋体"/>
          <w:color w:val="auto"/>
          <w:sz w:val="21"/>
          <w:szCs w:val="21"/>
          <w:highlight w:val="none"/>
          <w:lang w:val="en-US" w:eastAsia="zh-CN"/>
        </w:rPr>
        <w:t>耗材、</w:t>
      </w:r>
      <w:r>
        <w:rPr>
          <w:rFonts w:hint="eastAsia" w:ascii="宋体" w:hAnsi="宋体" w:eastAsia="宋体" w:cs="宋体"/>
          <w:color w:val="auto"/>
          <w:sz w:val="21"/>
          <w:szCs w:val="21"/>
          <w:highlight w:val="none"/>
        </w:rPr>
        <w:t>配件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质保期外的维修维保费用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以及安装条件。</w:t>
      </w:r>
    </w:p>
    <w:p w14:paraId="6C45EAB7">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本合同期满，若甲方需要乙方继续提供运维保障服务，双方须依据甲方需求另行签订服务合同，具体费用双方另行商定，原则上不超过本合同价款的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以招标文件为准</w:t>
      </w:r>
      <w:r>
        <w:rPr>
          <w:rFonts w:hint="eastAsia" w:ascii="宋体" w:hAnsi="宋体" w:eastAsia="宋体" w:cs="宋体"/>
          <w:color w:val="auto"/>
          <w:sz w:val="21"/>
          <w:szCs w:val="21"/>
          <w:highlight w:val="none"/>
          <w:lang w:eastAsia="zh-CN"/>
        </w:rPr>
        <w:t>）</w:t>
      </w:r>
    </w:p>
    <w:p w14:paraId="4CA9FB9E">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提供的硬件设施及软件产品，必须满足甲方现有基础设施及软件系统可接入条件，并保证符合国家网络信息安全要求。如乙方提供的硬件设施及软件产品无法接入甲方现有基础设施及软件系统，或不符合国家网络信息安全要求，需在前期需求调研时告知甲方，明确需要增加的安全设备及接入辅助设备等。如未告知，则甲方可</w:t>
      </w:r>
      <w:r>
        <w:rPr>
          <w:rFonts w:hint="eastAsia" w:ascii="宋体" w:hAnsi="宋体" w:eastAsia="宋体" w:cs="宋体"/>
          <w:color w:val="auto"/>
          <w:sz w:val="21"/>
          <w:szCs w:val="21"/>
          <w:highlight w:val="none"/>
          <w:lang w:val="en-US" w:eastAsia="zh-CN"/>
        </w:rPr>
        <w:t>以随时解除合同，由此给甲方造成财产损失的，乙方承担相应赔偿责任。</w:t>
      </w:r>
    </w:p>
    <w:p w14:paraId="3A4C4946">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乙方负责实现项目软件系统与医院现有信息系统的对接工作，包括但不限于：HIS、PACS、LIS、心电、手麻、无纸化、CA电子签名、统一预约、统一门户登录、分诊排队叫号、移动护理、集成平台、数据中心等业务系统，必须免费开放接口，配合与其他系统的对接，实现系统间的数据交互、数据共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根据项目要求</w:t>
      </w:r>
      <w:r>
        <w:rPr>
          <w:rFonts w:hint="eastAsia" w:ascii="宋体" w:hAnsi="宋体" w:eastAsia="宋体" w:cs="宋体"/>
          <w:color w:val="auto"/>
          <w:sz w:val="21"/>
          <w:szCs w:val="21"/>
          <w:highlight w:val="none"/>
          <w:lang w:eastAsia="zh-CN"/>
        </w:rPr>
        <w:t>）</w:t>
      </w:r>
    </w:p>
    <w:p w14:paraId="72F2DE3A">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项目建设与其他第三方厂商有接口开发，设备接入和网络信息安全等工作内容，涉及建设费用必须在项目前期需求调研及开工实施前配合甲方完成评估，并形成建设方案。如前期未完成建设方案或在建设方案内未包含足够预算，导致实施时产生的额外费用，由乙方承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根据项目要求</w:t>
      </w:r>
      <w:r>
        <w:rPr>
          <w:rFonts w:hint="eastAsia" w:ascii="宋体" w:hAnsi="宋体" w:eastAsia="宋体" w:cs="宋体"/>
          <w:color w:val="auto"/>
          <w:sz w:val="21"/>
          <w:szCs w:val="21"/>
          <w:highlight w:val="none"/>
          <w:lang w:eastAsia="zh-CN"/>
        </w:rPr>
        <w:t>）</w:t>
      </w:r>
    </w:p>
    <w:p w14:paraId="498F375C">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具有与甲方医院信息系统联接进行信息交换功能的软件系统、仪器设备及附带的软件系统、软件改造技术服务等，必须免费提供数据接口和相关的联接附件，并协助完成安装调试。可满足标准化的数据（含音频、视频、图像等各类数据）传输要求和医院数据采集需求，与第三方对接产生的所有费用由乙方承担。</w:t>
      </w:r>
    </w:p>
    <w:p w14:paraId="2B5D62AF">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在整个项目实施过程中，因乙方操作不当导致医院的设备损坏、数据丢失、业务停机等问题，造成的损失由乙方承担。</w:t>
      </w:r>
    </w:p>
    <w:p w14:paraId="09FF3BA1">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乙方保证提供的软硬件未侵犯第三人知识产权及其他权利，若有前述情形发生，甲方有权解除本合同且不支付任何费用，同时乙方需对此承担相应的侵权赔偿责任，由此给甲方造成损失的（包括但不限于甲方被司法机关判定承担赔偿责任、甲方应诉产生的诉讼费、律师费、交通费、公证费等），由乙方承担相应赔偿责任。</w:t>
      </w:r>
    </w:p>
    <w:p w14:paraId="490BB267">
      <w:pPr>
        <w:spacing w:beforeLines="0" w:line="360" w:lineRule="auto"/>
        <w:ind w:firstLine="420"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10.按照合同约定交付采购项目、完成相关服务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并履行合同约定的其他义务。11.</w:t>
      </w:r>
      <w:r>
        <w:rPr>
          <w:rFonts w:hint="eastAsia" w:ascii="宋体" w:hAnsi="宋体" w:eastAsia="宋体" w:cs="宋体"/>
          <w:color w:val="auto"/>
          <w:sz w:val="21"/>
          <w:szCs w:val="21"/>
          <w:highlight w:val="none"/>
        </w:rPr>
        <w:t>乙方指定联系人：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FAA875E">
      <w:pPr>
        <w:spacing w:beforeLines="0"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第十一条  知识产权</w:t>
      </w:r>
    </w:p>
    <w:p w14:paraId="3BCEB4B6">
      <w:pPr>
        <w:spacing w:beforeLines="0" w:line="360" w:lineRule="auto"/>
        <w:ind w:firstLine="422" w:firstLineChars="20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根据项目要求</w:t>
      </w:r>
      <w:r>
        <w:rPr>
          <w:rFonts w:hint="eastAsia" w:ascii="宋体" w:hAnsi="宋体" w:eastAsia="宋体" w:cs="宋体"/>
          <w:b/>
          <w:color w:val="auto"/>
          <w:sz w:val="21"/>
          <w:szCs w:val="21"/>
          <w:highlight w:val="none"/>
          <w:lang w:eastAsia="zh-CN"/>
        </w:rPr>
        <w:t>）</w:t>
      </w:r>
    </w:p>
    <w:p w14:paraId="4600086B">
      <w:pPr>
        <w:spacing w:beforeLines="0" w:line="360" w:lineRule="auto"/>
        <w:ind w:firstLine="422" w:firstLineChars="200"/>
        <w:rPr>
          <w:rFonts w:hint="eastAsia" w:ascii="宋体" w:hAnsi="宋体" w:eastAsia="宋体" w:cs="宋体"/>
          <w:b/>
          <w:color w:val="auto"/>
          <w:sz w:val="21"/>
          <w:szCs w:val="21"/>
          <w:highlight w:val="none"/>
          <w:lang w:eastAsia="zh-Hans"/>
        </w:rPr>
      </w:pPr>
      <w:r>
        <w:rPr>
          <w:rFonts w:hint="eastAsia" w:ascii="宋体" w:hAnsi="宋体" w:eastAsia="宋体" w:cs="宋体"/>
          <w:b/>
          <w:color w:val="auto"/>
          <w:sz w:val="21"/>
          <w:szCs w:val="21"/>
          <w:highlight w:val="none"/>
        </w:rPr>
        <w:t>乙方拥有版权</w:t>
      </w:r>
    </w:p>
    <w:p w14:paraId="772A3048">
      <w:pPr>
        <w:spacing w:beforeLines="0" w:line="360" w:lineRule="auto"/>
        <w:ind w:firstLine="420" w:firstLineChars="20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本合同所涉及的应用软件（包括其升级产品）的知识产权，归乙方拥有。未经乙方书面授权，甲方不得对应用软件结构进行根本修改。</w:t>
      </w:r>
    </w:p>
    <w:p w14:paraId="69163568">
      <w:pPr>
        <w:spacing w:beforeLines="0" w:line="360" w:lineRule="auto"/>
        <w:ind w:firstLine="420" w:firstLineChars="20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应甲方需求，乙方专门为甲方设计的应用软件（包括其升级产品）的知识产权，包括可能产生的著作权、专利等，归甲方拥有。未经甲方书面授权，乙方不得对应用软件结构进行根本修改。乙方不得擅自使用或允许第三人使用。</w:t>
      </w:r>
    </w:p>
    <w:p w14:paraId="408E3B81">
      <w:pPr>
        <w:spacing w:beforeLines="0" w:line="360" w:lineRule="auto"/>
        <w:ind w:firstLine="422" w:firstLineChars="200"/>
        <w:rPr>
          <w:rFonts w:hint="eastAsia" w:ascii="宋体" w:hAnsi="宋体" w:eastAsia="宋体" w:cs="宋体"/>
          <w:b/>
          <w:color w:val="auto"/>
          <w:sz w:val="21"/>
          <w:szCs w:val="21"/>
          <w:highlight w:val="none"/>
          <w:lang w:eastAsia="zh-Hans"/>
        </w:rPr>
      </w:pPr>
      <w:r>
        <w:rPr>
          <w:rFonts w:hint="eastAsia" w:ascii="宋体" w:hAnsi="宋体" w:eastAsia="宋体" w:cs="宋体"/>
          <w:b/>
          <w:color w:val="auto"/>
          <w:sz w:val="21"/>
          <w:szCs w:val="21"/>
          <w:highlight w:val="none"/>
        </w:rPr>
        <w:t>甲方拥有版权</w:t>
      </w:r>
    </w:p>
    <w:p w14:paraId="696FCCDC">
      <w:pPr>
        <w:spacing w:beforeLines="0" w:line="360" w:lineRule="auto"/>
        <w:ind w:firstLine="420" w:firstLineChars="20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在甲方向乙方足额支付技术开发费用后，乙方开发的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系统</w:t>
      </w:r>
      <w:r>
        <w:rPr>
          <w:rFonts w:hint="eastAsia" w:ascii="宋体" w:hAnsi="宋体" w:eastAsia="宋体" w:cs="宋体"/>
          <w:color w:val="auto"/>
          <w:sz w:val="21"/>
          <w:szCs w:val="21"/>
          <w:highlight w:val="none"/>
          <w:lang w:eastAsia="zh-Hans"/>
        </w:rPr>
        <w:t>的知识产权归甲方所有，乙方为甲方进行申报、备案等服务，申报过程中涉及的费用由甲方承担。</w:t>
      </w:r>
    </w:p>
    <w:p w14:paraId="09A66C58">
      <w:pPr>
        <w:widowControl/>
        <w:numPr>
          <w:ilvl w:val="-1"/>
          <w:numId w:val="0"/>
        </w:numPr>
        <w:spacing w:before="0" w:beforeLines="0" w:after="0" w:afterAutospacing="0" w:line="360" w:lineRule="auto"/>
        <w:ind w:firstLine="422" w:firstLineChars="200"/>
        <w:contextualSpacing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第十二条 廉洁条款</w:t>
      </w:r>
    </w:p>
    <w:p w14:paraId="700515B9">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1.乙方指定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lang w:val="en-US" w:eastAsia="zh-CN"/>
        </w:rPr>
        <w:t>身份证号码</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lang w:val="en-US" w:eastAsia="zh-CN"/>
        </w:rPr>
        <w:t>联系方式：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lang w:val="en-US" w:eastAsia="zh-CN"/>
        </w:rPr>
        <w:t>作为销售代表洽谈业务。销售代表必须在工作时间到甲方指定地点联系商谈，不得到住院部、门诊部、医技科室等推销医药产品，不得借故到甲方相关领导、部门负责人及相关工作人员家中访谈并提供任何好处。</w:t>
      </w:r>
    </w:p>
    <w:p w14:paraId="75358F82">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禁止商业贿赂。甲乙双方承诺在购销活动中严格遵守国家法律法规，禁止任何形式的商业贿赂行为。乙方不得在学术活动中提供旅游、超标准支付食宿费用，不得以任何名义向甲方工作人员提供回扣、礼金、有价证券、贵重物品或其他不正当利益。</w:t>
      </w:r>
    </w:p>
    <w:p w14:paraId="5661BE8A">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禁止利益输送。乙方不得要求甲方工作人员利用任何途径和方式，统计医师个人及临床科室有关医药产品用量信息，或为乙方统计提供便利，不得通过虚构交易、虚报价格、虚假宣传等方式谋取不正当利益。甲方工作人员不得利用职务之便为乙方谋取不正当利益。</w:t>
      </w:r>
    </w:p>
    <w:p w14:paraId="0C87F695">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4.禁止不正当竞争。乙方不得通过诋毁竞争对手、串通投标、围标串标等不正当手段获取交易机会。</w:t>
      </w:r>
    </w:p>
    <w:p w14:paraId="2C8ECB74">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廉洁监督。甲方有权对乙方的履约行为进行监督，乙方应积极配合甲方的廉洁检查。如发现乙方存在违反廉洁条款的行为，甲方有权终止合同，并追究乙方的法律责任。如甲方工作人员存在索贿、受贿等行为，乙方应及时向甲方反映，甲方依纪依法依规处理。</w:t>
      </w:r>
    </w:p>
    <w:p w14:paraId="54880572">
      <w:pPr>
        <w:spacing w:before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6.举报机制。甲乙双方应建立廉洁举报机制，任何一方发现对方存在违反廉洁条款的行为，均可向相关部门举报。</w:t>
      </w:r>
    </w:p>
    <w:p w14:paraId="14E2B56A">
      <w:pPr>
        <w:widowControl/>
        <w:numPr>
          <w:ilvl w:val="-1"/>
          <w:numId w:val="0"/>
        </w:numPr>
        <w:spacing w:before="0" w:beforeLines="0" w:after="0" w:afterAutospacing="0" w:line="360" w:lineRule="auto"/>
        <w:ind w:firstLine="422" w:firstLineChars="200"/>
        <w:contextualSpacing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第十三条 保密条款</w:t>
      </w:r>
    </w:p>
    <w:p w14:paraId="0A1FEEC6">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保密信息：本条款所称“保密信息”包括但不限于：甲方提供的用户数据、业务资料、技术文档（含网络拓扑、设备配置、程序源代码）、项目规划、商业策略、财务信息、</w:t>
      </w:r>
      <w:r>
        <w:rPr>
          <w:rFonts w:hint="eastAsia" w:ascii="宋体" w:hAnsi="宋体" w:eastAsia="宋体" w:cs="宋体"/>
          <w:color w:val="auto"/>
          <w:sz w:val="21"/>
          <w:szCs w:val="21"/>
          <w:highlight w:val="none"/>
          <w:lang w:val="en-US" w:eastAsia="zh-CN"/>
        </w:rPr>
        <w:t>人力资源</w:t>
      </w:r>
      <w:r>
        <w:rPr>
          <w:rFonts w:hint="eastAsia" w:ascii="宋体" w:hAnsi="宋体" w:eastAsia="宋体" w:cs="宋体"/>
          <w:color w:val="auto"/>
          <w:sz w:val="21"/>
          <w:szCs w:val="21"/>
          <w:highlight w:val="none"/>
          <w:lang w:eastAsia="zh-CN"/>
        </w:rPr>
        <w:t>及任何标注“保密”或依性质应保密的口头/书面信息。</w:t>
      </w:r>
    </w:p>
    <w:p w14:paraId="7A4A78AB">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保密信息不包含：已公开发表或非因乙方过错进入公知领域的信息；甲方书面授权可公开的信息；乙方独立开发且未利用甲方保密信息的内容。</w:t>
      </w:r>
    </w:p>
    <w:p w14:paraId="5BA32F2E">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乙方及其雇员、代理人、关联方（统称“保密义务人”）应对保密信息严格保密，未经甲方书面许可，不得向任何第三方披露、使用或允许他人使用，且保密义务不因合同终止而免除。</w:t>
      </w:r>
    </w:p>
    <w:p w14:paraId="6B30E610">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乙方须采取不低于保护自身商业秘密的合理措施（如加密存储、访问权限控制）保管保密信息，确保其安全性。合同终止后，乙方应立即归还或销毁全部保密资料，不得保留副本。</w:t>
      </w:r>
    </w:p>
    <w:p w14:paraId="1BC2E59F">
      <w:pPr>
        <w:spacing w:before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若发生泄密事件，乙方须24小时内书面通知甲方，并配合采取补救措施（如删除数据、追究责任人）。</w:t>
      </w:r>
    </w:p>
    <w:p w14:paraId="67A9B2C9">
      <w:pPr>
        <w:widowControl/>
        <w:numPr>
          <w:ilvl w:val="0"/>
          <w:numId w:val="0"/>
        </w:numPr>
        <w:spacing w:beforeLines="0"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第十四条 </w:t>
      </w:r>
      <w:r>
        <w:rPr>
          <w:rFonts w:hint="eastAsia" w:ascii="宋体" w:hAnsi="宋体" w:cs="宋体"/>
          <w:b/>
          <w:bCs/>
          <w:color w:val="auto"/>
          <w:sz w:val="21"/>
          <w:szCs w:val="21"/>
          <w:highlight w:val="none"/>
        </w:rPr>
        <w:t>网络信息与数据安全</w:t>
      </w:r>
      <w:r>
        <w:rPr>
          <w:rFonts w:hint="eastAsia" w:ascii="宋体" w:hAnsi="宋体" w:cs="宋体"/>
          <w:b/>
          <w:bCs/>
          <w:color w:val="auto"/>
          <w:sz w:val="21"/>
          <w:szCs w:val="21"/>
          <w:highlight w:val="none"/>
          <w:lang w:val="en-US" w:eastAsia="zh-CN"/>
        </w:rPr>
        <w:t>条款</w:t>
      </w:r>
    </w:p>
    <w:p w14:paraId="6D77526B">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系统的规划、建设、运行必须符合《中华人民共和国网络安全法》《中华人民共和国密码法》《中华人民共和国数据保护法》《中华人民共和国个人信息保护法》《信息安全技术 网络安全等级保护基本要求》《医疗卫生机构网络安全管理办法》《昆明医科大学第一附属医院网络信息与数据安全保护办法》《昆明医科大学第一附属医院第三方网络信息与数据安全管理办法》等网络安全相关法律法规和规章制度</w:t>
      </w:r>
      <w:r>
        <w:rPr>
          <w:rFonts w:hint="eastAsia" w:ascii="宋体" w:hAnsi="宋体" w:cs="宋体"/>
          <w:color w:val="auto"/>
          <w:sz w:val="21"/>
          <w:szCs w:val="21"/>
          <w:highlight w:val="none"/>
          <w:lang w:eastAsia="zh-CN"/>
        </w:rPr>
        <w:t>。</w:t>
      </w:r>
    </w:p>
    <w:p w14:paraId="21CB5818">
      <w:pPr>
        <w:numPr>
          <w:ilvl w:val="-1"/>
          <w:numId w:val="0"/>
        </w:numPr>
        <w:spacing w:beforeLines="0" w:line="360" w:lineRule="auto"/>
        <w:ind w:firstLine="420" w:firstLineChars="200"/>
        <w:rPr>
          <w:rFonts w:hint="eastAsia" w:ascii="宋体" w:hAnsi="宋体" w:cs="宋体"/>
          <w:b w:val="0"/>
          <w:bCs w:val="0"/>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项目采用的产品禁止使用未通过网络安全审查的公司产品</w:t>
      </w:r>
      <w:r>
        <w:rPr>
          <w:rFonts w:hint="eastAsia" w:ascii="宋体" w:hAnsi="宋体" w:cs="宋体"/>
          <w:b w:val="0"/>
          <w:bCs w:val="0"/>
          <w:color w:val="auto"/>
          <w:sz w:val="21"/>
          <w:szCs w:val="21"/>
          <w:highlight w:val="none"/>
          <w:lang w:eastAsia="zh-CN"/>
        </w:rPr>
        <w:t>。</w:t>
      </w:r>
    </w:p>
    <w:p w14:paraId="6A086CFA">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3.</w:t>
      </w:r>
      <w:r>
        <w:rPr>
          <w:rFonts w:hint="eastAsia" w:ascii="宋体" w:hAnsi="宋体" w:cs="宋体"/>
          <w:color w:val="auto"/>
          <w:sz w:val="21"/>
          <w:szCs w:val="21"/>
          <w:highlight w:val="none"/>
        </w:rPr>
        <w:t>项目使用的云计算服务（云平台）应根据《中央网络安全和信息化领导小组办公室关于加强党政部门云计算服务网络安全管理意见》（中网办发文[2014]14号）和《关于党政机关采购使用通过安全评估的云计算服务的通知》等有关规定要求，通过云计算服务安全评估专业技术机构的评估</w:t>
      </w:r>
      <w:r>
        <w:rPr>
          <w:rFonts w:hint="eastAsia" w:ascii="宋体" w:hAnsi="宋体" w:cs="宋体"/>
          <w:color w:val="auto"/>
          <w:sz w:val="21"/>
          <w:szCs w:val="21"/>
          <w:highlight w:val="none"/>
          <w:lang w:eastAsia="zh-CN"/>
        </w:rPr>
        <w:t>。</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如涉及需</w:t>
      </w:r>
      <w:r>
        <w:rPr>
          <w:rFonts w:hint="eastAsia" w:ascii="宋体" w:hAnsi="宋体" w:cs="宋体"/>
          <w:b w:val="0"/>
          <w:bCs w:val="0"/>
          <w:color w:val="auto"/>
          <w:sz w:val="21"/>
          <w:szCs w:val="21"/>
          <w:highlight w:val="none"/>
        </w:rPr>
        <w:t>提供通过云计算服务安全评估的承诺书）</w:t>
      </w:r>
    </w:p>
    <w:p w14:paraId="3256C393">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项目采用的生成式人工智能技术应符合《生成式人工智能服务管理暂行办法》的相关要求</w:t>
      </w:r>
      <w:r>
        <w:rPr>
          <w:rFonts w:hint="eastAsia" w:ascii="宋体" w:hAnsi="宋体" w:cs="宋体"/>
          <w:color w:val="auto"/>
          <w:sz w:val="21"/>
          <w:szCs w:val="21"/>
          <w:highlight w:val="none"/>
          <w:lang w:eastAsia="zh-CN"/>
        </w:rPr>
        <w:t>。</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如涉及</w:t>
      </w:r>
      <w:r>
        <w:rPr>
          <w:rFonts w:hint="eastAsia" w:ascii="宋体" w:hAnsi="宋体" w:cs="宋体"/>
          <w:b w:val="0"/>
          <w:bCs w:val="0"/>
          <w:color w:val="auto"/>
          <w:sz w:val="21"/>
          <w:szCs w:val="21"/>
          <w:highlight w:val="none"/>
        </w:rPr>
        <w:t>需提供生成式人工智能服务备案证明）</w:t>
      </w:r>
    </w:p>
    <w:p w14:paraId="293B4AB1">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项目采用的生成式人工智能服务如具备舆论属性或者社会动员能力的，应按照国家有关规定开展安全评估，并按照《互联网信息服务算法推荐管理规定》履行算法备案和变更、注销备案手续</w:t>
      </w:r>
      <w:r>
        <w:rPr>
          <w:rFonts w:hint="eastAsia" w:ascii="宋体" w:hAnsi="宋体" w:cs="宋体"/>
          <w:color w:val="auto"/>
          <w:sz w:val="21"/>
          <w:szCs w:val="21"/>
          <w:highlight w:val="none"/>
          <w:lang w:eastAsia="zh-CN"/>
        </w:rPr>
        <w:t>。</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如涉及需</w:t>
      </w:r>
      <w:r>
        <w:rPr>
          <w:rFonts w:hint="eastAsia" w:ascii="宋体" w:hAnsi="宋体" w:cs="宋体"/>
          <w:b w:val="0"/>
          <w:bCs w:val="0"/>
          <w:color w:val="auto"/>
          <w:sz w:val="21"/>
          <w:szCs w:val="21"/>
          <w:highlight w:val="none"/>
        </w:rPr>
        <w:t>提供含算法名称、是否备案的承诺书）</w:t>
      </w:r>
    </w:p>
    <w:p w14:paraId="1DA13A6B">
      <w:pPr>
        <w:numPr>
          <w:ilvl w:val="-1"/>
          <w:numId w:val="0"/>
        </w:numPr>
        <w:spacing w:beforeLines="0" w:line="360" w:lineRule="auto"/>
        <w:ind w:firstLine="420" w:firstLineChars="200"/>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项目采用的人脸识别技术应用应符合《人脸识别技术应用安全管理办法》的要求</w:t>
      </w:r>
      <w:r>
        <w:rPr>
          <w:rFonts w:hint="eastAsia" w:ascii="宋体" w:hAnsi="宋体" w:cs="宋体"/>
          <w:color w:val="auto"/>
          <w:sz w:val="21"/>
          <w:szCs w:val="21"/>
          <w:highlight w:val="none"/>
          <w:lang w:eastAsia="zh-CN"/>
        </w:rPr>
        <w:t>。</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如涉及</w:t>
      </w:r>
      <w:r>
        <w:rPr>
          <w:rFonts w:hint="eastAsia" w:ascii="宋体" w:hAnsi="宋体" w:cs="宋体"/>
          <w:b w:val="0"/>
          <w:bCs w:val="0"/>
          <w:color w:val="auto"/>
          <w:sz w:val="21"/>
          <w:szCs w:val="21"/>
          <w:highlight w:val="none"/>
        </w:rPr>
        <w:t>需提供承诺函）</w:t>
      </w:r>
    </w:p>
    <w:p w14:paraId="7FCB3E91">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乙方需承诺配合甲方及使用方开展相关网络产品和服务的网络安全审查工作，根据甲方要求提交相关材料，配合做好现场评估、整改等工作</w:t>
      </w:r>
      <w:r>
        <w:rPr>
          <w:rFonts w:hint="eastAsia" w:ascii="宋体" w:hAnsi="宋体" w:cs="宋体"/>
          <w:color w:val="auto"/>
          <w:sz w:val="21"/>
          <w:szCs w:val="21"/>
          <w:highlight w:val="none"/>
          <w:lang w:eastAsia="zh-CN"/>
        </w:rPr>
        <w:t>。</w:t>
      </w:r>
    </w:p>
    <w:p w14:paraId="1C4FA62C">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乙方应做好源代码及配置文件安全保护，并保证其交付的软件源代码不外泄，当乙方源代码托管到第三方代码托管平台管理时，须采取严格的安全管控措施，并向甲方及使用方报批，经甲方及使用方书面批准后方可实施，后续若由于托管导致甲方及使用方利益受损，乙方应承担全部责任</w:t>
      </w:r>
      <w:r>
        <w:rPr>
          <w:rFonts w:hint="eastAsia" w:ascii="宋体" w:hAnsi="宋体" w:cs="宋体"/>
          <w:color w:val="auto"/>
          <w:sz w:val="21"/>
          <w:szCs w:val="21"/>
          <w:highlight w:val="none"/>
          <w:lang w:eastAsia="zh-CN"/>
        </w:rPr>
        <w:t>。</w:t>
      </w:r>
    </w:p>
    <w:p w14:paraId="30D12ECF">
      <w:pPr>
        <w:numPr>
          <w:ilvl w:val="-1"/>
          <w:numId w:val="0"/>
        </w:numPr>
        <w:spacing w:before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乙方应加强业务连续性资源建设，提升应急处置能力，制定产品和服务应急响应预案，预案应包括安全漏洞处置、源代码泄露、产品服务不可用等场景</w:t>
      </w:r>
      <w:r>
        <w:rPr>
          <w:rFonts w:hint="eastAsia" w:ascii="宋体" w:hAnsi="宋体" w:cs="宋体"/>
          <w:color w:val="auto"/>
          <w:sz w:val="21"/>
          <w:szCs w:val="21"/>
          <w:highlight w:val="none"/>
          <w:lang w:eastAsia="zh-CN"/>
        </w:rPr>
        <w:t>。</w:t>
      </w:r>
    </w:p>
    <w:p w14:paraId="38D37DB7">
      <w:pPr>
        <w:spacing w:beforeLines="0"/>
        <w:ind w:firstLine="420" w:firstLineChars="20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乙方应加强自身网络安全防护体系的建设，严格落实互联网访问控制，加强网络安全管理。</w:t>
      </w:r>
    </w:p>
    <w:p w14:paraId="09A95D19">
      <w:pPr>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条  违约责任</w:t>
      </w:r>
    </w:p>
    <w:p w14:paraId="54D3FE43">
      <w:pPr>
        <w:spacing w:beforeLines="0"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乙方违反本合同第</w:t>
      </w:r>
      <w:r>
        <w:rPr>
          <w:rFonts w:hint="eastAsia" w:ascii="宋体" w:hAnsi="宋体" w:eastAsia="宋体" w:cs="宋体"/>
          <w:color w:val="auto"/>
          <w:sz w:val="21"/>
          <w:szCs w:val="21"/>
          <w:highlight w:val="none"/>
          <w:lang w:eastAsia="zh-Hans"/>
        </w:rPr>
        <w:t>四、五、六、七</w:t>
      </w:r>
      <w:r>
        <w:rPr>
          <w:rFonts w:hint="eastAsia" w:ascii="宋体" w:hAnsi="宋体" w:eastAsia="宋体" w:cs="宋体"/>
          <w:color w:val="auto"/>
          <w:sz w:val="21"/>
          <w:szCs w:val="21"/>
          <w:highlight w:val="none"/>
        </w:rPr>
        <w:t>条约定逾期</w:t>
      </w:r>
      <w:r>
        <w:rPr>
          <w:rFonts w:hint="eastAsia" w:ascii="宋体" w:hAnsi="宋体" w:eastAsia="宋体" w:cs="宋体"/>
          <w:color w:val="auto"/>
          <w:sz w:val="21"/>
          <w:szCs w:val="21"/>
          <w:highlight w:val="none"/>
          <w:lang w:eastAsia="zh-Hans"/>
        </w:rPr>
        <w:t>送货、安装、验收、</w:t>
      </w:r>
      <w:r>
        <w:rPr>
          <w:rFonts w:hint="eastAsia" w:ascii="宋体" w:hAnsi="宋体" w:eastAsia="宋体" w:cs="宋体"/>
          <w:color w:val="auto"/>
          <w:sz w:val="21"/>
          <w:szCs w:val="21"/>
          <w:highlight w:val="none"/>
        </w:rPr>
        <w:t>交货</w:t>
      </w:r>
      <w:r>
        <w:rPr>
          <w:rFonts w:hint="eastAsia" w:ascii="宋体" w:hAnsi="宋体" w:eastAsia="宋体" w:cs="宋体"/>
          <w:color w:val="auto"/>
          <w:sz w:val="21"/>
          <w:szCs w:val="21"/>
          <w:highlight w:val="none"/>
          <w:lang w:eastAsia="zh-Hans"/>
        </w:rPr>
        <w:t>义务的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每逾期一日须向甲方支付合同总价款</w:t>
      </w:r>
      <w:r>
        <w:rPr>
          <w:rFonts w:hint="eastAsia" w:ascii="宋体" w:hAnsi="宋体" w:eastAsia="宋体" w:cs="宋体"/>
          <w:color w:val="auto"/>
          <w:sz w:val="21"/>
          <w:szCs w:val="21"/>
          <w:highlight w:val="none"/>
          <w:u w:val="single"/>
        </w:rPr>
        <w:t>万分之五</w:t>
      </w:r>
      <w:r>
        <w:rPr>
          <w:rFonts w:hint="eastAsia" w:ascii="宋体" w:hAnsi="宋体" w:eastAsia="宋体" w:cs="宋体"/>
          <w:color w:val="auto"/>
          <w:sz w:val="21"/>
          <w:szCs w:val="21"/>
          <w:highlight w:val="none"/>
        </w:rPr>
        <w:t>的违约金，超过20日，甲方有权</w:t>
      </w:r>
      <w:r>
        <w:rPr>
          <w:rFonts w:hint="eastAsia" w:ascii="宋体" w:hAnsi="宋体" w:eastAsia="宋体" w:cs="宋体"/>
          <w:color w:val="auto"/>
          <w:sz w:val="21"/>
          <w:szCs w:val="21"/>
          <w:highlight w:val="none"/>
          <w:lang w:eastAsia="zh-Hans"/>
        </w:rPr>
        <w:t>单方</w:t>
      </w:r>
      <w:r>
        <w:rPr>
          <w:rFonts w:hint="eastAsia" w:ascii="宋体" w:hAnsi="宋体" w:eastAsia="宋体" w:cs="宋体"/>
          <w:color w:val="auto"/>
          <w:sz w:val="21"/>
          <w:szCs w:val="21"/>
          <w:highlight w:val="none"/>
        </w:rPr>
        <w:t>解除合同，另行选择供货方</w:t>
      </w:r>
      <w:bookmarkStart w:id="136" w:name="_Hlk109395886"/>
      <w:r>
        <w:rPr>
          <w:rFonts w:hint="eastAsia" w:ascii="宋体" w:hAnsi="宋体" w:eastAsia="宋体" w:cs="宋体"/>
          <w:color w:val="auto"/>
          <w:sz w:val="21"/>
          <w:szCs w:val="21"/>
          <w:highlight w:val="none"/>
        </w:rPr>
        <w:t>，</w:t>
      </w:r>
      <w:bookmarkStart w:id="137" w:name="_Hlk109395793"/>
      <w:r>
        <w:rPr>
          <w:rFonts w:hint="eastAsia" w:ascii="宋体" w:hAnsi="宋体" w:eastAsia="宋体" w:cs="宋体"/>
          <w:color w:val="auto"/>
          <w:sz w:val="21"/>
          <w:szCs w:val="21"/>
          <w:highlight w:val="none"/>
        </w:rPr>
        <w:t>由此产生的</w:t>
      </w:r>
      <w:r>
        <w:rPr>
          <w:rFonts w:hint="eastAsia" w:ascii="宋体" w:hAnsi="宋体" w:eastAsia="宋体" w:cs="宋体"/>
          <w:color w:val="auto"/>
          <w:sz w:val="21"/>
          <w:szCs w:val="21"/>
          <w:highlight w:val="none"/>
          <w:lang w:eastAsia="zh-Hans"/>
        </w:rPr>
        <w:t>法律责任</w:t>
      </w:r>
      <w:r>
        <w:rPr>
          <w:rFonts w:hint="eastAsia" w:ascii="宋体" w:hAnsi="宋体" w:eastAsia="宋体" w:cs="宋体"/>
          <w:color w:val="auto"/>
          <w:sz w:val="21"/>
          <w:szCs w:val="21"/>
          <w:highlight w:val="none"/>
        </w:rPr>
        <w:t>，由乙方承担</w:t>
      </w:r>
      <w:bookmarkEnd w:id="136"/>
      <w:bookmarkEnd w:id="137"/>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专项建设经整改后仍不能验收通过的，乙方须退还甲方对应建设项目的预付款，乙方因履行项目产生的各项费用由乙方自行承担。</w:t>
      </w:r>
    </w:p>
    <w:p w14:paraId="60161672">
      <w:pPr>
        <w:spacing w:beforeLines="0" w:line="360" w:lineRule="auto"/>
        <w:ind w:firstLine="420" w:firstLineChars="20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CN"/>
        </w:rPr>
        <w:t>2.</w:t>
      </w:r>
      <w:bookmarkStart w:id="138" w:name="OLE_LINK10"/>
      <w:bookmarkStart w:id="139" w:name="OLE_LINK18"/>
      <w:r>
        <w:rPr>
          <w:rFonts w:hint="eastAsia" w:ascii="宋体" w:hAnsi="宋体" w:eastAsia="宋体" w:cs="宋体"/>
          <w:color w:val="auto"/>
          <w:sz w:val="21"/>
          <w:szCs w:val="21"/>
          <w:highlight w:val="none"/>
        </w:rPr>
        <w:t>乙方违反本合同其他约定的，甲方均有权解除合同</w:t>
      </w:r>
      <w:bookmarkStart w:id="140" w:name="OLE_LINK16"/>
      <w:r>
        <w:rPr>
          <w:rFonts w:hint="eastAsia" w:ascii="宋体" w:hAnsi="宋体" w:eastAsia="宋体" w:cs="宋体"/>
          <w:color w:val="auto"/>
          <w:sz w:val="21"/>
          <w:szCs w:val="21"/>
          <w:highlight w:val="none"/>
        </w:rPr>
        <w:t>，乙方应承担损失赔偿责任，还需向甲方支付合同总价款20%</w:t>
      </w:r>
      <w:r>
        <w:rPr>
          <w:rFonts w:hint="eastAsia" w:ascii="宋体" w:hAnsi="宋体" w:eastAsia="宋体" w:cs="宋体"/>
          <w:color w:val="auto"/>
          <w:sz w:val="21"/>
          <w:szCs w:val="21"/>
          <w:highlight w:val="none"/>
          <w:lang w:eastAsia="zh-Hans"/>
        </w:rPr>
        <w:t>的违约金。</w:t>
      </w:r>
      <w:bookmarkEnd w:id="140"/>
      <w:bookmarkStart w:id="141" w:name="OLE_LINK6"/>
      <w:r>
        <w:rPr>
          <w:rFonts w:hint="eastAsia" w:ascii="宋体" w:hAnsi="宋体" w:eastAsia="宋体" w:cs="宋体"/>
          <w:color w:val="auto"/>
          <w:sz w:val="21"/>
          <w:szCs w:val="21"/>
          <w:highlight w:val="none"/>
          <w:lang w:eastAsia="zh-CN"/>
        </w:rPr>
        <w:t>若</w:t>
      </w:r>
      <w:r>
        <w:rPr>
          <w:rFonts w:hint="eastAsia" w:ascii="宋体" w:hAnsi="宋体" w:eastAsia="宋体" w:cs="宋体"/>
          <w:color w:val="auto"/>
          <w:sz w:val="21"/>
          <w:szCs w:val="21"/>
          <w:highlight w:val="none"/>
          <w:lang w:val="en-US" w:eastAsia="zh-CN"/>
        </w:rPr>
        <w:t>乙方违约行为涉及</w:t>
      </w:r>
      <w:r>
        <w:rPr>
          <w:rFonts w:hint="eastAsia" w:ascii="宋体" w:hAnsi="宋体" w:eastAsia="宋体" w:cs="宋体"/>
          <w:color w:val="auto"/>
          <w:sz w:val="21"/>
          <w:szCs w:val="21"/>
          <w:highlight w:val="none"/>
          <w:lang w:eastAsia="zh-CN"/>
        </w:rPr>
        <w:t>犯罪</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eastAsia="zh-CN"/>
        </w:rPr>
        <w:t>，甲方有权移交司法机关处理。</w:t>
      </w:r>
      <w:bookmarkEnd w:id="138"/>
      <w:bookmarkEnd w:id="139"/>
      <w:bookmarkEnd w:id="141"/>
    </w:p>
    <w:p w14:paraId="6AADFFE6">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甲方违反本合同约定逾期支付合同款，则根据逾期天数按照中国人民银行同期存款利率支付违约金，合同继续履行</w:t>
      </w:r>
      <w:bookmarkStart w:id="142" w:name="_Hlk109395811"/>
      <w:r>
        <w:rPr>
          <w:rFonts w:hint="eastAsia" w:ascii="宋体" w:hAnsi="宋体" w:eastAsia="宋体" w:cs="宋体"/>
          <w:color w:val="auto"/>
          <w:sz w:val="21"/>
          <w:szCs w:val="21"/>
          <w:highlight w:val="none"/>
        </w:rPr>
        <w:t>；</w:t>
      </w:r>
      <w:bookmarkStart w:id="143" w:name="_Hlk159409173"/>
      <w:bookmarkStart w:id="144" w:name="_Hlk109395313"/>
      <w:r>
        <w:rPr>
          <w:rFonts w:hint="eastAsia" w:ascii="宋体" w:hAnsi="宋体" w:eastAsia="宋体" w:cs="宋体"/>
          <w:color w:val="auto"/>
          <w:sz w:val="21"/>
          <w:szCs w:val="21"/>
          <w:highlight w:val="none"/>
        </w:rPr>
        <w:t>如受财政支付流程或其他不可抗力因素</w:t>
      </w:r>
      <w:bookmarkEnd w:id="143"/>
      <w:r>
        <w:rPr>
          <w:rFonts w:hint="eastAsia" w:ascii="宋体" w:hAnsi="宋体" w:eastAsia="宋体" w:cs="宋体"/>
          <w:color w:val="auto"/>
          <w:sz w:val="21"/>
          <w:szCs w:val="21"/>
          <w:highlight w:val="none"/>
        </w:rPr>
        <w:t>的影响导致甲方未在规定期限内支付，</w:t>
      </w:r>
      <w:r>
        <w:rPr>
          <w:rFonts w:hint="eastAsia" w:ascii="宋体" w:hAnsi="宋体" w:eastAsia="宋体" w:cs="宋体"/>
          <w:color w:val="auto"/>
          <w:sz w:val="21"/>
          <w:szCs w:val="21"/>
          <w:highlight w:val="none"/>
          <w:lang w:eastAsia="zh-Hans"/>
        </w:rPr>
        <w:t>不视为违约，</w:t>
      </w:r>
      <w:r>
        <w:rPr>
          <w:rFonts w:hint="eastAsia" w:ascii="宋体" w:hAnsi="宋体" w:eastAsia="宋体" w:cs="宋体"/>
          <w:color w:val="auto"/>
          <w:sz w:val="21"/>
          <w:szCs w:val="21"/>
          <w:highlight w:val="none"/>
        </w:rPr>
        <w:t>付款期限相应顺延。</w:t>
      </w:r>
      <w:bookmarkEnd w:id="142"/>
      <w:bookmarkEnd w:id="144"/>
    </w:p>
    <w:p w14:paraId="019B2666">
      <w:pPr>
        <w:spacing w:before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 xml:space="preserve">条  </w:t>
      </w:r>
      <w:r>
        <w:rPr>
          <w:rFonts w:hint="eastAsia" w:ascii="宋体" w:hAnsi="宋体" w:eastAsia="宋体" w:cs="宋体"/>
          <w:color w:val="auto"/>
          <w:sz w:val="21"/>
          <w:szCs w:val="21"/>
          <w:highlight w:val="none"/>
        </w:rPr>
        <w:t>甲乙双方在履行合同过程中发生争议应协商解决，协商不成的，任何一方均可向甲方所在地有管辖权的人民法院起诉。</w:t>
      </w:r>
    </w:p>
    <w:p w14:paraId="7EE3DEF7">
      <w:pPr>
        <w:spacing w:before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 xml:space="preserve">条  </w:t>
      </w:r>
      <w:r>
        <w:rPr>
          <w:rFonts w:hint="eastAsia" w:ascii="宋体" w:hAnsi="宋体" w:eastAsia="宋体" w:cs="宋体"/>
          <w:color w:val="auto"/>
          <w:sz w:val="21"/>
          <w:szCs w:val="21"/>
          <w:highlight w:val="none"/>
          <w:lang w:val="en-US" w:eastAsia="zh-CN"/>
        </w:rPr>
        <w:t>采购过程资料</w:t>
      </w:r>
      <w:r>
        <w:rPr>
          <w:rFonts w:hint="eastAsia" w:ascii="宋体" w:hAnsi="宋体" w:eastAsia="宋体" w:cs="宋体"/>
          <w:color w:val="auto"/>
          <w:sz w:val="21"/>
          <w:szCs w:val="21"/>
          <w:highlight w:val="none"/>
        </w:rPr>
        <w:t>、本合同附件属于本合同不可分割的部</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w:t>
      </w:r>
    </w:p>
    <w:p w14:paraId="28421550">
      <w:pPr>
        <w:tabs>
          <w:tab w:val="left" w:pos="720"/>
        </w:tabs>
        <w:spacing w:before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 xml:space="preserve">条  </w:t>
      </w:r>
      <w:r>
        <w:rPr>
          <w:rFonts w:hint="eastAsia" w:ascii="宋体" w:hAnsi="宋体" w:eastAsia="宋体" w:cs="宋体"/>
          <w:color w:val="auto"/>
          <w:sz w:val="21"/>
          <w:szCs w:val="21"/>
          <w:highlight w:val="none"/>
        </w:rPr>
        <w:t>本合同经甲乙双方</w:t>
      </w:r>
      <w:r>
        <w:rPr>
          <w:rFonts w:hint="eastAsia" w:ascii="宋体" w:hAnsi="宋体" w:cs="宋体"/>
          <w:b w:val="0"/>
          <w:bCs w:val="0"/>
          <w:color w:val="auto"/>
          <w:sz w:val="21"/>
          <w:szCs w:val="21"/>
          <w:highlight w:val="none"/>
          <w:lang w:val="en-US" w:eastAsia="zh-CN"/>
        </w:rPr>
        <w:t>法定代表人或授权委托代理人</w:t>
      </w:r>
      <w:r>
        <w:rPr>
          <w:rFonts w:hint="eastAsia" w:ascii="宋体" w:hAnsi="宋体" w:cs="宋体"/>
          <w:b w:val="0"/>
          <w:bCs w:val="0"/>
          <w:color w:val="auto"/>
          <w:sz w:val="21"/>
          <w:szCs w:val="21"/>
          <w:highlight w:val="none"/>
          <w:lang w:eastAsia="zh-Hans"/>
        </w:rPr>
        <w:t>签字</w:t>
      </w:r>
      <w:r>
        <w:rPr>
          <w:rFonts w:hint="eastAsia" w:ascii="宋体" w:hAnsi="宋体" w:cs="宋体"/>
          <w:b w:val="0"/>
          <w:bCs w:val="0"/>
          <w:color w:val="auto"/>
          <w:sz w:val="21"/>
          <w:szCs w:val="21"/>
          <w:highlight w:val="none"/>
          <w:lang w:val="en-US" w:eastAsia="zh-CN"/>
        </w:rPr>
        <w:t>并</w:t>
      </w:r>
      <w:r>
        <w:rPr>
          <w:rFonts w:hint="eastAsia" w:ascii="宋体" w:hAnsi="宋体" w:eastAsia="宋体" w:cs="宋体"/>
          <w:color w:val="auto"/>
          <w:sz w:val="21"/>
          <w:szCs w:val="21"/>
          <w:highlight w:val="none"/>
        </w:rPr>
        <w:t>盖章后</w:t>
      </w:r>
      <w:r>
        <w:rPr>
          <w:rFonts w:hint="eastAsia" w:ascii="宋体" w:hAnsi="宋体" w:eastAsia="宋体" w:cs="宋体"/>
          <w:color w:val="auto"/>
          <w:sz w:val="21"/>
          <w:szCs w:val="21"/>
          <w:highlight w:val="none"/>
          <w:lang w:val="en-US" w:eastAsia="zh-CN"/>
        </w:rPr>
        <w:t>生效</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rPr>
        <w:t>有效期至本</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项下义务完全履行完毕之日。</w:t>
      </w:r>
    </w:p>
    <w:p w14:paraId="2BA56E33">
      <w:pPr>
        <w:tabs>
          <w:tab w:val="left" w:pos="720"/>
        </w:tabs>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第十</w:t>
      </w:r>
      <w:r>
        <w:rPr>
          <w:rFonts w:hint="eastAsia" w:ascii="宋体" w:hAnsi="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 xml:space="preserve">条  </w:t>
      </w: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rPr>
        <w:t>份，甲方持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rPr>
        <w:t>份，乙方持</w:t>
      </w:r>
      <w:r>
        <w:rPr>
          <w:rFonts w:hint="eastAsia" w:ascii="宋体" w:hAnsi="宋体" w:eastAsia="宋体" w:cs="宋体"/>
          <w:color w:val="auto"/>
          <w:sz w:val="21"/>
          <w:szCs w:val="21"/>
          <w:highlight w:val="none"/>
          <w:u w:val="single"/>
        </w:rPr>
        <w:t xml:space="preserve"> 壹 </w:t>
      </w:r>
      <w:r>
        <w:rPr>
          <w:rFonts w:hint="eastAsia" w:ascii="宋体" w:hAnsi="宋体" w:eastAsia="宋体" w:cs="宋体"/>
          <w:color w:val="auto"/>
          <w:sz w:val="21"/>
          <w:szCs w:val="21"/>
          <w:highlight w:val="none"/>
        </w:rPr>
        <w:t>份，均具有同等法律效力。</w:t>
      </w:r>
    </w:p>
    <w:p w14:paraId="5EDC0E4B">
      <w:pPr>
        <w:tabs>
          <w:tab w:val="left" w:pos="720"/>
        </w:tabs>
        <w:spacing w:beforeLines="0"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第</w:t>
      </w:r>
      <w:r>
        <w:rPr>
          <w:rFonts w:hint="eastAsia" w:ascii="宋体" w:hAnsi="宋体" w:cs="宋体"/>
          <w:b/>
          <w:bCs/>
          <w:color w:val="auto"/>
          <w:sz w:val="21"/>
          <w:szCs w:val="21"/>
          <w:highlight w:val="none"/>
          <w:lang w:val="en-US" w:eastAsia="zh-CN"/>
        </w:rPr>
        <w:t>二十</w:t>
      </w:r>
      <w:r>
        <w:rPr>
          <w:rFonts w:hint="eastAsia" w:ascii="宋体" w:hAnsi="宋体" w:eastAsia="宋体" w:cs="宋体"/>
          <w:b/>
          <w:bCs/>
          <w:color w:val="auto"/>
          <w:sz w:val="21"/>
          <w:szCs w:val="21"/>
          <w:highlight w:val="none"/>
        </w:rPr>
        <w:t xml:space="preserve">条  </w:t>
      </w:r>
      <w:r>
        <w:rPr>
          <w:rFonts w:hint="eastAsia" w:ascii="宋体" w:hAnsi="宋体" w:eastAsia="宋体" w:cs="宋体"/>
          <w:b w:val="0"/>
          <w:bCs w:val="0"/>
          <w:color w:val="auto"/>
          <w:sz w:val="21"/>
          <w:szCs w:val="21"/>
          <w:highlight w:val="none"/>
          <w:lang w:val="en-US" w:eastAsia="zh-CN"/>
        </w:rPr>
        <w:t>其他约定：</w:t>
      </w:r>
      <w:r>
        <w:rPr>
          <w:rFonts w:hint="eastAsia" w:ascii="宋体" w:hAnsi="宋体" w:eastAsia="宋体" w:cs="宋体"/>
          <w:b/>
          <w:bCs/>
          <w:color w:val="auto"/>
          <w:sz w:val="21"/>
          <w:szCs w:val="21"/>
          <w:highlight w:val="none"/>
          <w:u w:val="single"/>
          <w:lang w:val="en-US" w:eastAsia="zh-CN"/>
        </w:rPr>
        <w:t xml:space="preserve"> /</w:t>
      </w:r>
    </w:p>
    <w:p w14:paraId="43963DBE">
      <w:pPr>
        <w:tabs>
          <w:tab w:val="left" w:pos="720"/>
        </w:tabs>
        <w:spacing w:before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（以下无正文）</w:t>
      </w:r>
    </w:p>
    <w:p w14:paraId="3EF0A659">
      <w:pPr>
        <w:tabs>
          <w:tab w:val="left" w:pos="720"/>
        </w:tabs>
        <w:spacing w:beforeLines="0" w:line="360" w:lineRule="auto"/>
        <w:ind w:firstLine="422" w:firstLineChars="200"/>
        <w:rPr>
          <w:rFonts w:hint="eastAsia" w:ascii="宋体" w:hAnsi="宋体" w:eastAsia="宋体" w:cs="宋体"/>
          <w:b/>
          <w:bCs/>
          <w:color w:val="auto"/>
          <w:sz w:val="21"/>
          <w:szCs w:val="21"/>
          <w:highlight w:val="none"/>
        </w:rPr>
      </w:pPr>
    </w:p>
    <w:p w14:paraId="49D94F23">
      <w:pPr>
        <w:spacing w:before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附件（均需</w:t>
      </w:r>
      <w:r>
        <w:rPr>
          <w:rFonts w:hint="eastAsia" w:ascii="宋体" w:hAnsi="宋体" w:eastAsia="宋体" w:cs="宋体"/>
          <w:color w:val="auto"/>
          <w:sz w:val="21"/>
          <w:szCs w:val="21"/>
          <w:highlight w:val="none"/>
          <w:lang w:val="en-US" w:eastAsia="zh-CN"/>
        </w:rPr>
        <w:t>盖乙方</w:t>
      </w:r>
      <w:r>
        <w:rPr>
          <w:rFonts w:hint="eastAsia" w:ascii="宋体" w:hAnsi="宋体" w:eastAsia="宋体" w:cs="宋体"/>
          <w:color w:val="auto"/>
          <w:sz w:val="21"/>
          <w:szCs w:val="21"/>
          <w:highlight w:val="none"/>
        </w:rPr>
        <w:t>鲜章）：</w:t>
      </w:r>
    </w:p>
    <w:p w14:paraId="622D6CAE">
      <w:pPr>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技术参数</w:t>
      </w:r>
      <w:r>
        <w:rPr>
          <w:rFonts w:hint="eastAsia" w:ascii="宋体" w:hAnsi="宋体" w:eastAsia="宋体" w:cs="宋体"/>
          <w:color w:val="auto"/>
          <w:sz w:val="21"/>
          <w:szCs w:val="21"/>
          <w:highlight w:val="none"/>
          <w:lang w:val="en-US" w:eastAsia="zh-CN"/>
        </w:rPr>
        <w:t>及配置清单</w:t>
      </w:r>
    </w:p>
    <w:p w14:paraId="4140D6DC">
      <w:pPr>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2.服务考核方案</w:t>
      </w:r>
    </w:p>
    <w:p w14:paraId="017252C2">
      <w:pPr>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3.项目实施方案</w:t>
      </w:r>
    </w:p>
    <w:p w14:paraId="4721E491">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售后服务承诺</w:t>
      </w:r>
    </w:p>
    <w:p w14:paraId="4EDA8C4D">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中标通知书</w:t>
      </w:r>
    </w:p>
    <w:p w14:paraId="2ECA91EE">
      <w:pPr>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6.基本存款账户信息/开户许可证/开户信息</w:t>
      </w:r>
    </w:p>
    <w:p w14:paraId="2B851BF8">
      <w:pPr>
        <w:adjustRightInd/>
        <w:snapToGrid/>
        <w:spacing w:beforeLines="0" w:line="360" w:lineRule="auto"/>
        <w:ind w:firstLine="420" w:firstLineChars="200"/>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lang w:val="en-US" w:eastAsia="zh-CN"/>
        </w:rPr>
        <w:t>7.公司规模证明材料（加盖公章）</w:t>
      </w:r>
    </w:p>
    <w:p w14:paraId="32EF5984">
      <w:pPr>
        <w:keepNext w:val="0"/>
        <w:keepLines w:val="0"/>
        <w:pageBreakBefore w:val="0"/>
        <w:widowControl w:val="0"/>
        <w:shd w:val="clear"/>
        <w:kinsoku/>
        <w:wordWrap/>
        <w:overflowPunct/>
        <w:topLinePunct w:val="0"/>
        <w:autoSpaceDE/>
        <w:autoSpaceDN/>
        <w:bidi w:val="0"/>
        <w:adjustRightInd/>
        <w:snapToGrid/>
        <w:spacing w:before="195" w:afterAutospacing="0" w:line="360" w:lineRule="auto"/>
        <w:ind w:firstLine="420" w:firstLineChars="200"/>
        <w:textAlignment w:val="auto"/>
        <w:rPr>
          <w:rFonts w:hint="eastAsia" w:ascii="宋体" w:hAnsi="宋体" w:eastAsia="宋体" w:cs="宋体"/>
          <w:color w:val="auto"/>
          <w:highlight w:val="none"/>
        </w:rPr>
      </w:pPr>
    </w:p>
    <w:p w14:paraId="5733F86B">
      <w:pPr>
        <w:pStyle w:val="2"/>
        <w:numPr>
          <w:ilvl w:val="0"/>
          <w:numId w:val="17"/>
        </w:numPr>
        <w:shd w:val="clear"/>
        <w:bidi w:val="0"/>
        <w:jc w:val="center"/>
        <w:rPr>
          <w:rFonts w:hint="eastAsia" w:ascii="宋体" w:hAnsi="宋体" w:eastAsia="宋体" w:cs="宋体"/>
          <w:color w:val="auto"/>
          <w:highlight w:val="none"/>
        </w:rPr>
        <w:sectPr>
          <w:headerReference r:id="rId5" w:type="default"/>
          <w:footerReference r:id="rId6" w:type="default"/>
          <w:pgSz w:w="11906" w:h="16838"/>
          <w:pgMar w:top="1417" w:right="1417" w:bottom="1417" w:left="1417" w:header="851" w:footer="992" w:gutter="0"/>
          <w:pgNumType w:fmt="decimal" w:start="1"/>
          <w:cols w:space="0" w:num="1"/>
          <w:rtlGutter w:val="0"/>
          <w:docGrid w:type="lines" w:linePitch="318" w:charSpace="0"/>
        </w:sectPr>
      </w:pPr>
      <w:bookmarkStart w:id="145" w:name="_Toc15407"/>
      <w:bookmarkStart w:id="146" w:name="_Toc12898"/>
      <w:bookmarkStart w:id="147" w:name="_Toc27401"/>
    </w:p>
    <w:p w14:paraId="762FD930">
      <w:pPr>
        <w:pStyle w:val="2"/>
        <w:shd w:val="clear"/>
        <w:jc w:val="center"/>
        <w:rPr>
          <w:rFonts w:hint="eastAsia" w:ascii="宋体" w:hAnsi="宋体" w:eastAsia="宋体" w:cs="宋体"/>
          <w:color w:val="auto"/>
          <w:highlight w:val="none"/>
          <w:lang w:val="en-US" w:eastAsia="zh-CN"/>
        </w:rPr>
      </w:pPr>
      <w:bookmarkStart w:id="148" w:name="_Toc7271"/>
      <w:r>
        <w:rPr>
          <w:rFonts w:hint="eastAsia" w:ascii="宋体" w:hAnsi="宋体" w:eastAsia="宋体" w:cs="宋体"/>
          <w:color w:val="auto"/>
          <w:highlight w:val="none"/>
          <w:lang w:val="en-US" w:eastAsia="zh-CN"/>
        </w:rPr>
        <w:t>第五章 采购需求</w:t>
      </w:r>
      <w:bookmarkEnd w:id="145"/>
      <w:bookmarkEnd w:id="146"/>
      <w:bookmarkEnd w:id="147"/>
      <w:bookmarkEnd w:id="148"/>
    </w:p>
    <w:p w14:paraId="46EA1F78">
      <w:pPr>
        <w:shd w:val="clear"/>
        <w:adjustRightInd w:val="0"/>
        <w:snapToGrid w:val="0"/>
        <w:spacing w:line="560" w:lineRule="exact"/>
        <w:ind w:firstLine="420" w:firstLineChars="200"/>
        <w:rPr>
          <w:rFonts w:hint="eastAsia" w:ascii="宋体" w:hAnsi="宋体" w:eastAsia="宋体" w:cs="宋体"/>
          <w:color w:val="auto"/>
          <w:sz w:val="21"/>
          <w:szCs w:val="21"/>
          <w:highlight w:val="none"/>
          <w:lang w:val="en-US" w:eastAsia="zh-CN"/>
        </w:rPr>
      </w:pPr>
      <w:bookmarkStart w:id="149" w:name="_Toc6692"/>
      <w:bookmarkStart w:id="150" w:name="_Toc1195"/>
      <w:r>
        <w:rPr>
          <w:rFonts w:hint="eastAsia" w:ascii="宋体" w:hAnsi="宋体" w:eastAsia="宋体" w:cs="宋体"/>
          <w:color w:val="auto"/>
          <w:sz w:val="21"/>
          <w:szCs w:val="21"/>
          <w:highlight w:val="none"/>
          <w:lang w:val="en-US" w:eastAsia="zh-CN"/>
        </w:rPr>
        <w:t>一、总则</w:t>
      </w:r>
    </w:p>
    <w:p w14:paraId="70BB7B5A">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项目说明</w:t>
      </w:r>
    </w:p>
    <w:p w14:paraId="70D52FF5">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1.1本章内容是根据采购项目的实际需求制定的。货物必须为合格产品，质量达到国家相关标准、行业标准、地方标准或者其他标准、规范，中标人供货时应当提供有关货物的合格证明材料等。</w:t>
      </w:r>
    </w:p>
    <w:p w14:paraId="106F22BA">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人应保证货物是全新、未使用过的合格产品。并完全符合合同规定的质量、规格和性能的要求。中标人应保证所提供的货物经正确安装、正常运转和保养后，在其使用寿命期内应具有满意的性能。在货物质量保证期内卖方应对由于设计、工艺或者材料的缺陷而发生的任何不足或者故障负责。所投产品应提供详细的技术资料，应有检测报告等详细资料。</w:t>
      </w:r>
    </w:p>
    <w:p w14:paraId="608E3344">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1.3进口产品是指通过中国海关报关验放进入中国境内且产自关境外的产品。</w:t>
      </w:r>
    </w:p>
    <w:p w14:paraId="7F0E18A5">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章中内容如涉及品牌或型号的，采购文件中涉及到的品牌或型号，仅为供应商投标时的参照，不作为中标条件或指定内容。供应商应参照或相当于采购文件中载明的品牌或型号进行投标。本章中标记为“▲”的内容为重要</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指标，未标记“▲”的内容为一般</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指标。投标人必须按照招标文件的要求做出响应，对此类内容未响应或负偏离的将被严重扣分。</w:t>
      </w:r>
      <w:r>
        <w:rPr>
          <w:rFonts w:hint="eastAsia" w:ascii="宋体" w:hAnsi="宋体" w:eastAsia="宋体" w:cs="宋体"/>
          <w:color w:val="auto"/>
          <w:sz w:val="21"/>
          <w:szCs w:val="21"/>
          <w:highlight w:val="none"/>
          <w:lang w:val="en-US" w:eastAsia="zh-CN"/>
        </w:rPr>
        <w:t>允许正偏离但</w:t>
      </w:r>
      <w:r>
        <w:rPr>
          <w:rFonts w:hint="eastAsia" w:ascii="宋体" w:hAnsi="宋体" w:eastAsia="宋体" w:cs="宋体"/>
          <w:color w:val="auto"/>
          <w:sz w:val="21"/>
          <w:szCs w:val="21"/>
          <w:highlight w:val="none"/>
        </w:rPr>
        <w:t>任何内容正偏离不加分。标记为“■”的内容不得有负偏差，</w:t>
      </w:r>
      <w:r>
        <w:rPr>
          <w:rFonts w:hint="eastAsia" w:ascii="宋体" w:hAnsi="宋体" w:eastAsia="宋体" w:cs="宋体"/>
          <w:color w:val="auto"/>
          <w:sz w:val="21"/>
          <w:szCs w:val="21"/>
          <w:highlight w:val="none"/>
          <w:lang w:val="en-US" w:eastAsia="zh-CN"/>
        </w:rPr>
        <w:t>可以正偏离或无偏离，否则</w:t>
      </w:r>
      <w:r>
        <w:rPr>
          <w:rFonts w:hint="eastAsia" w:ascii="宋体" w:hAnsi="宋体" w:eastAsia="宋体" w:cs="宋体"/>
          <w:color w:val="auto"/>
          <w:sz w:val="21"/>
          <w:szCs w:val="21"/>
          <w:highlight w:val="none"/>
        </w:rPr>
        <w:t>按照废标处理。</w:t>
      </w:r>
    </w:p>
    <w:p w14:paraId="6DD86EC5">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3、投标人必须承诺提供厂商原装、全新的、符合国家及用户提出的有关质量标准的设备。</w:t>
      </w:r>
    </w:p>
    <w:p w14:paraId="4686B730">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4、投标人应对采购需求中的设备性能和技术（服务）指标在响应详细内容中列出具体数值。如果投标人只注明“正偏离”或“无偏离”，将可能被视为“负偏离”，从而可能导致严重影响评标结果。</w:t>
      </w:r>
    </w:p>
    <w:p w14:paraId="593AC124">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所投产品除项目采购文件中明确规定要求提供彩页或相应检测报告等证明材料以外，所有技术参数描述均以投标文件为准（投标文件内厂家提供的技术参数描述与投标人投标技术参数描述不一致时，以厂家提供的技术参数描述为准）。投标人须对所投产品技术参数的真实性承担法律责任。</w:t>
      </w:r>
    </w:p>
    <w:p w14:paraId="696EF1EE">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6、凡列入《中华人民共和国实施强制性产品认证的产品目录》的产品在验收时必须出具CCC认证证书复印件，并以在产品外部加施认证标志作为验收依据之一。</w:t>
      </w:r>
    </w:p>
    <w:p w14:paraId="2BCB6559">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节能产品的优先采购和强制采购以财政部、发展改革委、生态环境部等部门公布的最新《节能产品政府采购品目清单》中所列产品及相关规定为准。如果涉及政府强制采购节能，供应商必须在投标文件中明确列明具体产品的名称并提供国家确定的认证机构出具的处于有效期之内的节能产品认证证书。</w:t>
      </w:r>
    </w:p>
    <w:p w14:paraId="3F6D88F6">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环境标志产品的优先采购以财政部、发展改革委、生态环境部等部门公布的最新《环境标志产品政府采购品目清单》所列产品为准。投标产品涉及环境标志产品的，供应商需在投标文件中明确列明具体产品的名称并提供国家确定的认证机构出具的处于有效期之内的环境标志产品认证证书。</w:t>
      </w:r>
    </w:p>
    <w:p w14:paraId="33FA99E4">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9、涉及软件产品的，必须采购和使用正版软件，项目中涉及计算机办公产品的，必须预装正版操作系统软件。</w:t>
      </w:r>
    </w:p>
    <w:p w14:paraId="2CC647A4">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10、投标人应保证，采购人在中华人民共和国使用该货物或货物的任何一部分时，免受第三方提出的侵犯其专利权、商标权、著作权或其它知识产权的起诉。</w:t>
      </w:r>
    </w:p>
    <w:p w14:paraId="49184D53">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11、不允许中标供应商转包、分包项目内容。</w:t>
      </w:r>
    </w:p>
    <w:p w14:paraId="36A2C1BB">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12、符合中小企业政策扶持的企业、监狱企业和残疾人福利性单位必须按照招标（采购）文件第三章内容提供相应的资料。</w:t>
      </w:r>
    </w:p>
    <w:p w14:paraId="77D27330">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13、需落实政府采购政策为：促进中小企业发展政策、支持监狱企业发展政策、支持残疾人福利性单位发展政策、采购节能产品、环境标志产品相关政策等。</w:t>
      </w:r>
    </w:p>
    <w:p w14:paraId="2ABFE88D">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单一产品采购项目，提供相同品牌产品且通过资格审查、符合性审查的不同投标人参加同一合同项下投标的，按一家投标人计算；非单一产品采购项目，提供相同品牌核心产品且通过资格审查、符合性审查的不同投标人参加同一合同项下投标的，按一家投标人计算。</w:t>
      </w:r>
    </w:p>
    <w:p w14:paraId="27E68EAB">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15、本项目符合《政府采购促进中小企业发展管理办法》第六条第（三）项的情形，故不专门面向中小企业。</w:t>
      </w:r>
    </w:p>
    <w:p w14:paraId="5B764189">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16、关于落实中小企业政策的说明：如投标供应商符合中小企业政策扶持的，应填写《中小企业声明函》（货物）（见投标文件格式）作为判定标准，《中小企业声明函》中“采购文件中明确的所属行业”，</w:t>
      </w:r>
      <w:r>
        <w:rPr>
          <w:rFonts w:hint="eastAsia" w:ascii="宋体" w:hAnsi="宋体" w:eastAsia="宋体" w:cs="宋体"/>
          <w:b/>
          <w:bCs/>
          <w:color w:val="auto"/>
          <w:sz w:val="21"/>
          <w:szCs w:val="21"/>
          <w:highlight w:val="none"/>
          <w:u w:val="thick"/>
        </w:rPr>
        <w:t>所属行业是指</w:t>
      </w:r>
      <w:r>
        <w:rPr>
          <w:rFonts w:hint="eastAsia" w:ascii="宋体" w:hAnsi="宋体" w:eastAsia="宋体" w:cs="宋体"/>
          <w:b/>
          <w:bCs/>
          <w:color w:val="auto"/>
          <w:sz w:val="21"/>
          <w:szCs w:val="21"/>
          <w:highlight w:val="none"/>
          <w:u w:val="thick"/>
          <w:lang w:val="en-US" w:eastAsia="zh-CN"/>
        </w:rPr>
        <w:t>软件和信息技术服务业</w:t>
      </w:r>
      <w:r>
        <w:rPr>
          <w:rFonts w:hint="eastAsia" w:ascii="宋体" w:hAnsi="宋体" w:eastAsia="宋体" w:cs="宋体"/>
          <w:b/>
          <w:bCs/>
          <w:color w:val="auto"/>
          <w:sz w:val="21"/>
          <w:szCs w:val="21"/>
          <w:highlight w:val="none"/>
          <w:u w:val="thick"/>
        </w:rPr>
        <w:t>。</w:t>
      </w:r>
      <w:r>
        <w:rPr>
          <w:rFonts w:hint="eastAsia" w:ascii="宋体" w:hAnsi="宋体" w:eastAsia="宋体" w:cs="宋体"/>
          <w:color w:val="auto"/>
          <w:sz w:val="21"/>
          <w:szCs w:val="21"/>
          <w:highlight w:val="none"/>
        </w:rPr>
        <w:t>残疾人福利性单位填写《残疾人福利性单位声明函》（见投标文件格式）作为判定标准，监狱企业须供应商提供由省级以上监狱管理局、戒毒管理局（含新疆生产建设兵团）出具的属于监狱企业的证明文件，否则不予认定。监狱企业、残疾人福利单位视同小型、微型企业。（填写《中小企业声明函》时，关于中小企业划型标准请见《工信部联企业〔2011〕300号》：</w:t>
      </w:r>
    </w:p>
    <w:p w14:paraId="2D7E49B2">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http://www.ccgp.gov.cn/zcfg/mof/201310/t20131029_3587674.htm）</w:t>
      </w:r>
    </w:p>
    <w:p w14:paraId="5B8ADD1C">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17、如投标供应商符合中小企业政策扶持的，《中小企业声明函》应当按照《政府采购促进中小企业发展管理办法》（财库〔2020〕46号）规定的模板提供，具体填写要求如下：</w:t>
      </w:r>
    </w:p>
    <w:p w14:paraId="29DD0A71">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(1)“单位名称”应填写采购人名称。</w:t>
      </w:r>
    </w:p>
    <w:p w14:paraId="7900EA97">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66AF4963">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3EAD0A26">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(4)“采购文件中明确的所属行业”应填写采购文件中明确的采购标的所属行业，并应确保与采购标的涉及的货物制造商/服务承接商/工程承建商（根据项目属性确定）本身的所属行业保持一致。</w:t>
      </w:r>
    </w:p>
    <w:p w14:paraId="5A1638E5">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5B22A0C0">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5A1F81F2">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(7)“企业名称”应填写投标（响应）的货物制造商/服务承接商/工程承建商（根据项目属性确定）。</w:t>
      </w:r>
    </w:p>
    <w:p w14:paraId="3A4EFADD">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(8)“企业名称（盖章）”应加盖投标人公章。</w:t>
      </w:r>
    </w:p>
    <w:p w14:paraId="7681E9D2">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(9)对于分包方式面向中小企业采购的项目，“企业名称”应填写分包部分采购标的对应的货物制造商/服务承接商/工程承建商（根据项目属性确定）。</w:t>
      </w:r>
    </w:p>
    <w:p w14:paraId="7523C37A">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(10)对于以联合体方式面向中小企业采购的项目，“企业名称”应填写联合体中中小企业承担采购标的对应的货物制造商/服务承接商/工程承建商（根据项目属性确定）。</w:t>
      </w:r>
    </w:p>
    <w:p w14:paraId="7CBFCE8B">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(11)从业人员等相关数据指标以上年度末数据为依据。无上年度数据的新成立企业可不填报。</w:t>
      </w:r>
    </w:p>
    <w:p w14:paraId="2CBB4BA6">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中型企业/小型企业/微型企业”部分，供应商应依据企业上年度从业人员等相关数据指标，按照《中小企业划型标准规定》（工信部联企业〔2011〕300号）、《金融业企业划型标准规定》（银发〔2015〕309号），判断《中小企业声明函》载明的货物制造商/服务承接商/工程承建商（根据项目属性确定）是否属于采购文件所属行业的中型企业/小型企业/微型企业。</w:t>
      </w:r>
    </w:p>
    <w:p w14:paraId="230590BC">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对于已纳入统计部门统计范围的企业，所属行业、从业人员、规模类型等相关数据应与统计部门报表保持一致。对于未纳入统计部门统计范围的企业，应对照《国民经济行业分类》确定所属行业，当企业从事两种以上的经济活动时，按照企业从事的主要活动确定所属行业；从业人员等相关数据指标应按照上年度末实际情况填报，并应确保在争议纠纷处理时，可提供相关数据的来源依据。</w:t>
      </w:r>
    </w:p>
    <w:p w14:paraId="5EFEAF74">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18、关于《中小企业声明函》的更多填写指引，请见《云南省财政厅　云南省工业和信息化厅关于落实政府采购促进中小企业发展政策意见的通知》。</w:t>
      </w:r>
    </w:p>
    <w:p w14:paraId="7899FFC9">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其他说明：</w:t>
      </w:r>
    </w:p>
    <w:p w14:paraId="789FE13E">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本项目开标方式为远程开标。参与</w:t>
      </w:r>
      <w:r>
        <w:rPr>
          <w:rFonts w:hint="eastAsia" w:ascii="宋体" w:hAnsi="宋体" w:eastAsia="宋体" w:cs="宋体"/>
          <w:color w:val="auto"/>
          <w:sz w:val="21"/>
          <w:szCs w:val="21"/>
          <w:highlight w:val="none"/>
          <w:lang w:val="en-US" w:eastAsia="zh-CN"/>
        </w:rPr>
        <w:t>政采云</w:t>
      </w:r>
      <w:r>
        <w:rPr>
          <w:rFonts w:hint="eastAsia" w:ascii="宋体" w:hAnsi="宋体" w:eastAsia="宋体" w:cs="宋体"/>
          <w:color w:val="auto"/>
          <w:sz w:val="21"/>
          <w:szCs w:val="21"/>
          <w:highlight w:val="none"/>
        </w:rPr>
        <w:t>平台采购项目的供应商登录</w:t>
      </w:r>
      <w:r>
        <w:rPr>
          <w:rFonts w:hint="eastAsia" w:ascii="宋体" w:hAnsi="宋体" w:eastAsia="宋体" w:cs="宋体"/>
          <w:color w:val="auto"/>
          <w:sz w:val="21"/>
          <w:szCs w:val="21"/>
          <w:highlight w:val="none"/>
          <w:lang w:val="en-US" w:eastAsia="zh-CN"/>
        </w:rPr>
        <w:t>政采云</w:t>
      </w:r>
      <w:r>
        <w:rPr>
          <w:rFonts w:hint="eastAsia" w:ascii="宋体" w:hAnsi="宋体" w:eastAsia="宋体" w:cs="宋体"/>
          <w:color w:val="auto"/>
          <w:sz w:val="21"/>
          <w:szCs w:val="21"/>
          <w:highlight w:val="none"/>
        </w:rPr>
        <w:t>平台进行签到及投标文件的解密，签到需在开标时间前30分钟内完成，不需要委派代表前往开标现场。</w:t>
      </w:r>
    </w:p>
    <w:p w14:paraId="115B319D">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供应商电脑需提前安装CA签章客户端，并运行CA证书。</w:t>
      </w:r>
    </w:p>
    <w:p w14:paraId="72168108">
      <w:pPr>
        <w:shd w:val="clear"/>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请各投标人在编制投标文件时注意，涉及签字或签章的地方，请按要求签字或签章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投标文件加密前请注意所有需要签字、签章、盖章的地方是否齐全无缺漏。请保管好CA证书的密码，如遗忘，请及时重置，以免影响投标文件的解密。</w:t>
      </w:r>
    </w:p>
    <w:p w14:paraId="6EC889D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20、投标报价说明：</w:t>
      </w:r>
      <w:r>
        <w:rPr>
          <w:rFonts w:hint="eastAsia" w:ascii="宋体" w:hAnsi="宋体" w:eastAsia="宋体" w:cs="宋体"/>
          <w:b/>
          <w:bCs/>
          <w:color w:val="auto"/>
          <w:sz w:val="21"/>
          <w:szCs w:val="21"/>
          <w:highlight w:val="none"/>
          <w:lang w:val="en-US" w:eastAsia="zh-CN"/>
        </w:rPr>
        <w:t>投标报价包括合同范围内货物及服务，包含但不限于系统软件费用、实施部署与集成服务费、硬件设备费用、‌培训服务费、运维与保修服务费、系统数据接口改造费等所有与本合同履行相关的直接及间接费用，包括招标代理费及一切与本项目相关的支出等所有不可预见的隐含费用（以上费用如涉及到多次需求，所有费用均包含在内）。本项目不接受进口产品参与投标，投标人应满足招标文件要求的各项期限。投标人必须对招标同一标项内所有货物及服务进行投标，不允许只投标其中的一部分，否则作为无效标处理。详见招标文件第五章。</w:t>
      </w:r>
    </w:p>
    <w:p w14:paraId="4DDF8AE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21、需执行国家相关标准、行业标准、地方标准或者其他标准、规范</w:t>
      </w:r>
    </w:p>
    <w:p w14:paraId="39B994BD">
      <w:pPr>
        <w:shd w:val="clear"/>
        <w:adjustRightInd w:val="0"/>
        <w:snapToGrid w:val="0"/>
        <w:spacing w:line="56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二、采购需求</w:t>
      </w:r>
    </w:p>
    <w:p w14:paraId="30CED1A0">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bookmarkStart w:id="151" w:name="_Toc11874"/>
      <w:bookmarkStart w:id="152" w:name="_Toc14723131"/>
      <w:bookmarkStart w:id="153" w:name="_Toc102591470"/>
      <w:r>
        <w:rPr>
          <w:rFonts w:hint="eastAsia" w:ascii="宋体" w:hAnsi="宋体" w:eastAsia="宋体" w:cs="宋体"/>
          <w:b/>
          <w:bCs/>
          <w:color w:val="auto"/>
          <w:sz w:val="21"/>
          <w:szCs w:val="21"/>
          <w:highlight w:val="none"/>
          <w:lang w:val="en-US" w:eastAsia="zh-CN"/>
        </w:rPr>
        <w:t>项目名称</w:t>
      </w:r>
      <w:bookmarkEnd w:id="151"/>
    </w:p>
    <w:p w14:paraId="094CB0E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昆明医科大学第一附属医院临床专科能力提升信息化整体建设项目——智慧医疗与智慧服务系统提升应用专项建设项目</w:t>
      </w:r>
    </w:p>
    <w:p w14:paraId="5E2C7114">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建设目标</w:t>
      </w:r>
      <w:bookmarkEnd w:id="152"/>
    </w:p>
    <w:p w14:paraId="69FAE53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bookmarkStart w:id="154" w:name="_Toc14723132"/>
      <w:r>
        <w:rPr>
          <w:rFonts w:hint="eastAsia" w:ascii="宋体" w:hAnsi="宋体" w:eastAsia="宋体" w:cs="宋体"/>
          <w:color w:val="auto"/>
          <w:sz w:val="21"/>
          <w:szCs w:val="21"/>
          <w:highlight w:val="none"/>
          <w:lang w:val="en-US" w:eastAsia="zh-CN"/>
        </w:rPr>
        <w:t>1.临床专科能力提升目标</w:t>
      </w:r>
    </w:p>
    <w:p w14:paraId="5937ED0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以国家临床重点专科建设为导向，通过云计算、AI等技术升级PACS、LIS与重症系统，构建“影像-检验-重症”智能应用：实现影像图像AI质控、检验危急值自动触发治疗方案推荐、十九项重症质控指标自动化采集与溯源，形成“智能诊断-精准质控-规范上报”的专科信息化体系。</w:t>
      </w:r>
    </w:p>
    <w:p w14:paraId="518D306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2.医学紧急救援能力提升目标</w:t>
      </w:r>
    </w:p>
    <w:p w14:paraId="30860FB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针对云南省自然灾害高发特点，构建“院前急救-院内救治-区域协同”的紧急救援信息网络。应对各类突发事件以快速反应和有效处置为重点，支撑省级紧急医学救援体系标准化建设。</w:t>
      </w:r>
    </w:p>
    <w:p w14:paraId="2214EF5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3.智慧服务能力提升目标</w:t>
      </w:r>
    </w:p>
    <w:p w14:paraId="182DAD2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打造“诊前-诊中-诊后”全周期服务闭环：通过微信小程序实现智能分诊导诊、检查预约路径优化、疫苗分时段排班、在线续方配送到家等功能，结合穿戴设备数据采集，建立慢病与康复患者的居家健康管理体系，满足医院普通患者与干部保健业务需求。</w:t>
      </w:r>
    </w:p>
    <w:p w14:paraId="2B576F0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4.本地化改造与运维服务能力提升目标</w:t>
      </w:r>
    </w:p>
    <w:p w14:paraId="544B478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建立“7×24 小时响应+政策快速适配+改造协同落地”的运维机制：结合在行系统本地定制化改造（依托电子病历6级、对标智慧医院要求）与核心专项配套改造需求，对HIS、集成信息平台等核心系统实施适配本地诊疗场景的全链路运维支撑；针对医保、重症等政策变化建立快速响应流程，每季度开展临床满意度巡检，同步保障改造后系统稳定性与业务连续性、数据安全性。</w:t>
      </w:r>
    </w:p>
    <w:p w14:paraId="67047DD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以“政策合规、临床提效、患者满意”为核心，通过四大专项的协同升级，构建“智能质控-紧急救援-智慧服务-稳定运维”的现代化医疗信息体系，既响应国家战略要求，又切实解决医院业务痛点，为未来医疗数字化转型奠定基础。</w:t>
      </w:r>
    </w:p>
    <w:p w14:paraId="325C2228">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建设周期</w:t>
      </w:r>
    </w:p>
    <w:p w14:paraId="139720D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本项目遵循“顶层设计先行、建设模块分开、分阶段逐步实施”的思路建设，其中临床专科能力提升、紧急医学救援能力提升、智慧服务能力提升</w:t>
      </w:r>
      <w:r>
        <w:rPr>
          <w:rFonts w:hint="eastAsia" w:ascii="宋体" w:hAnsi="宋体" w:cs="宋体"/>
          <w:color w:val="auto"/>
          <w:sz w:val="21"/>
          <w:szCs w:val="21"/>
          <w:highlight w:val="none"/>
          <w:lang w:val="en-US" w:eastAsia="zh-CN"/>
        </w:rPr>
        <w:t>三个专项</w:t>
      </w:r>
      <w:r>
        <w:rPr>
          <w:rFonts w:hint="eastAsia" w:ascii="宋体" w:hAnsi="宋体" w:eastAsia="宋体" w:cs="宋体"/>
          <w:color w:val="auto"/>
          <w:sz w:val="21"/>
          <w:szCs w:val="21"/>
          <w:highlight w:val="none"/>
          <w:lang w:val="en-US" w:eastAsia="zh-CN"/>
        </w:rPr>
        <w:t>建设周期计划为合同签订之日起3个月，各</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免费维保期为</w:t>
      </w:r>
      <w:r>
        <w:rPr>
          <w:rFonts w:hint="eastAsia" w:ascii="宋体" w:hAnsi="宋体" w:cs="宋体"/>
          <w:color w:val="auto"/>
          <w:sz w:val="21"/>
          <w:szCs w:val="21"/>
          <w:highlight w:val="none"/>
          <w:lang w:val="en-US" w:eastAsia="zh-CN"/>
        </w:rPr>
        <w:t>该专项</w:t>
      </w:r>
      <w:r>
        <w:rPr>
          <w:rFonts w:hint="eastAsia" w:ascii="宋体" w:hAnsi="宋体" w:eastAsia="宋体" w:cs="宋体"/>
          <w:color w:val="auto"/>
          <w:sz w:val="21"/>
          <w:szCs w:val="21"/>
          <w:highlight w:val="none"/>
          <w:lang w:val="en-US" w:eastAsia="zh-CN"/>
        </w:rPr>
        <w:t>终验合格之日起1年。本地化改造及运维服务能力提升</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建设周期计划为合同签订之日起1年。</w:t>
      </w:r>
    </w:p>
    <w:p w14:paraId="27D39673">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预算及支付</w:t>
      </w:r>
    </w:p>
    <w:p w14:paraId="7B3F720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预算金额：2350万元。</w:t>
      </w:r>
    </w:p>
    <w:p w14:paraId="4863CB1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合同签订后，甲方向中标单位支付合同总价款的30%作为</w:t>
      </w:r>
      <w:r>
        <w:rPr>
          <w:rFonts w:hint="eastAsia" w:ascii="宋体" w:hAnsi="宋体" w:cs="宋体"/>
          <w:color w:val="auto"/>
          <w:sz w:val="21"/>
          <w:szCs w:val="21"/>
          <w:highlight w:val="none"/>
          <w:lang w:val="en-US" w:eastAsia="zh-CN"/>
        </w:rPr>
        <w:t>预</w:t>
      </w:r>
      <w:r>
        <w:rPr>
          <w:rFonts w:hint="eastAsia" w:ascii="宋体" w:hAnsi="宋体" w:eastAsia="宋体" w:cs="宋体"/>
          <w:color w:val="auto"/>
          <w:sz w:val="21"/>
          <w:szCs w:val="21"/>
          <w:highlight w:val="none"/>
          <w:lang w:val="en-US" w:eastAsia="zh-CN"/>
        </w:rPr>
        <w:t>付款。结合项目实施周期及经费使用要求，项目按“临床专科能力提升”“紧急医学救援能力提升”“智慧服务能力提升”“本地化改造及运维服务能力提升”四个</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分阶段组织验收；每个</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验收合格后，支付该</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对应合同价款的65%。</w:t>
      </w:r>
      <w:r>
        <w:rPr>
          <w:rFonts w:hint="eastAsia" w:ascii="宋体" w:hAnsi="宋体" w:cs="宋体"/>
          <w:color w:val="auto"/>
          <w:sz w:val="21"/>
          <w:szCs w:val="21"/>
          <w:highlight w:val="none"/>
          <w:lang w:val="en-US" w:eastAsia="zh-CN"/>
        </w:rPr>
        <w:t>项目整体</w:t>
      </w:r>
      <w:r>
        <w:rPr>
          <w:rFonts w:hint="eastAsia" w:ascii="宋体" w:hAnsi="宋体" w:eastAsia="宋体" w:cs="宋体"/>
          <w:color w:val="auto"/>
          <w:sz w:val="21"/>
          <w:szCs w:val="21"/>
          <w:highlight w:val="none"/>
          <w:lang w:val="en-US" w:eastAsia="zh-CN"/>
        </w:rPr>
        <w:t>验收完成后，待免费维保期满且履约合格，支付剩余5%合同尾款。</w:t>
      </w:r>
    </w:p>
    <w:p w14:paraId="3771F297">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验收标准参考</w:t>
      </w:r>
    </w:p>
    <w:p w14:paraId="2974532A">
      <w:pPr>
        <w:keepNext w:val="0"/>
        <w:keepLines w:val="0"/>
        <w:pageBreakBefore w:val="0"/>
        <w:widowControl w:val="0"/>
        <w:numPr>
          <w:ilvl w:val="0"/>
          <w:numId w:val="19"/>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交付验收要求</w:t>
      </w:r>
    </w:p>
    <w:p w14:paraId="6EA7309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总体验收原则项目验收以合同约定、招标文件、投标文件、技术方案及相关行业规范为依据，遵循 “功能完整、运行稳定、数据准确、安全合规、文档齐全、服务到位”的原则，可按”临床专科能力提升“、”紧急医学救援能力提升“、"智慧服务能力提升"、”本地化改造及运维服务能力提升“4个建设</w:t>
      </w:r>
      <w:r>
        <w:rPr>
          <w:rFonts w:hint="eastAsia" w:ascii="宋体" w:hAnsi="宋体" w:cs="宋体"/>
          <w:color w:val="auto"/>
          <w:sz w:val="21"/>
          <w:szCs w:val="21"/>
          <w:highlight w:val="none"/>
          <w:lang w:val="en-US" w:eastAsia="zh-CN"/>
        </w:rPr>
        <w:t>专项</w:t>
      </w:r>
      <w:r>
        <w:rPr>
          <w:rFonts w:hint="eastAsia" w:ascii="宋体" w:hAnsi="宋体" w:eastAsia="宋体" w:cs="宋体"/>
          <w:color w:val="auto"/>
          <w:sz w:val="21"/>
          <w:szCs w:val="21"/>
          <w:highlight w:val="none"/>
          <w:lang w:val="en-US" w:eastAsia="zh-CN"/>
        </w:rPr>
        <w:t>内容分模块、分阶段组织实施，确保建设成果满足医院实际业务与管理需求。</w:t>
      </w:r>
    </w:p>
    <w:p w14:paraId="1F003C38">
      <w:pPr>
        <w:pStyle w:val="5"/>
        <w:keepNext w:val="0"/>
        <w:keepLines w:val="0"/>
        <w:pageBreakBefore w:val="0"/>
        <w:widowControl w:val="0"/>
        <w:numPr>
          <w:ilvl w:val="0"/>
          <w:numId w:val="20"/>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各建设</w:t>
      </w:r>
      <w:r>
        <w:rPr>
          <w:rFonts w:hint="eastAsia" w:ascii="宋体" w:hAnsi="宋体" w:cs="宋体"/>
          <w:color w:val="auto"/>
          <w:sz w:val="21"/>
          <w:szCs w:val="21"/>
          <w:highlight w:val="none"/>
          <w:lang w:val="en-US" w:eastAsia="zh-CN"/>
        </w:rPr>
        <w:t>专项</w:t>
      </w:r>
      <w:r>
        <w:rPr>
          <w:rFonts w:ascii="宋体" w:hAnsi="宋体" w:eastAsia="宋体" w:cs="宋体"/>
          <w:color w:val="auto"/>
          <w:sz w:val="21"/>
          <w:szCs w:val="21"/>
          <w:highlight w:val="none"/>
        </w:rPr>
        <w:t>（临床专科能力提升、紧急医学救援能力提升、智慧服务能力提升、本地化改造及运维服务提升）全部功能点按要求开发完成，流程配置符合医院现有业务模式及管理规定。与医院现有信息系统接口对接稳定，数据互通准确、实时同步无遗漏。</w:t>
      </w:r>
    </w:p>
    <w:p w14:paraId="6712F3B4">
      <w:pPr>
        <w:pStyle w:val="5"/>
        <w:keepNext w:val="0"/>
        <w:keepLines w:val="0"/>
        <w:pageBreakBefore w:val="0"/>
        <w:widowControl w:val="0"/>
        <w:numPr>
          <w:ilvl w:val="0"/>
          <w:numId w:val="20"/>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涉及软硬件系统安装集成调试完成，各模块功能完整，中标人对采购人的使用人员进行培训，中标人可申请进行初验；初验合格后，同时正式申请上线试运行，试运行满30日，运行正常中标人可申请进行终验。</w:t>
      </w:r>
    </w:p>
    <w:p w14:paraId="5D1C258B">
      <w:pPr>
        <w:pStyle w:val="5"/>
        <w:keepNext w:val="0"/>
        <w:keepLines w:val="0"/>
        <w:pageBreakBefore w:val="0"/>
        <w:widowControl w:val="0"/>
        <w:numPr>
          <w:ilvl w:val="0"/>
          <w:numId w:val="20"/>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涉及服务内容中标人需接受采购人对服务期内的服务内容的考核。</w:t>
      </w:r>
    </w:p>
    <w:p w14:paraId="1BD92794">
      <w:pPr>
        <w:pStyle w:val="5"/>
        <w:keepNext w:val="0"/>
        <w:keepLines w:val="0"/>
        <w:pageBreakBefore w:val="0"/>
        <w:widowControl w:val="0"/>
        <w:numPr>
          <w:ilvl w:val="0"/>
          <w:numId w:val="20"/>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达到项目招投标文件、项目合同及需求等相关文档的技术要求，系统稳定运行并完成试运行后，提交终验交付材料并由采购人确认签字后，完成验收。</w:t>
      </w:r>
    </w:p>
    <w:p w14:paraId="74D029AF">
      <w:pPr>
        <w:keepNext w:val="0"/>
        <w:keepLines w:val="0"/>
        <w:pageBreakBefore w:val="0"/>
        <w:widowControl w:val="0"/>
        <w:numPr>
          <w:ilvl w:val="0"/>
          <w:numId w:val="19"/>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交付文档验收要求</w:t>
      </w:r>
    </w:p>
    <w:p w14:paraId="70DC255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项目的工作内容及成果文档的提交应覆盖以下内容，电子文档是成果不可分割的部分。</w:t>
      </w:r>
    </w:p>
    <w:p w14:paraId="48927EA9">
      <w:pPr>
        <w:pStyle w:val="5"/>
        <w:keepNext w:val="0"/>
        <w:keepLines w:val="0"/>
        <w:pageBreakBefore w:val="0"/>
        <w:widowControl w:val="0"/>
        <w:numPr>
          <w:ilvl w:val="0"/>
          <w:numId w:val="21"/>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须提供完整项目交付成果，包括但不限于：系统软件、部署程序、配置文档、用户手册、操作手册、运维手册、接口说明、测试报告、培训资料等。所有文档内容规范、格式统一、详实可查，满足后续使用、运维及升级扩展需要。 </w:t>
      </w:r>
    </w:p>
    <w:p w14:paraId="450F2917">
      <w:pPr>
        <w:pStyle w:val="5"/>
        <w:keepNext w:val="0"/>
        <w:keepLines w:val="0"/>
        <w:pageBreakBefore w:val="0"/>
        <w:widowControl w:val="0"/>
        <w:numPr>
          <w:ilvl w:val="0"/>
          <w:numId w:val="21"/>
        </w:numPr>
        <w:kinsoku/>
        <w:wordWrap/>
        <w:overflowPunct/>
        <w:topLinePunct w:val="0"/>
        <w:autoSpaceDE/>
        <w:autoSpaceDN/>
        <w:bidi w:val="0"/>
        <w:adjustRightInd/>
        <w:snapToGrid/>
        <w:ind w:left="425" w:leftChars="0" w:hanging="5"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提供的其它技术手册，包括但不限于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需求分析报告（含软件功能需求与数据要求）；系统实施确认书；软件培训资料；程序安装维护手册；软件使用操作手册；项目验收报告。</w:t>
      </w:r>
    </w:p>
    <w:p w14:paraId="71A842BA">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建设原则</w:t>
      </w:r>
      <w:bookmarkEnd w:id="154"/>
    </w:p>
    <w:p w14:paraId="5F14BE92">
      <w:pPr>
        <w:keepNext w:val="0"/>
        <w:keepLines w:val="0"/>
        <w:pageBreakBefore w:val="0"/>
        <w:widowControl w:val="0"/>
        <w:numPr>
          <w:ilvl w:val="0"/>
          <w:numId w:val="22"/>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bookmarkStart w:id="155" w:name="_Toc180317814"/>
      <w:r>
        <w:rPr>
          <w:rFonts w:hint="eastAsia" w:ascii="宋体" w:hAnsi="宋体" w:eastAsia="宋体" w:cs="宋体"/>
          <w:color w:val="auto"/>
          <w:sz w:val="21"/>
          <w:szCs w:val="21"/>
          <w:highlight w:val="none"/>
          <w:lang w:val="en-US" w:eastAsia="zh-CN"/>
        </w:rPr>
        <w:t>整体规划、分步实施</w:t>
      </w:r>
      <w:bookmarkEnd w:id="155"/>
    </w:p>
    <w:p w14:paraId="5A620C5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项目在总体规划的指导下，分阶段逐步完成信息系统各项工程的建设。</w:t>
      </w:r>
    </w:p>
    <w:p w14:paraId="5CDC9106">
      <w:pPr>
        <w:keepNext w:val="0"/>
        <w:keepLines w:val="0"/>
        <w:pageBreakBefore w:val="0"/>
        <w:widowControl w:val="0"/>
        <w:numPr>
          <w:ilvl w:val="0"/>
          <w:numId w:val="22"/>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bookmarkStart w:id="156" w:name="_Toc180317815"/>
      <w:r>
        <w:rPr>
          <w:rFonts w:hint="eastAsia" w:ascii="宋体" w:hAnsi="宋体" w:eastAsia="宋体" w:cs="宋体"/>
          <w:color w:val="auto"/>
          <w:sz w:val="21"/>
          <w:szCs w:val="21"/>
          <w:highlight w:val="none"/>
          <w:lang w:val="en-US" w:eastAsia="zh-CN"/>
        </w:rPr>
        <w:t>标准规范、功能全面</w:t>
      </w:r>
      <w:bookmarkEnd w:id="156"/>
    </w:p>
    <w:p w14:paraId="14B472D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信息系统的项目建设要符合医疗行业的法律法规要求，系统功能范围和要求遵循卫生部信息系统功能规范（2002年版）要求，支持国际、国内的医疗相关标准，包括HL7、XML、DICOM3.0、ICD-10、SNOMED相关标准。</w:t>
      </w:r>
    </w:p>
    <w:p w14:paraId="69A7606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信息系统架构必须全面、完整，以支撑所有业务的开发实施、集成，保证系统内、外系统的顺利整合。业务应用应覆盖全院的所有业务科室及相关的业务流程。</w:t>
      </w:r>
    </w:p>
    <w:p w14:paraId="552A1A45">
      <w:pPr>
        <w:keepNext w:val="0"/>
        <w:keepLines w:val="0"/>
        <w:pageBreakBefore w:val="0"/>
        <w:widowControl w:val="0"/>
        <w:numPr>
          <w:ilvl w:val="0"/>
          <w:numId w:val="22"/>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bookmarkStart w:id="157" w:name="_Toc180317816"/>
      <w:r>
        <w:rPr>
          <w:rFonts w:hint="eastAsia" w:ascii="宋体" w:hAnsi="宋体" w:eastAsia="宋体" w:cs="宋体"/>
          <w:color w:val="auto"/>
          <w:sz w:val="21"/>
          <w:szCs w:val="21"/>
          <w:highlight w:val="none"/>
          <w:lang w:val="en-US" w:eastAsia="zh-CN"/>
        </w:rPr>
        <w:t>开放互联、信息共享</w:t>
      </w:r>
      <w:bookmarkEnd w:id="157"/>
    </w:p>
    <w:p w14:paraId="4B3EB48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的建设是内各种业务应用的综合建设，其建设内容可能由多家公司提供的产品共同实现。为了避免“信息孤岛”的存在，为了能构建成一个完整而丰富的数字化信息平台，在项目建设过程中必须考虑对不同厂商的产品进行充分集成和信息共享。</w:t>
      </w:r>
    </w:p>
    <w:p w14:paraId="3F9FF190">
      <w:pPr>
        <w:keepNext w:val="0"/>
        <w:keepLines w:val="0"/>
        <w:pageBreakBefore w:val="0"/>
        <w:widowControl w:val="0"/>
        <w:numPr>
          <w:ilvl w:val="0"/>
          <w:numId w:val="22"/>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bookmarkStart w:id="158" w:name="_Toc180317817"/>
      <w:r>
        <w:rPr>
          <w:rFonts w:hint="eastAsia" w:ascii="宋体" w:hAnsi="宋体" w:eastAsia="宋体" w:cs="宋体"/>
          <w:color w:val="auto"/>
          <w:sz w:val="21"/>
          <w:szCs w:val="21"/>
          <w:highlight w:val="none"/>
          <w:lang w:val="en-US" w:eastAsia="zh-CN"/>
        </w:rPr>
        <w:t>先进可靠、经济实用</w:t>
      </w:r>
      <w:bookmarkEnd w:id="158"/>
    </w:p>
    <w:p w14:paraId="7602F15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项目系统设计时采用当代先进技术和主流技术，既考虑应用平台和工具的先进，同时更要考虑系统结构和应用设计的先进性，以适应医院信息系统建设需求。</w:t>
      </w:r>
    </w:p>
    <w:p w14:paraId="69F149C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同时应用系统要充分体现易用性的特点。</w:t>
      </w:r>
    </w:p>
    <w:p w14:paraId="68A859E4">
      <w:pPr>
        <w:keepNext w:val="0"/>
        <w:keepLines w:val="0"/>
        <w:pageBreakBefore w:val="0"/>
        <w:widowControl w:val="0"/>
        <w:numPr>
          <w:ilvl w:val="0"/>
          <w:numId w:val="22"/>
        </w:numPr>
        <w:shd w:val="clear"/>
        <w:kinsoku/>
        <w:wordWrap/>
        <w:overflowPunct/>
        <w:topLinePunct w:val="0"/>
        <w:autoSpaceDE/>
        <w:autoSpaceDN/>
        <w:bidi w:val="0"/>
        <w:adjustRightInd/>
        <w:snapToGrid/>
        <w:spacing w:line="360" w:lineRule="auto"/>
        <w:ind w:left="425" w:leftChars="0" w:hanging="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项目化管理</w:t>
      </w:r>
    </w:p>
    <w:p w14:paraId="1D8D70A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信息系统的建设应按照软件工程项目化管理来开发和建设，在更换信息系统的过程中，要有统一的规范，涉及各家的变动、需求需要软件供应商密切配合定制，并接受用户的监管。</w:t>
      </w:r>
    </w:p>
    <w:p w14:paraId="56283F17">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bookmarkStart w:id="159" w:name="_Toc14723136"/>
      <w:r>
        <w:rPr>
          <w:rFonts w:hint="eastAsia" w:ascii="宋体" w:hAnsi="宋体" w:eastAsia="宋体" w:cs="宋体"/>
          <w:b/>
          <w:bCs/>
          <w:color w:val="auto"/>
          <w:sz w:val="21"/>
          <w:szCs w:val="21"/>
          <w:highlight w:val="none"/>
          <w:lang w:val="en-US" w:eastAsia="zh-CN"/>
        </w:rPr>
        <w:t>规范依据</w:t>
      </w:r>
      <w:bookmarkEnd w:id="159"/>
    </w:p>
    <w:p w14:paraId="61092F9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系统应符合并遵循相关政策、标准，包括但不限于：</w:t>
      </w:r>
    </w:p>
    <w:p w14:paraId="3872C23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国家卫生健康委员会《关于印发国家紧急医学救援基地建设技术指导方案的通知》；</w:t>
      </w:r>
    </w:p>
    <w:p w14:paraId="2590969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国家卫生健康委《突发事件紧急医学救援“十四五”规划》；</w:t>
      </w:r>
    </w:p>
    <w:p w14:paraId="36EDC89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国家应急部《“十四五”应急救援力量建设规划》；</w:t>
      </w:r>
    </w:p>
    <w:p w14:paraId="5B35295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《国家卫生健康委关于印发重症医学专业医疗质量控制指标（2024年版）的通知》；</w:t>
      </w:r>
    </w:p>
    <w:p w14:paraId="2180ACD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ISO15189《医学实验室质量和能力认可准则》；</w:t>
      </w:r>
    </w:p>
    <w:p w14:paraId="607304E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《人工智能辅助诊断技术管理规范》；</w:t>
      </w:r>
    </w:p>
    <w:p w14:paraId="378FDB2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《国务院办公厅关于促进和规范健康医疗大数据应用发展的指导意见》（国办发〔2016〕47号）；</w:t>
      </w:r>
    </w:p>
    <w:p w14:paraId="24D61FD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《医院信息平台应用功能指引》（国卫办规划函〔2016〕1110号）；</w:t>
      </w:r>
    </w:p>
    <w:p w14:paraId="45910E7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《“健康中国2030”规划纲要》；</w:t>
      </w:r>
    </w:p>
    <w:p w14:paraId="68E4D95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《医院信息化建设应用技术指引（2017年版）》（国卫办规划函〔2017〕1232号）；</w:t>
      </w:r>
    </w:p>
    <w:p w14:paraId="2E74122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《关于印发进一步改善医疗服务行动计划（2018—2020年）的通知》（国卫医发〔2017〕73号）；</w:t>
      </w:r>
    </w:p>
    <w:p w14:paraId="35E9AA6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《全国医院信息化建设标准与规范（试行）》（国卫办规划发〔2018〕4号）；</w:t>
      </w:r>
    </w:p>
    <w:p w14:paraId="603A0BE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《关于促进“互联网+医疗健康”发展的意见》（国办发〔2018〕26号）；</w:t>
      </w:r>
    </w:p>
    <w:p w14:paraId="2DE76D6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《关于深入开展“互联网+医疗健康”便民惠民活动的通知》（国卫规划发〔2018〕22号）；</w:t>
      </w:r>
    </w:p>
    <w:p w14:paraId="225C725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《国家健康医疗大数据标准、安全和服务管理办法（试行）》（国卫规划发〔2018〕23号）；</w:t>
      </w:r>
    </w:p>
    <w:p w14:paraId="4F9A50D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《关于进一步推进以电子病历为核心的医疗机构信息化建设工作的通知》（国卫办医发〔2018〕20号）；</w:t>
      </w:r>
    </w:p>
    <w:p w14:paraId="6E1CF40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《关于印发电子病历系统应用水平分级评价管理办法（试行）及评价标准（试行）的通知》（国卫办医函〔2018〕1079号）；</w:t>
      </w:r>
    </w:p>
    <w:p w14:paraId="67CB27F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《医院智慧服务分级评估标准体系（试行）》（国卫办医函〔2019〕236号）；</w:t>
      </w:r>
    </w:p>
    <w:p w14:paraId="77C8B37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《“十四五”全民健康信息化规划》国卫规划发〔2022〕30号；</w:t>
      </w:r>
    </w:p>
    <w:p w14:paraId="69992D9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《国务院办公厅关于推动公立医院高质量发展的意见》国办发〔2021〕18号；</w:t>
      </w:r>
    </w:p>
    <w:p w14:paraId="34782DD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《公立医院高质量发展促进行动（2021-2025年）》（国卫医发〔2021〕27号）；</w:t>
      </w:r>
    </w:p>
    <w:p w14:paraId="01844FD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《国家卫生健康委关于印发三级医院评审标准（2020年版）的通知》国卫医发〔2020〕26号；</w:t>
      </w:r>
    </w:p>
    <w:p w14:paraId="4BF82C7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《国家医疗健康信息医院信息互联互通标准化成熟度测评方案（2020年版）》，国卫统信便函〔2020〕30号，国家卫生健康标准委员会卫生健康信息标准专业委员会、国家卫生健康委统计信息中心；</w:t>
      </w:r>
    </w:p>
    <w:p w14:paraId="0ACFD6D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GB/T 21052-2007 信息安全等级保护 信息系统物理安全技术要求；</w:t>
      </w:r>
    </w:p>
    <w:p w14:paraId="6272893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信息安全技术 信息系统安全等级保护基本要求；</w:t>
      </w:r>
    </w:p>
    <w:p w14:paraId="5F07E8C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信息安全技术 信息系统安全保护等级定级指南；</w:t>
      </w:r>
    </w:p>
    <w:p w14:paraId="4D79677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云南省发展和改革委员会云南省卫生健康委员会《关于印发云南省国家紧急医学救援基地项目建设工作方案的通知》；</w:t>
      </w:r>
    </w:p>
    <w:p w14:paraId="458420C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《云南省“十四五”综合防灾减灾救灾规划》；</w:t>
      </w:r>
    </w:p>
    <w:p w14:paraId="78E9F0C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《云南省医疗卫生事业“十四五”规划》；</w:t>
      </w:r>
    </w:p>
    <w:p w14:paraId="41C783A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《云南省“十四五”医疗卫生服务体系规划》。</w:t>
      </w:r>
    </w:p>
    <w:p w14:paraId="1E1334EE">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bookmarkStart w:id="160" w:name="_Toc118970653"/>
      <w:r>
        <w:rPr>
          <w:rFonts w:hint="eastAsia" w:ascii="宋体" w:hAnsi="宋体" w:eastAsia="宋体" w:cs="宋体"/>
          <w:b/>
          <w:bCs/>
          <w:color w:val="auto"/>
          <w:sz w:val="21"/>
          <w:szCs w:val="21"/>
          <w:highlight w:val="none"/>
          <w:lang w:val="en-US" w:eastAsia="zh-CN"/>
        </w:rPr>
        <w:t>建设内容</w:t>
      </w:r>
      <w:bookmarkEnd w:id="160"/>
    </w:p>
    <w:tbl>
      <w:tblPr>
        <w:tblStyle w:val="48"/>
        <w:tblW w:w="5000" w:type="pct"/>
        <w:tblInd w:w="0" w:type="dxa"/>
        <w:tblLayout w:type="autofit"/>
        <w:tblCellMar>
          <w:top w:w="0" w:type="dxa"/>
          <w:left w:w="108" w:type="dxa"/>
          <w:bottom w:w="0" w:type="dxa"/>
          <w:right w:w="108" w:type="dxa"/>
        </w:tblCellMar>
      </w:tblPr>
      <w:tblGrid>
        <w:gridCol w:w="740"/>
        <w:gridCol w:w="2850"/>
        <w:gridCol w:w="2850"/>
        <w:gridCol w:w="2848"/>
      </w:tblGrid>
      <w:tr w14:paraId="710BF2A6">
        <w:tblPrEx>
          <w:tblCellMar>
            <w:top w:w="0" w:type="dxa"/>
            <w:left w:w="108" w:type="dxa"/>
            <w:bottom w:w="0" w:type="dxa"/>
            <w:right w:w="108" w:type="dxa"/>
          </w:tblCellMar>
        </w:tblPrEx>
        <w:trPr>
          <w:trHeight w:val="650" w:hRule="atLeast"/>
        </w:trPr>
        <w:tc>
          <w:tcPr>
            <w:tcW w:w="399" w:type="pct"/>
            <w:tcBorders>
              <w:top w:val="single" w:color="000000" w:sz="8" w:space="0"/>
              <w:left w:val="single" w:color="000000" w:sz="8" w:space="0"/>
              <w:bottom w:val="single" w:color="000000" w:sz="8" w:space="0"/>
              <w:right w:val="single" w:color="000000" w:sz="8" w:space="0"/>
            </w:tcBorders>
            <w:shd w:val="clear" w:color="auto" w:fill="D9D9D9"/>
            <w:vAlign w:val="center"/>
          </w:tcPr>
          <w:p w14:paraId="61E240F6">
            <w:pPr>
              <w:pStyle w:val="491"/>
              <w:rPr>
                <w:rFonts w:hint="eastAsia"/>
                <w:b/>
                <w:bCs/>
                <w:color w:val="auto"/>
                <w:highlight w:val="none"/>
              </w:rPr>
            </w:pPr>
            <w:r>
              <w:rPr>
                <w:rFonts w:hint="eastAsia"/>
                <w:b/>
                <w:bCs/>
                <w:color w:val="auto"/>
                <w:highlight w:val="none"/>
              </w:rPr>
              <w:t>序号</w:t>
            </w:r>
          </w:p>
        </w:tc>
        <w:tc>
          <w:tcPr>
            <w:tcW w:w="1534" w:type="pct"/>
            <w:tcBorders>
              <w:top w:val="single" w:color="000000" w:sz="8" w:space="0"/>
              <w:left w:val="nil"/>
              <w:bottom w:val="single" w:color="000000" w:sz="8" w:space="0"/>
              <w:right w:val="single" w:color="000000" w:sz="8" w:space="0"/>
            </w:tcBorders>
            <w:shd w:val="clear" w:color="auto" w:fill="D9D9D9"/>
            <w:vAlign w:val="center"/>
          </w:tcPr>
          <w:p w14:paraId="3FE3078A">
            <w:pPr>
              <w:pStyle w:val="491"/>
              <w:rPr>
                <w:rFonts w:hint="eastAsia"/>
                <w:b/>
                <w:bCs/>
                <w:color w:val="auto"/>
                <w:highlight w:val="none"/>
              </w:rPr>
            </w:pPr>
            <w:r>
              <w:rPr>
                <w:rFonts w:hint="eastAsia"/>
                <w:b/>
                <w:bCs/>
                <w:color w:val="auto"/>
                <w:highlight w:val="none"/>
              </w:rPr>
              <w:t>专项</w:t>
            </w:r>
          </w:p>
        </w:tc>
        <w:tc>
          <w:tcPr>
            <w:tcW w:w="3067" w:type="pct"/>
            <w:gridSpan w:val="2"/>
            <w:tcBorders>
              <w:top w:val="single" w:color="000000" w:sz="8" w:space="0"/>
              <w:left w:val="nil"/>
              <w:bottom w:val="single" w:color="000000" w:sz="8" w:space="0"/>
              <w:right w:val="single" w:color="000000" w:sz="8" w:space="0"/>
            </w:tcBorders>
            <w:shd w:val="clear" w:color="auto" w:fill="D9D9D9"/>
            <w:vAlign w:val="center"/>
          </w:tcPr>
          <w:p w14:paraId="03A521BD">
            <w:pPr>
              <w:pStyle w:val="491"/>
              <w:rPr>
                <w:rFonts w:hint="eastAsia"/>
                <w:b/>
                <w:bCs/>
                <w:color w:val="auto"/>
                <w:highlight w:val="none"/>
              </w:rPr>
            </w:pPr>
            <w:r>
              <w:rPr>
                <w:rFonts w:hint="eastAsia"/>
                <w:b/>
                <w:bCs/>
                <w:color w:val="auto"/>
                <w:highlight w:val="none"/>
              </w:rPr>
              <w:t>建设内容</w:t>
            </w:r>
          </w:p>
        </w:tc>
      </w:tr>
      <w:tr w14:paraId="19901B4A">
        <w:tblPrEx>
          <w:tblCellMar>
            <w:top w:w="0" w:type="dxa"/>
            <w:left w:w="108" w:type="dxa"/>
            <w:bottom w:w="0" w:type="dxa"/>
            <w:right w:w="108" w:type="dxa"/>
          </w:tblCellMar>
        </w:tblPrEx>
        <w:trPr>
          <w:trHeight w:val="240" w:hRule="atLeast"/>
        </w:trPr>
        <w:tc>
          <w:tcPr>
            <w:tcW w:w="399" w:type="pct"/>
            <w:vMerge w:val="restart"/>
            <w:tcBorders>
              <w:top w:val="nil"/>
              <w:left w:val="single" w:color="000000" w:sz="8" w:space="0"/>
              <w:bottom w:val="single" w:color="000000" w:sz="8" w:space="0"/>
              <w:right w:val="single" w:color="000000" w:sz="8" w:space="0"/>
            </w:tcBorders>
            <w:vAlign w:val="center"/>
          </w:tcPr>
          <w:p w14:paraId="7268C3D6">
            <w:pPr>
              <w:pStyle w:val="491"/>
              <w:rPr>
                <w:rFonts w:hint="eastAsia"/>
                <w:color w:val="auto"/>
                <w:highlight w:val="none"/>
              </w:rPr>
            </w:pPr>
            <w:r>
              <w:rPr>
                <w:rFonts w:hint="eastAsia"/>
                <w:color w:val="auto"/>
                <w:highlight w:val="none"/>
              </w:rPr>
              <w:t>1</w:t>
            </w:r>
          </w:p>
        </w:tc>
        <w:tc>
          <w:tcPr>
            <w:tcW w:w="1534" w:type="pct"/>
            <w:vMerge w:val="restart"/>
            <w:tcBorders>
              <w:top w:val="nil"/>
              <w:left w:val="nil"/>
              <w:bottom w:val="single" w:color="000000" w:sz="8" w:space="0"/>
              <w:right w:val="single" w:color="000000" w:sz="8" w:space="0"/>
            </w:tcBorders>
            <w:vAlign w:val="center"/>
          </w:tcPr>
          <w:p w14:paraId="382DDA8F">
            <w:pPr>
              <w:pStyle w:val="491"/>
              <w:rPr>
                <w:rFonts w:hint="eastAsia"/>
                <w:color w:val="auto"/>
                <w:highlight w:val="none"/>
              </w:rPr>
            </w:pPr>
            <w:r>
              <w:rPr>
                <w:rFonts w:hint="eastAsia"/>
                <w:color w:val="auto"/>
                <w:highlight w:val="none"/>
              </w:rPr>
              <w:t>临床专科能力提升</w:t>
            </w:r>
          </w:p>
        </w:tc>
        <w:tc>
          <w:tcPr>
            <w:tcW w:w="1534" w:type="pct"/>
            <w:vMerge w:val="restart"/>
            <w:tcBorders>
              <w:top w:val="nil"/>
              <w:left w:val="nil"/>
              <w:bottom w:val="single" w:color="000000" w:sz="8" w:space="0"/>
              <w:right w:val="single" w:color="000000" w:sz="8" w:space="0"/>
            </w:tcBorders>
            <w:vAlign w:val="center"/>
          </w:tcPr>
          <w:p w14:paraId="5226767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PACS系统</w:t>
            </w:r>
          </w:p>
        </w:tc>
        <w:tc>
          <w:tcPr>
            <w:tcW w:w="1533" w:type="pct"/>
            <w:tcBorders>
              <w:top w:val="nil"/>
              <w:left w:val="nil"/>
              <w:bottom w:val="single" w:color="000000" w:sz="8" w:space="0"/>
              <w:right w:val="single" w:color="000000" w:sz="8" w:space="0"/>
            </w:tcBorders>
            <w:vAlign w:val="center"/>
          </w:tcPr>
          <w:p w14:paraId="289C91B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PACS系统</w:t>
            </w:r>
          </w:p>
        </w:tc>
      </w:tr>
      <w:tr w14:paraId="4EFBC85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873A3A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758FE6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C238D2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AEA062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放射AI智能体</w:t>
            </w:r>
          </w:p>
        </w:tc>
      </w:tr>
      <w:tr w14:paraId="7A3343BA">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C424D5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69E976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D22B06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6D6D19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超声AI智能体</w:t>
            </w:r>
          </w:p>
        </w:tc>
      </w:tr>
      <w:tr w14:paraId="32F0DA1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BBA276A">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F86D643">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02D6B07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LIS系统</w:t>
            </w:r>
          </w:p>
        </w:tc>
        <w:tc>
          <w:tcPr>
            <w:tcW w:w="1533" w:type="pct"/>
            <w:tcBorders>
              <w:top w:val="nil"/>
              <w:left w:val="nil"/>
              <w:bottom w:val="single" w:color="000000" w:sz="8" w:space="0"/>
              <w:right w:val="single" w:color="000000" w:sz="8" w:space="0"/>
            </w:tcBorders>
            <w:vAlign w:val="center"/>
          </w:tcPr>
          <w:p w14:paraId="013D97B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LIS系统</w:t>
            </w:r>
          </w:p>
        </w:tc>
      </w:tr>
      <w:tr w14:paraId="5FC40EF2">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CEC443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F02268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08C9C6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D57E39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AI智能体</w:t>
            </w:r>
          </w:p>
        </w:tc>
      </w:tr>
      <w:tr w14:paraId="39DBEA4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F7E3F2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9493121">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77EE8BF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重症系统</w:t>
            </w:r>
          </w:p>
        </w:tc>
        <w:tc>
          <w:tcPr>
            <w:tcW w:w="1533" w:type="pct"/>
            <w:tcBorders>
              <w:top w:val="nil"/>
              <w:left w:val="nil"/>
              <w:bottom w:val="single" w:color="000000" w:sz="8" w:space="0"/>
              <w:right w:val="single" w:color="000000" w:sz="8" w:space="0"/>
            </w:tcBorders>
            <w:vAlign w:val="center"/>
          </w:tcPr>
          <w:p w14:paraId="157B64E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护理工作站</w:t>
            </w:r>
          </w:p>
        </w:tc>
      </w:tr>
      <w:tr w14:paraId="51F079D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4B7B49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698801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376CDC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FC0C91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医生工作站</w:t>
            </w:r>
          </w:p>
        </w:tc>
      </w:tr>
      <w:tr w14:paraId="0C3D39A2">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17EDCF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AF08C0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938081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59BFCC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管理模块</w:t>
            </w:r>
          </w:p>
        </w:tc>
      </w:tr>
      <w:tr w14:paraId="185B1E9D">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3D8BF7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D34FF6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536285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9B5A3D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科研工作站</w:t>
            </w:r>
          </w:p>
        </w:tc>
      </w:tr>
      <w:tr w14:paraId="303A8AE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AB226A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F81C8A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0FBB5C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378E6C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AI智能体</w:t>
            </w:r>
          </w:p>
        </w:tc>
      </w:tr>
      <w:tr w14:paraId="49AE7BA0">
        <w:tblPrEx>
          <w:tblCellMar>
            <w:top w:w="0" w:type="dxa"/>
            <w:left w:w="108" w:type="dxa"/>
            <w:bottom w:w="0" w:type="dxa"/>
            <w:right w:w="108" w:type="dxa"/>
          </w:tblCellMar>
        </w:tblPrEx>
        <w:trPr>
          <w:trHeight w:val="240" w:hRule="atLeast"/>
        </w:trPr>
        <w:tc>
          <w:tcPr>
            <w:tcW w:w="399" w:type="pct"/>
            <w:vMerge w:val="restart"/>
            <w:tcBorders>
              <w:top w:val="nil"/>
              <w:left w:val="single" w:color="000000" w:sz="8" w:space="0"/>
              <w:bottom w:val="single" w:color="000000" w:sz="8" w:space="0"/>
              <w:right w:val="single" w:color="000000" w:sz="8" w:space="0"/>
            </w:tcBorders>
            <w:vAlign w:val="center"/>
          </w:tcPr>
          <w:p w14:paraId="50EFB09C">
            <w:pPr>
              <w:pStyle w:val="491"/>
              <w:rPr>
                <w:rFonts w:hint="eastAsia"/>
                <w:color w:val="auto"/>
                <w:highlight w:val="none"/>
              </w:rPr>
            </w:pPr>
            <w:r>
              <w:rPr>
                <w:rFonts w:hint="eastAsia"/>
                <w:color w:val="auto"/>
                <w:highlight w:val="none"/>
              </w:rPr>
              <w:t>2</w:t>
            </w:r>
          </w:p>
        </w:tc>
        <w:tc>
          <w:tcPr>
            <w:tcW w:w="1534" w:type="pct"/>
            <w:vMerge w:val="restart"/>
            <w:tcBorders>
              <w:top w:val="nil"/>
              <w:left w:val="nil"/>
              <w:bottom w:val="single" w:color="000000" w:sz="8" w:space="0"/>
              <w:right w:val="single" w:color="000000" w:sz="8" w:space="0"/>
            </w:tcBorders>
            <w:vAlign w:val="center"/>
          </w:tcPr>
          <w:p w14:paraId="165731B5">
            <w:pPr>
              <w:pStyle w:val="491"/>
              <w:rPr>
                <w:rFonts w:hint="eastAsia"/>
                <w:color w:val="auto"/>
                <w:highlight w:val="none"/>
              </w:rPr>
            </w:pPr>
            <w:r>
              <w:rPr>
                <w:rFonts w:hint="eastAsia"/>
                <w:color w:val="auto"/>
                <w:highlight w:val="none"/>
              </w:rPr>
              <w:t>紧急医学救援能力提升</w:t>
            </w:r>
          </w:p>
        </w:tc>
        <w:tc>
          <w:tcPr>
            <w:tcW w:w="1534" w:type="pct"/>
            <w:tcBorders>
              <w:top w:val="nil"/>
              <w:left w:val="nil"/>
              <w:bottom w:val="single" w:color="000000" w:sz="8" w:space="0"/>
              <w:right w:val="single" w:color="000000" w:sz="8" w:space="0"/>
            </w:tcBorders>
            <w:vAlign w:val="center"/>
          </w:tcPr>
          <w:p w14:paraId="2A1AA8D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应急救援数据中心</w:t>
            </w:r>
          </w:p>
        </w:tc>
        <w:tc>
          <w:tcPr>
            <w:tcW w:w="1533" w:type="pct"/>
            <w:tcBorders>
              <w:top w:val="nil"/>
              <w:left w:val="nil"/>
              <w:bottom w:val="single" w:color="000000" w:sz="8" w:space="0"/>
              <w:right w:val="single" w:color="000000" w:sz="8" w:space="0"/>
            </w:tcBorders>
            <w:vAlign w:val="center"/>
          </w:tcPr>
          <w:p w14:paraId="5BCC5A3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4E1C3567">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5C97C1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DA99B4C">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4EB7ADD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应急指挥驾驶舱</w:t>
            </w:r>
          </w:p>
        </w:tc>
        <w:tc>
          <w:tcPr>
            <w:tcW w:w="1533" w:type="pct"/>
            <w:tcBorders>
              <w:top w:val="nil"/>
              <w:left w:val="nil"/>
              <w:bottom w:val="single" w:color="000000" w:sz="8" w:space="0"/>
              <w:right w:val="single" w:color="000000" w:sz="8" w:space="0"/>
            </w:tcBorders>
            <w:vAlign w:val="center"/>
          </w:tcPr>
          <w:p w14:paraId="7795EFC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63C64AE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B398C5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9CA5407">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420669A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预警监测平台</w:t>
            </w:r>
          </w:p>
        </w:tc>
        <w:tc>
          <w:tcPr>
            <w:tcW w:w="1533" w:type="pct"/>
            <w:tcBorders>
              <w:top w:val="nil"/>
              <w:left w:val="nil"/>
              <w:bottom w:val="single" w:color="000000" w:sz="8" w:space="0"/>
              <w:right w:val="single" w:color="000000" w:sz="8" w:space="0"/>
            </w:tcBorders>
            <w:vAlign w:val="center"/>
          </w:tcPr>
          <w:p w14:paraId="0B0F449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33AE6437">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934BD7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7562D05">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1009CCA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指挥调度平台</w:t>
            </w:r>
          </w:p>
        </w:tc>
        <w:tc>
          <w:tcPr>
            <w:tcW w:w="1533" w:type="pct"/>
            <w:tcBorders>
              <w:top w:val="nil"/>
              <w:left w:val="nil"/>
              <w:bottom w:val="single" w:color="000000" w:sz="8" w:space="0"/>
              <w:right w:val="single" w:color="000000" w:sz="8" w:space="0"/>
            </w:tcBorders>
            <w:vAlign w:val="center"/>
          </w:tcPr>
          <w:p w14:paraId="62FD8A4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509780A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447621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18A79C7">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386E78F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医疗救治平台</w:t>
            </w:r>
          </w:p>
        </w:tc>
        <w:tc>
          <w:tcPr>
            <w:tcW w:w="1533" w:type="pct"/>
            <w:tcBorders>
              <w:top w:val="nil"/>
              <w:left w:val="nil"/>
              <w:bottom w:val="single" w:color="000000" w:sz="8" w:space="0"/>
              <w:right w:val="single" w:color="000000" w:sz="8" w:space="0"/>
            </w:tcBorders>
            <w:vAlign w:val="center"/>
          </w:tcPr>
          <w:p w14:paraId="0123AC5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救援队后勤物资管理系统</w:t>
            </w:r>
          </w:p>
        </w:tc>
      </w:tr>
      <w:tr w14:paraId="36A4C01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F2ED0C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20CF06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56FBED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AFA128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急诊医学信息管理平台</w:t>
            </w:r>
          </w:p>
        </w:tc>
      </w:tr>
      <w:tr w14:paraId="29630362">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96B364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10D696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A907B3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3D2CF2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系统集成与业务数据采集</w:t>
            </w:r>
          </w:p>
        </w:tc>
      </w:tr>
      <w:tr w14:paraId="2141544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685A11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F82BF8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5FBAB9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2F377A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设备数据采集</w:t>
            </w:r>
          </w:p>
        </w:tc>
      </w:tr>
      <w:tr w14:paraId="69F8D40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24AD3C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BAB44A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47649F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90117B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120院前急救对接</w:t>
            </w:r>
          </w:p>
        </w:tc>
      </w:tr>
      <w:tr w14:paraId="54CF1DDA">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9E9E72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D54C2B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7BFC01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23A620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血站全流程对接</w:t>
            </w:r>
          </w:p>
        </w:tc>
      </w:tr>
      <w:tr w14:paraId="031019C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8B90B5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DF4C598">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24D52E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B71427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会诊管理</w:t>
            </w:r>
          </w:p>
        </w:tc>
      </w:tr>
      <w:tr w14:paraId="467AC26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BB926B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90EB19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3BEE0E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CC757A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交接班管理</w:t>
            </w:r>
          </w:p>
        </w:tc>
      </w:tr>
      <w:tr w14:paraId="7BF96BE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E80418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95FCC8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B35950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1A32CC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无纸化病案管理</w:t>
            </w:r>
          </w:p>
        </w:tc>
      </w:tr>
      <w:tr w14:paraId="0980141D">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AACDA0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43419A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DC7F0F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A74AF9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门诊化疗管理</w:t>
            </w:r>
          </w:p>
        </w:tc>
      </w:tr>
      <w:tr w14:paraId="6647C97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190462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6DEE5D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023FCA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FA0C8E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多学科协作医疗</w:t>
            </w:r>
          </w:p>
        </w:tc>
      </w:tr>
      <w:tr w14:paraId="7F69294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B07BC2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2C9342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BE280E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B7700D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远程转诊管理</w:t>
            </w:r>
          </w:p>
        </w:tc>
      </w:tr>
      <w:tr w14:paraId="3C4D24D5">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061607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2BE566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B0658F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D90850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群伤群检事件管理</w:t>
            </w:r>
          </w:p>
        </w:tc>
      </w:tr>
      <w:tr w14:paraId="45A2410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68AC27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452325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061B33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F25BBC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病历服务智能体</w:t>
            </w:r>
          </w:p>
        </w:tc>
      </w:tr>
      <w:tr w14:paraId="27B1782E">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CA55AB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E953E7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E8B744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6F81E5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门诊及住院病历、报告结构化模版</w:t>
            </w:r>
          </w:p>
        </w:tc>
      </w:tr>
      <w:tr w14:paraId="579C7CBB">
        <w:tblPrEx>
          <w:tblCellMar>
            <w:top w:w="0" w:type="dxa"/>
            <w:left w:w="108" w:type="dxa"/>
            <w:bottom w:w="0" w:type="dxa"/>
            <w:right w:w="108" w:type="dxa"/>
          </w:tblCellMar>
        </w:tblPrEx>
        <w:trPr>
          <w:trHeight w:val="240" w:hRule="atLeast"/>
        </w:trPr>
        <w:tc>
          <w:tcPr>
            <w:tcW w:w="399" w:type="pct"/>
            <w:vMerge w:val="restart"/>
            <w:tcBorders>
              <w:top w:val="nil"/>
              <w:left w:val="single" w:color="000000" w:sz="8" w:space="0"/>
              <w:bottom w:val="single" w:color="000000" w:sz="8" w:space="0"/>
              <w:right w:val="single" w:color="000000" w:sz="8" w:space="0"/>
            </w:tcBorders>
            <w:vAlign w:val="center"/>
          </w:tcPr>
          <w:p w14:paraId="5E5C3E92">
            <w:pPr>
              <w:pStyle w:val="491"/>
              <w:rPr>
                <w:rFonts w:hint="eastAsia"/>
                <w:color w:val="auto"/>
                <w:highlight w:val="none"/>
              </w:rPr>
            </w:pPr>
            <w:r>
              <w:rPr>
                <w:rFonts w:hint="eastAsia"/>
                <w:color w:val="auto"/>
                <w:highlight w:val="none"/>
              </w:rPr>
              <w:t>3</w:t>
            </w:r>
          </w:p>
        </w:tc>
        <w:tc>
          <w:tcPr>
            <w:tcW w:w="1534" w:type="pct"/>
            <w:vMerge w:val="restart"/>
            <w:tcBorders>
              <w:top w:val="nil"/>
              <w:left w:val="nil"/>
              <w:bottom w:val="single" w:color="000000" w:sz="8" w:space="0"/>
              <w:right w:val="single" w:color="000000" w:sz="8" w:space="0"/>
            </w:tcBorders>
            <w:vAlign w:val="center"/>
          </w:tcPr>
          <w:p w14:paraId="13D95A48">
            <w:pPr>
              <w:pStyle w:val="491"/>
              <w:rPr>
                <w:rFonts w:hint="eastAsia"/>
                <w:color w:val="auto"/>
                <w:highlight w:val="none"/>
              </w:rPr>
            </w:pPr>
            <w:r>
              <w:rPr>
                <w:rFonts w:hint="eastAsia"/>
                <w:color w:val="auto"/>
                <w:highlight w:val="none"/>
              </w:rPr>
              <w:t>智慧服务能力提升</w:t>
            </w:r>
          </w:p>
        </w:tc>
        <w:tc>
          <w:tcPr>
            <w:tcW w:w="1534" w:type="pct"/>
            <w:vMerge w:val="restart"/>
            <w:tcBorders>
              <w:top w:val="nil"/>
              <w:left w:val="nil"/>
              <w:bottom w:val="single" w:color="000000" w:sz="8" w:space="0"/>
              <w:right w:val="single" w:color="000000" w:sz="8" w:space="0"/>
            </w:tcBorders>
            <w:vAlign w:val="center"/>
          </w:tcPr>
          <w:p w14:paraId="14693D92">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患者服务平台（微信小程序）</w:t>
            </w:r>
          </w:p>
        </w:tc>
        <w:tc>
          <w:tcPr>
            <w:tcW w:w="1533" w:type="pct"/>
            <w:tcBorders>
              <w:top w:val="nil"/>
              <w:left w:val="nil"/>
              <w:bottom w:val="single" w:color="000000" w:sz="8" w:space="0"/>
              <w:right w:val="single" w:color="000000" w:sz="8" w:space="0"/>
            </w:tcBorders>
            <w:vAlign w:val="center"/>
          </w:tcPr>
          <w:p w14:paraId="246BD37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复诊号源匹配</w:t>
            </w:r>
          </w:p>
        </w:tc>
      </w:tr>
      <w:tr w14:paraId="48A7B76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969FF7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27ADA9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E20A29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509EBC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智能检查预约</w:t>
            </w:r>
          </w:p>
        </w:tc>
      </w:tr>
      <w:tr w14:paraId="2DA7F54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5335FB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EEB573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57D456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1DD30D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辅助住院计划</w:t>
            </w:r>
          </w:p>
        </w:tc>
      </w:tr>
      <w:tr w14:paraId="282012EE">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F78CB8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825D39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E33FD6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B8C803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入院预约</w:t>
            </w:r>
          </w:p>
        </w:tc>
      </w:tr>
      <w:tr w14:paraId="612521D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182F07A">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750651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243FFD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5BAFA6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消息分级管理</w:t>
            </w:r>
          </w:p>
        </w:tc>
      </w:tr>
      <w:tr w14:paraId="38BDA8F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890794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989141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AD3E5B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E21260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患者投诉闭环</w:t>
            </w:r>
          </w:p>
        </w:tc>
      </w:tr>
      <w:tr w14:paraId="0CF7FA5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F073F2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40EA2F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08DE75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EF0F51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风险评估</w:t>
            </w:r>
          </w:p>
        </w:tc>
      </w:tr>
      <w:tr w14:paraId="3821211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04C3DF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7F1FC7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96ED22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B81A84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在线购药</w:t>
            </w:r>
          </w:p>
        </w:tc>
      </w:tr>
      <w:tr w14:paraId="67349EDA">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9FED72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090D9A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FFB618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9D9E50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慢病续方</w:t>
            </w:r>
          </w:p>
        </w:tc>
      </w:tr>
      <w:tr w14:paraId="429627F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8BEF27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0681D2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532AF1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474DED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干部体检</w:t>
            </w:r>
          </w:p>
        </w:tc>
      </w:tr>
      <w:tr w14:paraId="47FB5FE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587EF6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AF7C62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E7A163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CB4325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智能分诊导诊</w:t>
            </w:r>
          </w:p>
        </w:tc>
      </w:tr>
      <w:tr w14:paraId="33EAD43A">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19B4B9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DB04A9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F2AF93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EA7BC2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智能报告分析</w:t>
            </w:r>
          </w:p>
        </w:tc>
      </w:tr>
      <w:tr w14:paraId="063358F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2DC92C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2F8CB9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DA7492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25AD58C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智能预问诊</w:t>
            </w:r>
          </w:p>
        </w:tc>
      </w:tr>
      <w:tr w14:paraId="6CB4911A">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AE95FB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60AA53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171C50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4A0ED1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智能就医助手</w:t>
            </w:r>
          </w:p>
        </w:tc>
      </w:tr>
      <w:tr w14:paraId="2EBF837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62F750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5AA4F0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1A7DC6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FBF08C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智能体检</w:t>
            </w:r>
          </w:p>
        </w:tc>
      </w:tr>
      <w:tr w14:paraId="3DE8FFF2">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42364A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CD8BD7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1E89E6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4117CA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智能用药管家</w:t>
            </w:r>
          </w:p>
        </w:tc>
      </w:tr>
      <w:tr w14:paraId="506863B7">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EAFC48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812375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DE10FF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E2D718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捐精预约</w:t>
            </w:r>
          </w:p>
        </w:tc>
      </w:tr>
      <w:tr w14:paraId="275B11B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FC6350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1EC32D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D66526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973B7B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疫苗预约</w:t>
            </w:r>
          </w:p>
        </w:tc>
      </w:tr>
      <w:tr w14:paraId="6CF3F31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BC2679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C0D508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5D7B6F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F94079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电子病历夹</w:t>
            </w:r>
          </w:p>
        </w:tc>
      </w:tr>
      <w:tr w14:paraId="6752094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5C26F7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F3BBAB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175FF8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6D9A9C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个人授权管理</w:t>
            </w:r>
          </w:p>
        </w:tc>
      </w:tr>
      <w:tr w14:paraId="06758FE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13BFE6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59AB18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A9A075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2217CF3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一站式退费管理</w:t>
            </w:r>
          </w:p>
        </w:tc>
      </w:tr>
      <w:tr w14:paraId="67ED693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71E74B8">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670B4F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CDA9CA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9B88C5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在线义诊</w:t>
            </w:r>
          </w:p>
        </w:tc>
      </w:tr>
      <w:tr w14:paraId="5AC9238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9EAE50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361539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7D1F44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C95D2E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门诊业务优化</w:t>
            </w:r>
          </w:p>
        </w:tc>
      </w:tr>
      <w:tr w14:paraId="3935B24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165386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330B38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E636D2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75F2C5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多语言模式</w:t>
            </w:r>
          </w:p>
        </w:tc>
      </w:tr>
      <w:tr w14:paraId="4CF5FC4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C05BE2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35D1FB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696436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DA4F91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科普宣教</w:t>
            </w:r>
          </w:p>
        </w:tc>
      </w:tr>
      <w:tr w14:paraId="138B65C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3DBAD0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D897D5E">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5EE43902">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互联网诊疗服务平台</w:t>
            </w:r>
          </w:p>
          <w:p w14:paraId="4E9B7635">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（APP版）</w:t>
            </w:r>
          </w:p>
        </w:tc>
        <w:tc>
          <w:tcPr>
            <w:tcW w:w="1533" w:type="pct"/>
            <w:tcBorders>
              <w:top w:val="nil"/>
              <w:left w:val="nil"/>
              <w:bottom w:val="single" w:color="000000" w:sz="8" w:space="0"/>
              <w:right w:val="single" w:color="000000" w:sz="8" w:space="0"/>
            </w:tcBorders>
            <w:vAlign w:val="center"/>
          </w:tcPr>
          <w:p w14:paraId="3D12C13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诊疗团队</w:t>
            </w:r>
          </w:p>
        </w:tc>
      </w:tr>
      <w:tr w14:paraId="159ABD5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5CB398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06A2A5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3E7E81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2C0481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在线复诊升级</w:t>
            </w:r>
          </w:p>
        </w:tc>
      </w:tr>
      <w:tr w14:paraId="6AD29DBD">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C5DF59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BA4676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D20568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CA5419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病历审签</w:t>
            </w:r>
          </w:p>
        </w:tc>
      </w:tr>
      <w:tr w14:paraId="4E2C7CB1">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CFA51F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A27901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AD01CB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CE9BE0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院内会诊闭环</w:t>
            </w:r>
          </w:p>
        </w:tc>
      </w:tr>
      <w:tr w14:paraId="3B95218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BB8843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0B4293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A9ED00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69A0096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医生站融合</w:t>
            </w:r>
          </w:p>
        </w:tc>
      </w:tr>
      <w:tr w14:paraId="728AC6CE">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334674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C6BC95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E17FCA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9454C3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个人信息维护</w:t>
            </w:r>
          </w:p>
        </w:tc>
      </w:tr>
      <w:tr w14:paraId="0591F8B5">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0F9B66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6D7B17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BBEE09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4BBD97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手术申请</w:t>
            </w:r>
          </w:p>
        </w:tc>
      </w:tr>
      <w:tr w14:paraId="6E3B53B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BFEE8C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D342C6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59726C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2B8951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过敏管理</w:t>
            </w:r>
          </w:p>
        </w:tc>
      </w:tr>
      <w:tr w14:paraId="224896E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5066EB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2D22BF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3EE43B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6A926F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授权管理</w:t>
            </w:r>
          </w:p>
        </w:tc>
      </w:tr>
      <w:tr w14:paraId="199DE112">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5D17567">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F91E2A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AB22D7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2087ED0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我的粉丝</w:t>
            </w:r>
          </w:p>
        </w:tc>
      </w:tr>
      <w:tr w14:paraId="29078CE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8D01EB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338497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1686B3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DE72F1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我的成就</w:t>
            </w:r>
          </w:p>
        </w:tc>
      </w:tr>
      <w:tr w14:paraId="5A09D52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1B66A3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E14AA92">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29E09BE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远程诊疗平台</w:t>
            </w:r>
          </w:p>
        </w:tc>
        <w:tc>
          <w:tcPr>
            <w:tcW w:w="1533" w:type="pct"/>
            <w:tcBorders>
              <w:top w:val="nil"/>
              <w:left w:val="nil"/>
              <w:bottom w:val="single" w:color="000000" w:sz="8" w:space="0"/>
              <w:right w:val="single" w:color="000000" w:sz="8" w:space="0"/>
            </w:tcBorders>
            <w:vAlign w:val="center"/>
          </w:tcPr>
          <w:p w14:paraId="28C99FF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转诊服务衔接</w:t>
            </w:r>
          </w:p>
        </w:tc>
      </w:tr>
      <w:tr w14:paraId="67D2582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64291D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2E1645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BD3D7F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29100D1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远程门诊</w:t>
            </w:r>
          </w:p>
        </w:tc>
      </w:tr>
      <w:tr w14:paraId="2B2B055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B8DEB7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E8E7597">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1A42016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随访系统</w:t>
            </w:r>
          </w:p>
        </w:tc>
        <w:tc>
          <w:tcPr>
            <w:tcW w:w="1533" w:type="pct"/>
            <w:tcBorders>
              <w:top w:val="nil"/>
              <w:left w:val="nil"/>
              <w:bottom w:val="single" w:color="000000" w:sz="8" w:space="0"/>
              <w:right w:val="single" w:color="000000" w:sz="8" w:space="0"/>
            </w:tcBorders>
            <w:vAlign w:val="center"/>
          </w:tcPr>
          <w:p w14:paraId="713C238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用户管理</w:t>
            </w:r>
          </w:p>
        </w:tc>
      </w:tr>
      <w:tr w14:paraId="084DEE89">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C78059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37A38E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2E6F79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1B4989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患者查询</w:t>
            </w:r>
          </w:p>
        </w:tc>
      </w:tr>
      <w:tr w14:paraId="4C89543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30C4BAEA">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64375DF">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50DB28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987DF2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患者档案</w:t>
            </w:r>
          </w:p>
        </w:tc>
      </w:tr>
      <w:tr w14:paraId="1F0E600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B712C9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FC81F1A">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B5E138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731F9E7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随访计划</w:t>
            </w:r>
          </w:p>
        </w:tc>
      </w:tr>
      <w:tr w14:paraId="5791181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5875DB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523EA09">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DD634F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5DBA851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随访任务</w:t>
            </w:r>
          </w:p>
        </w:tc>
      </w:tr>
      <w:tr w14:paraId="690D3CB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45584B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FD23FD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FE72A3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324A578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随访跟踪</w:t>
            </w:r>
          </w:p>
        </w:tc>
      </w:tr>
      <w:tr w14:paraId="0BDC195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3BE04FA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75C21C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488383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8E171E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随访记录</w:t>
            </w:r>
          </w:p>
        </w:tc>
      </w:tr>
      <w:tr w14:paraId="5B109814">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5C4F7B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05F406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135A57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221A03C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数据统计</w:t>
            </w:r>
          </w:p>
        </w:tc>
      </w:tr>
      <w:tr w14:paraId="40A51767">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6A7117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25669D5">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826FB8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A8C3A4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知识库管理</w:t>
            </w:r>
          </w:p>
        </w:tc>
      </w:tr>
      <w:tr w14:paraId="451D7887">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87FA13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3576EF3">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7C48492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穿戴设备</w:t>
            </w:r>
          </w:p>
        </w:tc>
        <w:tc>
          <w:tcPr>
            <w:tcW w:w="1533" w:type="pct"/>
            <w:tcBorders>
              <w:top w:val="nil"/>
              <w:left w:val="nil"/>
              <w:bottom w:val="single" w:color="000000" w:sz="8" w:space="0"/>
              <w:right w:val="single" w:color="000000" w:sz="8" w:space="0"/>
            </w:tcBorders>
            <w:vAlign w:val="center"/>
          </w:tcPr>
          <w:p w14:paraId="7C2C289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患者端（微信小程序）</w:t>
            </w:r>
          </w:p>
        </w:tc>
      </w:tr>
      <w:tr w14:paraId="7124F38E">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16A5A6E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6C00361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F290D1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4E71BD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医生端APP</w:t>
            </w:r>
          </w:p>
        </w:tc>
      </w:tr>
      <w:tr w14:paraId="4E96D91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31A07B9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4B2CE3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A9EC75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08520BA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数据大屏展示</w:t>
            </w:r>
          </w:p>
        </w:tc>
      </w:tr>
      <w:tr w14:paraId="2533E9B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C13411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9B5D5BE">
            <w:pPr>
              <w:pStyle w:val="491"/>
              <w:rPr>
                <w:rFonts w:hint="eastAsia"/>
                <w:color w:val="auto"/>
                <w:highlight w:val="none"/>
              </w:rPr>
            </w:pPr>
          </w:p>
        </w:tc>
        <w:tc>
          <w:tcPr>
            <w:tcW w:w="1534" w:type="pct"/>
            <w:vMerge w:val="restart"/>
            <w:tcBorders>
              <w:top w:val="nil"/>
              <w:left w:val="nil"/>
              <w:bottom w:val="single" w:color="000000" w:sz="8" w:space="0"/>
              <w:right w:val="single" w:color="000000" w:sz="8" w:space="0"/>
            </w:tcBorders>
            <w:vAlign w:val="center"/>
          </w:tcPr>
          <w:p w14:paraId="2FD5BC8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运营管理</w:t>
            </w:r>
          </w:p>
        </w:tc>
        <w:tc>
          <w:tcPr>
            <w:tcW w:w="1533" w:type="pct"/>
            <w:tcBorders>
              <w:top w:val="nil"/>
              <w:left w:val="nil"/>
              <w:bottom w:val="single" w:color="000000" w:sz="8" w:space="0"/>
              <w:right w:val="single" w:color="000000" w:sz="8" w:space="0"/>
            </w:tcBorders>
            <w:vAlign w:val="center"/>
          </w:tcPr>
          <w:p w14:paraId="35AF67F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数据分析</w:t>
            </w:r>
          </w:p>
        </w:tc>
      </w:tr>
      <w:tr w14:paraId="0F937C9E">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399BE7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C2BA7E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1D615C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4D0D3AB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基础安全</w:t>
            </w:r>
          </w:p>
        </w:tc>
      </w:tr>
      <w:tr w14:paraId="58B9866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8207AF6">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11A06BD">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E812C3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1533" w:type="pct"/>
            <w:tcBorders>
              <w:top w:val="nil"/>
              <w:left w:val="nil"/>
              <w:bottom w:val="single" w:color="000000" w:sz="8" w:space="0"/>
              <w:right w:val="single" w:color="000000" w:sz="8" w:space="0"/>
            </w:tcBorders>
            <w:vAlign w:val="center"/>
          </w:tcPr>
          <w:p w14:paraId="1C89421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监管数据校验</w:t>
            </w:r>
          </w:p>
        </w:tc>
      </w:tr>
      <w:tr w14:paraId="56C0A41D">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0662F01">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B26106E">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0E51285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云服务</w:t>
            </w:r>
          </w:p>
        </w:tc>
        <w:tc>
          <w:tcPr>
            <w:tcW w:w="1533" w:type="pct"/>
            <w:tcBorders>
              <w:top w:val="nil"/>
              <w:left w:val="nil"/>
              <w:bottom w:val="single" w:color="000000" w:sz="8" w:space="0"/>
              <w:right w:val="single" w:color="000000" w:sz="8" w:space="0"/>
            </w:tcBorders>
            <w:vAlign w:val="center"/>
          </w:tcPr>
          <w:p w14:paraId="5A85B6B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提供对应云资源部署</w:t>
            </w:r>
          </w:p>
        </w:tc>
      </w:tr>
      <w:tr w14:paraId="44D7819C">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3764C780">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3046409C">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1229629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智能体</w:t>
            </w:r>
          </w:p>
        </w:tc>
        <w:tc>
          <w:tcPr>
            <w:tcW w:w="1533" w:type="pct"/>
            <w:tcBorders>
              <w:top w:val="nil"/>
              <w:left w:val="nil"/>
              <w:bottom w:val="single" w:color="000000" w:sz="8" w:space="0"/>
              <w:right w:val="single" w:color="000000" w:sz="8" w:space="0"/>
            </w:tcBorders>
            <w:vAlign w:val="center"/>
          </w:tcPr>
          <w:p w14:paraId="58B8CE8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智能体云资源调用服务</w:t>
            </w:r>
          </w:p>
        </w:tc>
      </w:tr>
      <w:tr w14:paraId="581D2CD5">
        <w:tblPrEx>
          <w:tblCellMar>
            <w:top w:w="0" w:type="dxa"/>
            <w:left w:w="108" w:type="dxa"/>
            <w:bottom w:w="0" w:type="dxa"/>
            <w:right w:w="108" w:type="dxa"/>
          </w:tblCellMar>
        </w:tblPrEx>
        <w:trPr>
          <w:trHeight w:val="240" w:hRule="atLeast"/>
        </w:trPr>
        <w:tc>
          <w:tcPr>
            <w:tcW w:w="399" w:type="pct"/>
            <w:vMerge w:val="restart"/>
            <w:tcBorders>
              <w:top w:val="nil"/>
              <w:left w:val="single" w:color="000000" w:sz="8" w:space="0"/>
              <w:bottom w:val="single" w:color="000000" w:sz="8" w:space="0"/>
              <w:right w:val="single" w:color="000000" w:sz="8" w:space="0"/>
            </w:tcBorders>
            <w:vAlign w:val="center"/>
          </w:tcPr>
          <w:p w14:paraId="1A94077B">
            <w:pPr>
              <w:pStyle w:val="491"/>
              <w:rPr>
                <w:rFonts w:hint="eastAsia"/>
                <w:color w:val="auto"/>
                <w:highlight w:val="none"/>
              </w:rPr>
            </w:pPr>
            <w:r>
              <w:rPr>
                <w:rFonts w:hint="eastAsia"/>
                <w:color w:val="auto"/>
                <w:highlight w:val="none"/>
              </w:rPr>
              <w:t>4</w:t>
            </w:r>
          </w:p>
        </w:tc>
        <w:tc>
          <w:tcPr>
            <w:tcW w:w="1534" w:type="pct"/>
            <w:vMerge w:val="restart"/>
            <w:tcBorders>
              <w:top w:val="nil"/>
              <w:left w:val="nil"/>
              <w:bottom w:val="single" w:color="000000" w:sz="8" w:space="0"/>
              <w:right w:val="single" w:color="000000" w:sz="8" w:space="0"/>
            </w:tcBorders>
            <w:vAlign w:val="center"/>
          </w:tcPr>
          <w:p w14:paraId="3BEFA9F0">
            <w:pPr>
              <w:pStyle w:val="491"/>
              <w:rPr>
                <w:rFonts w:hint="eastAsia"/>
                <w:color w:val="auto"/>
                <w:highlight w:val="none"/>
              </w:rPr>
            </w:pPr>
            <w:r>
              <w:rPr>
                <w:rFonts w:hint="eastAsia"/>
                <w:color w:val="auto"/>
                <w:highlight w:val="none"/>
              </w:rPr>
              <w:t>本地化改造及运维服务能力提升</w:t>
            </w:r>
          </w:p>
        </w:tc>
        <w:tc>
          <w:tcPr>
            <w:tcW w:w="1534" w:type="pct"/>
            <w:tcBorders>
              <w:top w:val="nil"/>
              <w:left w:val="nil"/>
              <w:bottom w:val="single" w:color="000000" w:sz="8" w:space="0"/>
              <w:right w:val="single" w:color="000000" w:sz="8" w:space="0"/>
            </w:tcBorders>
            <w:vAlign w:val="center"/>
          </w:tcPr>
          <w:p w14:paraId="7457352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系统日常运维</w:t>
            </w:r>
          </w:p>
        </w:tc>
        <w:tc>
          <w:tcPr>
            <w:tcW w:w="1533" w:type="pct"/>
            <w:tcBorders>
              <w:top w:val="nil"/>
              <w:left w:val="nil"/>
              <w:bottom w:val="single" w:color="000000" w:sz="8" w:space="0"/>
              <w:right w:val="single" w:color="000000" w:sz="8" w:space="0"/>
            </w:tcBorders>
            <w:vAlign w:val="center"/>
          </w:tcPr>
          <w:p w14:paraId="509DFDC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6B9A999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724DBF0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2BA6F6C5">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3F559B1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服务器数据库日常运维</w:t>
            </w:r>
          </w:p>
        </w:tc>
        <w:tc>
          <w:tcPr>
            <w:tcW w:w="1533" w:type="pct"/>
            <w:tcBorders>
              <w:top w:val="nil"/>
              <w:left w:val="nil"/>
              <w:bottom w:val="single" w:color="000000" w:sz="8" w:space="0"/>
              <w:right w:val="single" w:color="000000" w:sz="8" w:space="0"/>
            </w:tcBorders>
            <w:vAlign w:val="center"/>
          </w:tcPr>
          <w:p w14:paraId="522B8BA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19F91090">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2503B1C4">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9C779C2">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1496BAE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政策性接口</w:t>
            </w:r>
          </w:p>
        </w:tc>
        <w:tc>
          <w:tcPr>
            <w:tcW w:w="1533" w:type="pct"/>
            <w:tcBorders>
              <w:top w:val="nil"/>
              <w:left w:val="nil"/>
              <w:bottom w:val="single" w:color="000000" w:sz="8" w:space="0"/>
              <w:right w:val="single" w:color="000000" w:sz="8" w:space="0"/>
            </w:tcBorders>
            <w:vAlign w:val="center"/>
          </w:tcPr>
          <w:p w14:paraId="758C147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54619ACB">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02FD322B">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467A4488">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5BA3F5F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业务系统功能需求改造</w:t>
            </w:r>
          </w:p>
        </w:tc>
        <w:tc>
          <w:tcPr>
            <w:tcW w:w="1533" w:type="pct"/>
            <w:tcBorders>
              <w:top w:val="nil"/>
              <w:left w:val="nil"/>
              <w:bottom w:val="single" w:color="000000" w:sz="8" w:space="0"/>
              <w:right w:val="single" w:color="000000" w:sz="8" w:space="0"/>
            </w:tcBorders>
            <w:vAlign w:val="center"/>
          </w:tcPr>
          <w:p w14:paraId="3C20E0E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291C7913">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3F7C4E83">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1EDCDF98">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1A7A823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日常报表、数据统计服务</w:t>
            </w:r>
          </w:p>
        </w:tc>
        <w:tc>
          <w:tcPr>
            <w:tcW w:w="1533" w:type="pct"/>
            <w:tcBorders>
              <w:top w:val="nil"/>
              <w:left w:val="nil"/>
              <w:bottom w:val="single" w:color="000000" w:sz="8" w:space="0"/>
              <w:right w:val="single" w:color="000000" w:sz="8" w:space="0"/>
            </w:tcBorders>
            <w:vAlign w:val="center"/>
          </w:tcPr>
          <w:p w14:paraId="68E15F9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4572F278">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445D8C3E">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53DA0528">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6E04B92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数据治理与合规改进服务</w:t>
            </w:r>
          </w:p>
        </w:tc>
        <w:tc>
          <w:tcPr>
            <w:tcW w:w="1533" w:type="pct"/>
            <w:tcBorders>
              <w:top w:val="nil"/>
              <w:left w:val="nil"/>
              <w:bottom w:val="single" w:color="000000" w:sz="8" w:space="0"/>
              <w:right w:val="single" w:color="000000" w:sz="8" w:space="0"/>
            </w:tcBorders>
            <w:vAlign w:val="center"/>
          </w:tcPr>
          <w:p w14:paraId="4640F7E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5D6DEC9F">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65CCBD1C">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7A7FBB00">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1135FB6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临床满意度提升巡检服务</w:t>
            </w:r>
          </w:p>
        </w:tc>
        <w:tc>
          <w:tcPr>
            <w:tcW w:w="1533" w:type="pct"/>
            <w:tcBorders>
              <w:top w:val="nil"/>
              <w:left w:val="nil"/>
              <w:bottom w:val="single" w:color="000000" w:sz="8" w:space="0"/>
              <w:right w:val="single" w:color="000000" w:sz="8" w:space="0"/>
            </w:tcBorders>
            <w:vAlign w:val="center"/>
          </w:tcPr>
          <w:p w14:paraId="5EFAFAA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r w14:paraId="175281D6">
        <w:tblPrEx>
          <w:tblCellMar>
            <w:top w:w="0" w:type="dxa"/>
            <w:left w:w="108" w:type="dxa"/>
            <w:bottom w:w="0" w:type="dxa"/>
            <w:right w:w="108" w:type="dxa"/>
          </w:tblCellMar>
        </w:tblPrEx>
        <w:trPr>
          <w:trHeight w:val="240" w:hRule="atLeast"/>
        </w:trPr>
        <w:tc>
          <w:tcPr>
            <w:tcW w:w="399" w:type="pct"/>
            <w:vMerge w:val="continue"/>
            <w:tcBorders>
              <w:top w:val="nil"/>
              <w:left w:val="single" w:color="000000" w:sz="8" w:space="0"/>
              <w:bottom w:val="single" w:color="000000" w:sz="8" w:space="0"/>
              <w:right w:val="single" w:color="000000" w:sz="8" w:space="0"/>
            </w:tcBorders>
            <w:vAlign w:val="center"/>
          </w:tcPr>
          <w:p w14:paraId="5D1B6C72">
            <w:pPr>
              <w:pStyle w:val="491"/>
              <w:rPr>
                <w:rFonts w:hint="eastAsia"/>
                <w:color w:val="auto"/>
                <w:highlight w:val="none"/>
              </w:rPr>
            </w:pPr>
          </w:p>
        </w:tc>
        <w:tc>
          <w:tcPr>
            <w:tcW w:w="1534" w:type="pct"/>
            <w:vMerge w:val="continue"/>
            <w:tcBorders>
              <w:top w:val="nil"/>
              <w:left w:val="nil"/>
              <w:bottom w:val="single" w:color="000000" w:sz="8" w:space="0"/>
              <w:right w:val="single" w:color="000000" w:sz="8" w:space="0"/>
            </w:tcBorders>
            <w:vAlign w:val="center"/>
          </w:tcPr>
          <w:p w14:paraId="001C45B5">
            <w:pPr>
              <w:pStyle w:val="491"/>
              <w:rPr>
                <w:rFonts w:hint="eastAsia"/>
                <w:color w:val="auto"/>
                <w:highlight w:val="none"/>
              </w:rPr>
            </w:pPr>
          </w:p>
        </w:tc>
        <w:tc>
          <w:tcPr>
            <w:tcW w:w="1534" w:type="pct"/>
            <w:tcBorders>
              <w:top w:val="nil"/>
              <w:left w:val="nil"/>
              <w:bottom w:val="single" w:color="000000" w:sz="8" w:space="0"/>
              <w:right w:val="single" w:color="000000" w:sz="8" w:space="0"/>
            </w:tcBorders>
            <w:vAlign w:val="center"/>
          </w:tcPr>
          <w:p w14:paraId="57AAE0A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系统性能季度改善</w:t>
            </w:r>
          </w:p>
        </w:tc>
        <w:tc>
          <w:tcPr>
            <w:tcW w:w="1533" w:type="pct"/>
            <w:tcBorders>
              <w:top w:val="nil"/>
              <w:left w:val="nil"/>
              <w:bottom w:val="single" w:color="000000" w:sz="8" w:space="0"/>
              <w:right w:val="single" w:color="000000" w:sz="8" w:space="0"/>
            </w:tcBorders>
            <w:vAlign w:val="center"/>
          </w:tcPr>
          <w:p w14:paraId="5178835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r>
    </w:tbl>
    <w:p w14:paraId="534BA630">
      <w:pPr>
        <w:keepNext w:val="0"/>
        <w:keepLines w:val="0"/>
        <w:pageBreakBefore w:val="0"/>
        <w:widowControl w:val="0"/>
        <w:numPr>
          <w:ilvl w:val="0"/>
          <w:numId w:val="18"/>
        </w:numPr>
        <w:shd w:val="clea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系统功能需求</w:t>
      </w:r>
    </w:p>
    <w:p w14:paraId="1833692A">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bookmarkStart w:id="161" w:name="_Toc23749"/>
      <w:bookmarkStart w:id="162" w:name="_Toc206078495"/>
      <w:bookmarkStart w:id="163" w:name="_Toc26945"/>
      <w:bookmarkStart w:id="164" w:name="_Toc27698"/>
      <w:bookmarkStart w:id="165" w:name="_Toc206078501"/>
      <w:bookmarkStart w:id="166" w:name="_Toc20290"/>
      <w:bookmarkStart w:id="167" w:name="_Toc4214"/>
      <w:bookmarkStart w:id="168" w:name="_Toc18542"/>
      <w:r>
        <w:rPr>
          <w:rFonts w:hint="eastAsia" w:ascii="宋体" w:hAnsi="宋体" w:eastAsia="宋体" w:cs="宋体"/>
          <w:b w:val="0"/>
          <w:bCs w:val="0"/>
          <w:color w:val="auto"/>
          <w:sz w:val="21"/>
          <w:szCs w:val="21"/>
          <w:highlight w:val="none"/>
          <w:lang w:val="en-US" w:eastAsia="zh-CN"/>
        </w:rPr>
        <w:t>9.1</w:t>
      </w:r>
      <w:r>
        <w:rPr>
          <w:rFonts w:hint="eastAsia" w:ascii="宋体" w:hAnsi="宋体" w:eastAsia="宋体" w:cs="宋体"/>
          <w:b w:val="0"/>
          <w:bCs w:val="0"/>
          <w:color w:val="auto"/>
          <w:sz w:val="21"/>
          <w:szCs w:val="21"/>
          <w:highlight w:val="none"/>
        </w:rPr>
        <w:t>临床专科能力</w:t>
      </w:r>
      <w:bookmarkEnd w:id="161"/>
      <w:bookmarkEnd w:id="162"/>
      <w:bookmarkEnd w:id="163"/>
      <w:bookmarkEnd w:id="164"/>
      <w:r>
        <w:rPr>
          <w:rFonts w:hint="eastAsia" w:ascii="宋体" w:hAnsi="宋体" w:eastAsia="宋体" w:cs="宋体"/>
          <w:b w:val="0"/>
          <w:bCs w:val="0"/>
          <w:color w:val="auto"/>
          <w:sz w:val="21"/>
          <w:szCs w:val="21"/>
          <w:highlight w:val="none"/>
        </w:rPr>
        <w:t>提升</w:t>
      </w:r>
    </w:p>
    <w:p w14:paraId="07562F0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bookmarkStart w:id="169" w:name="_Toc29436"/>
      <w:bookmarkStart w:id="170" w:name="_Toc755"/>
      <w:bookmarkStart w:id="171" w:name="_Toc206078496"/>
      <w:r>
        <w:rPr>
          <w:rFonts w:hint="eastAsia" w:ascii="宋体" w:hAnsi="宋体" w:eastAsia="宋体" w:cs="宋体"/>
          <w:b w:val="0"/>
          <w:bCs w:val="0"/>
          <w:color w:val="auto"/>
          <w:sz w:val="21"/>
          <w:szCs w:val="21"/>
          <w:highlight w:val="none"/>
          <w:lang w:val="en-US" w:eastAsia="zh-CN"/>
        </w:rPr>
        <w:t>9.1.1</w:t>
      </w:r>
      <w:r>
        <w:rPr>
          <w:rFonts w:hint="eastAsia" w:ascii="宋体" w:hAnsi="宋体" w:eastAsia="宋体" w:cs="宋体"/>
          <w:b w:val="0"/>
          <w:bCs w:val="0"/>
          <w:color w:val="auto"/>
          <w:sz w:val="21"/>
          <w:szCs w:val="21"/>
          <w:highlight w:val="none"/>
        </w:rPr>
        <w:t>PACS系统</w:t>
      </w:r>
      <w:bookmarkEnd w:id="169"/>
      <w:bookmarkEnd w:id="170"/>
      <w:bookmarkEnd w:id="171"/>
    </w:p>
    <w:p w14:paraId="1057C172">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w:t>
      </w:r>
      <w:r>
        <w:rPr>
          <w:rFonts w:hint="eastAsia" w:ascii="宋体" w:hAnsi="宋体" w:eastAsia="宋体" w:cs="宋体"/>
          <w:b w:val="0"/>
          <w:bCs w:val="0"/>
          <w:color w:val="auto"/>
          <w:sz w:val="21"/>
          <w:szCs w:val="21"/>
          <w:highlight w:val="none"/>
        </w:rPr>
        <w:t>PACS系统</w:t>
      </w:r>
    </w:p>
    <w:p w14:paraId="11A4DCFA">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9.1.1.1.1</w:t>
      </w:r>
      <w:r>
        <w:rPr>
          <w:rFonts w:hint="eastAsia" w:ascii="宋体" w:hAnsi="宋体" w:eastAsia="宋体" w:cs="宋体"/>
          <w:b w:val="0"/>
          <w:bCs w:val="0"/>
          <w:color w:val="auto"/>
          <w:sz w:val="21"/>
          <w:szCs w:val="21"/>
          <w:highlight w:val="none"/>
        </w:rPr>
        <w:t>中心服务系统</w:t>
      </w:r>
    </w:p>
    <w:p w14:paraId="7CBE1CE3">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9.1.1.1.1.1</w:t>
      </w:r>
      <w:r>
        <w:rPr>
          <w:rFonts w:hint="eastAsia" w:ascii="宋体" w:hAnsi="宋体" w:eastAsia="宋体" w:cs="宋体"/>
          <w:b w:val="0"/>
          <w:bCs w:val="0"/>
          <w:color w:val="auto"/>
          <w:sz w:val="21"/>
          <w:szCs w:val="21"/>
          <w:highlight w:val="none"/>
        </w:rPr>
        <w:t>PACS中心服务</w:t>
      </w:r>
    </w:p>
    <w:p w14:paraId="246727E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bookmarkStart w:id="172" w:name="_Toc134290519"/>
      <w:r>
        <w:rPr>
          <w:rFonts w:hint="eastAsia" w:ascii="宋体" w:hAnsi="宋体" w:eastAsia="宋体" w:cs="宋体"/>
          <w:b w:val="0"/>
          <w:bCs w:val="0"/>
          <w:color w:val="auto"/>
          <w:sz w:val="21"/>
          <w:szCs w:val="21"/>
          <w:highlight w:val="none"/>
          <w:lang w:val="en-US" w:eastAsia="zh-CN"/>
        </w:rPr>
        <w:t>9.1.1.1.1.1.1</w:t>
      </w:r>
      <w:r>
        <w:rPr>
          <w:rFonts w:hint="eastAsia" w:ascii="宋体" w:hAnsi="宋体" w:eastAsia="宋体" w:cs="宋体"/>
          <w:b w:val="0"/>
          <w:bCs w:val="0"/>
          <w:color w:val="auto"/>
          <w:sz w:val="21"/>
          <w:szCs w:val="21"/>
          <w:highlight w:val="none"/>
        </w:rPr>
        <w:t>DICOM服务</w:t>
      </w:r>
      <w:bookmarkEnd w:id="172"/>
    </w:p>
    <w:p w14:paraId="24729113">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需支持与医院所有DICOM和非DICOM影像设备的连接，包括CT、MR、CR、DR、数字胃肠、超声、胃镜、肠镜等。</w:t>
      </w:r>
    </w:p>
    <w:p w14:paraId="5A345CAB">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PACS/RIS服务器支持的DICOM服务类需包括:Storage SCU/SCP 、Query/Retrieve SCU/SCP、Modality Work list SCU/SCP 、Modality Performed Procedure Step Management SCU/SCP、Print SCU、ECHO SCU/SCP、Storage Commitment SCU/SCP、Verification SCU/SCP、Hanging Protocol等。</w:t>
      </w:r>
    </w:p>
    <w:p w14:paraId="25D3F300">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需支持DICOM RAW DATA、DICOM Part 10、DICOM JPEG-Lossless、DICOM JPEG-Lossy、BMP、JPG等影像类型。</w:t>
      </w:r>
    </w:p>
    <w:p w14:paraId="4F1E0989">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可接收各种非DICOM影像设备，进行单帧或者多帧采集，并转换为标准DICOM格式。</w:t>
      </w:r>
    </w:p>
    <w:p w14:paraId="4E60B1FF">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能够对非DICOM标准影像采集实时显示，调节图像对比度、亮度、饱和度、色度等。</w:t>
      </w:r>
    </w:p>
    <w:p w14:paraId="6E996CAF">
      <w:pPr>
        <w:pStyle w:val="436"/>
        <w:widowControl w:val="0"/>
        <w:numPr>
          <w:ilvl w:val="0"/>
          <w:numId w:val="23"/>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通过视频信号采集医学图像时，图像的几何分辨率应不低于原始图像的分辨率。（不含采集卡硬件）</w:t>
      </w:r>
    </w:p>
    <w:p w14:paraId="0EEB68BE">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bookmarkStart w:id="173" w:name="_Toc134290520"/>
      <w:r>
        <w:rPr>
          <w:rFonts w:hint="eastAsia" w:ascii="宋体" w:hAnsi="宋体" w:eastAsia="宋体" w:cs="宋体"/>
          <w:b w:val="0"/>
          <w:bCs w:val="0"/>
          <w:color w:val="auto"/>
          <w:sz w:val="21"/>
          <w:szCs w:val="21"/>
          <w:highlight w:val="none"/>
          <w:lang w:val="en-US" w:eastAsia="zh-CN"/>
        </w:rPr>
        <w:t>9.1.1.1.1.1.2</w:t>
      </w:r>
      <w:r>
        <w:rPr>
          <w:rFonts w:hint="eastAsia" w:ascii="宋体" w:hAnsi="宋体" w:eastAsia="宋体" w:cs="宋体"/>
          <w:b w:val="0"/>
          <w:bCs w:val="0"/>
          <w:color w:val="auto"/>
          <w:sz w:val="21"/>
          <w:szCs w:val="21"/>
          <w:highlight w:val="none"/>
        </w:rPr>
        <w:t>存储管理服务</w:t>
      </w:r>
      <w:bookmarkEnd w:id="173"/>
    </w:p>
    <w:p w14:paraId="781DFB8A">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需支持多级存储系统，实现在线、近线、离线的多级图像管理及存储。</w:t>
      </w:r>
    </w:p>
    <w:p w14:paraId="3147D804">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需支持存储管理的功能，存储系统提供高安全性、可靠性和容灾能力。需支持SAN+NAS模式，可同时用SAN或NAS的方式使用存储空间。</w:t>
      </w:r>
    </w:p>
    <w:p w14:paraId="2C36E719">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需支持对图像存储空间进行管理，不同设备的图像存储到预定的位置，在空间不足时发出警报，提醒管理员及时扩展。在分级存储的情况下，自动完成数据的迁移工作。</w:t>
      </w:r>
    </w:p>
    <w:p w14:paraId="514C7529">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需支持接收客户端调阅图像的请求，并记录调阅日志。需支持图像预取和自动路由功能。</w:t>
      </w:r>
    </w:p>
    <w:p w14:paraId="7D377FE1">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PACS中心服务器要求支持虚拟化技术，能支持1T或以上的最大内存容量，支持电源冗余技术。</w:t>
      </w:r>
    </w:p>
    <w:p w14:paraId="5531E0B6">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需提供多级（前置/在线/归档）数据安全体系保障，PACS系统软件中需提供方便的管理界面，按需要管理所有存储设备。</w:t>
      </w:r>
    </w:p>
    <w:p w14:paraId="75867743">
      <w:pPr>
        <w:pStyle w:val="436"/>
        <w:widowControl w:val="0"/>
        <w:numPr>
          <w:ilvl w:val="0"/>
          <w:numId w:val="24"/>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需支持对薄层影像数据存储的管理，可以设置专门的水线管理机制，以保证存储空间的有效性，可根据用户的需求，设置存储设备的影像删除策略。在删除影像前需要确认影像已经备份，影像删除恢复功能。</w:t>
      </w:r>
    </w:p>
    <w:p w14:paraId="429A3AA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9.1.1.1.1.2</w:t>
      </w:r>
      <w:r>
        <w:rPr>
          <w:rFonts w:hint="eastAsia" w:ascii="宋体" w:hAnsi="宋体" w:eastAsia="宋体" w:cs="宋体"/>
          <w:b w:val="0"/>
          <w:bCs w:val="0"/>
          <w:color w:val="auto"/>
          <w:sz w:val="21"/>
          <w:szCs w:val="21"/>
          <w:highlight w:val="none"/>
        </w:rPr>
        <w:t>RIS中心服务</w:t>
      </w:r>
    </w:p>
    <w:p w14:paraId="31C9EA12">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需支持检查预约登记、设备检查、诊断报告、临床调阅等RIS服务基础功能。</w:t>
      </w:r>
    </w:p>
    <w:p w14:paraId="2A258B9B">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需支持对多医疗机构统一进行系统权限、用户管理。</w:t>
      </w:r>
    </w:p>
    <w:p w14:paraId="7D6995B1">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需支持对医疗机构业务数据进行独立管理。</w:t>
      </w:r>
    </w:p>
    <w:p w14:paraId="56A0A614">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需支持对系统业务数据统一存储管理。</w:t>
      </w:r>
    </w:p>
    <w:p w14:paraId="6C1033FD">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需支持配置中心对系统运行配置参数做图形化管理，运维管理中心实时监控管理服务器资源使用情况。</w:t>
      </w:r>
    </w:p>
    <w:p w14:paraId="44A7723D">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需支持记录系统关键业务节点日志。</w:t>
      </w:r>
    </w:p>
    <w:p w14:paraId="66D6556A">
      <w:pPr>
        <w:pStyle w:val="436"/>
        <w:widowControl w:val="0"/>
        <w:numPr>
          <w:ilvl w:val="0"/>
          <w:numId w:val="25"/>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需提供统一认证服务，限制非授权用户访问系统。</w:t>
      </w:r>
    </w:p>
    <w:p w14:paraId="4797B9BF">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bookmarkStart w:id="174" w:name="_Toc134290517"/>
      <w:r>
        <w:rPr>
          <w:rFonts w:hint="eastAsia" w:ascii="宋体" w:hAnsi="宋体" w:eastAsia="宋体" w:cs="宋体"/>
          <w:b w:val="0"/>
          <w:bCs w:val="0"/>
          <w:color w:val="auto"/>
          <w:sz w:val="21"/>
          <w:szCs w:val="21"/>
          <w:highlight w:val="none"/>
          <w:lang w:val="en-US" w:eastAsia="zh-CN"/>
        </w:rPr>
        <w:t>9.1.1.1.1.3</w:t>
      </w:r>
      <w:r>
        <w:rPr>
          <w:rFonts w:hint="eastAsia" w:ascii="宋体" w:hAnsi="宋体" w:eastAsia="宋体" w:cs="宋体"/>
          <w:b w:val="0"/>
          <w:bCs w:val="0"/>
          <w:color w:val="auto"/>
          <w:sz w:val="21"/>
          <w:szCs w:val="21"/>
          <w:highlight w:val="none"/>
        </w:rPr>
        <w:t>影像浏览器服务</w:t>
      </w:r>
      <w:bookmarkEnd w:id="174"/>
    </w:p>
    <w:p w14:paraId="22BD9FFE">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应采用B/S架构，满足不同场景用户的图像调阅。</w:t>
      </w:r>
    </w:p>
    <w:p w14:paraId="5FAF9150">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图像按需加载，无等待。</w:t>
      </w:r>
    </w:p>
    <w:p w14:paraId="6D66932F">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需支持应用状态保存，多步操作撤销恢复和状态重置。</w:t>
      </w:r>
    </w:p>
    <w:p w14:paraId="13296C36">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需支持简洁模式\专注模式。</w:t>
      </w:r>
    </w:p>
    <w:p w14:paraId="37290A17">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提供影像二维、三维浏览器基础功能，包括多帧图像播放和展开、DSA图像剪影、脊柱标记、磁性套索、图像和屏幕保存/导出、多序列同步和位置参考、用户常用功能可视化配置、图像四角信息灵活配置、多种预设方案配置、用户自定义快捷键。</w:t>
      </w:r>
    </w:p>
    <w:p w14:paraId="3C74F038">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需支持CT/MR/PET/NM三维重建。</w:t>
      </w:r>
    </w:p>
    <w:p w14:paraId="6D306257">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MPR需支持标准、正交和自由三种模式，支持厚度重建。</w:t>
      </w:r>
    </w:p>
    <w:p w14:paraId="7439A72D">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曲面重建需支持延展和拉直CPR，曲线切面图。</w:t>
      </w:r>
    </w:p>
    <w:p w14:paraId="62CF680D">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3D需支持MIP、MinIP、AIP和VR，提供多种VR预设渲染方案并且支持用户自定义。</w:t>
      </w:r>
    </w:p>
    <w:p w14:paraId="49D79A8E">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虚拟内窥需支持自动和手动漫游。</w:t>
      </w:r>
    </w:p>
    <w:p w14:paraId="6F511FA3">
      <w:pPr>
        <w:pStyle w:val="436"/>
        <w:widowControl w:val="0"/>
        <w:numPr>
          <w:ilvl w:val="0"/>
          <w:numId w:val="26"/>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需支持MPR和3D批处理。</w:t>
      </w:r>
    </w:p>
    <w:p w14:paraId="16379931">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9.1.1.1.2</w:t>
      </w:r>
      <w:r>
        <w:rPr>
          <w:rFonts w:hint="eastAsia" w:ascii="宋体" w:hAnsi="宋体" w:eastAsia="宋体" w:cs="宋体"/>
          <w:b w:val="0"/>
          <w:bCs w:val="0"/>
          <w:color w:val="auto"/>
          <w:sz w:val="21"/>
          <w:szCs w:val="21"/>
          <w:highlight w:val="none"/>
        </w:rPr>
        <w:t>综合管理系统</w:t>
      </w:r>
    </w:p>
    <w:p w14:paraId="6DFCB2B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9.1.1.1.2.1</w:t>
      </w:r>
      <w:r>
        <w:rPr>
          <w:rFonts w:hint="eastAsia" w:ascii="宋体" w:hAnsi="宋体" w:eastAsia="宋体" w:cs="宋体"/>
          <w:b w:val="0"/>
          <w:bCs w:val="0"/>
          <w:color w:val="auto"/>
          <w:sz w:val="21"/>
          <w:szCs w:val="21"/>
          <w:highlight w:val="none"/>
        </w:rPr>
        <w:t>统一用户登录</w:t>
      </w:r>
    </w:p>
    <w:p w14:paraId="1260B5A7">
      <w:pPr>
        <w:pStyle w:val="436"/>
        <w:widowControl w:val="0"/>
        <w:numPr>
          <w:ilvl w:val="0"/>
          <w:numId w:val="27"/>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系统应采用B/S架构设计，提供统一登录入口，有效整合系统访问路径，简化用户操作流程。</w:t>
      </w:r>
    </w:p>
    <w:p w14:paraId="232590BA">
      <w:pPr>
        <w:pStyle w:val="436"/>
        <w:widowControl w:val="0"/>
        <w:numPr>
          <w:ilvl w:val="0"/>
          <w:numId w:val="27"/>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系统需支持用户从多种预设角色中自由选择，如分诊员、技师、报告医生等，满足不同身份需求。</w:t>
      </w:r>
    </w:p>
    <w:p w14:paraId="732DE6DD">
      <w:pPr>
        <w:pStyle w:val="436"/>
        <w:widowControl w:val="0"/>
        <w:numPr>
          <w:ilvl w:val="0"/>
          <w:numId w:val="27"/>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需提供设置默认角色功能，用户首次登录时可自主设定常用角色为默认选项，下次登录便能直接以默认角色身份快速进入系统，无需重复选择，操作便捷。</w:t>
      </w:r>
    </w:p>
    <w:p w14:paraId="42FEAE70">
      <w:pPr>
        <w:pStyle w:val="436"/>
        <w:widowControl w:val="0"/>
        <w:numPr>
          <w:ilvl w:val="0"/>
          <w:numId w:val="27"/>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需提供综合信息展示和导航功能，将系统的功能模块功能进行整合集中在一个页面呈现。</w:t>
      </w:r>
    </w:p>
    <w:p w14:paraId="3F76C5C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9.1.1.1.2.2</w:t>
      </w:r>
      <w:r>
        <w:rPr>
          <w:rFonts w:hint="eastAsia" w:ascii="宋体" w:hAnsi="宋体" w:eastAsia="宋体" w:cs="宋体"/>
          <w:b w:val="0"/>
          <w:bCs w:val="0"/>
          <w:color w:val="auto"/>
          <w:sz w:val="21"/>
          <w:szCs w:val="21"/>
          <w:highlight w:val="none"/>
        </w:rPr>
        <w:t>系统配置管理</w:t>
      </w:r>
    </w:p>
    <w:p w14:paraId="4A8EE50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9.1.1.1.2.2.1</w:t>
      </w:r>
      <w:r>
        <w:rPr>
          <w:rFonts w:hint="eastAsia" w:ascii="宋体" w:hAnsi="宋体" w:eastAsia="宋体" w:cs="宋体"/>
          <w:b w:val="0"/>
          <w:bCs w:val="0"/>
          <w:color w:val="auto"/>
          <w:sz w:val="21"/>
          <w:szCs w:val="21"/>
          <w:highlight w:val="none"/>
        </w:rPr>
        <w:t>组织管理</w:t>
      </w:r>
    </w:p>
    <w:p w14:paraId="66F5D134">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需支持对用户进行查询、新建、编辑、删除操作；</w:t>
      </w:r>
    </w:p>
    <w:p w14:paraId="7F679B8B">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需支持对用户进行重置密码操作；</w:t>
      </w:r>
    </w:p>
    <w:p w14:paraId="44C713AA">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需支持对用户进行角色分配操作；</w:t>
      </w:r>
    </w:p>
    <w:p w14:paraId="244A3774">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需支持多院区管理模式；</w:t>
      </w:r>
    </w:p>
    <w:p w14:paraId="4E3E16AF">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需支持对机构进行查询、新建、编辑删除等操作；</w:t>
      </w:r>
    </w:p>
    <w:p w14:paraId="3EF92498">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需支持多级子机构的层级管理模式；</w:t>
      </w:r>
    </w:p>
    <w:p w14:paraId="76FDC012">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需支持对科室信息进行查询、新建、编辑、删除等操作；</w:t>
      </w:r>
    </w:p>
    <w:p w14:paraId="7FBE5F1B">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需支持多维度管理；</w:t>
      </w:r>
    </w:p>
    <w:p w14:paraId="455396A7">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需支持科室基础信息（包括科室编码、亚专科分类、科室描述等）的维护与更新；</w:t>
      </w:r>
    </w:p>
    <w:p w14:paraId="32C76AA6">
      <w:pPr>
        <w:pStyle w:val="436"/>
        <w:widowControl w:val="0"/>
        <w:numPr>
          <w:ilvl w:val="0"/>
          <w:numId w:val="28"/>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需支持子科室的管理模式。</w:t>
      </w:r>
    </w:p>
    <w:p w14:paraId="27531DF3">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9.1.1.1.2.2.2</w:t>
      </w:r>
      <w:r>
        <w:rPr>
          <w:rFonts w:hint="eastAsia" w:ascii="宋体" w:hAnsi="宋体" w:eastAsia="宋体" w:cs="宋体"/>
          <w:b w:val="0"/>
          <w:bCs w:val="0"/>
          <w:color w:val="auto"/>
          <w:sz w:val="21"/>
          <w:szCs w:val="21"/>
          <w:highlight w:val="none"/>
        </w:rPr>
        <w:t>权限管理</w:t>
      </w:r>
    </w:p>
    <w:p w14:paraId="3AB0BD3B">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需支持对系统内部权限进行统一的查询、新建、编辑、删除等操作；</w:t>
      </w:r>
    </w:p>
    <w:p w14:paraId="295864FD">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需支持子权限管理模式；</w:t>
      </w:r>
    </w:p>
    <w:p w14:paraId="3F270E9C">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需支持数据权限和功能权限两种维度的管理模式；</w:t>
      </w:r>
    </w:p>
    <w:p w14:paraId="58684233">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需支持角色信息的查询、新建、编辑、删除等操作；</w:t>
      </w:r>
    </w:p>
    <w:p w14:paraId="32C07BF7">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需支持角色与菜单的配置关联；</w:t>
      </w:r>
    </w:p>
    <w:p w14:paraId="1D60799D">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需支持角色与功能模块的配置关联；</w:t>
      </w:r>
    </w:p>
    <w:p w14:paraId="19264F6F">
      <w:pPr>
        <w:pStyle w:val="436"/>
        <w:widowControl w:val="0"/>
        <w:numPr>
          <w:ilvl w:val="0"/>
          <w:numId w:val="29"/>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需支持多角色配置。</w:t>
      </w:r>
    </w:p>
    <w:p w14:paraId="6DC20F2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9.1.1.1.2.2.3系统设置</w:t>
      </w:r>
    </w:p>
    <w:p w14:paraId="48CCC727">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需支持对系统内置模块进行配置管理；</w:t>
      </w:r>
    </w:p>
    <w:p w14:paraId="7300F79C">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需支持与授权机制相结合，实现模块级别的访问控制；</w:t>
      </w:r>
    </w:p>
    <w:p w14:paraId="072810B7">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需支持与权限系统相结合，实现用户仅可访问到已授权的功能模块；</w:t>
      </w:r>
    </w:p>
    <w:p w14:paraId="2715E578">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需支持模块的灵活扩展与协同；</w:t>
      </w:r>
    </w:p>
    <w:p w14:paraId="0E10EDC9">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需支持对系统内置菜单进行配置管理；</w:t>
      </w:r>
    </w:p>
    <w:p w14:paraId="3A7EEC8C">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需支持多级菜单体系的维护及管理；</w:t>
      </w:r>
    </w:p>
    <w:p w14:paraId="32457700">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需支持与权限系统相结合，实现细粒度的功能权限控制；</w:t>
      </w:r>
    </w:p>
    <w:p w14:paraId="2DF3010F">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需支持统一的标准化数据字典维护功能；</w:t>
      </w:r>
    </w:p>
    <w:p w14:paraId="5E7C6FEB">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需支持医院各类基础数据的集中管理和动态配置；</w:t>
      </w:r>
    </w:p>
    <w:p w14:paraId="66DE718C">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系统需内置丰富的标准医学术语字典库，同时需支持自定义字典项的添加、编辑和停用操作；</w:t>
      </w:r>
    </w:p>
    <w:p w14:paraId="7EB6E644">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需支持可对字典分类、字典项、编码规则等进行灵活配置；</w:t>
      </w:r>
    </w:p>
    <w:p w14:paraId="49ACB9CF">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需支持系统管理员对全院各层级的配置信息进行统一维护；</w:t>
      </w:r>
    </w:p>
    <w:p w14:paraId="026124D4">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需支持从系统全局、医院、科室到个人用户的多层级配置体系；</w:t>
      </w:r>
    </w:p>
    <w:p w14:paraId="63CE7855">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需支持系统运行参数的动态调整和统一管控，无须重启服务；</w:t>
      </w:r>
    </w:p>
    <w:p w14:paraId="02EB523E">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需支持灵活设置系统无操作锁屏时间等运行参数，以及各业务模块的个性化配置项；</w:t>
      </w:r>
    </w:p>
    <w:p w14:paraId="18BEB439">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需支持系统管理员对全院各层级的配置信息进行统一维护；</w:t>
      </w:r>
    </w:p>
    <w:p w14:paraId="67149BD0">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需支持从系统全局、医院、科室到个人用户的多层级配置体系；</w:t>
      </w:r>
    </w:p>
    <w:p w14:paraId="1CAA78BF">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需支持系统运行参数的动态调整和统一管控，无须重启服务；</w:t>
      </w:r>
    </w:p>
    <w:p w14:paraId="52E6E65E">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rPr>
        <w:t>需支持灵活设置系统无操作锁屏时间等运行参数，以及各业务模块的个性化配置项；</w:t>
      </w:r>
    </w:p>
    <w:p w14:paraId="7F2079B7">
      <w:pPr>
        <w:pStyle w:val="436"/>
        <w:widowControl w:val="0"/>
        <w:numPr>
          <w:ilvl w:val="0"/>
          <w:numId w:val="30"/>
        </w:numPr>
        <w:spacing w:line="360" w:lineRule="auto"/>
        <w:ind w:left="1060" w:leftChars="0" w:firstLine="0" w:firstLineChars="0"/>
        <w:jc w:val="both"/>
        <w:rPr>
          <w:rFonts w:hint="eastAsia" w:cs="Times New Roman"/>
          <w:color w:val="auto"/>
          <w:highlight w:val="none"/>
        </w:rPr>
      </w:pPr>
      <w:r>
        <w:rPr>
          <w:rFonts w:hint="eastAsia" w:cs="Times New Roman"/>
          <w:color w:val="auto"/>
          <w:highlight w:val="none"/>
          <w:lang w:val="en-US"/>
        </w:rPr>
        <w:t>需支持系统对特殊人员（如绿通、VIP患者、特殊人群）权限管理与控制。</w:t>
      </w:r>
    </w:p>
    <w:p w14:paraId="1BEA4BF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9.1.1.1.2.3质量控制系统</w:t>
      </w:r>
    </w:p>
    <w:p w14:paraId="0670ADD4">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需支持主动质控，在各环节操作人员在进行系统操作时，主动发起质控操作；</w:t>
      </w:r>
    </w:p>
    <w:p w14:paraId="2BC95DDB">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需支持随机质控，预先设置抽样比例进行随机质控，被随机抽中的检查，在相关环节时，会自动弹出质控页面；</w:t>
      </w:r>
    </w:p>
    <w:p w14:paraId="67226B1B">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需支持集中质控，通过抽取模板，可进行有针对性的检查抽取；</w:t>
      </w:r>
    </w:p>
    <w:p w14:paraId="2E73CEC4">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需支持智能质控，通过人工智能对整体检查全过程，全环节进行智能质控及评价；</w:t>
      </w:r>
    </w:p>
    <w:p w14:paraId="2BCFF485">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需支持质控全景舱功能；</w:t>
      </w:r>
    </w:p>
    <w:p w14:paraId="63E45873">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需支持质控不合格统计，精确到个人；</w:t>
      </w:r>
    </w:p>
    <w:p w14:paraId="4A220E37">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需支持质控等级占比统计；</w:t>
      </w:r>
    </w:p>
    <w:p w14:paraId="1788370A">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需支持扣分项统计以做针对性改进；</w:t>
      </w:r>
    </w:p>
    <w:p w14:paraId="5FB4330D">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需支持随机质控抽样比例设置；</w:t>
      </w:r>
    </w:p>
    <w:p w14:paraId="1F17714F">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需支持集中质控的抽样设置；</w:t>
      </w:r>
    </w:p>
    <w:p w14:paraId="6162B9A4">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需支持勾选制、评分制两种类型的自定义方案；</w:t>
      </w:r>
    </w:p>
    <w:p w14:paraId="2378AF88">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需支持智能图像质量评价。</w:t>
      </w:r>
    </w:p>
    <w:p w14:paraId="67F2BDE9">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除了支持人工质控之外，还需支持AI自动质控，并将两者结合在一起为科室提供精准的质控分析数据。</w:t>
      </w:r>
    </w:p>
    <w:p w14:paraId="666C74C0">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可以输入检查项目名查询指定项目的质控信息，AI质控包括申请单质控、图像质控、报告质控。</w:t>
      </w:r>
    </w:p>
    <w:p w14:paraId="69C7D32C">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需支持展示AI质控结果，可以将AI质控结果导入到人工质控页面中，导入后可以继续评价并提交质控结果。</w:t>
      </w:r>
    </w:p>
    <w:p w14:paraId="31FD2EA1">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图像质量评价，可通过人工智能技术，以各学会发布的放射质量控制标准为基准，对图像进行智能分析，从体位、解剖结构清晰程度、组织对比度等多维度，得出放射图像质量，并自动给出对应评分。直观反应放射学成像质量。</w:t>
      </w:r>
      <w:bookmarkStart w:id="175" w:name="OLE_LINK15"/>
      <w:r>
        <w:rPr>
          <w:rFonts w:hint="eastAsia" w:cs="Times New Roman"/>
          <w:color w:val="auto"/>
          <w:highlight w:val="none"/>
          <w:lang w:val="en-US"/>
        </w:rPr>
        <w:t>（投标人须按上述要求提供系统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bookmarkEnd w:id="175"/>
    </w:p>
    <w:p w14:paraId="58F2A2B0">
      <w:pPr>
        <w:pStyle w:val="436"/>
        <w:widowControl w:val="0"/>
        <w:numPr>
          <w:ilvl w:val="0"/>
          <w:numId w:val="3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利用人工智能对多模态的影像分析能力，联动解剖学结构，断层解析，医学诊断术语，验证影像描述与图像之前的逻辑关联，针对报告内容，有效筛查出报告中的遗漏、相互矛盾、误判等问题，提高影像诊断报告质量。（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p w14:paraId="6F582FB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9.1.1.1.2.4随访管理系统</w:t>
      </w:r>
    </w:p>
    <w:p w14:paraId="252BBABA">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需支持随访工作站与诊断工作站无缝集成，支持在诊断工作站一键创建随访计划；</w:t>
      </w:r>
    </w:p>
    <w:p w14:paraId="19A7486A">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需支持随访计划规则设置；</w:t>
      </w:r>
    </w:p>
    <w:p w14:paraId="4191D1FD">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保存随访计划：可以设置检查的下次跟踪随访时间，病理结果出具后随访，患者的后续检查都要进行随访。</w:t>
      </w:r>
    </w:p>
    <w:p w14:paraId="1231BBB1">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需支持一键抽取临床数据；</w:t>
      </w:r>
    </w:p>
    <w:p w14:paraId="18FA348B">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需支持一键抽取病理数据；</w:t>
      </w:r>
    </w:p>
    <w:p w14:paraId="51BE77A9">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需支持查看历史随访记录；</w:t>
      </w:r>
    </w:p>
    <w:p w14:paraId="13016CF5">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需支持已随访列表查看、支持待随访列表查看；</w:t>
      </w:r>
    </w:p>
    <w:p w14:paraId="38BDAF52">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可以根据随访结果、随访时间、病种分类查询出已随访的列表，并能自动计算出诊断符合率。</w:t>
      </w:r>
    </w:p>
    <w:p w14:paraId="5FFBBF18">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可以查询添加到随访计划中的检查列表，在列表中逐一进行随访。</w:t>
      </w:r>
    </w:p>
    <w:p w14:paraId="57DEE18C">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全局随访计划：包含有病理检查做随访、诊断阳性检查做随访、术后患者做随访，设置后符合的检查会追加到待随访列表中。</w:t>
      </w:r>
    </w:p>
    <w:p w14:paraId="1C7F8BEE">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需支持诊断符合率统计；</w:t>
      </w:r>
    </w:p>
    <w:p w14:paraId="6427FBA8">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需支持随访功能设置，病理随访或阳性随访或术后随访；</w:t>
      </w:r>
    </w:p>
    <w:p w14:paraId="6CEE3FD5">
      <w:pPr>
        <w:pStyle w:val="436"/>
        <w:widowControl w:val="0"/>
        <w:numPr>
          <w:ilvl w:val="0"/>
          <w:numId w:val="3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需支持随访病例信息维护。</w:t>
      </w:r>
    </w:p>
    <w:p w14:paraId="0B13CC7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9.1.1.1.2.5统计报表系统</w:t>
      </w:r>
    </w:p>
    <w:p w14:paraId="11987F80">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需支持分诊员工作量统计；</w:t>
      </w:r>
    </w:p>
    <w:p w14:paraId="22600BCC">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需支持报告医生工作量统计；</w:t>
      </w:r>
    </w:p>
    <w:p w14:paraId="59B150B9">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需支持审核医生工作量统计；</w:t>
      </w:r>
    </w:p>
    <w:p w14:paraId="0272AB38">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需支持技师工作量统计；</w:t>
      </w:r>
    </w:p>
    <w:p w14:paraId="041F26F0">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需支持检查项目统计；</w:t>
      </w:r>
    </w:p>
    <w:p w14:paraId="3A258362">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需支持医院科室的医技/设备工作量，阳性率，机器和设备效益等统计。</w:t>
      </w:r>
    </w:p>
    <w:p w14:paraId="4C2E07EE">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需支持表格、饼图、条形图、曲线图等方式显示统计数据和数据走向。</w:t>
      </w:r>
    </w:p>
    <w:p w14:paraId="1CF30F01">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需支持分组报表、聚合报表。</w:t>
      </w:r>
    </w:p>
    <w:p w14:paraId="33934F2A">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需支持自定义报表基本信息。</w:t>
      </w:r>
    </w:p>
    <w:p w14:paraId="3550C1C5">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需支持报表按参数过滤及外部传参。</w:t>
      </w:r>
    </w:p>
    <w:p w14:paraId="76266F4A">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需支持报表按权限查看。</w:t>
      </w:r>
    </w:p>
    <w:p w14:paraId="3B886A16">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需支持报表导出功能。</w:t>
      </w:r>
    </w:p>
    <w:p w14:paraId="7B5A9FBC">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需支持列排序功能。</w:t>
      </w:r>
    </w:p>
    <w:p w14:paraId="5EAEF604">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需支持超声质控十二项统计；</w:t>
      </w:r>
    </w:p>
    <w:p w14:paraId="7920E811">
      <w:pPr>
        <w:pStyle w:val="436"/>
        <w:widowControl w:val="0"/>
        <w:numPr>
          <w:ilvl w:val="0"/>
          <w:numId w:val="3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需支持内镜质控十八项统计。</w:t>
      </w:r>
    </w:p>
    <w:p w14:paraId="7E73D49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9.1.1.1.2.6排班绩效管理系统</w:t>
      </w:r>
    </w:p>
    <w:p w14:paraId="3CAFFEAC">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需支持医生工作岗位基本信息维护管理。</w:t>
      </w:r>
    </w:p>
    <w:p w14:paraId="46C9E786">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需支持排班医生信息管理。</w:t>
      </w:r>
    </w:p>
    <w:p w14:paraId="4AC3CDC1">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需支持技师工作岗位基本信息维护管理。</w:t>
      </w:r>
    </w:p>
    <w:p w14:paraId="54B9494B">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需支持排班技师医生信息管理。</w:t>
      </w:r>
    </w:p>
    <w:p w14:paraId="633D9677">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需支持报告难度系数设置。</w:t>
      </w:r>
    </w:p>
    <w:p w14:paraId="4CC2335D">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需支持业务参数为管理员配置，部分内容需要根据现场定制和修改。</w:t>
      </w:r>
    </w:p>
    <w:p w14:paraId="51395259">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需支持根据岗位和日期，设置医生排班。</w:t>
      </w:r>
    </w:p>
    <w:p w14:paraId="1F18F8D3">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需支持查看医生的排班信息。</w:t>
      </w:r>
    </w:p>
    <w:p w14:paraId="1C0E7DFD">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需支持根据岗位和日期，设置技师排班。</w:t>
      </w:r>
    </w:p>
    <w:p w14:paraId="73040363">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需支持查看技师的排班信息技师排班计划调阅。</w:t>
      </w:r>
    </w:p>
    <w:p w14:paraId="7C02DACE">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需支持任务委托，将本人的任务委托给别人或对别人委托的任务进行打回和接受操作。</w:t>
      </w:r>
    </w:p>
    <w:p w14:paraId="14911C21">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需支持任务人工分配，对已分配的任务进行再分配。</w:t>
      </w:r>
    </w:p>
    <w:p w14:paraId="1DF0EB3E">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需支持未分配任务，对于没有分配成功的任务，通过检查号或检查流水号来查询。</w:t>
      </w:r>
    </w:p>
    <w:p w14:paraId="3E7D676A">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需支持检查状态查询，通过输入患者检查号查询已经分配的任务的报告状态。</w:t>
      </w:r>
    </w:p>
    <w:p w14:paraId="6BF528B1">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需支持任务状态查询，以统计表和统计图表形式展示。</w:t>
      </w:r>
    </w:p>
    <w:p w14:paraId="372710AD">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需支持报告状态查询，报告状态查询页面分为统计表，和统计图。</w:t>
      </w:r>
    </w:p>
    <w:p w14:paraId="70B798C8">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需支持医生工作量记录，通过岗位、医生、执行时间的查询条件查询每个医生对应的工作量、完成量、统计完成比例等。</w:t>
      </w:r>
    </w:p>
    <w:p w14:paraId="4E6D2BFD">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需支持岗位日均工作量统计，通过岗位、开始时间和结束时间等查询条件，统计某段时间内，某岗位的日平均工作量、总工作量、平均工作系数、总工作系数等信息。</w:t>
      </w:r>
    </w:p>
    <w:p w14:paraId="4D3D6226">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需支持医生日均工作量统计，通过医生、开始时间和结束时间等查询条件，统计某段时间内，医生的日平均工作量、总工作量、平均工作系数、总工作系数等信息。</w:t>
      </w:r>
    </w:p>
    <w:p w14:paraId="46EB3275">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需支持菜单设置，通过开始时间和结束时间等查询条件，统计某段时间内，分组的分配报告数量，分配报告难度总系数，完成报告数量，完成报告难度总系数等信息。</w:t>
      </w:r>
    </w:p>
    <w:p w14:paraId="47FB8680">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需支持系统参数设置，查询该系统用户信息。</w:t>
      </w:r>
    </w:p>
    <w:p w14:paraId="1763A7BB">
      <w:pPr>
        <w:pStyle w:val="436"/>
        <w:widowControl w:val="0"/>
        <w:numPr>
          <w:ilvl w:val="0"/>
          <w:numId w:val="3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需支持与医院人力资源OES系统的对接。</w:t>
      </w:r>
    </w:p>
    <w:p w14:paraId="6526727E">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9.1.1.1.2.7集中打印系统</w:t>
      </w:r>
    </w:p>
    <w:p w14:paraId="0F034982">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查询：需支持按患者、病区、检查时间等进行查询；</w:t>
      </w:r>
    </w:p>
    <w:p w14:paraId="0C27ABC3">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一键发放：按需打印报告和胶片；</w:t>
      </w:r>
    </w:p>
    <w:p w14:paraId="68F51FC5">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打印胶片：按需打印胶片；</w:t>
      </w:r>
    </w:p>
    <w:p w14:paraId="1ED0B0CB">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打印报告：按需打印报告；</w:t>
      </w:r>
    </w:p>
    <w:p w14:paraId="471B289F">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浏览报告：按需浏览报告；</w:t>
      </w:r>
    </w:p>
    <w:p w14:paraId="77F24389">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浏览胶片：按需浏览胶片</w:t>
      </w:r>
    </w:p>
    <w:p w14:paraId="2415CE91">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查询结果统计：可以根据查询结果统计胶片和报告的；</w:t>
      </w:r>
    </w:p>
    <w:p w14:paraId="73A24473">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需支持报告和胶片补打功能；</w:t>
      </w:r>
    </w:p>
    <w:p w14:paraId="3328DD53">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需支持浏览报告功能；</w:t>
      </w:r>
    </w:p>
    <w:p w14:paraId="41BF8235">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需支持浏览胶片功能；</w:t>
      </w:r>
    </w:p>
    <w:p w14:paraId="6AF308E9">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需支持打印耗材统计功能；</w:t>
      </w:r>
    </w:p>
    <w:p w14:paraId="08A9D4CC">
      <w:pPr>
        <w:pStyle w:val="436"/>
        <w:widowControl w:val="0"/>
        <w:numPr>
          <w:ilvl w:val="0"/>
          <w:numId w:val="3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需支持打印日志功能。</w:t>
      </w:r>
    </w:p>
    <w:p w14:paraId="76555D3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9.1.1.1.3放射管理系统</w:t>
      </w:r>
    </w:p>
    <w:p w14:paraId="43E5EF48">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9.1.1.1.3.1预约登记系统</w:t>
      </w:r>
    </w:p>
    <w:p w14:paraId="67197100">
      <w:pPr>
        <w:pStyle w:val="436"/>
        <w:widowControl w:val="0"/>
        <w:numPr>
          <w:ilvl w:val="0"/>
          <w:numId w:val="0"/>
        </w:numPr>
        <w:spacing w:line="360" w:lineRule="auto"/>
        <w:ind w:left="1060" w:leftChars="0" w:firstLine="420" w:firstLineChars="200"/>
        <w:jc w:val="both"/>
        <w:rPr>
          <w:rFonts w:hint="eastAsia" w:cs="Times New Roman"/>
          <w:color w:val="auto"/>
          <w:highlight w:val="none"/>
          <w:lang w:val="en-US"/>
        </w:rPr>
      </w:pPr>
      <w:r>
        <w:rPr>
          <w:rFonts w:hint="eastAsia" w:cs="Times New Roman"/>
          <w:color w:val="auto"/>
          <w:highlight w:val="none"/>
          <w:lang w:val="en-US"/>
        </w:rPr>
        <w:t>预约登记系统需提供预约登记、检查查询及队列调整等服务，通过智能推荐、快速获取申请单及其检查冲突提醒等功能，有效的实现了患者就诊的排队时间，减少分诊员的工作量，提高患者就诊效率。</w:t>
      </w:r>
    </w:p>
    <w:p w14:paraId="5610F0A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9.1.1.1.3.1.1预约登记</w:t>
      </w:r>
    </w:p>
    <w:p w14:paraId="62ED26D5">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需支持申请单批量获取；</w:t>
      </w:r>
    </w:p>
    <w:p w14:paraId="3EF7B65C">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需支持通过扫描患者的申请单条码或手动录入号码已实现快速登记；</w:t>
      </w:r>
    </w:p>
    <w:p w14:paraId="401BC05D">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需支持实时显示上一位患者信息；</w:t>
      </w:r>
    </w:p>
    <w:p w14:paraId="03AF7A91">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需支持智能拆合单功能；</w:t>
      </w:r>
    </w:p>
    <w:p w14:paraId="7DFDCACA">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需支持拮抗提示机制；</w:t>
      </w:r>
    </w:p>
    <w:p w14:paraId="0C59977B">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需支持项目自定义与检查时间双重校验；</w:t>
      </w:r>
    </w:p>
    <w:p w14:paraId="6414F2F8">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需支持智能推荐算法，基于自定义规则为患者推荐最优检查时间，显著提升预约效率和就诊体验；</w:t>
      </w:r>
    </w:p>
    <w:p w14:paraId="12B9F128">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需支持资源占用情况显示；</w:t>
      </w:r>
    </w:p>
    <w:p w14:paraId="026555F0">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需支持按照检查类型进行配置，同日多次检查给出提示；</w:t>
      </w:r>
    </w:p>
    <w:p w14:paraId="049E99D4">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需支持集中预约；</w:t>
      </w:r>
    </w:p>
    <w:p w14:paraId="538011FD">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需支持预约单/预约条码打印；</w:t>
      </w:r>
    </w:p>
    <w:p w14:paraId="733EFBAD">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需支持预约单/预约条码的自动打印功能；</w:t>
      </w:r>
    </w:p>
    <w:p w14:paraId="524A1887">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需支持纸质申请单自动扫描功能；</w:t>
      </w:r>
    </w:p>
    <w:p w14:paraId="7F9BD678">
      <w:pPr>
        <w:pStyle w:val="436"/>
        <w:widowControl w:val="0"/>
        <w:numPr>
          <w:ilvl w:val="0"/>
          <w:numId w:val="3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需支持按操作者登录权限显示可预约设备。</w:t>
      </w:r>
    </w:p>
    <w:p w14:paraId="187FBB3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9.1.1.1.3.1.2检查查询</w:t>
      </w:r>
    </w:p>
    <w:p w14:paraId="773E3679">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需支持多维度查询功能；</w:t>
      </w:r>
    </w:p>
    <w:p w14:paraId="28BCA5B6">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需支持自定义快捷查询功能；</w:t>
      </w:r>
    </w:p>
    <w:p w14:paraId="682E045E">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需支持到诊、取消到诊；</w:t>
      </w:r>
    </w:p>
    <w:p w14:paraId="486A6E67">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需支持退分诊、退预约功能；</w:t>
      </w:r>
    </w:p>
    <w:p w14:paraId="361A409B">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集中打印检查指引单：批量或单独打印预约检查单；</w:t>
      </w:r>
    </w:p>
    <w:p w14:paraId="282D5653">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需支持批量到诊/取消到诊；</w:t>
      </w:r>
    </w:p>
    <w:p w14:paraId="6E5563B9">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需支持批量预约/批量取消预约；</w:t>
      </w:r>
    </w:p>
    <w:p w14:paraId="5CDFAB8A">
      <w:pPr>
        <w:pStyle w:val="436"/>
        <w:widowControl w:val="0"/>
        <w:numPr>
          <w:ilvl w:val="0"/>
          <w:numId w:val="3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需支持申请单查看功能。</w:t>
      </w:r>
    </w:p>
    <w:p w14:paraId="0BC4A66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9.1.1.1.3.1.3队列调整</w:t>
      </w:r>
    </w:p>
    <w:p w14:paraId="122F712B">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需支持多维度查询功能；</w:t>
      </w:r>
    </w:p>
    <w:p w14:paraId="41152C41">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需支持自定义快捷查询功能；</w:t>
      </w:r>
    </w:p>
    <w:p w14:paraId="644F84D7">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需支持手工入队列功能；</w:t>
      </w:r>
    </w:p>
    <w:p w14:paraId="59A81408">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需支持批量队列调整功能；</w:t>
      </w:r>
    </w:p>
    <w:p w14:paraId="20154E46">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需支持对于队列信息的编辑功能；</w:t>
      </w:r>
    </w:p>
    <w:p w14:paraId="6C68A553">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需支持单独队列调整功能；</w:t>
      </w:r>
    </w:p>
    <w:p w14:paraId="059B4F73">
      <w:pPr>
        <w:pStyle w:val="436"/>
        <w:widowControl w:val="0"/>
        <w:numPr>
          <w:ilvl w:val="0"/>
          <w:numId w:val="3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需支持队列状态调整功能。</w:t>
      </w:r>
    </w:p>
    <w:p w14:paraId="3243B0A4">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9.1.1.1.3.2技师管理系统</w:t>
      </w:r>
    </w:p>
    <w:p w14:paraId="69DC5074">
      <w:pPr>
        <w:pStyle w:val="436"/>
        <w:widowControl w:val="0"/>
        <w:numPr>
          <w:ilvl w:val="0"/>
          <w:numId w:val="0"/>
        </w:numPr>
        <w:spacing w:line="360" w:lineRule="auto"/>
        <w:ind w:left="1060" w:leftChars="0" w:firstLine="420" w:firstLineChars="200"/>
        <w:jc w:val="both"/>
        <w:rPr>
          <w:rFonts w:hint="eastAsia" w:cs="Times New Roman"/>
          <w:color w:val="auto"/>
          <w:highlight w:val="none"/>
          <w:lang w:val="en-US"/>
        </w:rPr>
      </w:pPr>
      <w:r>
        <w:rPr>
          <w:rFonts w:hint="eastAsia" w:cs="Times New Roman"/>
          <w:color w:val="auto"/>
          <w:highlight w:val="none"/>
          <w:lang w:val="en-US"/>
        </w:rPr>
        <w:t>技师工作站能够精准记录检查的操作环节，确保数据的完整性和安全性，能够精确统计出技师的工作量。可以进行图像序列的迁入、迁出管理操作。</w:t>
      </w:r>
    </w:p>
    <w:p w14:paraId="440759EB">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需支持设备的开关机记录功能；</w:t>
      </w:r>
    </w:p>
    <w:p w14:paraId="691155CC">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需支持使用条码扫描的方式定位病人。</w:t>
      </w:r>
    </w:p>
    <w:p w14:paraId="5915739C">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需支持查看临床开具的申请单功能；</w:t>
      </w:r>
    </w:p>
    <w:p w14:paraId="27011538">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可以调出当前患者的基本信息、检查信息、收费信息等，进行确认并修改。</w:t>
      </w:r>
    </w:p>
    <w:p w14:paraId="6F97CE3F">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需支持对摆位技师、辅助护士的快捷记录功能；</w:t>
      </w:r>
    </w:p>
    <w:p w14:paraId="2DD03CFA">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需支持检查连扫功能；</w:t>
      </w:r>
    </w:p>
    <w:p w14:paraId="28C0007D">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需支持检查状态重置功能；</w:t>
      </w:r>
    </w:p>
    <w:p w14:paraId="68DF81B1">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需支持与排队叫号一体化设计，在一个界面上完成技师与叫号功能；</w:t>
      </w:r>
    </w:p>
    <w:p w14:paraId="617F4BAD">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需支持技师工作站与叫号系统联动；</w:t>
      </w:r>
    </w:p>
    <w:p w14:paraId="6B8706A9">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▲需支持智能危急值功能，对有危急情况的患者给予实时提示；应用人工智能从影像中发现病灶，实现对影像中可能存在的影响患者生命的危急信息（如重大脏器破裂</w:t>
      </w:r>
      <w:r>
        <w:rPr>
          <w:rFonts w:hint="eastAsia" w:cs="Times New Roman"/>
          <w:color w:val="auto"/>
          <w:highlight w:val="none"/>
          <w:lang w:val="en-US" w:eastAsia="zh-CN"/>
        </w:rPr>
        <w:t>或</w:t>
      </w:r>
      <w:r>
        <w:rPr>
          <w:rFonts w:hint="eastAsia" w:cs="Times New Roman"/>
          <w:color w:val="auto"/>
          <w:highlight w:val="none"/>
          <w:lang w:val="en-US"/>
        </w:rPr>
        <w:t>大面积急性梗死</w:t>
      </w:r>
      <w:r>
        <w:rPr>
          <w:rFonts w:hint="eastAsia" w:cs="Times New Roman"/>
          <w:color w:val="auto"/>
          <w:highlight w:val="none"/>
          <w:lang w:val="en-US" w:eastAsia="zh-CN"/>
        </w:rPr>
        <w:t>或</w:t>
      </w:r>
      <w:r>
        <w:rPr>
          <w:rFonts w:hint="eastAsia" w:cs="Times New Roman"/>
          <w:color w:val="auto"/>
          <w:highlight w:val="none"/>
          <w:lang w:val="en-US"/>
        </w:rPr>
        <w:t>恶性肿瘤晚期转移等）的高效、准确识别。并实时对技师做出提醒，及时上报危急值，对患者危急情况尽早处理，为患者后续救治尽可能争取时间。（投标人须按上述要求提供系统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p w14:paraId="361760EE">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智能影像质控，应用人工智能技术深入解析影像信息中对所表达的解剖结构，实现检查部位识别，并完成与所声明的检查部位的相互比对，对于解剖结构与声明信息不符的情况，实时出提示，避免由于人工失误造成的影响；</w:t>
      </w:r>
    </w:p>
    <w:p w14:paraId="39EE54B7">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需支持在技师工作站一键启用排版功能；</w:t>
      </w:r>
    </w:p>
    <w:p w14:paraId="0734CA8C">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需支持技师工作站浏览图像功能；</w:t>
      </w:r>
    </w:p>
    <w:p w14:paraId="0F4B1D14">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需支持检查图像的序列迁移功能；</w:t>
      </w:r>
    </w:p>
    <w:p w14:paraId="4FA72EEE">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需支持技师留言，后续诊断医生可直接查看技师留言；</w:t>
      </w:r>
    </w:p>
    <w:p w14:paraId="5BC02FCF">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需支持技师直接上报危急值功能；</w:t>
      </w:r>
    </w:p>
    <w:p w14:paraId="76F6FFBF">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需支持图像导出功能；</w:t>
      </w:r>
    </w:p>
    <w:p w14:paraId="7CBE43A2">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需支持图像下载功能；</w:t>
      </w:r>
    </w:p>
    <w:p w14:paraId="2A35AACB">
      <w:pPr>
        <w:pStyle w:val="436"/>
        <w:widowControl w:val="0"/>
        <w:numPr>
          <w:ilvl w:val="0"/>
          <w:numId w:val="3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需支持技师主动发起质控。</w:t>
      </w:r>
    </w:p>
    <w:p w14:paraId="67E5FAD8">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9.1.1.1.3.3护士管理系统</w:t>
      </w:r>
    </w:p>
    <w:p w14:paraId="7CD52D2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9.1.1.1.3.3.1患者宣教</w:t>
      </w:r>
    </w:p>
    <w:p w14:paraId="1931EE3D">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需支持多维度的查询；</w:t>
      </w:r>
    </w:p>
    <w:p w14:paraId="2B8D4F23">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6721B54C">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需支持与叫号系统联动，自动打开患者宣教界面；</w:t>
      </w:r>
    </w:p>
    <w:p w14:paraId="13351EAC">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需支持查看患者的电子申请单、纸质扫描申请单；</w:t>
      </w:r>
    </w:p>
    <w:p w14:paraId="77E65BD6">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需支持记录患者基本信息、患者过敏史等信息；</w:t>
      </w:r>
    </w:p>
    <w:p w14:paraId="5B5E1927">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需支持检查留言功能，后续业务环节中，可查看护士留言；</w:t>
      </w:r>
    </w:p>
    <w:p w14:paraId="43F7C31C">
      <w:pPr>
        <w:pStyle w:val="436"/>
        <w:widowControl w:val="0"/>
        <w:numPr>
          <w:ilvl w:val="0"/>
          <w:numId w:val="4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需支持知情同意书记录。</w:t>
      </w:r>
    </w:p>
    <w:p w14:paraId="1304F02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9.1.1.1.3.3.2处置处理</w:t>
      </w:r>
    </w:p>
    <w:p w14:paraId="3F7CC521">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需支持多维度的查询；</w:t>
      </w:r>
    </w:p>
    <w:p w14:paraId="30A36419">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0743D626">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需支持查看患者的电子申请单、纸质扫描申请单；</w:t>
      </w:r>
    </w:p>
    <w:p w14:paraId="507B12B8">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需支持同时显示已宣教列表和已处置列表；</w:t>
      </w:r>
    </w:p>
    <w:p w14:paraId="1C8A0F69">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需支持医用耗材分类信息录入并且维护；</w:t>
      </w:r>
    </w:p>
    <w:p w14:paraId="777DFE91">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需支持维护医用耗材型号、名称等项目信息；</w:t>
      </w:r>
    </w:p>
    <w:p w14:paraId="379BEF32">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需支持处置室录入患者耗材使用信息；</w:t>
      </w:r>
    </w:p>
    <w:p w14:paraId="74342801">
      <w:pPr>
        <w:pStyle w:val="436"/>
        <w:widowControl w:val="0"/>
        <w:numPr>
          <w:ilvl w:val="0"/>
          <w:numId w:val="4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需支持检查留言功能，后续业务环节中，可查看护士留言。</w:t>
      </w:r>
    </w:p>
    <w:p w14:paraId="0FEF9C36">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9.1.1.1.3.3.3用药处理</w:t>
      </w:r>
    </w:p>
    <w:p w14:paraId="7648822E">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需支持多维度的查询；</w:t>
      </w:r>
    </w:p>
    <w:p w14:paraId="56B71240">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4843FEAF">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需支持同时显示已宣教列表和已处置列表；</w:t>
      </w:r>
    </w:p>
    <w:p w14:paraId="738E6CD1">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需支持查看患者的电子申请单、纸质扫描申请单；</w:t>
      </w:r>
    </w:p>
    <w:p w14:paraId="39F187AF">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需支持检查室录入并维护增强类药物的流速、药量是否有副作用的信息。</w:t>
      </w:r>
    </w:p>
    <w:p w14:paraId="01EF24DC">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需支持检查留言功能，后续业务环节中，可查看护士留言；</w:t>
      </w:r>
    </w:p>
    <w:p w14:paraId="4E65CF0F">
      <w:pPr>
        <w:pStyle w:val="436"/>
        <w:widowControl w:val="0"/>
        <w:numPr>
          <w:ilvl w:val="0"/>
          <w:numId w:val="4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需支持对药品不良反应的记录。</w:t>
      </w:r>
    </w:p>
    <w:p w14:paraId="32C542B3">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9.1.1.1.3.4放射诊断系统</w:t>
      </w:r>
    </w:p>
    <w:p w14:paraId="549CAC1C">
      <w:pPr>
        <w:pStyle w:val="436"/>
        <w:widowControl w:val="0"/>
        <w:numPr>
          <w:ilvl w:val="0"/>
          <w:numId w:val="0"/>
        </w:numPr>
        <w:spacing w:line="360" w:lineRule="auto"/>
        <w:ind w:left="1060" w:leftChars="0" w:firstLine="420" w:firstLineChars="200"/>
        <w:jc w:val="both"/>
        <w:rPr>
          <w:rFonts w:hint="eastAsia" w:cs="Times New Roman"/>
          <w:color w:val="auto"/>
          <w:highlight w:val="none"/>
          <w:lang w:val="en-US"/>
        </w:rPr>
      </w:pPr>
      <w:r>
        <w:rPr>
          <w:rFonts w:hint="eastAsia" w:cs="Times New Roman"/>
          <w:color w:val="auto"/>
          <w:highlight w:val="none"/>
          <w:lang w:val="en-US"/>
        </w:rPr>
        <w:t>放射诊断工作站是一种专为医学影像诊断设计的功能模块。放射科医生和其他医疗专业人员通过对影像进行详细的分析和解读，撰写并发布诊断报告。</w:t>
      </w:r>
    </w:p>
    <w:p w14:paraId="19839B4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9.1.1.1.3.4.1检查查询</w:t>
      </w:r>
    </w:p>
    <w:p w14:paraId="68E86B86">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基本信息查询：需根据患者的影像号、姓名、年龄、性别、设备类型、检查状态、检查时间等条件进行查询，查询到满足条件的患者列表显示，供医生进行、诊断、阅片等操作；</w:t>
      </w:r>
    </w:p>
    <w:p w14:paraId="3771DC21">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高级查询：高级查询可用于在科研、教学特定条件下的影像资料查询，根据患者的住院号（门诊号）、检查部位、检查项目、申请科室、科研病例、特殊病例、一线医生姓名、二线医生姓名等条件进行查询；</w:t>
      </w:r>
    </w:p>
    <w:p w14:paraId="2616BFC6">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模糊查询：输入诊断描述、诊断结果中的关键字，系统将对满足条件的关键字进行模糊查询；</w:t>
      </w:r>
    </w:p>
    <w:p w14:paraId="51C7C3FA">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77B63EBC">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需支持列表与卡片两种方式展示查询结果；</w:t>
      </w:r>
    </w:p>
    <w:p w14:paraId="2591A83C">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需支持查看电子申请单功能；</w:t>
      </w:r>
    </w:p>
    <w:p w14:paraId="5FEFDC0A">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需支持与电子病历完成集成，一键打开电子病历并显示该患者的病历信息；</w:t>
      </w:r>
    </w:p>
    <w:p w14:paraId="0FD94819">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需支持留言查看功能，支持检查留言功能；</w:t>
      </w:r>
    </w:p>
    <w:p w14:paraId="1DAFA01B">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需支持有权限的医生对检查信息进行修改；</w:t>
      </w:r>
    </w:p>
    <w:p w14:paraId="759DE80C">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需支持检查的锁定与解锁功能；</w:t>
      </w:r>
    </w:p>
    <w:p w14:paraId="45DC160F">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需支持与典型病历库无缝集成；</w:t>
      </w:r>
    </w:p>
    <w:p w14:paraId="27472779">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需支持浏览患者相关的随访记录；</w:t>
      </w:r>
    </w:p>
    <w:p w14:paraId="6FC2279E">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需支持查看检查全过程记录；</w:t>
      </w:r>
    </w:p>
    <w:p w14:paraId="0676D05D">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17242BEC">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需支持对检查进行标签管理；</w:t>
      </w:r>
    </w:p>
    <w:p w14:paraId="61B5AFAF">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需支持导出图像；</w:t>
      </w:r>
    </w:p>
    <w:p w14:paraId="1221BA33">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需支持一键打开检查、申请单、图像，并自动进入报告编辑界面，方便医生操作；</w:t>
      </w:r>
    </w:p>
    <w:p w14:paraId="32F0E00A">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需支持相关诊断自动查询；</w:t>
      </w:r>
    </w:p>
    <w:p w14:paraId="5DCFAB3C">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需支持我的报告功能，方便浏览近期内由自己撰写的报告；</w:t>
      </w:r>
    </w:p>
    <w:p w14:paraId="02E90134">
      <w:pPr>
        <w:pStyle w:val="436"/>
        <w:widowControl w:val="0"/>
        <w:numPr>
          <w:ilvl w:val="0"/>
          <w:numId w:val="4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需支持查询结果列表自定义功能。</w:t>
      </w:r>
    </w:p>
    <w:p w14:paraId="3FDFEAA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9.1.1.1.3.4.2报告编辑</w:t>
      </w:r>
    </w:p>
    <w:p w14:paraId="0C39DC72">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需支持多种输出模板选择及配置；</w:t>
      </w:r>
    </w:p>
    <w:p w14:paraId="22CAA861">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需支持报告输入模版功能,有常见疾病的模版，模版分为公有模版和私有模版，并可以互相转换；</w:t>
      </w:r>
    </w:p>
    <w:p w14:paraId="53AA5619">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界面，需满足用户对软件UI布局的个性化需求，需适配各种尺寸、分辨率的显示设备，用户可通过在软件应用界面直接对布局进行拖拽式调整，调整完成后，可实时生效，无须刷新或保存操作。（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p w14:paraId="48B5D426">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用户自定义数据窗口，需对用户提供可自定义的数据录入功能，使用数据窗口，用户可根据实际业务需求，定义需要在报告过程中需要被记录的信息，自定义数据窗口可自动与当前检查关联，并完成数据持久化功能，无须对数据库进行修改。</w:t>
      </w:r>
    </w:p>
    <w:p w14:paraId="02989232">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数据窗口，提供可自定义的数据录入功能，使用数据窗口，用户可根据实际业务需求，定义需要在报告过程中需要被记录的信息，自定义数据窗口可自动与当前检查关联，并完成数据持久化功能，无须对数据库进行修改。</w:t>
      </w:r>
    </w:p>
    <w:p w14:paraId="322D3A38">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需支持报告输入内容模板分级管理（检查大部位/详细检查部位/内容模板）；</w:t>
      </w:r>
    </w:p>
    <w:p w14:paraId="0C1F36B7">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需支持输入模板的智能过滤功能；</w:t>
      </w:r>
    </w:p>
    <w:p w14:paraId="2482AFB9">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需支持输入模板被选择时的『替换』和『追加』两种模式；</w:t>
      </w:r>
    </w:p>
    <w:p w14:paraId="449C0A3F">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需支持常用词汇的自定义功能；</w:t>
      </w:r>
    </w:p>
    <w:p w14:paraId="3141FC03">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需支持特殊符号的快捷录入功能；</w:t>
      </w:r>
    </w:p>
    <w:p w14:paraId="4B6DD2D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需支持历史报告功能，支持历史报告对比浏览；</w:t>
      </w:r>
    </w:p>
    <w:p w14:paraId="4F3F1E9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需支持以表格形式记录测量值；</w:t>
      </w:r>
    </w:p>
    <w:p w14:paraId="43861499">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需支持ICD-10录入；</w:t>
      </w:r>
    </w:p>
    <w:p w14:paraId="09D107D4">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需支持在无图状态下书写诊断报告；</w:t>
      </w:r>
    </w:p>
    <w:p w14:paraId="3326061D">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需支持报告预览功能；</w:t>
      </w:r>
    </w:p>
    <w:p w14:paraId="54C565EB">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需支持报告暂存功能；</w:t>
      </w:r>
    </w:p>
    <w:p w14:paraId="33E3CAFA">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需支持报告拒签功能；</w:t>
      </w:r>
    </w:p>
    <w:p w14:paraId="44EEB428">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需支持报告提交、报告审核功能，并可根据权限</w:t>
      </w:r>
    </w:p>
    <w:p w14:paraId="14824C7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需支持相关诊断功能，审核医生可查看当前患者的所有历史诊断报告；</w:t>
      </w:r>
    </w:p>
    <w:p w14:paraId="65BCDE60">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需支持报告阴阳性记录功能；</w:t>
      </w:r>
    </w:p>
    <w:p w14:paraId="19AC04F5">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7746FD0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需支持报告打印功能；</w:t>
      </w:r>
    </w:p>
    <w:p w14:paraId="7966B196">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需支持图文报告功能；</w:t>
      </w:r>
    </w:p>
    <w:p w14:paraId="73B7CDF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需支持报告犹豫期功能；</w:t>
      </w:r>
    </w:p>
    <w:p w14:paraId="6D663E8C">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需支持报告自动保存功能；</w:t>
      </w:r>
    </w:p>
    <w:p w14:paraId="067A6066">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需支持用户自定义界面布局功能；</w:t>
      </w:r>
    </w:p>
    <w:p w14:paraId="1FD0CCF3">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需支持用户自定义数据窗口功能；</w:t>
      </w:r>
    </w:p>
    <w:p w14:paraId="285339FB">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需支持报告智能质控功能；</w:t>
      </w:r>
    </w:p>
    <w:p w14:paraId="1BE41266">
      <w:pPr>
        <w:pStyle w:val="436"/>
        <w:widowControl w:val="0"/>
        <w:numPr>
          <w:ilvl w:val="0"/>
          <w:numId w:val="4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危急值功能，利用机器学习、自然语言处理、多模态人工智能大模型等技术，对配合临床知识库、医学诊断术语，对报告内容进行深度解析，实现危急值的自动识别、实时预警、智能分析和精准推送，以提高危急值管理的效率和质量。</w:t>
      </w:r>
    </w:p>
    <w:p w14:paraId="17A2A01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9.1.1.1.3.4.3工作状态延续</w:t>
      </w:r>
    </w:p>
    <w:p w14:paraId="54E414FA">
      <w:pPr>
        <w:pStyle w:val="436"/>
        <w:widowControl w:val="0"/>
        <w:numPr>
          <w:ilvl w:val="0"/>
          <w:numId w:val="4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需支持暂存报告功能；</w:t>
      </w:r>
    </w:p>
    <w:p w14:paraId="4D05A25F">
      <w:pPr>
        <w:pStyle w:val="436"/>
        <w:widowControl w:val="0"/>
        <w:numPr>
          <w:ilvl w:val="0"/>
          <w:numId w:val="4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需支持工作状态保存功能；</w:t>
      </w:r>
    </w:p>
    <w:p w14:paraId="6C32F166">
      <w:pPr>
        <w:pStyle w:val="436"/>
        <w:widowControl w:val="0"/>
        <w:numPr>
          <w:ilvl w:val="0"/>
          <w:numId w:val="4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需支持工作状态延续功能。</w:t>
      </w:r>
    </w:p>
    <w:p w14:paraId="7963BC8E">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9.1.1.1.3.4.4我的任务</w:t>
      </w:r>
    </w:p>
    <w:p w14:paraId="02458003">
      <w:pPr>
        <w:pStyle w:val="436"/>
        <w:widowControl w:val="0"/>
        <w:numPr>
          <w:ilvl w:val="0"/>
          <w:numId w:val="4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需支持与排班系统融合，并提供『我的任务』模块，以显示分配当前用户的待诊断列表；</w:t>
      </w:r>
    </w:p>
    <w:p w14:paraId="3F4CA046">
      <w:pPr>
        <w:pStyle w:val="436"/>
        <w:widowControl w:val="0"/>
        <w:numPr>
          <w:ilvl w:val="0"/>
          <w:numId w:val="4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需支持任务委托功能；</w:t>
      </w:r>
    </w:p>
    <w:p w14:paraId="79AD6536">
      <w:pPr>
        <w:pStyle w:val="436"/>
        <w:widowControl w:val="0"/>
        <w:numPr>
          <w:ilvl w:val="0"/>
          <w:numId w:val="4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需支持委托任务退回功能。</w:t>
      </w:r>
    </w:p>
    <w:p w14:paraId="0C10B9EA">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9.1.1.1.3.4.5结构化报告</w:t>
      </w:r>
    </w:p>
    <w:p w14:paraId="78B8EBB2">
      <w:pPr>
        <w:pStyle w:val="436"/>
        <w:widowControl w:val="0"/>
        <w:numPr>
          <w:ilvl w:val="0"/>
          <w:numId w:val="4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需支持结构化报告功能；</w:t>
      </w:r>
    </w:p>
    <w:p w14:paraId="6936F383">
      <w:pPr>
        <w:pStyle w:val="436"/>
        <w:widowControl w:val="0"/>
        <w:numPr>
          <w:ilvl w:val="0"/>
          <w:numId w:val="4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需支持通过鼠标点选的方式完成报告信息录入。</w:t>
      </w:r>
    </w:p>
    <w:p w14:paraId="7C28DF7F">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 2D影像浏览</w:t>
      </w:r>
    </w:p>
    <w:p w14:paraId="47131574">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9.1.1.1.3.5.1工作视图设置</w:t>
      </w:r>
    </w:p>
    <w:p w14:paraId="422AE8F8">
      <w:pPr>
        <w:pStyle w:val="436"/>
        <w:widowControl w:val="0"/>
        <w:numPr>
          <w:ilvl w:val="0"/>
          <w:numId w:val="4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需支持根据个人使用习惯，自定义个人工作视图；</w:t>
      </w:r>
    </w:p>
    <w:p w14:paraId="0338462B">
      <w:pPr>
        <w:pStyle w:val="436"/>
        <w:widowControl w:val="0"/>
        <w:numPr>
          <w:ilvl w:val="0"/>
          <w:numId w:val="4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需支持图像浏览工具、影像布局、快捷键、预设、挂片协议、右键菜单等各工作视图的自定义功能。</w:t>
      </w:r>
    </w:p>
    <w:p w14:paraId="20E88B7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9.1.1.1.3.5.2工具设置</w:t>
      </w:r>
    </w:p>
    <w:p w14:paraId="143AC4F3">
      <w:pPr>
        <w:pStyle w:val="436"/>
        <w:widowControl w:val="0"/>
        <w:numPr>
          <w:ilvl w:val="0"/>
          <w:numId w:val="4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需支持对工具进行分区设置；</w:t>
      </w:r>
    </w:p>
    <w:p w14:paraId="2DA266A9">
      <w:pPr>
        <w:pStyle w:val="436"/>
        <w:widowControl w:val="0"/>
        <w:numPr>
          <w:ilvl w:val="0"/>
          <w:numId w:val="4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需支持对工具进行分组设置；</w:t>
      </w:r>
    </w:p>
    <w:p w14:paraId="4A4926B4">
      <w:pPr>
        <w:pStyle w:val="436"/>
        <w:widowControl w:val="0"/>
        <w:numPr>
          <w:ilvl w:val="0"/>
          <w:numId w:val="4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需支持工具的自动布局功能；</w:t>
      </w:r>
    </w:p>
    <w:p w14:paraId="735EA1E7">
      <w:pPr>
        <w:pStyle w:val="436"/>
        <w:widowControl w:val="0"/>
        <w:numPr>
          <w:ilvl w:val="0"/>
          <w:numId w:val="4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需支持通过鼠标拖拽的方式对自定义布局进行调整；</w:t>
      </w:r>
    </w:p>
    <w:p w14:paraId="107604F2">
      <w:pPr>
        <w:pStyle w:val="436"/>
        <w:widowControl w:val="0"/>
        <w:numPr>
          <w:ilvl w:val="0"/>
          <w:numId w:val="4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需支持跨组拖动调整。</w:t>
      </w:r>
    </w:p>
    <w:p w14:paraId="1AA86C4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9.1.1.1.3.5.3快捷键设置</w:t>
      </w:r>
    </w:p>
    <w:p w14:paraId="4A4F2B73">
      <w:pPr>
        <w:pStyle w:val="436"/>
        <w:widowControl w:val="0"/>
        <w:numPr>
          <w:ilvl w:val="0"/>
          <w:numId w:val="5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需支持将常用功能自定义为快捷键；</w:t>
      </w:r>
    </w:p>
    <w:p w14:paraId="5A42A913">
      <w:pPr>
        <w:pStyle w:val="436"/>
        <w:widowControl w:val="0"/>
        <w:numPr>
          <w:ilvl w:val="0"/>
          <w:numId w:val="5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需支持快捷键的还原与删除操作。</w:t>
      </w:r>
    </w:p>
    <w:p w14:paraId="4A5D36F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9.1.1.1.3.5.4预设设置</w:t>
      </w:r>
    </w:p>
    <w:p w14:paraId="75134FC3">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需支持从多维度设置系统预计值；</w:t>
      </w:r>
    </w:p>
    <w:p w14:paraId="00E7F377">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需支持模态维度；</w:t>
      </w:r>
    </w:p>
    <w:p w14:paraId="5D73C703">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需支持检查部分维度；</w:t>
      </w:r>
    </w:p>
    <w:p w14:paraId="3DA6B36E">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需支持自动应用窗宽窗位；</w:t>
      </w:r>
    </w:p>
    <w:p w14:paraId="3F3E5322">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需支持预设与快捷键绑定功能；</w:t>
      </w:r>
    </w:p>
    <w:p w14:paraId="550826D4">
      <w:pPr>
        <w:pStyle w:val="436"/>
        <w:widowControl w:val="0"/>
        <w:numPr>
          <w:ilvl w:val="0"/>
          <w:numId w:val="5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需支持预设值维度功能。</w:t>
      </w:r>
    </w:p>
    <w:p w14:paraId="34C666F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9.1.1.1.3.5.5挂片设置</w:t>
      </w:r>
    </w:p>
    <w:p w14:paraId="3A67C973">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需支持挂片协议维护；</w:t>
      </w:r>
    </w:p>
    <w:p w14:paraId="3AA80676">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需支持自定义挂片协议；</w:t>
      </w:r>
    </w:p>
    <w:p w14:paraId="5B0CB3DC">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需支持不规则分格的挂片协议；</w:t>
      </w:r>
    </w:p>
    <w:p w14:paraId="115CD458">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需支持自动识别定位图序列；</w:t>
      </w:r>
    </w:p>
    <w:p w14:paraId="314AEA25">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需支持预计挂片图像调整，包括位置、角度、缩放比例、是否反色等；</w:t>
      </w:r>
    </w:p>
    <w:p w14:paraId="22054D6F">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需支持多维度的挂片协议匹配，包括图像类型、检查部位、检查方法等；</w:t>
      </w:r>
    </w:p>
    <w:p w14:paraId="40785372">
      <w:pPr>
        <w:pStyle w:val="436"/>
        <w:widowControl w:val="0"/>
        <w:numPr>
          <w:ilvl w:val="0"/>
          <w:numId w:val="5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需支持公有挂片协议与私有挂片协议。</w:t>
      </w:r>
    </w:p>
    <w:p w14:paraId="6326182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9.1.1.1.3.5.6图像浏览</w:t>
      </w:r>
    </w:p>
    <w:p w14:paraId="47786A0D">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需支持检查浏览模式与序列浏览模式；</w:t>
      </w:r>
    </w:p>
    <w:p w14:paraId="71895A2C">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需支持专注模式；</w:t>
      </w:r>
    </w:p>
    <w:p w14:paraId="3D5547F0">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需支持撤回与重做，最多可支持八个步骤；</w:t>
      </w:r>
    </w:p>
    <w:p w14:paraId="0BB5A911">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需支持图像重置为初始状态；</w:t>
      </w:r>
    </w:p>
    <w:p w14:paraId="5323B3B6">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需支持一键关闭所有检查；</w:t>
      </w:r>
    </w:p>
    <w:p w14:paraId="1BB23259">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需支持自定义窗格布局；</w:t>
      </w:r>
    </w:p>
    <w:p w14:paraId="1E424305">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需支持自定义不规则窗格布局；</w:t>
      </w:r>
    </w:p>
    <w:p w14:paraId="6F11E39E">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需支持窗宽窗位调整功能；</w:t>
      </w:r>
    </w:p>
    <w:p w14:paraId="1C560535">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需支持图像平移；</w:t>
      </w:r>
    </w:p>
    <w:p w14:paraId="2B128FCE">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需支持图像缩放功能；</w:t>
      </w:r>
    </w:p>
    <w:p w14:paraId="0223AB9B">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需支持图像换层工具；</w:t>
      </w:r>
    </w:p>
    <w:p w14:paraId="2D7AFDA6">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需支持适应窗口功能；</w:t>
      </w:r>
    </w:p>
    <w:p w14:paraId="6261A6D1">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需支持图像裁减功能；</w:t>
      </w:r>
    </w:p>
    <w:p w14:paraId="574984C7">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需支持水平镜像与垂直镜像；</w:t>
      </w:r>
    </w:p>
    <w:p w14:paraId="3A77B2DD">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需支持左旋与右旋；</w:t>
      </w:r>
    </w:p>
    <w:p w14:paraId="1D15A9B2">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需支持自由旋转；</w:t>
      </w:r>
    </w:p>
    <w:p w14:paraId="631BCA3C">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需支持2D定位功能，实现不同序列中交叉定位；</w:t>
      </w:r>
    </w:p>
    <w:p w14:paraId="3C2A3EF5">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需支持参考线功能，支持高亮首末参考线；</w:t>
      </w:r>
    </w:p>
    <w:p w14:paraId="3BBE0AB5">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需支持序列同步功能；</w:t>
      </w:r>
    </w:p>
    <w:p w14:paraId="04AD831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需支持序列关联功能；</w:t>
      </w:r>
    </w:p>
    <w:p w14:paraId="0F8AF22F">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需支持图像减影功能；</w:t>
      </w:r>
    </w:p>
    <w:p w14:paraId="6079ACF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需支持关键图标记功能；</w:t>
      </w:r>
    </w:p>
    <w:p w14:paraId="36ED9344">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需支持图像双窗显示功能；</w:t>
      </w:r>
    </w:p>
    <w:p w14:paraId="53376421">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需支持线性窗宽窗位调整和Gama窗宽窗位调整；</w:t>
      </w:r>
    </w:p>
    <w:p w14:paraId="0F092A52">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需支持图像增强调节；</w:t>
      </w:r>
    </w:p>
    <w:p w14:paraId="6DA94794">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需支持亮度与对比度调节；</w:t>
      </w:r>
    </w:p>
    <w:p w14:paraId="122BF706">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需支持图像反色功能；</w:t>
      </w:r>
    </w:p>
    <w:p w14:paraId="3BB05734">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需支持图像伪彩功能；</w:t>
      </w:r>
    </w:p>
    <w:p w14:paraId="770E3E4E">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需支持伪菜方案编辑；</w:t>
      </w:r>
    </w:p>
    <w:p w14:paraId="78791D0F">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需支持图像滤波功能，支持CT滤波器；</w:t>
      </w:r>
    </w:p>
    <w:p w14:paraId="595CC9D9">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需支持图像序列播放功能；</w:t>
      </w:r>
    </w:p>
    <w:p w14:paraId="57B87E5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需支持工作状态保存功能；</w:t>
      </w:r>
    </w:p>
    <w:p w14:paraId="5BD3E11D">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需支持图像标注功能，包括箭头、文本等；</w:t>
      </w:r>
    </w:p>
    <w:p w14:paraId="6A700BFF">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需支持图像测量功能，包括单点、直线、角度、COBB角、矩形、椭圆、正圆、多边形、磁性套索等；</w:t>
      </w:r>
    </w:p>
    <w:p w14:paraId="67891624">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需支持标注与测量值删除功能；</w:t>
      </w:r>
    </w:p>
    <w:p w14:paraId="1123617C">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需支持图像峰值曲线功能；</w:t>
      </w:r>
    </w:p>
    <w:p w14:paraId="155F95EF">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需支持DSA多帧图像的播放和拆分，单帧调节影像播放速度，支持播放过程中动态调整。</w:t>
      </w:r>
    </w:p>
    <w:p w14:paraId="0F07BB0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需支持DSA图像剪影，支持像素位移。</w:t>
      </w:r>
    </w:p>
    <w:p w14:paraId="369EE724">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需支持脊柱标记功能；</w:t>
      </w:r>
    </w:p>
    <w:p w14:paraId="091623A0">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需支持左右右标记功能；</w:t>
      </w:r>
    </w:p>
    <w:p w14:paraId="316178E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需支持测量与标的复制粘贴功能；</w:t>
      </w:r>
    </w:p>
    <w:p w14:paraId="03683693">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需支持图像保存功能，可保存为png、jpg、bmp、DICOM原始文件、WEBM等；</w:t>
      </w:r>
    </w:p>
    <w:p w14:paraId="50025428">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需支持将图像发送至胶片排版模块；</w:t>
      </w:r>
    </w:p>
    <w:p w14:paraId="04636990">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需支持胶片排版模块自定义发送规则；</w:t>
      </w:r>
    </w:p>
    <w:p w14:paraId="74D5636B">
      <w:pPr>
        <w:pStyle w:val="436"/>
        <w:widowControl w:val="0"/>
        <w:numPr>
          <w:ilvl w:val="0"/>
          <w:numId w:val="5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需支持发送图像到报告功能。</w:t>
      </w:r>
    </w:p>
    <w:p w14:paraId="3954033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9.1.1.1.3.6 3D影像浏览</w:t>
      </w:r>
    </w:p>
    <w:p w14:paraId="670C653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9.1.1.1.3.6.1Volume模块</w:t>
      </w:r>
    </w:p>
    <w:p w14:paraId="6193E212">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需支持多平面重建功能；</w:t>
      </w:r>
    </w:p>
    <w:p w14:paraId="0154A662">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需支持三维可视化功能；</w:t>
      </w:r>
    </w:p>
    <w:p w14:paraId="277FA8E9">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需支持自动去床、去骨功能；</w:t>
      </w:r>
    </w:p>
    <w:p w14:paraId="677FCC08">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需支持自动去杂质功能；</w:t>
      </w:r>
    </w:p>
    <w:p w14:paraId="2CC34EFF">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需支持手动去床、去骨功能，支持手动添加血管功能；</w:t>
      </w:r>
    </w:p>
    <w:p w14:paraId="5BBA6700">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需支持图像包围盒功能；</w:t>
      </w:r>
    </w:p>
    <w:p w14:paraId="190E4717">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需支持MIP、MinIP功能；</w:t>
      </w:r>
    </w:p>
    <w:p w14:paraId="53C9F9E6">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需支持层厚调节功能；</w:t>
      </w:r>
    </w:p>
    <w:p w14:paraId="0684BD68">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需支持多平面自由旋转模式；</w:t>
      </w:r>
    </w:p>
    <w:p w14:paraId="2D62F1E2">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需支持参考线操作，实现图像位置修改、图像层厚修改；</w:t>
      </w:r>
    </w:p>
    <w:p w14:paraId="47E6404B">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需支持MPR批处理操作；</w:t>
      </w:r>
    </w:p>
    <w:p w14:paraId="673D6B3D">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需支持斜切功能；</w:t>
      </w:r>
    </w:p>
    <w:p w14:paraId="3A47F5E0">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需支持容积重建功能；</w:t>
      </w:r>
    </w:p>
    <w:p w14:paraId="75B06FBC">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需支持VR裁剪功能；</w:t>
      </w:r>
    </w:p>
    <w:p w14:paraId="0CBB6594">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需支持VR图像的旋转批处理功能；</w:t>
      </w:r>
    </w:p>
    <w:p w14:paraId="0C348FFF">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需支持图像自动分割功能；</w:t>
      </w:r>
    </w:p>
    <w:p w14:paraId="5784EA13">
      <w:pPr>
        <w:pStyle w:val="436"/>
        <w:widowControl w:val="0"/>
        <w:numPr>
          <w:ilvl w:val="0"/>
          <w:numId w:val="5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需支持三维智能刀功能。</w:t>
      </w:r>
    </w:p>
    <w:p w14:paraId="2114BCD6">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9.1.1.1.3.6.2CPR模块</w:t>
      </w:r>
    </w:p>
    <w:p w14:paraId="339D20BB">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需支持自定义窗体布局功能；</w:t>
      </w:r>
    </w:p>
    <w:p w14:paraId="2DFD683F">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需支持自定义曲线功能；</w:t>
      </w:r>
    </w:p>
    <w:p w14:paraId="6D950935">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需支持曲线管理功能；</w:t>
      </w:r>
    </w:p>
    <w:p w14:paraId="098F2BAC">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需支持曲面改变功能；</w:t>
      </w:r>
    </w:p>
    <w:p w14:paraId="548B0ADF">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需支持CPR层厚调整功能；</w:t>
      </w:r>
    </w:p>
    <w:p w14:paraId="752CFF59">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需支持切面参数调整；</w:t>
      </w:r>
    </w:p>
    <w:p w14:paraId="5A4D0094">
      <w:pPr>
        <w:pStyle w:val="436"/>
        <w:widowControl w:val="0"/>
        <w:numPr>
          <w:ilvl w:val="0"/>
          <w:numId w:val="5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需支持切面布局、尺寸调整。</w:t>
      </w:r>
    </w:p>
    <w:p w14:paraId="571C025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9.1.1.1.3.6.3 ENDO模块</w:t>
      </w:r>
    </w:p>
    <w:p w14:paraId="68936008">
      <w:pPr>
        <w:pStyle w:val="436"/>
        <w:widowControl w:val="0"/>
        <w:numPr>
          <w:ilvl w:val="0"/>
          <w:numId w:val="5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需支持多种模式的窗体布局；</w:t>
      </w:r>
    </w:p>
    <w:p w14:paraId="78D80039">
      <w:pPr>
        <w:pStyle w:val="436"/>
        <w:widowControl w:val="0"/>
        <w:numPr>
          <w:ilvl w:val="0"/>
          <w:numId w:val="5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需支持中心线漫游功能；</w:t>
      </w:r>
    </w:p>
    <w:p w14:paraId="118D8B70">
      <w:pPr>
        <w:pStyle w:val="436"/>
        <w:widowControl w:val="0"/>
        <w:numPr>
          <w:ilvl w:val="0"/>
          <w:numId w:val="5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需支持使用漫游控件进行漫游控制；</w:t>
      </w:r>
    </w:p>
    <w:p w14:paraId="7E2AFD8F">
      <w:pPr>
        <w:pStyle w:val="436"/>
        <w:widowControl w:val="0"/>
        <w:numPr>
          <w:ilvl w:val="0"/>
          <w:numId w:val="5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需支持自由漫游功能；</w:t>
      </w:r>
    </w:p>
    <w:p w14:paraId="524E47CA">
      <w:pPr>
        <w:pStyle w:val="436"/>
        <w:widowControl w:val="0"/>
        <w:numPr>
          <w:ilvl w:val="0"/>
          <w:numId w:val="5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需支持漫游录像生成功能。</w:t>
      </w:r>
    </w:p>
    <w:p w14:paraId="2024FF81">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9.1.1.1.3.7结构化报告系统</w:t>
      </w:r>
    </w:p>
    <w:p w14:paraId="466AB9A6">
      <w:pPr>
        <w:pStyle w:val="436"/>
        <w:widowControl w:val="0"/>
        <w:numPr>
          <w:ilvl w:val="0"/>
          <w:numId w:val="5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可以从RIS系统患者列表直接进入结构化报告，共享用户，结果反馈等集成功能。</w:t>
      </w:r>
    </w:p>
    <w:p w14:paraId="07610194">
      <w:pPr>
        <w:pStyle w:val="436"/>
        <w:widowControl w:val="0"/>
        <w:numPr>
          <w:ilvl w:val="0"/>
          <w:numId w:val="5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至少需提供以下10个模块：</w:t>
      </w:r>
    </w:p>
    <w:tbl>
      <w:tblPr>
        <w:tblStyle w:val="49"/>
        <w:tblW w:w="50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399"/>
        <w:gridCol w:w="1623"/>
        <w:gridCol w:w="2270"/>
        <w:gridCol w:w="3295"/>
      </w:tblGrid>
      <w:tr w14:paraId="26C2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F86504D">
            <w:pPr>
              <w:pStyle w:val="491"/>
              <w:rPr>
                <w:rFonts w:hint="eastAsia"/>
                <w:color w:val="auto"/>
                <w:highlight w:val="none"/>
              </w:rPr>
            </w:pPr>
            <w:r>
              <w:rPr>
                <w:rFonts w:hint="eastAsia"/>
                <w:color w:val="auto"/>
                <w:highlight w:val="none"/>
              </w:rPr>
              <w:t>编号</w:t>
            </w:r>
          </w:p>
        </w:tc>
        <w:tc>
          <w:tcPr>
            <w:tcW w:w="128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EC36307">
            <w:pPr>
              <w:pStyle w:val="491"/>
              <w:rPr>
                <w:rFonts w:hint="eastAsia"/>
                <w:color w:val="auto"/>
                <w:highlight w:val="none"/>
              </w:rPr>
            </w:pPr>
            <w:r>
              <w:rPr>
                <w:rFonts w:hint="eastAsia"/>
                <w:color w:val="auto"/>
                <w:highlight w:val="none"/>
              </w:rPr>
              <w:t>模板名称</w:t>
            </w:r>
          </w:p>
        </w:tc>
        <w:tc>
          <w:tcPr>
            <w:tcW w:w="148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8BAE134">
            <w:pPr>
              <w:pStyle w:val="491"/>
              <w:rPr>
                <w:rFonts w:hint="eastAsia"/>
                <w:color w:val="auto"/>
                <w:highlight w:val="none"/>
              </w:rPr>
            </w:pPr>
            <w:r>
              <w:rPr>
                <w:rFonts w:hint="eastAsia"/>
                <w:color w:val="auto"/>
                <w:highlight w:val="none"/>
              </w:rPr>
              <w:t>检查目的</w:t>
            </w:r>
          </w:p>
        </w:tc>
        <w:tc>
          <w:tcPr>
            <w:tcW w:w="208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45E63AD">
            <w:pPr>
              <w:pStyle w:val="491"/>
              <w:rPr>
                <w:rFonts w:hint="eastAsia"/>
                <w:color w:val="auto"/>
                <w:highlight w:val="none"/>
              </w:rPr>
            </w:pPr>
            <w:r>
              <w:rPr>
                <w:rFonts w:hint="eastAsia"/>
                <w:color w:val="auto"/>
                <w:highlight w:val="none"/>
              </w:rPr>
              <w:t>扫描要求</w:t>
            </w:r>
          </w:p>
        </w:tc>
        <w:tc>
          <w:tcPr>
            <w:tcW w:w="302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422D13E">
            <w:pPr>
              <w:pStyle w:val="491"/>
              <w:rPr>
                <w:rFonts w:hint="eastAsia"/>
                <w:color w:val="auto"/>
                <w:highlight w:val="none"/>
              </w:rPr>
            </w:pPr>
            <w:r>
              <w:rPr>
                <w:rFonts w:hint="eastAsia"/>
                <w:color w:val="auto"/>
                <w:highlight w:val="none"/>
              </w:rPr>
              <w:t>临床需求</w:t>
            </w:r>
          </w:p>
        </w:tc>
      </w:tr>
      <w:tr w14:paraId="63EA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0" w:type="dxa"/>
            <w:gridSpan w:val="5"/>
            <w:tcBorders>
              <w:top w:val="single" w:color="auto" w:sz="4" w:space="0"/>
              <w:left w:val="single" w:color="auto" w:sz="4" w:space="0"/>
              <w:bottom w:val="single" w:color="auto" w:sz="4" w:space="0"/>
              <w:right w:val="single" w:color="auto" w:sz="4" w:space="0"/>
            </w:tcBorders>
            <w:vAlign w:val="center"/>
          </w:tcPr>
          <w:p w14:paraId="7F406185">
            <w:pPr>
              <w:pStyle w:val="491"/>
              <w:rPr>
                <w:rFonts w:hint="eastAsia"/>
                <w:color w:val="auto"/>
                <w:highlight w:val="none"/>
              </w:rPr>
            </w:pPr>
            <w:r>
              <w:rPr>
                <w:rFonts w:hint="eastAsia"/>
                <w:color w:val="auto"/>
                <w:highlight w:val="none"/>
              </w:rPr>
              <w:t>CT部分（2个模块）</w:t>
            </w:r>
          </w:p>
        </w:tc>
      </w:tr>
      <w:tr w14:paraId="2935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2AFE8EC5">
            <w:pPr>
              <w:pStyle w:val="491"/>
              <w:rPr>
                <w:rFonts w:hint="eastAsia"/>
                <w:color w:val="auto"/>
                <w:highlight w:val="none"/>
              </w:rPr>
            </w:pPr>
            <w:r>
              <w:rPr>
                <w:rFonts w:hint="eastAsia"/>
                <w:color w:val="auto"/>
                <w:highlight w:val="none"/>
              </w:rPr>
              <w:t>1</w:t>
            </w:r>
          </w:p>
        </w:tc>
        <w:tc>
          <w:tcPr>
            <w:tcW w:w="1282" w:type="dxa"/>
            <w:tcBorders>
              <w:top w:val="single" w:color="auto" w:sz="4" w:space="0"/>
              <w:left w:val="single" w:color="auto" w:sz="4" w:space="0"/>
              <w:bottom w:val="single" w:color="auto" w:sz="4" w:space="0"/>
              <w:right w:val="single" w:color="auto" w:sz="4" w:space="0"/>
            </w:tcBorders>
            <w:vAlign w:val="center"/>
          </w:tcPr>
          <w:p w14:paraId="02B7E766">
            <w:pPr>
              <w:pStyle w:val="491"/>
              <w:rPr>
                <w:rFonts w:hint="eastAsia"/>
                <w:color w:val="auto"/>
                <w:highlight w:val="none"/>
              </w:rPr>
            </w:pPr>
            <w:r>
              <w:rPr>
                <w:rFonts w:hint="eastAsia"/>
                <w:color w:val="auto"/>
                <w:highlight w:val="none"/>
              </w:rPr>
              <w:t>头颈CTA</w:t>
            </w:r>
          </w:p>
        </w:tc>
        <w:tc>
          <w:tcPr>
            <w:tcW w:w="1488" w:type="dxa"/>
            <w:tcBorders>
              <w:top w:val="single" w:color="auto" w:sz="4" w:space="0"/>
              <w:left w:val="single" w:color="auto" w:sz="4" w:space="0"/>
              <w:bottom w:val="single" w:color="auto" w:sz="4" w:space="0"/>
              <w:right w:val="single" w:color="auto" w:sz="4" w:space="0"/>
            </w:tcBorders>
            <w:vAlign w:val="center"/>
          </w:tcPr>
          <w:p w14:paraId="6434E0A3">
            <w:pPr>
              <w:pStyle w:val="491"/>
              <w:rPr>
                <w:rFonts w:hint="eastAsia"/>
                <w:color w:val="auto"/>
                <w:highlight w:val="none"/>
              </w:rPr>
            </w:pPr>
            <w:r>
              <w:rPr>
                <w:rFonts w:hint="eastAsia"/>
                <w:color w:val="auto"/>
                <w:highlight w:val="none"/>
              </w:rPr>
              <w:t>头颈部血管病变诊疗</w:t>
            </w:r>
          </w:p>
        </w:tc>
        <w:tc>
          <w:tcPr>
            <w:tcW w:w="2085" w:type="dxa"/>
            <w:tcBorders>
              <w:top w:val="single" w:color="auto" w:sz="4" w:space="0"/>
              <w:left w:val="single" w:color="auto" w:sz="4" w:space="0"/>
              <w:bottom w:val="single" w:color="auto" w:sz="4" w:space="0"/>
              <w:right w:val="single" w:color="auto" w:sz="4" w:space="0"/>
            </w:tcBorders>
            <w:vAlign w:val="center"/>
          </w:tcPr>
          <w:p w14:paraId="5B9AA9FA">
            <w:pPr>
              <w:pStyle w:val="491"/>
              <w:rPr>
                <w:rFonts w:hint="eastAsia"/>
                <w:color w:val="auto"/>
                <w:highlight w:val="none"/>
              </w:rPr>
            </w:pPr>
            <w:r>
              <w:rPr>
                <w:rFonts w:hint="eastAsia"/>
                <w:color w:val="auto"/>
                <w:highlight w:val="none"/>
              </w:rPr>
              <w:t>颅内动脉、颈动脉，CT增强扫描、CT单层脏器扫描、CTA；后处理方案：血管CT三维成像</w:t>
            </w:r>
          </w:p>
        </w:tc>
        <w:tc>
          <w:tcPr>
            <w:tcW w:w="3029" w:type="dxa"/>
            <w:tcBorders>
              <w:top w:val="single" w:color="auto" w:sz="4" w:space="0"/>
              <w:left w:val="single" w:color="auto" w:sz="4" w:space="0"/>
              <w:bottom w:val="single" w:color="auto" w:sz="4" w:space="0"/>
              <w:right w:val="single" w:color="auto" w:sz="4" w:space="0"/>
            </w:tcBorders>
            <w:vAlign w:val="center"/>
          </w:tcPr>
          <w:p w14:paraId="5777C7B7">
            <w:pPr>
              <w:pStyle w:val="491"/>
              <w:rPr>
                <w:rFonts w:hint="eastAsia"/>
                <w:color w:val="auto"/>
                <w:highlight w:val="none"/>
              </w:rPr>
            </w:pPr>
            <w:r>
              <w:rPr>
                <w:rFonts w:hint="eastAsia"/>
                <w:color w:val="auto"/>
                <w:highlight w:val="none"/>
              </w:rPr>
              <w:t>动脉瘤等血管病变的定位，脑卒中责任血管判断，以及随访</w:t>
            </w:r>
          </w:p>
        </w:tc>
      </w:tr>
      <w:tr w14:paraId="7FCF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0A50A338">
            <w:pPr>
              <w:pStyle w:val="491"/>
              <w:rPr>
                <w:rFonts w:hint="eastAsia"/>
                <w:color w:val="auto"/>
                <w:highlight w:val="none"/>
              </w:rPr>
            </w:pPr>
            <w:r>
              <w:rPr>
                <w:rFonts w:hint="eastAsia"/>
                <w:color w:val="auto"/>
                <w:highlight w:val="none"/>
              </w:rPr>
              <w:t>2</w:t>
            </w:r>
          </w:p>
        </w:tc>
        <w:tc>
          <w:tcPr>
            <w:tcW w:w="1282" w:type="dxa"/>
            <w:tcBorders>
              <w:top w:val="single" w:color="auto" w:sz="4" w:space="0"/>
              <w:left w:val="single" w:color="auto" w:sz="4" w:space="0"/>
              <w:bottom w:val="single" w:color="auto" w:sz="4" w:space="0"/>
              <w:right w:val="single" w:color="auto" w:sz="4" w:space="0"/>
            </w:tcBorders>
            <w:vAlign w:val="center"/>
          </w:tcPr>
          <w:p w14:paraId="529250C4">
            <w:pPr>
              <w:pStyle w:val="491"/>
              <w:rPr>
                <w:rFonts w:hint="eastAsia"/>
                <w:color w:val="auto"/>
                <w:highlight w:val="none"/>
              </w:rPr>
            </w:pPr>
            <w:r>
              <w:rPr>
                <w:rFonts w:hint="eastAsia"/>
                <w:color w:val="auto"/>
                <w:highlight w:val="none"/>
              </w:rPr>
              <w:t>冠脉CTA</w:t>
            </w:r>
          </w:p>
        </w:tc>
        <w:tc>
          <w:tcPr>
            <w:tcW w:w="1488" w:type="dxa"/>
            <w:tcBorders>
              <w:top w:val="single" w:color="auto" w:sz="4" w:space="0"/>
              <w:left w:val="single" w:color="auto" w:sz="4" w:space="0"/>
              <w:bottom w:val="single" w:color="auto" w:sz="4" w:space="0"/>
              <w:right w:val="single" w:color="auto" w:sz="4" w:space="0"/>
            </w:tcBorders>
            <w:vAlign w:val="center"/>
          </w:tcPr>
          <w:p w14:paraId="52315C99">
            <w:pPr>
              <w:pStyle w:val="491"/>
              <w:rPr>
                <w:rFonts w:hint="eastAsia"/>
                <w:color w:val="auto"/>
                <w:highlight w:val="none"/>
              </w:rPr>
            </w:pPr>
            <w:r>
              <w:rPr>
                <w:rFonts w:hint="eastAsia"/>
                <w:color w:val="auto"/>
                <w:highlight w:val="none"/>
              </w:rPr>
              <w:t>冠脉狭窄的诊断</w:t>
            </w:r>
          </w:p>
        </w:tc>
        <w:tc>
          <w:tcPr>
            <w:tcW w:w="2085" w:type="dxa"/>
            <w:tcBorders>
              <w:top w:val="single" w:color="auto" w:sz="4" w:space="0"/>
              <w:left w:val="single" w:color="auto" w:sz="4" w:space="0"/>
              <w:bottom w:val="single" w:color="auto" w:sz="4" w:space="0"/>
              <w:right w:val="single" w:color="auto" w:sz="4" w:space="0"/>
            </w:tcBorders>
            <w:vAlign w:val="center"/>
          </w:tcPr>
          <w:p w14:paraId="4ABA3AEA">
            <w:pPr>
              <w:pStyle w:val="491"/>
              <w:rPr>
                <w:rFonts w:hint="eastAsia"/>
                <w:color w:val="auto"/>
                <w:highlight w:val="none"/>
              </w:rPr>
            </w:pPr>
            <w:r>
              <w:rPr>
                <w:rFonts w:hint="eastAsia"/>
                <w:color w:val="auto"/>
                <w:highlight w:val="none"/>
              </w:rPr>
              <w:t>冠状动脉，CT增强扫描、钙化积分、CT单脏器薄层扫描</w:t>
            </w:r>
          </w:p>
          <w:p w14:paraId="6572FAF9">
            <w:pPr>
              <w:pStyle w:val="491"/>
              <w:rPr>
                <w:rFonts w:hint="eastAsia"/>
                <w:color w:val="auto"/>
                <w:highlight w:val="none"/>
              </w:rPr>
            </w:pPr>
            <w:r>
              <w:rPr>
                <w:rFonts w:hint="eastAsia"/>
                <w:color w:val="auto"/>
                <w:highlight w:val="none"/>
              </w:rPr>
              <w:t>后处理方案：血管CT三维成像</w:t>
            </w:r>
          </w:p>
        </w:tc>
        <w:tc>
          <w:tcPr>
            <w:tcW w:w="3029" w:type="dxa"/>
            <w:tcBorders>
              <w:top w:val="single" w:color="auto" w:sz="4" w:space="0"/>
              <w:left w:val="single" w:color="auto" w:sz="4" w:space="0"/>
              <w:bottom w:val="single" w:color="auto" w:sz="4" w:space="0"/>
              <w:right w:val="single" w:color="auto" w:sz="4" w:space="0"/>
            </w:tcBorders>
            <w:vAlign w:val="center"/>
          </w:tcPr>
          <w:p w14:paraId="071305BE">
            <w:pPr>
              <w:pStyle w:val="491"/>
              <w:rPr>
                <w:rFonts w:hint="eastAsia"/>
                <w:color w:val="auto"/>
                <w:highlight w:val="none"/>
              </w:rPr>
            </w:pPr>
            <w:r>
              <w:rPr>
                <w:rFonts w:hint="eastAsia"/>
                <w:color w:val="auto"/>
                <w:highlight w:val="none"/>
              </w:rPr>
              <w:t>胸痛三联征治疗方案指导（支架、搭桥、抗凝等）</w:t>
            </w:r>
          </w:p>
        </w:tc>
      </w:tr>
      <w:tr w14:paraId="70DB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0" w:type="dxa"/>
            <w:gridSpan w:val="5"/>
            <w:tcBorders>
              <w:top w:val="single" w:color="auto" w:sz="4" w:space="0"/>
              <w:left w:val="single" w:color="auto" w:sz="4" w:space="0"/>
              <w:bottom w:val="single" w:color="auto" w:sz="4" w:space="0"/>
              <w:right w:val="single" w:color="auto" w:sz="4" w:space="0"/>
            </w:tcBorders>
            <w:vAlign w:val="center"/>
          </w:tcPr>
          <w:p w14:paraId="675CDEC4">
            <w:pPr>
              <w:pStyle w:val="491"/>
              <w:rPr>
                <w:rFonts w:hint="eastAsia"/>
                <w:color w:val="auto"/>
                <w:highlight w:val="none"/>
              </w:rPr>
            </w:pPr>
            <w:r>
              <w:rPr>
                <w:rFonts w:hint="eastAsia"/>
                <w:color w:val="auto"/>
                <w:highlight w:val="none"/>
              </w:rPr>
              <w:t>MR部分（6个模块）</w:t>
            </w:r>
          </w:p>
        </w:tc>
      </w:tr>
      <w:tr w14:paraId="12F9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1D03BD1C">
            <w:pPr>
              <w:pStyle w:val="491"/>
              <w:rPr>
                <w:rFonts w:hint="eastAsia"/>
                <w:color w:val="auto"/>
                <w:highlight w:val="none"/>
              </w:rPr>
            </w:pPr>
            <w:r>
              <w:rPr>
                <w:rFonts w:hint="eastAsia"/>
                <w:color w:val="auto"/>
                <w:highlight w:val="none"/>
              </w:rPr>
              <w:t>1</w:t>
            </w:r>
          </w:p>
        </w:tc>
        <w:tc>
          <w:tcPr>
            <w:tcW w:w="1282" w:type="dxa"/>
            <w:tcBorders>
              <w:top w:val="single" w:color="auto" w:sz="4" w:space="0"/>
              <w:left w:val="single" w:color="auto" w:sz="4" w:space="0"/>
              <w:bottom w:val="single" w:color="auto" w:sz="4" w:space="0"/>
              <w:right w:val="single" w:color="auto" w:sz="4" w:space="0"/>
            </w:tcBorders>
            <w:vAlign w:val="center"/>
          </w:tcPr>
          <w:p w14:paraId="337AAF9E">
            <w:pPr>
              <w:pStyle w:val="491"/>
              <w:rPr>
                <w:rFonts w:hint="eastAsia"/>
                <w:color w:val="auto"/>
                <w:highlight w:val="none"/>
              </w:rPr>
            </w:pPr>
            <w:r>
              <w:rPr>
                <w:rFonts w:hint="eastAsia"/>
                <w:color w:val="auto"/>
                <w:highlight w:val="none"/>
              </w:rPr>
              <w:t>脑肿瘤多模态MR</w:t>
            </w:r>
          </w:p>
        </w:tc>
        <w:tc>
          <w:tcPr>
            <w:tcW w:w="1488" w:type="dxa"/>
            <w:tcBorders>
              <w:top w:val="single" w:color="auto" w:sz="4" w:space="0"/>
              <w:left w:val="single" w:color="auto" w:sz="4" w:space="0"/>
              <w:bottom w:val="single" w:color="auto" w:sz="4" w:space="0"/>
              <w:right w:val="single" w:color="auto" w:sz="4" w:space="0"/>
            </w:tcBorders>
            <w:vAlign w:val="center"/>
          </w:tcPr>
          <w:p w14:paraId="04B00F14">
            <w:pPr>
              <w:pStyle w:val="491"/>
              <w:rPr>
                <w:rFonts w:hint="eastAsia"/>
                <w:color w:val="auto"/>
                <w:highlight w:val="none"/>
              </w:rPr>
            </w:pPr>
            <w:r>
              <w:rPr>
                <w:rFonts w:hint="eastAsia"/>
                <w:color w:val="auto"/>
                <w:highlight w:val="none"/>
              </w:rPr>
              <w:t>对颅内肿瘤、肿瘤样病变提供诊断支持</w:t>
            </w:r>
          </w:p>
        </w:tc>
        <w:tc>
          <w:tcPr>
            <w:tcW w:w="2085" w:type="dxa"/>
            <w:tcBorders>
              <w:top w:val="single" w:color="auto" w:sz="4" w:space="0"/>
              <w:left w:val="single" w:color="auto" w:sz="4" w:space="0"/>
              <w:bottom w:val="single" w:color="auto" w:sz="4" w:space="0"/>
              <w:right w:val="single" w:color="auto" w:sz="4" w:space="0"/>
            </w:tcBorders>
            <w:vAlign w:val="center"/>
          </w:tcPr>
          <w:p w14:paraId="713F1B19">
            <w:pPr>
              <w:pStyle w:val="491"/>
              <w:rPr>
                <w:rFonts w:hint="eastAsia"/>
                <w:color w:val="auto"/>
                <w:highlight w:val="none"/>
              </w:rPr>
            </w:pPr>
            <w:r>
              <w:rPr>
                <w:rFonts w:hint="eastAsia"/>
                <w:color w:val="auto"/>
                <w:highlight w:val="none"/>
              </w:rPr>
              <w:t>头部，MR平扫（多方向）：SWI、MRS、PWI等</w:t>
            </w:r>
          </w:p>
        </w:tc>
        <w:tc>
          <w:tcPr>
            <w:tcW w:w="3029" w:type="dxa"/>
            <w:tcBorders>
              <w:top w:val="single" w:color="auto" w:sz="4" w:space="0"/>
              <w:left w:val="single" w:color="auto" w:sz="4" w:space="0"/>
              <w:bottom w:val="single" w:color="auto" w:sz="4" w:space="0"/>
              <w:right w:val="single" w:color="auto" w:sz="4" w:space="0"/>
            </w:tcBorders>
            <w:vAlign w:val="center"/>
          </w:tcPr>
          <w:p w14:paraId="1CFF8E10">
            <w:pPr>
              <w:pStyle w:val="491"/>
              <w:rPr>
                <w:rFonts w:hint="eastAsia"/>
                <w:color w:val="auto"/>
                <w:highlight w:val="none"/>
              </w:rPr>
            </w:pPr>
            <w:r>
              <w:rPr>
                <w:rFonts w:hint="eastAsia"/>
                <w:color w:val="auto"/>
                <w:highlight w:val="none"/>
              </w:rPr>
              <w:t xml:space="preserve">对颅脑肿瘤、肿瘤样病变提供包含功能影像在内的系统影像学诊断 </w:t>
            </w:r>
          </w:p>
        </w:tc>
      </w:tr>
      <w:tr w14:paraId="0C20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112AEB85">
            <w:pPr>
              <w:pStyle w:val="491"/>
              <w:rPr>
                <w:rFonts w:hint="eastAsia"/>
                <w:color w:val="auto"/>
                <w:highlight w:val="none"/>
              </w:rPr>
            </w:pPr>
            <w:r>
              <w:rPr>
                <w:rFonts w:hint="eastAsia"/>
                <w:color w:val="auto"/>
                <w:highlight w:val="none"/>
              </w:rPr>
              <w:t>2</w:t>
            </w:r>
          </w:p>
        </w:tc>
        <w:tc>
          <w:tcPr>
            <w:tcW w:w="1282" w:type="dxa"/>
            <w:tcBorders>
              <w:top w:val="single" w:color="auto" w:sz="4" w:space="0"/>
              <w:left w:val="single" w:color="auto" w:sz="4" w:space="0"/>
              <w:bottom w:val="single" w:color="auto" w:sz="4" w:space="0"/>
              <w:right w:val="single" w:color="auto" w:sz="4" w:space="0"/>
            </w:tcBorders>
            <w:vAlign w:val="center"/>
          </w:tcPr>
          <w:p w14:paraId="369A1A6B">
            <w:pPr>
              <w:pStyle w:val="491"/>
              <w:rPr>
                <w:rFonts w:hint="eastAsia"/>
                <w:color w:val="auto"/>
                <w:highlight w:val="none"/>
              </w:rPr>
            </w:pPr>
            <w:r>
              <w:rPr>
                <w:rFonts w:hint="eastAsia"/>
                <w:color w:val="auto"/>
                <w:highlight w:val="none"/>
              </w:rPr>
              <w:t>心肌病MR</w:t>
            </w:r>
          </w:p>
        </w:tc>
        <w:tc>
          <w:tcPr>
            <w:tcW w:w="1488" w:type="dxa"/>
            <w:tcBorders>
              <w:top w:val="single" w:color="auto" w:sz="4" w:space="0"/>
              <w:left w:val="single" w:color="auto" w:sz="4" w:space="0"/>
              <w:bottom w:val="single" w:color="auto" w:sz="4" w:space="0"/>
              <w:right w:val="single" w:color="auto" w:sz="4" w:space="0"/>
            </w:tcBorders>
            <w:vAlign w:val="center"/>
          </w:tcPr>
          <w:p w14:paraId="50F45130">
            <w:pPr>
              <w:pStyle w:val="491"/>
              <w:rPr>
                <w:rFonts w:hint="eastAsia"/>
                <w:color w:val="auto"/>
                <w:highlight w:val="none"/>
              </w:rPr>
            </w:pPr>
            <w:r>
              <w:rPr>
                <w:rFonts w:hint="eastAsia"/>
                <w:color w:val="auto"/>
                <w:highlight w:val="none"/>
              </w:rPr>
              <w:t>心脏结构评估，心脏功能评估，缺血性心肌病的诊断及复查等</w:t>
            </w:r>
          </w:p>
        </w:tc>
        <w:tc>
          <w:tcPr>
            <w:tcW w:w="2085" w:type="dxa"/>
            <w:tcBorders>
              <w:top w:val="single" w:color="auto" w:sz="4" w:space="0"/>
              <w:left w:val="single" w:color="auto" w:sz="4" w:space="0"/>
              <w:bottom w:val="single" w:color="auto" w:sz="4" w:space="0"/>
              <w:right w:val="single" w:color="auto" w:sz="4" w:space="0"/>
            </w:tcBorders>
            <w:vAlign w:val="center"/>
          </w:tcPr>
          <w:p w14:paraId="47DB81DE">
            <w:pPr>
              <w:pStyle w:val="491"/>
              <w:rPr>
                <w:rFonts w:hint="eastAsia"/>
                <w:color w:val="auto"/>
                <w:highlight w:val="none"/>
              </w:rPr>
            </w:pPr>
            <w:r>
              <w:rPr>
                <w:rFonts w:hint="eastAsia"/>
                <w:color w:val="auto"/>
                <w:highlight w:val="none"/>
              </w:rPr>
              <w:t>心脏MR平扫（T1WI、T2WI、MIP等），心脏MR增强（首过灌注成像、延迟强化、PC-Cine等）</w:t>
            </w:r>
          </w:p>
        </w:tc>
        <w:tc>
          <w:tcPr>
            <w:tcW w:w="3029" w:type="dxa"/>
            <w:tcBorders>
              <w:top w:val="single" w:color="auto" w:sz="4" w:space="0"/>
              <w:left w:val="single" w:color="auto" w:sz="4" w:space="0"/>
              <w:bottom w:val="single" w:color="auto" w:sz="4" w:space="0"/>
              <w:right w:val="single" w:color="auto" w:sz="4" w:space="0"/>
            </w:tcBorders>
            <w:vAlign w:val="center"/>
          </w:tcPr>
          <w:p w14:paraId="4B11FCE9">
            <w:pPr>
              <w:pStyle w:val="491"/>
              <w:rPr>
                <w:rFonts w:hint="eastAsia"/>
                <w:color w:val="auto"/>
                <w:highlight w:val="none"/>
              </w:rPr>
            </w:pPr>
            <w:r>
              <w:rPr>
                <w:rFonts w:hint="eastAsia"/>
                <w:color w:val="auto"/>
                <w:highlight w:val="none"/>
              </w:rPr>
              <w:t>为诊断缺血性心肌病做指导及随访，评估心脏结构、功能及心脏瓣膜情况等</w:t>
            </w:r>
          </w:p>
        </w:tc>
      </w:tr>
      <w:tr w14:paraId="30E5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501B26F1">
            <w:pPr>
              <w:pStyle w:val="491"/>
              <w:rPr>
                <w:rFonts w:hint="eastAsia"/>
                <w:color w:val="auto"/>
                <w:highlight w:val="none"/>
              </w:rPr>
            </w:pPr>
            <w:r>
              <w:rPr>
                <w:rFonts w:hint="eastAsia"/>
                <w:color w:val="auto"/>
                <w:highlight w:val="none"/>
              </w:rPr>
              <w:t>3</w:t>
            </w:r>
          </w:p>
        </w:tc>
        <w:tc>
          <w:tcPr>
            <w:tcW w:w="1282" w:type="dxa"/>
            <w:tcBorders>
              <w:top w:val="single" w:color="auto" w:sz="4" w:space="0"/>
              <w:left w:val="single" w:color="auto" w:sz="4" w:space="0"/>
              <w:bottom w:val="single" w:color="auto" w:sz="4" w:space="0"/>
              <w:right w:val="single" w:color="auto" w:sz="4" w:space="0"/>
            </w:tcBorders>
            <w:vAlign w:val="center"/>
          </w:tcPr>
          <w:p w14:paraId="3CB1C0E5">
            <w:pPr>
              <w:pStyle w:val="491"/>
              <w:rPr>
                <w:rFonts w:hint="eastAsia"/>
                <w:color w:val="auto"/>
                <w:highlight w:val="none"/>
              </w:rPr>
            </w:pPr>
            <w:r>
              <w:rPr>
                <w:rFonts w:hint="eastAsia"/>
                <w:color w:val="auto"/>
                <w:highlight w:val="none"/>
              </w:rPr>
              <w:t>乳腺MR</w:t>
            </w:r>
          </w:p>
        </w:tc>
        <w:tc>
          <w:tcPr>
            <w:tcW w:w="1488" w:type="dxa"/>
            <w:tcBorders>
              <w:top w:val="single" w:color="auto" w:sz="4" w:space="0"/>
              <w:left w:val="single" w:color="auto" w:sz="4" w:space="0"/>
              <w:bottom w:val="single" w:color="auto" w:sz="4" w:space="0"/>
              <w:right w:val="single" w:color="auto" w:sz="4" w:space="0"/>
            </w:tcBorders>
            <w:vAlign w:val="center"/>
          </w:tcPr>
          <w:p w14:paraId="0A41E6C3">
            <w:pPr>
              <w:pStyle w:val="491"/>
              <w:rPr>
                <w:rFonts w:hint="eastAsia"/>
                <w:color w:val="auto"/>
                <w:highlight w:val="none"/>
              </w:rPr>
            </w:pPr>
            <w:r>
              <w:rPr>
                <w:rFonts w:hint="eastAsia"/>
                <w:color w:val="auto"/>
                <w:highlight w:val="none"/>
              </w:rPr>
              <w:t>乳腺病变的检出和分类</w:t>
            </w:r>
          </w:p>
        </w:tc>
        <w:tc>
          <w:tcPr>
            <w:tcW w:w="2085" w:type="dxa"/>
            <w:tcBorders>
              <w:top w:val="single" w:color="auto" w:sz="4" w:space="0"/>
              <w:left w:val="single" w:color="auto" w:sz="4" w:space="0"/>
              <w:bottom w:val="single" w:color="auto" w:sz="4" w:space="0"/>
              <w:right w:val="single" w:color="auto" w:sz="4" w:space="0"/>
            </w:tcBorders>
            <w:vAlign w:val="center"/>
          </w:tcPr>
          <w:p w14:paraId="1D3E8AF4">
            <w:pPr>
              <w:pStyle w:val="491"/>
              <w:rPr>
                <w:rFonts w:hint="eastAsia"/>
                <w:color w:val="auto"/>
                <w:highlight w:val="none"/>
              </w:rPr>
            </w:pPr>
            <w:r>
              <w:rPr>
                <w:rFonts w:hint="eastAsia"/>
                <w:color w:val="auto"/>
                <w:highlight w:val="none"/>
              </w:rPr>
              <w:t>乳腺，MR平扫（多方向）：DWI /T1WI /T2WI等；MR增强（多方向）：动态增强；MR单脏器薄层扫描</w:t>
            </w:r>
          </w:p>
        </w:tc>
        <w:tc>
          <w:tcPr>
            <w:tcW w:w="3029" w:type="dxa"/>
            <w:tcBorders>
              <w:top w:val="single" w:color="auto" w:sz="4" w:space="0"/>
              <w:left w:val="single" w:color="auto" w:sz="4" w:space="0"/>
              <w:bottom w:val="single" w:color="auto" w:sz="4" w:space="0"/>
              <w:right w:val="single" w:color="auto" w:sz="4" w:space="0"/>
            </w:tcBorders>
            <w:vAlign w:val="center"/>
          </w:tcPr>
          <w:p w14:paraId="03656A64">
            <w:pPr>
              <w:pStyle w:val="491"/>
              <w:rPr>
                <w:rFonts w:hint="eastAsia"/>
                <w:color w:val="auto"/>
                <w:highlight w:val="none"/>
              </w:rPr>
            </w:pPr>
            <w:r>
              <w:rPr>
                <w:rFonts w:hint="eastAsia"/>
                <w:color w:val="auto"/>
                <w:highlight w:val="none"/>
              </w:rPr>
              <w:t>根据BI-RADS指南进行诊断</w:t>
            </w:r>
          </w:p>
          <w:p w14:paraId="64AF3732">
            <w:pPr>
              <w:pStyle w:val="491"/>
              <w:rPr>
                <w:rFonts w:hint="eastAsia"/>
                <w:color w:val="auto"/>
                <w:highlight w:val="none"/>
              </w:rPr>
            </w:pPr>
            <w:r>
              <w:rPr>
                <w:rFonts w:hint="eastAsia"/>
                <w:color w:val="auto"/>
                <w:highlight w:val="none"/>
              </w:rPr>
              <w:t>指导治疗（手术、放化疗）方案的选择及随访</w:t>
            </w:r>
          </w:p>
        </w:tc>
      </w:tr>
      <w:tr w14:paraId="2EFD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6DA785BE">
            <w:pPr>
              <w:pStyle w:val="491"/>
              <w:rPr>
                <w:rFonts w:hint="eastAsia"/>
                <w:color w:val="auto"/>
                <w:highlight w:val="none"/>
              </w:rPr>
            </w:pPr>
            <w:r>
              <w:rPr>
                <w:rFonts w:hint="eastAsia"/>
                <w:color w:val="auto"/>
                <w:highlight w:val="none"/>
              </w:rPr>
              <w:t>4</w:t>
            </w:r>
          </w:p>
        </w:tc>
        <w:tc>
          <w:tcPr>
            <w:tcW w:w="1282" w:type="dxa"/>
            <w:tcBorders>
              <w:top w:val="single" w:color="auto" w:sz="4" w:space="0"/>
              <w:left w:val="single" w:color="auto" w:sz="4" w:space="0"/>
              <w:bottom w:val="single" w:color="auto" w:sz="4" w:space="0"/>
              <w:right w:val="single" w:color="auto" w:sz="4" w:space="0"/>
            </w:tcBorders>
            <w:vAlign w:val="center"/>
          </w:tcPr>
          <w:p w14:paraId="4EC2B339">
            <w:pPr>
              <w:pStyle w:val="491"/>
              <w:rPr>
                <w:rFonts w:hint="eastAsia"/>
                <w:color w:val="auto"/>
                <w:highlight w:val="none"/>
              </w:rPr>
            </w:pPr>
            <w:r>
              <w:rPr>
                <w:rFonts w:hint="eastAsia"/>
                <w:color w:val="auto"/>
                <w:highlight w:val="none"/>
              </w:rPr>
              <w:t>直肠癌MR</w:t>
            </w:r>
          </w:p>
        </w:tc>
        <w:tc>
          <w:tcPr>
            <w:tcW w:w="1488" w:type="dxa"/>
            <w:tcBorders>
              <w:top w:val="single" w:color="auto" w:sz="4" w:space="0"/>
              <w:left w:val="single" w:color="auto" w:sz="4" w:space="0"/>
              <w:bottom w:val="single" w:color="auto" w:sz="4" w:space="0"/>
              <w:right w:val="single" w:color="auto" w:sz="4" w:space="0"/>
            </w:tcBorders>
            <w:vAlign w:val="center"/>
          </w:tcPr>
          <w:p w14:paraId="1E626C73">
            <w:pPr>
              <w:pStyle w:val="491"/>
              <w:rPr>
                <w:rFonts w:hint="eastAsia"/>
                <w:color w:val="auto"/>
                <w:highlight w:val="none"/>
              </w:rPr>
            </w:pPr>
            <w:r>
              <w:rPr>
                <w:rFonts w:hint="eastAsia"/>
                <w:color w:val="auto"/>
                <w:highlight w:val="none"/>
              </w:rPr>
              <w:t>已确诊直肠癌的诊断，治疗前分期</w:t>
            </w:r>
          </w:p>
        </w:tc>
        <w:tc>
          <w:tcPr>
            <w:tcW w:w="2085" w:type="dxa"/>
            <w:tcBorders>
              <w:top w:val="single" w:color="auto" w:sz="4" w:space="0"/>
              <w:left w:val="single" w:color="auto" w:sz="4" w:space="0"/>
              <w:bottom w:val="single" w:color="auto" w:sz="4" w:space="0"/>
              <w:right w:val="single" w:color="auto" w:sz="4" w:space="0"/>
            </w:tcBorders>
            <w:vAlign w:val="center"/>
          </w:tcPr>
          <w:p w14:paraId="40E729FB">
            <w:pPr>
              <w:pStyle w:val="491"/>
              <w:rPr>
                <w:rFonts w:hint="eastAsia"/>
                <w:color w:val="auto"/>
                <w:highlight w:val="none"/>
              </w:rPr>
            </w:pPr>
            <w:r>
              <w:rPr>
                <w:rFonts w:hint="eastAsia"/>
                <w:color w:val="auto"/>
                <w:highlight w:val="none"/>
              </w:rPr>
              <w:t>盆腔，MR平扫（多方向）：DWI /T1WI /T2WI等；MR增强（多方向）：动态增强；MR单脏器薄层扫描</w:t>
            </w:r>
          </w:p>
        </w:tc>
        <w:tc>
          <w:tcPr>
            <w:tcW w:w="3029" w:type="dxa"/>
            <w:tcBorders>
              <w:top w:val="single" w:color="auto" w:sz="4" w:space="0"/>
              <w:left w:val="single" w:color="auto" w:sz="4" w:space="0"/>
              <w:bottom w:val="single" w:color="auto" w:sz="4" w:space="0"/>
              <w:right w:val="single" w:color="auto" w:sz="4" w:space="0"/>
            </w:tcBorders>
            <w:vAlign w:val="center"/>
          </w:tcPr>
          <w:p w14:paraId="7F42507B">
            <w:pPr>
              <w:pStyle w:val="491"/>
              <w:rPr>
                <w:rFonts w:hint="eastAsia"/>
                <w:color w:val="auto"/>
                <w:highlight w:val="none"/>
              </w:rPr>
            </w:pPr>
            <w:r>
              <w:rPr>
                <w:rFonts w:hint="eastAsia"/>
                <w:color w:val="auto"/>
                <w:highlight w:val="none"/>
              </w:rPr>
              <w:t>根据AJCC第8版指南进行分期</w:t>
            </w:r>
          </w:p>
          <w:p w14:paraId="2E1677C5">
            <w:pPr>
              <w:pStyle w:val="491"/>
              <w:rPr>
                <w:rFonts w:hint="eastAsia"/>
                <w:color w:val="auto"/>
                <w:highlight w:val="none"/>
              </w:rPr>
            </w:pPr>
            <w:r>
              <w:rPr>
                <w:rFonts w:hint="eastAsia"/>
                <w:color w:val="auto"/>
                <w:highlight w:val="none"/>
              </w:rPr>
              <w:t>评估肿瘤特征指导手术方案；预后评估</w:t>
            </w:r>
          </w:p>
        </w:tc>
      </w:tr>
      <w:tr w14:paraId="34A9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4F67787E">
            <w:pPr>
              <w:pStyle w:val="491"/>
              <w:rPr>
                <w:rFonts w:hint="eastAsia"/>
                <w:color w:val="auto"/>
                <w:highlight w:val="none"/>
              </w:rPr>
            </w:pPr>
            <w:r>
              <w:rPr>
                <w:rFonts w:hint="eastAsia"/>
                <w:color w:val="auto"/>
                <w:highlight w:val="none"/>
              </w:rPr>
              <w:t>5</w:t>
            </w:r>
          </w:p>
        </w:tc>
        <w:tc>
          <w:tcPr>
            <w:tcW w:w="1282" w:type="dxa"/>
            <w:tcBorders>
              <w:top w:val="single" w:color="auto" w:sz="4" w:space="0"/>
              <w:left w:val="single" w:color="auto" w:sz="4" w:space="0"/>
              <w:bottom w:val="single" w:color="auto" w:sz="4" w:space="0"/>
              <w:right w:val="single" w:color="auto" w:sz="4" w:space="0"/>
            </w:tcBorders>
            <w:vAlign w:val="center"/>
          </w:tcPr>
          <w:p w14:paraId="4F864AC5">
            <w:pPr>
              <w:pStyle w:val="491"/>
              <w:rPr>
                <w:rFonts w:hint="eastAsia"/>
                <w:color w:val="auto"/>
                <w:highlight w:val="none"/>
              </w:rPr>
            </w:pPr>
            <w:r>
              <w:rPr>
                <w:rFonts w:hint="eastAsia"/>
                <w:color w:val="auto"/>
                <w:highlight w:val="none"/>
              </w:rPr>
              <w:t>前列腺癌MR</w:t>
            </w:r>
          </w:p>
        </w:tc>
        <w:tc>
          <w:tcPr>
            <w:tcW w:w="1488" w:type="dxa"/>
            <w:tcBorders>
              <w:top w:val="single" w:color="auto" w:sz="4" w:space="0"/>
              <w:left w:val="single" w:color="auto" w:sz="4" w:space="0"/>
              <w:bottom w:val="single" w:color="auto" w:sz="4" w:space="0"/>
              <w:right w:val="single" w:color="auto" w:sz="4" w:space="0"/>
            </w:tcBorders>
            <w:vAlign w:val="center"/>
          </w:tcPr>
          <w:p w14:paraId="6DEF4EF7">
            <w:pPr>
              <w:pStyle w:val="491"/>
              <w:rPr>
                <w:rFonts w:hint="eastAsia"/>
                <w:color w:val="auto"/>
                <w:highlight w:val="none"/>
              </w:rPr>
            </w:pPr>
            <w:r>
              <w:rPr>
                <w:rFonts w:hint="eastAsia"/>
                <w:color w:val="auto"/>
                <w:highlight w:val="none"/>
              </w:rPr>
              <w:t>前列腺癌的诊断</w:t>
            </w:r>
          </w:p>
        </w:tc>
        <w:tc>
          <w:tcPr>
            <w:tcW w:w="2085" w:type="dxa"/>
            <w:tcBorders>
              <w:top w:val="single" w:color="auto" w:sz="4" w:space="0"/>
              <w:left w:val="single" w:color="auto" w:sz="4" w:space="0"/>
              <w:bottom w:val="single" w:color="auto" w:sz="4" w:space="0"/>
              <w:right w:val="single" w:color="auto" w:sz="4" w:space="0"/>
            </w:tcBorders>
            <w:vAlign w:val="center"/>
          </w:tcPr>
          <w:p w14:paraId="10B54D0C">
            <w:pPr>
              <w:pStyle w:val="491"/>
              <w:rPr>
                <w:rFonts w:hint="eastAsia"/>
                <w:color w:val="auto"/>
                <w:highlight w:val="none"/>
              </w:rPr>
            </w:pPr>
            <w:r>
              <w:rPr>
                <w:rFonts w:hint="eastAsia"/>
                <w:color w:val="auto"/>
                <w:highlight w:val="none"/>
              </w:rPr>
              <w:t>盆腔，MR平扫（多方向）：DWI /T1WI/ T2WI等；MR增强（多方向）：动态增强；MR单脏器薄层扫描</w:t>
            </w:r>
          </w:p>
        </w:tc>
        <w:tc>
          <w:tcPr>
            <w:tcW w:w="3029" w:type="dxa"/>
            <w:tcBorders>
              <w:top w:val="single" w:color="auto" w:sz="4" w:space="0"/>
              <w:left w:val="single" w:color="auto" w:sz="4" w:space="0"/>
              <w:bottom w:val="single" w:color="auto" w:sz="4" w:space="0"/>
              <w:right w:val="single" w:color="auto" w:sz="4" w:space="0"/>
            </w:tcBorders>
            <w:vAlign w:val="center"/>
          </w:tcPr>
          <w:p w14:paraId="16598DD1">
            <w:pPr>
              <w:pStyle w:val="491"/>
              <w:rPr>
                <w:rFonts w:hint="eastAsia"/>
                <w:color w:val="auto"/>
                <w:highlight w:val="none"/>
              </w:rPr>
            </w:pPr>
            <w:r>
              <w:rPr>
                <w:rFonts w:hint="eastAsia"/>
                <w:color w:val="auto"/>
                <w:highlight w:val="none"/>
              </w:rPr>
              <w:t>根据PI-RADS指南进行诊断</w:t>
            </w:r>
          </w:p>
          <w:p w14:paraId="04A25735">
            <w:pPr>
              <w:pStyle w:val="491"/>
              <w:rPr>
                <w:rFonts w:hint="eastAsia"/>
                <w:color w:val="auto"/>
                <w:highlight w:val="none"/>
              </w:rPr>
            </w:pPr>
            <w:r>
              <w:rPr>
                <w:rFonts w:hint="eastAsia"/>
                <w:color w:val="auto"/>
                <w:highlight w:val="none"/>
              </w:rPr>
              <w:t>已知病理为癌时，判断包膜及包膜外侵犯；</w:t>
            </w:r>
          </w:p>
          <w:p w14:paraId="62F83C48">
            <w:pPr>
              <w:pStyle w:val="491"/>
              <w:rPr>
                <w:rFonts w:hint="eastAsia"/>
                <w:color w:val="auto"/>
                <w:highlight w:val="none"/>
              </w:rPr>
            </w:pPr>
            <w:r>
              <w:rPr>
                <w:rFonts w:hint="eastAsia"/>
                <w:color w:val="auto"/>
                <w:highlight w:val="none"/>
              </w:rPr>
              <w:t>未知病理时，判断腺体内可疑病灶的位置 ；</w:t>
            </w:r>
          </w:p>
          <w:p w14:paraId="682D808D">
            <w:pPr>
              <w:pStyle w:val="491"/>
              <w:rPr>
                <w:rFonts w:hint="eastAsia"/>
                <w:color w:val="auto"/>
                <w:highlight w:val="none"/>
              </w:rPr>
            </w:pPr>
            <w:r>
              <w:rPr>
                <w:rFonts w:hint="eastAsia"/>
                <w:color w:val="auto"/>
                <w:highlight w:val="none"/>
              </w:rPr>
              <w:t>指导治疗（手术、放化疗）方案的选择及随访；</w:t>
            </w:r>
          </w:p>
        </w:tc>
      </w:tr>
      <w:tr w14:paraId="0E42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6A3B28EC">
            <w:pPr>
              <w:pStyle w:val="491"/>
              <w:rPr>
                <w:rFonts w:hint="eastAsia"/>
                <w:color w:val="auto"/>
                <w:highlight w:val="none"/>
              </w:rPr>
            </w:pPr>
            <w:r>
              <w:rPr>
                <w:rFonts w:hint="eastAsia"/>
                <w:color w:val="auto"/>
                <w:highlight w:val="none"/>
              </w:rPr>
              <w:t>6</w:t>
            </w:r>
          </w:p>
        </w:tc>
        <w:tc>
          <w:tcPr>
            <w:tcW w:w="1282" w:type="dxa"/>
            <w:tcBorders>
              <w:top w:val="single" w:color="auto" w:sz="4" w:space="0"/>
              <w:left w:val="single" w:color="auto" w:sz="4" w:space="0"/>
              <w:bottom w:val="single" w:color="auto" w:sz="4" w:space="0"/>
              <w:right w:val="single" w:color="auto" w:sz="4" w:space="0"/>
            </w:tcBorders>
            <w:vAlign w:val="center"/>
          </w:tcPr>
          <w:p w14:paraId="7A9DE064">
            <w:pPr>
              <w:pStyle w:val="491"/>
              <w:rPr>
                <w:rFonts w:hint="eastAsia"/>
                <w:color w:val="auto"/>
                <w:highlight w:val="none"/>
              </w:rPr>
            </w:pPr>
            <w:r>
              <w:rPr>
                <w:rFonts w:hint="eastAsia"/>
                <w:color w:val="auto"/>
                <w:highlight w:val="none"/>
              </w:rPr>
              <w:t>膀胱癌MR</w:t>
            </w:r>
          </w:p>
        </w:tc>
        <w:tc>
          <w:tcPr>
            <w:tcW w:w="1488" w:type="dxa"/>
            <w:tcBorders>
              <w:top w:val="single" w:color="auto" w:sz="4" w:space="0"/>
              <w:left w:val="single" w:color="auto" w:sz="4" w:space="0"/>
              <w:bottom w:val="single" w:color="auto" w:sz="4" w:space="0"/>
              <w:right w:val="single" w:color="auto" w:sz="4" w:space="0"/>
            </w:tcBorders>
            <w:vAlign w:val="center"/>
          </w:tcPr>
          <w:p w14:paraId="15B6436F">
            <w:pPr>
              <w:pStyle w:val="491"/>
              <w:rPr>
                <w:rFonts w:hint="eastAsia"/>
                <w:color w:val="auto"/>
                <w:highlight w:val="none"/>
              </w:rPr>
            </w:pPr>
            <w:r>
              <w:rPr>
                <w:rFonts w:hint="eastAsia"/>
                <w:color w:val="auto"/>
                <w:highlight w:val="none"/>
              </w:rPr>
              <w:t>治疗前分期</w:t>
            </w:r>
          </w:p>
        </w:tc>
        <w:tc>
          <w:tcPr>
            <w:tcW w:w="2085" w:type="dxa"/>
            <w:tcBorders>
              <w:top w:val="single" w:color="auto" w:sz="4" w:space="0"/>
              <w:left w:val="single" w:color="auto" w:sz="4" w:space="0"/>
              <w:bottom w:val="single" w:color="auto" w:sz="4" w:space="0"/>
              <w:right w:val="single" w:color="auto" w:sz="4" w:space="0"/>
            </w:tcBorders>
            <w:vAlign w:val="center"/>
          </w:tcPr>
          <w:p w14:paraId="0C45AA68">
            <w:pPr>
              <w:pStyle w:val="491"/>
              <w:rPr>
                <w:rFonts w:hint="eastAsia"/>
                <w:color w:val="auto"/>
                <w:highlight w:val="none"/>
              </w:rPr>
            </w:pPr>
            <w:r>
              <w:rPr>
                <w:rFonts w:hint="eastAsia"/>
                <w:color w:val="auto"/>
                <w:highlight w:val="none"/>
              </w:rPr>
              <w:t>盆腔，MR平扫（多方向）：DWI /T1WI /T2WI等；MR增强（多方向）：动态增强；MR单脏器薄层扫描</w:t>
            </w:r>
          </w:p>
        </w:tc>
        <w:tc>
          <w:tcPr>
            <w:tcW w:w="3029" w:type="dxa"/>
            <w:tcBorders>
              <w:top w:val="single" w:color="auto" w:sz="4" w:space="0"/>
              <w:left w:val="single" w:color="auto" w:sz="4" w:space="0"/>
              <w:bottom w:val="single" w:color="auto" w:sz="4" w:space="0"/>
              <w:right w:val="single" w:color="auto" w:sz="4" w:space="0"/>
            </w:tcBorders>
            <w:vAlign w:val="center"/>
          </w:tcPr>
          <w:p w14:paraId="67A70A48">
            <w:pPr>
              <w:pStyle w:val="491"/>
              <w:rPr>
                <w:rFonts w:hint="eastAsia"/>
                <w:color w:val="auto"/>
                <w:highlight w:val="none"/>
              </w:rPr>
            </w:pPr>
            <w:r>
              <w:rPr>
                <w:rFonts w:hint="eastAsia"/>
                <w:color w:val="auto"/>
                <w:highlight w:val="none"/>
              </w:rPr>
              <w:t>根据AJCC第8版指南进行分期</w:t>
            </w:r>
          </w:p>
        </w:tc>
      </w:tr>
      <w:tr w14:paraId="11C1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0" w:type="dxa"/>
            <w:gridSpan w:val="5"/>
            <w:tcBorders>
              <w:top w:val="single" w:color="auto" w:sz="4" w:space="0"/>
              <w:left w:val="single" w:color="auto" w:sz="4" w:space="0"/>
              <w:bottom w:val="single" w:color="auto" w:sz="4" w:space="0"/>
              <w:right w:val="single" w:color="auto" w:sz="4" w:space="0"/>
            </w:tcBorders>
            <w:vAlign w:val="center"/>
          </w:tcPr>
          <w:p w14:paraId="21F6BD1E">
            <w:pPr>
              <w:pStyle w:val="491"/>
              <w:rPr>
                <w:rFonts w:hint="eastAsia"/>
                <w:color w:val="auto"/>
                <w:highlight w:val="none"/>
              </w:rPr>
            </w:pPr>
            <w:r>
              <w:rPr>
                <w:rFonts w:hint="eastAsia"/>
                <w:color w:val="auto"/>
                <w:highlight w:val="none"/>
              </w:rPr>
              <w:t>普放部分（2个模块）</w:t>
            </w:r>
          </w:p>
        </w:tc>
      </w:tr>
      <w:tr w14:paraId="468AA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58511DC8">
            <w:pPr>
              <w:pStyle w:val="491"/>
              <w:rPr>
                <w:rFonts w:hint="eastAsia"/>
                <w:color w:val="auto"/>
                <w:highlight w:val="none"/>
              </w:rPr>
            </w:pPr>
            <w:r>
              <w:rPr>
                <w:rFonts w:hint="eastAsia"/>
                <w:color w:val="auto"/>
                <w:highlight w:val="none"/>
              </w:rPr>
              <w:t>1</w:t>
            </w:r>
          </w:p>
        </w:tc>
        <w:tc>
          <w:tcPr>
            <w:tcW w:w="1282" w:type="dxa"/>
            <w:tcBorders>
              <w:top w:val="single" w:color="auto" w:sz="4" w:space="0"/>
              <w:left w:val="single" w:color="auto" w:sz="4" w:space="0"/>
              <w:bottom w:val="single" w:color="auto" w:sz="4" w:space="0"/>
              <w:right w:val="single" w:color="auto" w:sz="4" w:space="0"/>
            </w:tcBorders>
            <w:vAlign w:val="center"/>
          </w:tcPr>
          <w:p w14:paraId="3AF07353">
            <w:pPr>
              <w:pStyle w:val="491"/>
              <w:rPr>
                <w:rFonts w:hint="eastAsia"/>
                <w:color w:val="auto"/>
                <w:highlight w:val="none"/>
              </w:rPr>
            </w:pPr>
            <w:r>
              <w:rPr>
                <w:rFonts w:hint="eastAsia"/>
                <w:color w:val="auto"/>
                <w:highlight w:val="none"/>
              </w:rPr>
              <w:t>乳腺钼靶X线</w:t>
            </w:r>
          </w:p>
        </w:tc>
        <w:tc>
          <w:tcPr>
            <w:tcW w:w="1488" w:type="dxa"/>
            <w:tcBorders>
              <w:top w:val="single" w:color="auto" w:sz="4" w:space="0"/>
              <w:left w:val="single" w:color="auto" w:sz="4" w:space="0"/>
              <w:bottom w:val="single" w:color="auto" w:sz="4" w:space="0"/>
              <w:right w:val="single" w:color="auto" w:sz="4" w:space="0"/>
            </w:tcBorders>
            <w:vAlign w:val="center"/>
          </w:tcPr>
          <w:p w14:paraId="3584FFAF">
            <w:pPr>
              <w:pStyle w:val="491"/>
              <w:rPr>
                <w:rFonts w:hint="eastAsia"/>
                <w:color w:val="auto"/>
                <w:highlight w:val="none"/>
              </w:rPr>
            </w:pPr>
            <w:r>
              <w:rPr>
                <w:rFonts w:hint="eastAsia"/>
                <w:color w:val="auto"/>
                <w:highlight w:val="none"/>
              </w:rPr>
              <w:t>乳腺癌筛查、检查</w:t>
            </w:r>
          </w:p>
        </w:tc>
        <w:tc>
          <w:tcPr>
            <w:tcW w:w="2085" w:type="dxa"/>
            <w:tcBorders>
              <w:top w:val="single" w:color="auto" w:sz="4" w:space="0"/>
              <w:left w:val="single" w:color="auto" w:sz="4" w:space="0"/>
              <w:bottom w:val="single" w:color="auto" w:sz="4" w:space="0"/>
              <w:right w:val="single" w:color="auto" w:sz="4" w:space="0"/>
            </w:tcBorders>
            <w:vAlign w:val="center"/>
          </w:tcPr>
          <w:p w14:paraId="4A51AFD2">
            <w:pPr>
              <w:pStyle w:val="491"/>
              <w:rPr>
                <w:rFonts w:hint="eastAsia"/>
                <w:color w:val="auto"/>
                <w:highlight w:val="none"/>
              </w:rPr>
            </w:pPr>
            <w:r>
              <w:rPr>
                <w:rFonts w:hint="eastAsia"/>
                <w:color w:val="auto"/>
                <w:highlight w:val="none"/>
              </w:rPr>
              <w:t>MLO\CC</w:t>
            </w:r>
          </w:p>
        </w:tc>
        <w:tc>
          <w:tcPr>
            <w:tcW w:w="3029" w:type="dxa"/>
            <w:tcBorders>
              <w:top w:val="single" w:color="auto" w:sz="4" w:space="0"/>
              <w:left w:val="single" w:color="auto" w:sz="4" w:space="0"/>
              <w:bottom w:val="single" w:color="auto" w:sz="4" w:space="0"/>
              <w:right w:val="single" w:color="auto" w:sz="4" w:space="0"/>
            </w:tcBorders>
            <w:vAlign w:val="center"/>
          </w:tcPr>
          <w:p w14:paraId="3AD2DD90">
            <w:pPr>
              <w:pStyle w:val="491"/>
              <w:rPr>
                <w:rFonts w:hint="eastAsia"/>
                <w:color w:val="auto"/>
                <w:highlight w:val="none"/>
              </w:rPr>
            </w:pPr>
            <w:r>
              <w:rPr>
                <w:rFonts w:hint="eastAsia"/>
                <w:color w:val="auto"/>
                <w:highlight w:val="none"/>
              </w:rPr>
              <w:t>评估肿瘤特征指导手术方案</w:t>
            </w:r>
          </w:p>
        </w:tc>
      </w:tr>
      <w:tr w14:paraId="7E42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tcBorders>
              <w:top w:val="single" w:color="auto" w:sz="4" w:space="0"/>
              <w:left w:val="single" w:color="auto" w:sz="4" w:space="0"/>
              <w:bottom w:val="single" w:color="auto" w:sz="4" w:space="0"/>
              <w:right w:val="single" w:color="auto" w:sz="4" w:space="0"/>
            </w:tcBorders>
            <w:vAlign w:val="center"/>
          </w:tcPr>
          <w:p w14:paraId="4F6B09D4">
            <w:pPr>
              <w:pStyle w:val="491"/>
              <w:rPr>
                <w:rFonts w:hint="eastAsia"/>
                <w:color w:val="auto"/>
                <w:highlight w:val="none"/>
              </w:rPr>
            </w:pPr>
            <w:r>
              <w:rPr>
                <w:rFonts w:hint="eastAsia"/>
                <w:color w:val="auto"/>
                <w:highlight w:val="none"/>
              </w:rPr>
              <w:t>2</w:t>
            </w:r>
          </w:p>
        </w:tc>
        <w:tc>
          <w:tcPr>
            <w:tcW w:w="1282" w:type="dxa"/>
            <w:tcBorders>
              <w:top w:val="single" w:color="auto" w:sz="4" w:space="0"/>
              <w:left w:val="single" w:color="auto" w:sz="4" w:space="0"/>
              <w:bottom w:val="single" w:color="auto" w:sz="4" w:space="0"/>
              <w:right w:val="single" w:color="auto" w:sz="4" w:space="0"/>
            </w:tcBorders>
            <w:vAlign w:val="center"/>
          </w:tcPr>
          <w:p w14:paraId="5864D8C4">
            <w:pPr>
              <w:pStyle w:val="491"/>
              <w:rPr>
                <w:rFonts w:hint="eastAsia"/>
                <w:color w:val="auto"/>
                <w:highlight w:val="none"/>
              </w:rPr>
            </w:pPr>
            <w:r>
              <w:rPr>
                <w:rFonts w:hint="eastAsia"/>
                <w:color w:val="auto"/>
                <w:highlight w:val="none"/>
              </w:rPr>
              <w:t>骨龄评估X线</w:t>
            </w:r>
          </w:p>
        </w:tc>
        <w:tc>
          <w:tcPr>
            <w:tcW w:w="1488" w:type="dxa"/>
            <w:tcBorders>
              <w:top w:val="single" w:color="auto" w:sz="4" w:space="0"/>
              <w:left w:val="single" w:color="auto" w:sz="4" w:space="0"/>
              <w:bottom w:val="single" w:color="auto" w:sz="4" w:space="0"/>
              <w:right w:val="single" w:color="auto" w:sz="4" w:space="0"/>
            </w:tcBorders>
            <w:vAlign w:val="center"/>
          </w:tcPr>
          <w:p w14:paraId="2FDCAD5F">
            <w:pPr>
              <w:pStyle w:val="491"/>
              <w:rPr>
                <w:rFonts w:hint="eastAsia"/>
                <w:color w:val="auto"/>
                <w:highlight w:val="none"/>
              </w:rPr>
            </w:pPr>
            <w:r>
              <w:rPr>
                <w:rFonts w:hint="eastAsia"/>
                <w:color w:val="auto"/>
                <w:highlight w:val="none"/>
              </w:rPr>
              <w:t>骨龄的估计</w:t>
            </w:r>
          </w:p>
        </w:tc>
        <w:tc>
          <w:tcPr>
            <w:tcW w:w="2085" w:type="dxa"/>
            <w:tcBorders>
              <w:top w:val="single" w:color="auto" w:sz="4" w:space="0"/>
              <w:left w:val="single" w:color="auto" w:sz="4" w:space="0"/>
              <w:bottom w:val="single" w:color="auto" w:sz="4" w:space="0"/>
              <w:right w:val="single" w:color="auto" w:sz="4" w:space="0"/>
            </w:tcBorders>
            <w:vAlign w:val="center"/>
          </w:tcPr>
          <w:p w14:paraId="3FF3EB01">
            <w:pPr>
              <w:pStyle w:val="491"/>
              <w:rPr>
                <w:rFonts w:hint="eastAsia"/>
                <w:color w:val="auto"/>
                <w:highlight w:val="none"/>
              </w:rPr>
            </w:pPr>
            <w:r>
              <w:rPr>
                <w:rFonts w:hint="eastAsia"/>
                <w:color w:val="auto"/>
                <w:highlight w:val="none"/>
              </w:rPr>
              <w:t>X线手腕正位</w:t>
            </w:r>
          </w:p>
        </w:tc>
        <w:tc>
          <w:tcPr>
            <w:tcW w:w="3029" w:type="dxa"/>
            <w:tcBorders>
              <w:top w:val="single" w:color="auto" w:sz="4" w:space="0"/>
              <w:left w:val="single" w:color="auto" w:sz="4" w:space="0"/>
              <w:bottom w:val="single" w:color="auto" w:sz="4" w:space="0"/>
              <w:right w:val="single" w:color="auto" w:sz="4" w:space="0"/>
            </w:tcBorders>
            <w:vAlign w:val="center"/>
          </w:tcPr>
          <w:p w14:paraId="0B8B68DF">
            <w:pPr>
              <w:pStyle w:val="491"/>
              <w:rPr>
                <w:rFonts w:hint="eastAsia"/>
                <w:color w:val="auto"/>
                <w:highlight w:val="none"/>
              </w:rPr>
            </w:pPr>
            <w:r>
              <w:rPr>
                <w:rFonts w:hint="eastAsia"/>
                <w:color w:val="auto"/>
                <w:highlight w:val="none"/>
              </w:rPr>
              <w:t>儿童发育情况评估</w:t>
            </w:r>
          </w:p>
        </w:tc>
      </w:tr>
    </w:tbl>
    <w:p w14:paraId="039721E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9.1.1.1.4超声管理系统</w:t>
      </w:r>
    </w:p>
    <w:p w14:paraId="57FD3A7E">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9.1.1.1.4.1预约登记系统</w:t>
      </w:r>
    </w:p>
    <w:p w14:paraId="28B9D2DC">
      <w:pPr>
        <w:pStyle w:val="436"/>
        <w:widowControl w:val="0"/>
        <w:numPr>
          <w:ilvl w:val="0"/>
          <w:numId w:val="5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超声检查开始前需要对患者进行登记，系统需支持将申请单的信息读取到超声系统中的过程。</w:t>
      </w:r>
    </w:p>
    <w:p w14:paraId="7BDB08A7">
      <w:pPr>
        <w:pStyle w:val="436"/>
        <w:widowControl w:val="0"/>
        <w:numPr>
          <w:ilvl w:val="0"/>
          <w:numId w:val="5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诊断医生在登记时可查询到申请单中的检查项目，检查目的，医生依据申请单信息开展后续超声检查工作。</w:t>
      </w:r>
    </w:p>
    <w:p w14:paraId="1CE7DA7E">
      <w:pPr>
        <w:pStyle w:val="436"/>
        <w:widowControl w:val="0"/>
        <w:numPr>
          <w:ilvl w:val="0"/>
          <w:numId w:val="5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登记需支持手动输入号码获取申请单信息，也支持读卡器读卡。</w:t>
      </w:r>
    </w:p>
    <w:p w14:paraId="05B5D5F0">
      <w:pPr>
        <w:pStyle w:val="436"/>
        <w:widowControl w:val="0"/>
        <w:numPr>
          <w:ilvl w:val="0"/>
          <w:numId w:val="5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登记时可以打印登记到诊单。</w:t>
      </w:r>
    </w:p>
    <w:p w14:paraId="2BDD1A93">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9.1.1.1.4.2超声诊断系统</w:t>
      </w:r>
    </w:p>
    <w:p w14:paraId="5C5150B1">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9.1.1.1.4.2.1检查查询</w:t>
      </w:r>
    </w:p>
    <w:p w14:paraId="36918798">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基本信息查询：需根据患者的影像号、姓名、年龄、性别、设备类型、检查状态、检查时间等条件进行查询，查询到满足条件的患者列表显示，供医生进行、诊断、阅片等操作；</w:t>
      </w:r>
    </w:p>
    <w:p w14:paraId="080B9E46">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高级查询：高级查询可用于在科研、教学特定条件下的影像资料查询，需根据患者的住院号（门诊号）、检查部位、检查项目、申请科室、科研病例、特殊病例、一线医生姓名、二线医生姓名等条件进行查询；</w:t>
      </w:r>
    </w:p>
    <w:p w14:paraId="40C3A4EB">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模糊查询：输入诊断描述、诊断结果中的关键字，系统需对满足条件的关键字进行模糊查询；</w:t>
      </w:r>
    </w:p>
    <w:p w14:paraId="2C9A9BC5">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4256AA96">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需支持列表与卡片两种方式展示查询结果；</w:t>
      </w:r>
    </w:p>
    <w:p w14:paraId="11DB040D">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需支持查看电子申请单功能；</w:t>
      </w:r>
    </w:p>
    <w:p w14:paraId="1A372C1C">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需支持与电子病历完成集成，一键打开电子病历并显示该患者的病历信息；</w:t>
      </w:r>
    </w:p>
    <w:p w14:paraId="51A3E94A">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需支持留言查看功能，支持检查留言功能；</w:t>
      </w:r>
    </w:p>
    <w:p w14:paraId="1839A1CA">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需支持有权限的医生对检查信息进行修改；</w:t>
      </w:r>
    </w:p>
    <w:p w14:paraId="7600770E">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需支持检查的锁定与解锁功能；</w:t>
      </w:r>
    </w:p>
    <w:p w14:paraId="0AE44887">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需支持与典型病历库无缝集成；</w:t>
      </w:r>
    </w:p>
    <w:p w14:paraId="72BF2102">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需支持浏览患者相关的随访记录；</w:t>
      </w:r>
    </w:p>
    <w:p w14:paraId="29622BE2">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需支持查看检查全过程记录；</w:t>
      </w:r>
    </w:p>
    <w:p w14:paraId="363A5525">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76E13053">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需支持对检查进行标签管理；</w:t>
      </w:r>
    </w:p>
    <w:p w14:paraId="3807CFB9">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需支持导出图像；</w:t>
      </w:r>
    </w:p>
    <w:p w14:paraId="1EB8B185">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需支持一键打开检查、申请单、图像，并自动进入报告编辑界面，方便医生操作；</w:t>
      </w:r>
    </w:p>
    <w:p w14:paraId="2E7EEF78">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需支持相关诊断自动查询；</w:t>
      </w:r>
    </w:p>
    <w:p w14:paraId="56B59241">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需支持我的报告功能，方便浏览近期内由自己撰写的报告；</w:t>
      </w:r>
    </w:p>
    <w:p w14:paraId="0EB8A248">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需支持查询结果列表自定义功能；</w:t>
      </w:r>
    </w:p>
    <w:p w14:paraId="5C364F63">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需支持站内登记，无须切换到预约登记工作站，即可完成相关功能；</w:t>
      </w:r>
    </w:p>
    <w:p w14:paraId="2A9081C0">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需支持与排队叫号系统无缝融合；</w:t>
      </w:r>
    </w:p>
    <w:p w14:paraId="04CE751A">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需支持图像缓冲区功能，在不绑定患者的情况下直接采集超声图像并支持对图像的分组功能；</w:t>
      </w:r>
    </w:p>
    <w:p w14:paraId="7F6F0B75">
      <w:pPr>
        <w:pStyle w:val="436"/>
        <w:widowControl w:val="0"/>
        <w:numPr>
          <w:ilvl w:val="0"/>
          <w:numId w:val="5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需支持图像缓冲区图像与患者检查的关联功能。</w:t>
      </w:r>
    </w:p>
    <w:p w14:paraId="62177D5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9.1.1.1.4.2.2报告编辑</w:t>
      </w:r>
    </w:p>
    <w:p w14:paraId="3A314E59">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需支持多种输出模板选择及配置</w:t>
      </w:r>
    </w:p>
    <w:p w14:paraId="109785F3">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需支持报告输入模版功能,有常见疾病的模版，模版分为公有模版和私有模版，并可以互相转换；</w:t>
      </w:r>
    </w:p>
    <w:p w14:paraId="1FFA780C">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需支持报告输入内容模板分级管理（检查大部位/详细检查部位/内容模板）；</w:t>
      </w:r>
    </w:p>
    <w:p w14:paraId="66DC23BF">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需支持输入模板的智能过滤功能；</w:t>
      </w:r>
    </w:p>
    <w:p w14:paraId="265449DA">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需支持输入模板被选择时的『替换』和『追加』两种模式；</w:t>
      </w:r>
    </w:p>
    <w:p w14:paraId="0AA20684">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需支持常用词汇的自定义功能；</w:t>
      </w:r>
    </w:p>
    <w:p w14:paraId="04E0B306">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需支持特殊符号的快捷录入功能；</w:t>
      </w:r>
    </w:p>
    <w:p w14:paraId="3B40A214">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需支持历史报告功能，支持历史报告对比浏览；</w:t>
      </w:r>
    </w:p>
    <w:p w14:paraId="3996BC3F">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需支持以表格形式记录测量值；</w:t>
      </w:r>
    </w:p>
    <w:p w14:paraId="66C094B3">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需支持ICD-10录入；</w:t>
      </w:r>
    </w:p>
    <w:p w14:paraId="051592BD">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需支持在无图状态下书写诊断报告；</w:t>
      </w:r>
    </w:p>
    <w:p w14:paraId="27AB0BDE">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需支持报告预览功能；</w:t>
      </w:r>
    </w:p>
    <w:p w14:paraId="67F307C2">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需支持报告暂存功能；</w:t>
      </w:r>
    </w:p>
    <w:p w14:paraId="717D7B95">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需支持报告拒签功能；</w:t>
      </w:r>
    </w:p>
    <w:p w14:paraId="75FB08B9">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需支持报告提交、报告审核功能，并可根据权限</w:t>
      </w:r>
    </w:p>
    <w:p w14:paraId="3A8A9C51">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需支持相关诊断功能，审核医生可查看当前患者的所有历史诊断报告；</w:t>
      </w:r>
    </w:p>
    <w:p w14:paraId="729B93AF">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需支持报告阴阳性记录功能；</w:t>
      </w:r>
    </w:p>
    <w:p w14:paraId="557D8C9F">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4C8886E7">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需支持报告打印功能；</w:t>
      </w:r>
    </w:p>
    <w:p w14:paraId="2CAC2F46">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需支持图文报告功能；</w:t>
      </w:r>
    </w:p>
    <w:p w14:paraId="649E64B9">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需支持报告犹豫期功能；</w:t>
      </w:r>
    </w:p>
    <w:p w14:paraId="2B8AF44F">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需支持报告自动保存功能；</w:t>
      </w:r>
    </w:p>
    <w:p w14:paraId="0CCB5225">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需支持用户自定义界面布局功能；</w:t>
      </w:r>
    </w:p>
    <w:p w14:paraId="6F1B07F1">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需支持用户自定义数据窗口功能；</w:t>
      </w:r>
    </w:p>
    <w:p w14:paraId="7B0C92B9">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需支持报告智能质控功能；</w:t>
      </w:r>
    </w:p>
    <w:p w14:paraId="2C65ABE2">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需支持报告智能危急值功能；</w:t>
      </w:r>
    </w:p>
    <w:p w14:paraId="537FCD80">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需支持结构化报告功能；</w:t>
      </w:r>
    </w:p>
    <w:p w14:paraId="68FB7D84">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系统需支持通过高清采集卡或DICOM3.0接口采集患者的动、静态超声图像。</w:t>
      </w:r>
    </w:p>
    <w:p w14:paraId="130B1EE0">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视频采集需支持静态图像（照相、定时采集）和动态图像（录像）两种采集方式。</w:t>
      </w:r>
    </w:p>
    <w:p w14:paraId="2CAC3CC3">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静态图像采集定时采集：可定义最小1秒钟采集一幅图像，连续自动采集多幅图像。</w:t>
      </w:r>
    </w:p>
    <w:p w14:paraId="66A3BFF5">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需支持脚踏板采集方式和键盘鼠标采集方式。</w:t>
      </w:r>
    </w:p>
    <w:p w14:paraId="3307FFE8">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实时显示：需支持实时显示图像内容。</w:t>
      </w:r>
    </w:p>
    <w:p w14:paraId="54F14251">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单帧采集：需支持采集一帧图像到采集图像列表中。</w:t>
      </w:r>
    </w:p>
    <w:p w14:paraId="468A11DD">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多帧采集：需支持连续采集图像到图像列表中。</w:t>
      </w:r>
    </w:p>
    <w:p w14:paraId="39DC2F77">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删除图像：需支持删除图像列表中选中的图像。</w:t>
      </w:r>
    </w:p>
    <w:p w14:paraId="4F15BC73">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录像：需支持录制动态影像保存为avi格式。</w:t>
      </w:r>
    </w:p>
    <w:p w14:paraId="0FEB67EA">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录像回放：需支持对录制的动态影像进行回放。</w:t>
      </w:r>
    </w:p>
    <w:p w14:paraId="54FE3135">
      <w:pPr>
        <w:pStyle w:val="436"/>
        <w:widowControl w:val="0"/>
        <w:numPr>
          <w:ilvl w:val="0"/>
          <w:numId w:val="6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系统需提供对图像的移动、翻转、镜像、放大、缩小等图像显示处理工具，提供角度、直线、箭头、圆、矩形、多边形、手绘线和文字等批注工具。</w:t>
      </w:r>
    </w:p>
    <w:p w14:paraId="36B296BF">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9.1.1.1.4.2.3排队叫号</w:t>
      </w:r>
    </w:p>
    <w:p w14:paraId="7C4DE4B7">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需提供电子叫号，大屏队列显示。</w:t>
      </w:r>
    </w:p>
    <w:p w14:paraId="534C3DAF">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需提供多层队列（候诊队列、诊室队列等）。</w:t>
      </w:r>
    </w:p>
    <w:p w14:paraId="2EE7507F">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需提供多种算法（静态、动态等）队列排序。</w:t>
      </w:r>
    </w:p>
    <w:p w14:paraId="7B07DD84">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需提供不同队列不同算法。</w:t>
      </w:r>
    </w:p>
    <w:p w14:paraId="77CA18CC">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叫号大屏幕需支持个性化定制。</w:t>
      </w:r>
    </w:p>
    <w:p w14:paraId="1F263017">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需提供可视化的排队安排界面，可快速对队列进行安排和调整。</w:t>
      </w:r>
    </w:p>
    <w:p w14:paraId="170F9E13">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需提供登记台呼叫和检查室呼叫两种呼叫模式。</w:t>
      </w:r>
    </w:p>
    <w:p w14:paraId="4D300FD3">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需提供姓名中英文自动转换。</w:t>
      </w:r>
    </w:p>
    <w:p w14:paraId="47DBF216">
      <w:pPr>
        <w:pStyle w:val="436"/>
        <w:widowControl w:val="0"/>
        <w:numPr>
          <w:ilvl w:val="0"/>
          <w:numId w:val="61"/>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医生和登记分诊操作终端需具有顺序呼叫、重复呼叫、批量呼叫、选择呼叫等功能。</w:t>
      </w:r>
    </w:p>
    <w:p w14:paraId="5BE3071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9.1.1.1.5内镜管理系统</w:t>
      </w:r>
    </w:p>
    <w:p w14:paraId="2F92DF2F">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9.1.1.1.5.1预约登记系统</w:t>
      </w:r>
    </w:p>
    <w:p w14:paraId="3088D6E8">
      <w:pPr>
        <w:pStyle w:val="436"/>
        <w:widowControl w:val="0"/>
        <w:numPr>
          <w:ilvl w:val="0"/>
          <w:numId w:val="6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内镜检查开始前需要对患者进行登记，系统需支持将申请单的信息读取到内镜系统中的过程。</w:t>
      </w:r>
    </w:p>
    <w:p w14:paraId="0CA94B0A">
      <w:pPr>
        <w:pStyle w:val="436"/>
        <w:widowControl w:val="0"/>
        <w:numPr>
          <w:ilvl w:val="0"/>
          <w:numId w:val="6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诊断医生在登记时可查询到申请单中的检查项目，检查目的，医生依据申请单信息开展后续内镜检查工作。</w:t>
      </w:r>
    </w:p>
    <w:p w14:paraId="55B0806B">
      <w:pPr>
        <w:pStyle w:val="436"/>
        <w:widowControl w:val="0"/>
        <w:numPr>
          <w:ilvl w:val="0"/>
          <w:numId w:val="6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登记需支持手动输入号码获取申请单信息，也支持读卡器读卡。</w:t>
      </w:r>
    </w:p>
    <w:p w14:paraId="6F3B7524">
      <w:pPr>
        <w:pStyle w:val="436"/>
        <w:widowControl w:val="0"/>
        <w:numPr>
          <w:ilvl w:val="0"/>
          <w:numId w:val="62"/>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登记时可以打印登记到诊单。</w:t>
      </w:r>
    </w:p>
    <w:p w14:paraId="5709D1F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9.1.1.1.5.2内镜诊断系统</w:t>
      </w:r>
    </w:p>
    <w:p w14:paraId="2EC92CE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9.1.1.1.5.2.1检查查询</w:t>
      </w:r>
    </w:p>
    <w:p w14:paraId="76CB6B08">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基本信息查询：需根据患者的影像号、姓名、年龄、性别、设备类型、检查状态、检查时间等条件进行查询，查询到满足条件的患者列表显示，供医生进行、诊断、阅片等操作；</w:t>
      </w:r>
    </w:p>
    <w:p w14:paraId="74D6140E">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高级查询：高级查询可用于在科研、教学特定条件下的影像资料查询，需根据患者的住院号（门诊号）、检查部位、检查项目、申请科室、科研病例、特殊病例、一线医生姓名、二线医生姓名等条件进行查询；</w:t>
      </w:r>
    </w:p>
    <w:p w14:paraId="53CC4A8E">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模糊查询：输入诊断描述、诊断结果中的关键字，系统需对满足条件的关键字进行模糊查询；</w:t>
      </w:r>
    </w:p>
    <w:p w14:paraId="5F5511F6">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需支持自定义快捷查询；</w:t>
      </w:r>
    </w:p>
    <w:p w14:paraId="5D9EE52E">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需支持列表与卡片两种方式展示查询结果；</w:t>
      </w:r>
    </w:p>
    <w:p w14:paraId="33CAF53F">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需支持查看电子申请单功能；</w:t>
      </w:r>
    </w:p>
    <w:p w14:paraId="0C2F3C12">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需支持与电子病历完成集成，一键打开电子病历并显示该患者的病历信息；</w:t>
      </w:r>
    </w:p>
    <w:p w14:paraId="0B202B46">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需支持留言查看功能，支持检查留言功能；</w:t>
      </w:r>
    </w:p>
    <w:p w14:paraId="6C28E0C3">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需支持有权限的医生对检查信息进行修改；</w:t>
      </w:r>
    </w:p>
    <w:p w14:paraId="77438BDA">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需支持检查的锁定与解锁功能；</w:t>
      </w:r>
    </w:p>
    <w:p w14:paraId="75592380">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需支持与典型病历库无缝集成；</w:t>
      </w:r>
    </w:p>
    <w:p w14:paraId="77B3E8B2">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需支持浏览患者相关的随访记录；</w:t>
      </w:r>
    </w:p>
    <w:p w14:paraId="4BF2F6F7">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需支持查看检查全过程记录；</w:t>
      </w:r>
    </w:p>
    <w:p w14:paraId="42F936C6">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6DB729FC">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需支持对检查进行标签管理；</w:t>
      </w:r>
    </w:p>
    <w:p w14:paraId="26D2A382">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需支持导出图像；</w:t>
      </w:r>
    </w:p>
    <w:p w14:paraId="79D7688C">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需支持一键打开检查、申请单、图像，并自动进入报告编辑界面，方便医生操作；</w:t>
      </w:r>
    </w:p>
    <w:p w14:paraId="57D2B726">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需支持相关诊断自动查询；</w:t>
      </w:r>
    </w:p>
    <w:p w14:paraId="49C9030C">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需支持我的报告功能，方便浏览近期内由自己撰写的报告；</w:t>
      </w:r>
    </w:p>
    <w:p w14:paraId="3F86BFD2">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需支持查询结果列表自定义功能；</w:t>
      </w:r>
    </w:p>
    <w:p w14:paraId="2F79BAAD">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需支持站内登记，无须切换到预约登记工作站，即可完成相关功能；</w:t>
      </w:r>
    </w:p>
    <w:p w14:paraId="6BFB3B16">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需支持与排队叫号系统无缝融合；</w:t>
      </w:r>
    </w:p>
    <w:p w14:paraId="2016BCB2">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需支持图像缓冲区功能，在不绑定患者的情况下直接采集内镜图像并支持对图像的分组功能；</w:t>
      </w:r>
    </w:p>
    <w:p w14:paraId="2351BC54">
      <w:pPr>
        <w:pStyle w:val="436"/>
        <w:widowControl w:val="0"/>
        <w:numPr>
          <w:ilvl w:val="0"/>
          <w:numId w:val="63"/>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需支持图像缓冲区图像与患者检查的关联功能。</w:t>
      </w:r>
    </w:p>
    <w:p w14:paraId="11B296D2">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9.1.1.1.5.2.2报告编辑</w:t>
      </w:r>
    </w:p>
    <w:p w14:paraId="0B50A187">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需支持多种输出模板选择及配置；</w:t>
      </w:r>
    </w:p>
    <w:p w14:paraId="2F51641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需支持报告输入模版功能,有常见疾病的模版，模版分为公有模版和私有模版，并可以互相转换；</w:t>
      </w:r>
    </w:p>
    <w:p w14:paraId="607A0BC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需支持报告输入内容模板分级管理（检查大部位/详细检查部位/内容模板）；</w:t>
      </w:r>
    </w:p>
    <w:p w14:paraId="45233620">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需支持输入模板的智能过滤功能；</w:t>
      </w:r>
    </w:p>
    <w:p w14:paraId="72E0391F">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需支持输入模板被选择时的『替换』和『追加』两种模式；</w:t>
      </w:r>
    </w:p>
    <w:p w14:paraId="1EFC4FC0">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需支持常用词汇的自定义功能；</w:t>
      </w:r>
    </w:p>
    <w:p w14:paraId="508C4B65">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需支持特殊符号的快捷录入功能；</w:t>
      </w:r>
    </w:p>
    <w:p w14:paraId="313548F2">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需支持历史报告功能，支持历史报告对比浏览；</w:t>
      </w:r>
    </w:p>
    <w:p w14:paraId="643C2AED">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需支持以表格形式记录测量值；</w:t>
      </w:r>
    </w:p>
    <w:p w14:paraId="7347BD15">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需支持ICD-10录入；</w:t>
      </w:r>
    </w:p>
    <w:p w14:paraId="222DB98E">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需支持在无图状态下书写诊断报告；</w:t>
      </w:r>
    </w:p>
    <w:p w14:paraId="4F3437DB">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需支持报告预览功能；</w:t>
      </w:r>
    </w:p>
    <w:p w14:paraId="214F9A09">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需支持报告暂存功能；</w:t>
      </w:r>
    </w:p>
    <w:p w14:paraId="05D51E12">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需支持报告拒签功能；</w:t>
      </w:r>
    </w:p>
    <w:p w14:paraId="5BEF4100">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需支持报告提交、报告审核功能，并可根据权限</w:t>
      </w:r>
    </w:p>
    <w:p w14:paraId="049D7A24">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需支持相关诊断功能，审核医生可查看当前患者的所有历史诊断报告；</w:t>
      </w:r>
    </w:p>
    <w:p w14:paraId="28636217">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需支持报告阴阳性记录功能；</w:t>
      </w:r>
    </w:p>
    <w:p w14:paraId="07B6C9E0">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需支持危急值上报，危急值提醒，危急值追踪功能；</w:t>
      </w:r>
    </w:p>
    <w:p w14:paraId="0A6B4EB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需支持报告打印功能；</w:t>
      </w:r>
    </w:p>
    <w:p w14:paraId="51B7D976">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需支持图文报告功能；</w:t>
      </w:r>
    </w:p>
    <w:p w14:paraId="151E5DEF">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需支持报告犹豫期功能；</w:t>
      </w:r>
    </w:p>
    <w:p w14:paraId="49065A0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需支持报告自动保存功能；</w:t>
      </w:r>
    </w:p>
    <w:p w14:paraId="13B8FEA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需支持用户自定义界面布局功能；</w:t>
      </w:r>
    </w:p>
    <w:p w14:paraId="3B0E68BF">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需支持用户自定义数据窗口功能；</w:t>
      </w:r>
    </w:p>
    <w:p w14:paraId="32D52893">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需支持报告智能质控功能；</w:t>
      </w:r>
    </w:p>
    <w:p w14:paraId="36826A4B">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需支持报告智能危急值功能；</w:t>
      </w:r>
    </w:p>
    <w:p w14:paraId="44347F63">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需支持结构化报告功能；</w:t>
      </w:r>
    </w:p>
    <w:p w14:paraId="2D07BF06">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视频采集需支持静态图像（照相、定时采集）和动态图像（录像）两种采集方式。</w:t>
      </w:r>
    </w:p>
    <w:p w14:paraId="1D381CA7">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静态图像采集定时采集：可定义最小1秒钟采集一幅图像，连续自动采集多幅图像。</w:t>
      </w:r>
    </w:p>
    <w:p w14:paraId="0CAFF37C">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需支持脚踏板采集方式和键盘鼠标采集方式。</w:t>
      </w:r>
    </w:p>
    <w:p w14:paraId="551C9418">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实时显示：需支持实时显示图像内容。</w:t>
      </w:r>
    </w:p>
    <w:p w14:paraId="446A3176">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单帧采集：需支持采集一帧图像到采集图像列表中。</w:t>
      </w:r>
    </w:p>
    <w:p w14:paraId="38F8666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多帧采集：需支持连续采集图像到图像列表中。</w:t>
      </w:r>
    </w:p>
    <w:p w14:paraId="2C7DD596">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删除图像：需支持删除图像列表中选中的图像。</w:t>
      </w:r>
    </w:p>
    <w:p w14:paraId="7277B69A">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录像：需支持录制动态影像保存为avi格式。</w:t>
      </w:r>
    </w:p>
    <w:p w14:paraId="75A52D59">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录像回放：需支持对录制的动态影像进行回放。</w:t>
      </w:r>
    </w:p>
    <w:p w14:paraId="5CC9B5D4">
      <w:pPr>
        <w:pStyle w:val="436"/>
        <w:widowControl w:val="0"/>
        <w:numPr>
          <w:ilvl w:val="0"/>
          <w:numId w:val="64"/>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系统需提供对图像的移动、翻转、镜像、放大、缩小等图像显示处理工具，提供角度、直线、箭头、圆、矩形、多边形、手绘线和文字等批注工具。</w:t>
      </w:r>
    </w:p>
    <w:p w14:paraId="415161A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9.1.1.1.5.2.3排队叫号</w:t>
      </w:r>
    </w:p>
    <w:p w14:paraId="6A1C2320">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需支持院内电子叫号系统应用，支持叫号大屏等队列显示。</w:t>
      </w:r>
    </w:p>
    <w:p w14:paraId="547C6C33">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需提供多层队列（候诊队列、诊室队列等）。</w:t>
      </w:r>
    </w:p>
    <w:p w14:paraId="444FB7BE">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需提供多种算法（静态、动态等）队列排序。</w:t>
      </w:r>
    </w:p>
    <w:p w14:paraId="4148DE59">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需提供不同队列不同算法。</w:t>
      </w:r>
    </w:p>
    <w:p w14:paraId="2386CC82">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叫号大屏幕显示内容需支持个性化定制开发。</w:t>
      </w:r>
    </w:p>
    <w:p w14:paraId="05605858">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需提供可视化的排队安排界面，可快速对队列进行安排和调整。</w:t>
      </w:r>
    </w:p>
    <w:p w14:paraId="5C29D586">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需提供登记台呼叫和检查室呼叫两种呼叫模式。</w:t>
      </w:r>
    </w:p>
    <w:p w14:paraId="4BF1604D">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需提供姓名中英文自动转换。</w:t>
      </w:r>
    </w:p>
    <w:p w14:paraId="06085606">
      <w:pPr>
        <w:pStyle w:val="436"/>
        <w:widowControl w:val="0"/>
        <w:numPr>
          <w:ilvl w:val="0"/>
          <w:numId w:val="65"/>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医生和登记分诊操作终端需具有顺序呼叫、重复呼叫、批量呼叫、选择呼叫等功能。</w:t>
      </w:r>
    </w:p>
    <w:p w14:paraId="08D8D4D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9.1.1.1.6临床浏览系统</w:t>
      </w:r>
    </w:p>
    <w:p w14:paraId="0168DE9F">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需支持以浏览器方式独立运行，无须安装任何插件即可实现在临床端调阅影像科室检查的图像及报告；</w:t>
      </w:r>
    </w:p>
    <w:p w14:paraId="2F312FF0">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需支持对临床开放数据状态的设置；</w:t>
      </w:r>
    </w:p>
    <w:p w14:paraId="0D08CA2E">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需支持通过多维度参数对系统进行查询；</w:t>
      </w:r>
    </w:p>
    <w:p w14:paraId="25410A56">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需支持在临床端浏览到序列级别的信息；</w:t>
      </w:r>
    </w:p>
    <w:p w14:paraId="4B36493D">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需支持在临床端自动关联到同一患者的相关检查，无须进行二次查询；</w:t>
      </w:r>
    </w:p>
    <w:p w14:paraId="7CA48FFF">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需支持在临床端浏览PDF版报告；</w:t>
      </w:r>
    </w:p>
    <w:p w14:paraId="50352245">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需支持2D图像浏览功能；</w:t>
      </w:r>
    </w:p>
    <w:p w14:paraId="21709BFE">
      <w:pPr>
        <w:pStyle w:val="436"/>
        <w:widowControl w:val="0"/>
        <w:numPr>
          <w:ilvl w:val="0"/>
          <w:numId w:val="66"/>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需支持第三方通过调用http url的方式进行访问，支持以页面的方式嵌入到第三方系统中。</w:t>
      </w:r>
    </w:p>
    <w:p w14:paraId="781D1A7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9.1.1.1.7相关系统接口</w:t>
      </w:r>
    </w:p>
    <w:p w14:paraId="0F8D341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9.1.1.1.7.1 HIS基础数据接口</w:t>
      </w:r>
    </w:p>
    <w:p w14:paraId="3714A070">
      <w:pPr>
        <w:pStyle w:val="436"/>
        <w:widowControl w:val="0"/>
        <w:numPr>
          <w:ilvl w:val="0"/>
          <w:numId w:val="6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能够获取患者身份：姓名，年龄，性别，身份证，电话号码，家庭地址等。</w:t>
      </w:r>
    </w:p>
    <w:p w14:paraId="2D5BBE1B">
      <w:pPr>
        <w:pStyle w:val="436"/>
        <w:widowControl w:val="0"/>
        <w:numPr>
          <w:ilvl w:val="0"/>
          <w:numId w:val="6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接收患者编号：注册编号，外来/住院患者位置信息。</w:t>
      </w:r>
    </w:p>
    <w:p w14:paraId="3398EE59">
      <w:pPr>
        <w:pStyle w:val="436"/>
        <w:widowControl w:val="0"/>
        <w:numPr>
          <w:ilvl w:val="0"/>
          <w:numId w:val="6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需提供完整的与HIS集成方案，实现与HIS软件的信息共享。</w:t>
      </w:r>
    </w:p>
    <w:p w14:paraId="0CFC8C53">
      <w:pPr>
        <w:pStyle w:val="436"/>
        <w:widowControl w:val="0"/>
        <w:numPr>
          <w:ilvl w:val="0"/>
          <w:numId w:val="67"/>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与HIS之间的文字信息交换必须具有符合HL7标准的接口。在此基础上也可以采用专用接口（通过中间表或直接共享对方数据库的形式）实现与HIS的集成。</w:t>
      </w:r>
    </w:p>
    <w:p w14:paraId="4FA00446">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9.1.1.1.7.2 HIS申请单接口</w:t>
      </w:r>
    </w:p>
    <w:p w14:paraId="48D0CD24">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对医生开立的电子申请能够方便地安排检查时间、录入检查注意事项；对纸张申请能够实现电子化并安排检查时间。</w:t>
      </w:r>
    </w:p>
    <w:p w14:paraId="0D5AC482">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能够接收并方便地调阅尚未安排的电子申请列表并对其进行操作。</w:t>
      </w:r>
    </w:p>
    <w:p w14:paraId="6E316E50">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能够提供方便的手段了解各个预约队列的时间占用情况以便安排新检查。</w:t>
      </w:r>
    </w:p>
    <w:p w14:paraId="7961F104">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确定电子申请单ID,反馈外部系统检查状态及信息。</w:t>
      </w:r>
    </w:p>
    <w:p w14:paraId="3D680D55">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能够提供注意事项录入模板功能方便用户录入反馈注意事项。</w:t>
      </w:r>
    </w:p>
    <w:p w14:paraId="5BD4387D">
      <w:pPr>
        <w:pStyle w:val="436"/>
        <w:widowControl w:val="0"/>
        <w:numPr>
          <w:ilvl w:val="0"/>
          <w:numId w:val="68"/>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对纸张申请单提供直接录入功能，可以通过病人ID从HIS方提取病人的一般信息，直接录入检查项目等信息；可以增加患者的申请单扫描或拍照等方式，数字化后的申请单可保存在系统中，供诊断医院参考。系统支持多种图像输入设备、包括扫描仪、拍照仪等。</w:t>
      </w:r>
    </w:p>
    <w:p w14:paraId="7787FF9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9.1.1.1.7.3电子病历接口</w:t>
      </w:r>
    </w:p>
    <w:p w14:paraId="3765C23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能够提供接口，将院内电子病历系统通过参数传递方式在PACS/RIS系统内无缝集成。</w:t>
      </w:r>
    </w:p>
    <w:p w14:paraId="55D96B6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支持与上级行政主管部门提供的特殊人群电子病历信息进行对接，实现导入、隐私保护查看等功能。</w:t>
      </w:r>
    </w:p>
    <w:p w14:paraId="10FA7F6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9.1.1.2放射AI智能体</w:t>
      </w:r>
    </w:p>
    <w:p w14:paraId="74F6473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9.1.1.2.1 AI辅助诊断集成</w:t>
      </w:r>
    </w:p>
    <w:p w14:paraId="2717F18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方便诊断医生在同一界面操作下查看所有AI产品结果。需集成各类AI厂商模型，集中展现各个病种模型的诊断结果。</w:t>
      </w:r>
    </w:p>
    <w:p w14:paraId="5C99F0B5">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9.1.1.2.2排班绩效管理</w:t>
      </w:r>
    </w:p>
    <w:p w14:paraId="18B424BA">
      <w:pPr>
        <w:pStyle w:val="436"/>
        <w:widowControl w:val="0"/>
        <w:numPr>
          <w:ilvl w:val="0"/>
          <w:numId w:val="6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需支持根据生成的工作量系数，输入绩效奖金后，可自动计算科室奖金。</w:t>
      </w:r>
    </w:p>
    <w:p w14:paraId="51F1A64C">
      <w:pPr>
        <w:pStyle w:val="436"/>
        <w:widowControl w:val="0"/>
        <w:numPr>
          <w:ilvl w:val="0"/>
          <w:numId w:val="6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需支持诊断的亚学科分组，向各诊断岗位的诊断医生自动派发诊断任务，综合诊断医生的报告数量、难度、职称等多维因素进行绩效评定。</w:t>
      </w:r>
    </w:p>
    <w:p w14:paraId="3E858A53">
      <w:pPr>
        <w:pStyle w:val="436"/>
        <w:widowControl w:val="0"/>
        <w:numPr>
          <w:ilvl w:val="0"/>
          <w:numId w:val="69"/>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需支持对依据检查属性以及诊断医生的辅助科室管理人员进行科室人员分工、排班管理，系统支持医生级别分组，设备类型分组、患者类型分组、检查部位等多种方式进行医生分组管理。</w:t>
      </w:r>
    </w:p>
    <w:p w14:paraId="24186E64">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9.1.1.2.3即时沟通助手</w:t>
      </w:r>
    </w:p>
    <w:p w14:paraId="584FBCCE">
      <w:pPr>
        <w:pStyle w:val="436"/>
        <w:widowControl w:val="0"/>
        <w:numPr>
          <w:ilvl w:val="0"/>
          <w:numId w:val="7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需具备用户在线，忙碌，离线等分组。</w:t>
      </w:r>
    </w:p>
    <w:p w14:paraId="060B19CF">
      <w:pPr>
        <w:pStyle w:val="436"/>
        <w:widowControl w:val="0"/>
        <w:numPr>
          <w:ilvl w:val="0"/>
          <w:numId w:val="70"/>
        </w:numPr>
        <w:spacing w:line="360" w:lineRule="auto"/>
        <w:ind w:left="1060" w:leftChars="0" w:firstLine="0" w:firstLineChars="0"/>
        <w:jc w:val="both"/>
        <w:rPr>
          <w:rFonts w:hint="eastAsia" w:cs="Times New Roman"/>
          <w:color w:val="auto"/>
          <w:highlight w:val="none"/>
          <w:lang w:val="en-US"/>
        </w:rPr>
      </w:pPr>
      <w:r>
        <w:rPr>
          <w:rFonts w:hint="eastAsia" w:cs="Times New Roman"/>
          <w:color w:val="auto"/>
          <w:highlight w:val="none"/>
          <w:lang w:val="en-US"/>
        </w:rPr>
        <w:t>需具有群发消息功能，可以分别针对不同的组分别群发消息，如：高级医生的组群发，中级医生的组群发。</w:t>
      </w:r>
    </w:p>
    <w:p w14:paraId="73C79230">
      <w:pPr>
        <w:pStyle w:val="436"/>
        <w:widowControl w:val="0"/>
        <w:numPr>
          <w:ilvl w:val="0"/>
          <w:numId w:val="70"/>
        </w:numPr>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cs="Times New Roman"/>
          <w:color w:val="auto"/>
          <w:highlight w:val="none"/>
          <w:lang w:val="en-US"/>
        </w:rPr>
        <w:t>需具备会诊功能，医生可以发送需要会诊的患者连接，给需要进行会诊的医生，接收到的医生可以直接打开病人报告及图像。</w:t>
      </w:r>
    </w:p>
    <w:p w14:paraId="0E9296E0">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9.1.1.2.4AI智能体</w:t>
      </w:r>
    </w:p>
    <w:p w14:paraId="28B2D43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9.1.1.2.4.1影像图片质控</w:t>
      </w:r>
    </w:p>
    <w:p w14:paraId="6F84D8D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可自动检测影像图片（包括并不限于如DR胸部正片等）的伪影干扰、体位偏差及解剖结构缺失和标识位置等问题，并实时生成质控评分。</w:t>
      </w:r>
    </w:p>
    <w:p w14:paraId="568072A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9.1.1.2.4.2智能报告质控</w:t>
      </w:r>
    </w:p>
    <w:p w14:paraId="18BC08F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需支持对报告内容进行错别字，测量单位、报告合理性、临床诊断与放射诊断一致性的提示，及时指正错误。</w:t>
      </w:r>
    </w:p>
    <w:p w14:paraId="00B12628">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9.1.1.2.4.3报告危急值智能预警</w:t>
      </w:r>
    </w:p>
    <w:p w14:paraId="27117D0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需支持通过报告描述内容自动识别关键异常指标。需支持秒级响应并呈现危急值分析结果。</w:t>
      </w:r>
    </w:p>
    <w:p w14:paraId="64F5A392">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9.1.1.2.4.4报告智能辅助评估</w:t>
      </w:r>
    </w:p>
    <w:p w14:paraId="3E91085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需支持通过报告描述内容，自动生成基于指南与临床知识库的诊断结论，输出潜在疾病概率及鉴别诊断提示，减少漏诊风险。</w:t>
      </w:r>
    </w:p>
    <w:p w14:paraId="5CF8FFB7">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9.1.1.3超声AI智能体</w:t>
      </w:r>
    </w:p>
    <w:p w14:paraId="5776E5B9">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9.1.1.3.1结构化报告</w:t>
      </w:r>
    </w:p>
    <w:p w14:paraId="0757C6AC">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9.1.1.3.1.1结构化主题报告</w:t>
      </w:r>
    </w:p>
    <w:p w14:paraId="4D6D6D8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需提供心肌功能牛眼图和对应血管主要心肌负荷图，以及标准结构化录入报告。</w:t>
      </w:r>
    </w:p>
    <w:p w14:paraId="7A0ED07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需支持定位图解剖部位选择，联动诊断模版内容。</w:t>
      </w:r>
    </w:p>
    <w:p w14:paraId="256066EF">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9.1.1.3.2AI智能体</w:t>
      </w:r>
    </w:p>
    <w:p w14:paraId="7E59A27B">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9.1.1.3.2.1AI报告质控</w:t>
      </w:r>
    </w:p>
    <w:p w14:paraId="4FBB49B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需支持对报告内容进行错别字，测量单位、报告合理性、临床诊断与放射诊断一致性的提示，及时指正错误。</w:t>
      </w:r>
    </w:p>
    <w:p w14:paraId="5F079CDD">
      <w:pPr>
        <w:pStyle w:val="4"/>
        <w:pageBreakBefore w:val="0"/>
        <w:widowControl w:val="0"/>
        <w:numPr>
          <w:ilvl w:val="0"/>
          <w:numId w:val="0"/>
        </w:numPr>
        <w:kinsoku/>
        <w:wordWrap/>
        <w:overflowPunct/>
        <w:topLinePunct w:val="0"/>
        <w:autoSpaceDE/>
        <w:autoSpaceDN/>
        <w:bidi w:val="0"/>
        <w:adjustRightInd/>
        <w:snapToGrid/>
        <w:spacing w:before="0" w:after="0" w:line="360" w:lineRule="auto"/>
        <w:ind w:left="800" w:left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9.1.1.4服务要求</w:t>
      </w:r>
    </w:p>
    <w:p w14:paraId="4219AAA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需提供1名产品开发工程师驻场，1名交付工程师驻场；</w:t>
      </w:r>
    </w:p>
    <w:p w14:paraId="1FA7F47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▲除现有医院在用已接入设备外，项目验收前新增设备</w:t>
      </w:r>
      <w:r>
        <w:rPr>
          <w:rFonts w:hint="eastAsia" w:cs="Times New Roman"/>
          <w:color w:val="auto"/>
          <w:highlight w:val="none"/>
          <w:lang w:val="en-US" w:eastAsia="zh-CN"/>
        </w:rPr>
        <w:t>需</w:t>
      </w:r>
      <w:r>
        <w:rPr>
          <w:rFonts w:hint="eastAsia" w:cs="Times New Roman"/>
          <w:color w:val="auto"/>
          <w:highlight w:val="none"/>
          <w:lang w:val="en-US"/>
        </w:rPr>
        <w:t>接入</w:t>
      </w:r>
      <w:r>
        <w:rPr>
          <w:rFonts w:hint="eastAsia" w:cs="Times New Roman"/>
          <w:color w:val="auto"/>
          <w:highlight w:val="none"/>
          <w:lang w:val="en-US" w:eastAsia="zh-CN"/>
        </w:rPr>
        <w:t>的不额外收费</w:t>
      </w:r>
      <w:r>
        <w:rPr>
          <w:rFonts w:hint="eastAsia" w:cs="Times New Roman"/>
          <w:color w:val="auto"/>
          <w:highlight w:val="none"/>
          <w:lang w:val="en-US"/>
        </w:rPr>
        <w:t>。（投标人须按上述要求提供书面承诺书）</w:t>
      </w:r>
      <w:bookmarkStart w:id="176" w:name="_Toc657"/>
      <w:bookmarkStart w:id="177" w:name="_Toc10905"/>
      <w:bookmarkStart w:id="178" w:name="_Toc206078497"/>
    </w:p>
    <w:p w14:paraId="37F0067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 LIS系统</w:t>
      </w:r>
      <w:bookmarkEnd w:id="176"/>
      <w:bookmarkEnd w:id="177"/>
      <w:bookmarkEnd w:id="178"/>
    </w:p>
    <w:p w14:paraId="0E35B1D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9.1.2.1LIS系统</w:t>
      </w:r>
    </w:p>
    <w:p w14:paraId="3CF55D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79" w:name="_Toc97072224"/>
      <w:r>
        <w:rPr>
          <w:rFonts w:hint="eastAsia" w:ascii="宋体" w:hAnsi="宋体" w:eastAsia="宋体" w:cs="宋体"/>
          <w:b w:val="0"/>
          <w:bCs w:val="0"/>
          <w:color w:val="auto"/>
          <w:sz w:val="21"/>
          <w:szCs w:val="21"/>
          <w:highlight w:val="none"/>
          <w:lang w:val="en-US" w:eastAsia="zh-CN"/>
        </w:rPr>
        <w:t>9.1.2.1.1标本采集</w:t>
      </w:r>
    </w:p>
    <w:p w14:paraId="2C21237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9.1.2.1.1.1门诊标本采集</w:t>
      </w:r>
    </w:p>
    <w:p w14:paraId="0E5B5C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9.1.2.1.1.1.1扫码获取患者信息</w:t>
      </w:r>
    </w:p>
    <w:p w14:paraId="6204485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需支持通过患者的唯一标识（门诊号，就诊卡，医保卡，电子医保卡，申请单号）等信息查询HIS系统患者信息，获得相关的门诊患者信息。</w:t>
      </w:r>
    </w:p>
    <w:p w14:paraId="595814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9.1.2.1.1.1.2获取医嘱信息</w:t>
      </w:r>
    </w:p>
    <w:p w14:paraId="2328F5A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需支持通过患者信息查询HIS系统门诊收费信息，获得相关的检验医嘱信息。</w:t>
      </w:r>
    </w:p>
    <w:p w14:paraId="75653B7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9.1.2.1.1.1.3根据组合规则并管打印条码</w:t>
      </w:r>
    </w:p>
    <w:p w14:paraId="47A84E9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医嘱项目根据维护的项目组合规则，主要根据标本类型、容器类型、组合标识来进行排序和组合，还可以根据院区、开立科室、患者类型、执行科室等进行特殊组合。点击打印后所勾选的医嘱项目输出到条码打印机，同时医嘱会转到已打印医嘱项目。</w:t>
      </w:r>
    </w:p>
    <w:p w14:paraId="1EDB5CB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9.1.2.1.1.1.4已打印医嘱项目</w:t>
      </w:r>
    </w:p>
    <w:p w14:paraId="6080568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需支持已打印医嘱项目可以看到医嘱对应的条码号、打印人、打印时间等信息，可以对勾选的项目补打或作废操作，作废后的项目会重回到未打印医嘱项目里。</w:t>
      </w:r>
    </w:p>
    <w:p w14:paraId="368483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9.1.2.1.1.1.5需重采医嘱项目</w:t>
      </w:r>
    </w:p>
    <w:p w14:paraId="14C46532">
      <w:pPr>
        <w:pStyle w:val="436"/>
        <w:widowControl w:val="0"/>
        <w:numPr>
          <w:ilvl w:val="0"/>
          <w:numId w:val="0"/>
        </w:numPr>
        <w:spacing w:line="360" w:lineRule="auto"/>
        <w:ind w:left="1060" w:leftChars="0"/>
        <w:jc w:val="both"/>
        <w:rPr>
          <w:rFonts w:hint="eastAsia" w:cs="Times New Roman"/>
          <w:color w:val="auto"/>
          <w:highlight w:val="none"/>
          <w:lang w:val="en-US"/>
        </w:rPr>
      </w:pPr>
      <w:bookmarkStart w:id="180" w:name="_Hlk191919037"/>
      <w:r>
        <w:rPr>
          <w:rFonts w:hint="eastAsia" w:cs="Times New Roman"/>
          <w:color w:val="auto"/>
          <w:highlight w:val="none"/>
          <w:lang w:val="en-US"/>
        </w:rPr>
        <w:t>▲需支持</w:t>
      </w:r>
      <w:bookmarkStart w:id="181" w:name="_Hlk191919021"/>
      <w:r>
        <w:rPr>
          <w:rFonts w:hint="eastAsia" w:cs="Times New Roman"/>
          <w:color w:val="auto"/>
          <w:highlight w:val="none"/>
          <w:lang w:val="en-US"/>
        </w:rPr>
        <w:t>被检验人员登记为不合格标本或复查标本并需要重新采样的医嘱，在门诊采集界面中有单独的列表可以查看，不与“已打印医嘱项目”列表混在一起，以方便单独关注及管理，点打印条码会重新生成新条码号</w:t>
      </w:r>
      <w:bookmarkEnd w:id="180"/>
      <w:bookmarkEnd w:id="181"/>
      <w:r>
        <w:rPr>
          <w:rFonts w:hint="eastAsia" w:cs="Times New Roman"/>
          <w:color w:val="auto"/>
          <w:highlight w:val="none"/>
          <w:lang w:val="en-US"/>
        </w:rPr>
        <w:t>。（投标人须按上述要求提供系统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p w14:paraId="4D6AFE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9.1.2.1.1.1.6本地化设置</w:t>
      </w:r>
    </w:p>
    <w:p w14:paraId="1CBE4EA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门诊条码打印界面即时进行本地化设置，包括条码打印时可以同时将接收时间置为当前时间、当前PC是否打印回执单等。支持指定不同的医嘱项目打印不同数量的条码，可以设置多组。以上设置皆为本地化设置，不影响其他PC。（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p w14:paraId="4BDB1A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9.1.2.1.1.2住院标本采集</w:t>
      </w:r>
    </w:p>
    <w:p w14:paraId="2F95950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9.1.2.1.1.2.1加载患者信息列表</w:t>
      </w:r>
    </w:p>
    <w:p w14:paraId="1883A55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需支持通过护士的登录护士站等信息查询HIS系统患者信息，获得此护士站下的患者信息集合。</w:t>
      </w:r>
    </w:p>
    <w:p w14:paraId="0D6A7BA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9.1.2.1.1.2.2获取医嘱信息</w:t>
      </w:r>
    </w:p>
    <w:p w14:paraId="4916A45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需支持通过患者信息查询HIS系统住院医嘱信息，获得相关的检验医嘱信息。</w:t>
      </w:r>
    </w:p>
    <w:p w14:paraId="04AB5B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9.1.2.1.1.2.3根据组合规则并管打印条码</w:t>
      </w:r>
    </w:p>
    <w:p w14:paraId="3CF3318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医嘱项目根据维护的项目组合规则，主要根据标本类型、容器类型、组合标识来进行排序和组合，还可以根据院区、开立科室、患者类型、执行科室等进行特殊组合。点击打印后所勾选的医嘱项目输出到条码打印机，同时医嘱会转到已打印医嘱项目。</w:t>
      </w:r>
    </w:p>
    <w:p w14:paraId="58C0B1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9.1.2.1.1.2.4已打印医嘱项目</w:t>
      </w:r>
    </w:p>
    <w:p w14:paraId="7366A66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需支持已打印医嘱项目可以看到医嘱对应的条码号、打印人、打印时间等信息，可以对勾选的项目补打或作废操作，作废后的项目会重回到未打印医嘱项目里。</w:t>
      </w:r>
    </w:p>
    <w:p w14:paraId="440AF0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9.1.2.1.1.2.5需重采医嘱项目</w:t>
      </w:r>
    </w:p>
    <w:p w14:paraId="72B356E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需支持登记为不合格标本或复查标本需要重新采样的医嘱，点打印条码会重新生成新条码号。</w:t>
      </w:r>
    </w:p>
    <w:p w14:paraId="6518D9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9.1.2.1.1.3体检标本采集</w:t>
      </w:r>
    </w:p>
    <w:p w14:paraId="0564412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9.1.2.1.1.3.1扫码获取患者信息</w:t>
      </w:r>
    </w:p>
    <w:p w14:paraId="7223630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需支持通过体检患者的标识（体检号，体检流水号）等信息查询HIS系统患者信息，获得相关的门诊患者信息。</w:t>
      </w:r>
    </w:p>
    <w:p w14:paraId="529C08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9.1.2.1.1.3.2获取医嘱信息</w:t>
      </w:r>
    </w:p>
    <w:p w14:paraId="470485D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需支持通过患者信息查询HIS系统门诊收费信息，获得相关的检验医嘱信息。</w:t>
      </w:r>
    </w:p>
    <w:p w14:paraId="138EA80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9.1.2.1.1.3.3根据组合规则并管打印条码</w:t>
      </w:r>
    </w:p>
    <w:p w14:paraId="62CFD24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医嘱项目根据维护的项目组合规则，主要根据标本类型、容器类型、组合标识来进行排序和组合，还可以根据院区、开立科室、患者类型、执行科室等进行特殊组合。点击打印后所勾选的医嘱项目输出到条码打印机，同时医嘱会转到已打印医嘱项目。</w:t>
      </w:r>
    </w:p>
    <w:p w14:paraId="59C1E1A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9.1.2.1.1.3.4已打印医嘱项目</w:t>
      </w:r>
    </w:p>
    <w:p w14:paraId="7DFB906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需支持已打印医嘱项目可以看到医嘱对应的条码号、打印人、打印时间等信息，可以对勾选的项目补打或作废操作，作废后的项目会重回到未打印医嘱项目里。</w:t>
      </w:r>
    </w:p>
    <w:p w14:paraId="36E072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9.1.2.1.1.3.5需重采医嘱项目</w:t>
      </w:r>
    </w:p>
    <w:p w14:paraId="5B9A337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需支持对需要重新采样的医嘱进行不合格标本或复查标本登记，可重新生成新条码号。</w:t>
      </w:r>
    </w:p>
    <w:p w14:paraId="45B590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9.1.2.1.1.4标本采集确认</w:t>
      </w:r>
    </w:p>
    <w:p w14:paraId="6175A61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9.1.2.1.1.4.1标本待采集确认查询</w:t>
      </w:r>
    </w:p>
    <w:p w14:paraId="79728D0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需支持通过患者类型、条码打印时间、标本大类、标本类型、条码打印人，可查询相应的待采集信息列表。</w:t>
      </w:r>
    </w:p>
    <w:p w14:paraId="3A997E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9.1.2.1.1.4.2标本采集确认</w:t>
      </w:r>
    </w:p>
    <w:p w14:paraId="2D9E1FD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需支持进行标本条码扫码，对标本进行采集确认，生成采集时间及相关操作信息。</w:t>
      </w:r>
    </w:p>
    <w:p w14:paraId="26388F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9.1.2.1.2标本转运</w:t>
      </w:r>
    </w:p>
    <w:p w14:paraId="62EA545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9.1.2.1.2.1标本送检</w:t>
      </w:r>
    </w:p>
    <w:p w14:paraId="52B1C94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9.1.2.1.2.1.1标本送检管理</w:t>
      </w:r>
    </w:p>
    <w:p w14:paraId="0983431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需支持默认自动匹配模式，通过扫描枪扫描标本上的条码号，获取标本信息，并且根据送检地点的不同，自动匹配对应的送检目的地，根据送检目标生成待送检信息列表。</w:t>
      </w:r>
    </w:p>
    <w:p w14:paraId="0BB1C03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也可以选择手动分配模式，选择待送检地点通过扫描或输入标本上的条码号，生成待送检标本信息列表。</w:t>
      </w:r>
    </w:p>
    <w:p w14:paraId="3D26F4C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需支持登记物流人员信息和打印送检单或送检条码。</w:t>
      </w:r>
    </w:p>
    <w:p w14:paraId="1A89AC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9.1.2.1.2.1.2标本送出确认</w:t>
      </w:r>
    </w:p>
    <w:p w14:paraId="2EB7BA0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需支持物流人员可以按照送检单模式或者条码模式，对标本进行送出确认。</w:t>
      </w:r>
    </w:p>
    <w:p w14:paraId="59693C5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9.1.2.1.2.2标本送达</w:t>
      </w:r>
    </w:p>
    <w:p w14:paraId="353BE71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9.1.2.1.2.2.1标本送达工作站</w:t>
      </w:r>
    </w:p>
    <w:p w14:paraId="561D13E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需支持物流人员将标本送到指定地点后，可在标本送达工作站页面，按照送检单模式或者条码模式，进行扫描确认送达的标本，并可以填写送达人信息。</w:t>
      </w:r>
    </w:p>
    <w:p w14:paraId="349167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9.1.2.1.2.3标本接收</w:t>
      </w:r>
    </w:p>
    <w:p w14:paraId="4945FA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9.1.2.1.2.3.1按条码接收</w:t>
      </w:r>
    </w:p>
    <w:p w14:paraId="1CACD01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用户通过扫描标本条码号，系统显示条码对应的标本信息，提示标本的相关重要信息，如：急诊，超时标本，高危患者，脑卒中患者，医嘱备注信息提示等。</w:t>
      </w:r>
    </w:p>
    <w:p w14:paraId="2CB73DB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9.1.2.1.2.3.2按送检单接收</w:t>
      </w:r>
    </w:p>
    <w:p w14:paraId="0CC7AD5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用户需要先扫描送检单号，再通过逐一扫描送检单内的标本条码号及进行接收，系统会显示条码对应的标本信息和提示标本的相关重要信息，如：急诊，超时标本，高危患者，脑卒中患者，医嘱备注信息提示等。</w:t>
      </w:r>
    </w:p>
    <w:p w14:paraId="6352836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需支持接收本地配置提供根据接收地点不同设置允许接收标本的过滤条件，包括标本类型、执行科室、医嘱项目。</w:t>
      </w:r>
    </w:p>
    <w:p w14:paraId="6F86FBB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需支持在接收时，进行登记不合格标本信息，同时将不合格标本信息发送至病区或门诊护士站，通知护士标本需要重新采集。</w:t>
      </w:r>
    </w:p>
    <w:p w14:paraId="2873E01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需支持系统同时将不合格标本信息发送至病区或门诊护士站，通知护士标本需要重新采集。</w:t>
      </w:r>
    </w:p>
    <w:p w14:paraId="0068C42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需支持接收时确认条码费用：系统需支持接收标本时，确认费用操作。费用确认失败时，不允许接收。</w:t>
      </w:r>
    </w:p>
    <w:p w14:paraId="4E3AA2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9.1.2.1.2.3.3已接收标本管理</w:t>
      </w:r>
    </w:p>
    <w:p w14:paraId="3A77072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需支持已接收标本管理提供按送检单查询和按标本明细查询两种方式。</w:t>
      </w:r>
    </w:p>
    <w:p w14:paraId="0359F7D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需支持查询标本明细，可根据条码打印时间范围和标本状态、患者类别、执行科室、患者编号、开立科室、执行专业组、条码号、护士站等条件查询已接收详细信息。</w:t>
      </w:r>
    </w:p>
    <w:p w14:paraId="2D861EC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需支持在查看标本条码同时查看是否有对应的送检单信息。</w:t>
      </w:r>
    </w:p>
    <w:p w14:paraId="0D57245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系统需支持对已接收标本内容进行导出。</w:t>
      </w:r>
    </w:p>
    <w:p w14:paraId="631AD17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需支持根据送检单号、送检时间范围、送检单状态等查询送检单信息和对应送检单明细，可查看标本明细和标本当前状态，方便检验人员跟踪标本信息。</w:t>
      </w:r>
    </w:p>
    <w:p w14:paraId="16E369C0">
      <w:pPr>
        <w:pStyle w:val="436"/>
        <w:widowControl w:val="0"/>
        <w:numPr>
          <w:ilvl w:val="0"/>
          <w:numId w:val="0"/>
        </w:numPr>
        <w:spacing w:line="360" w:lineRule="auto"/>
        <w:ind w:left="1060" w:leftChars="0"/>
        <w:jc w:val="both"/>
        <w:rPr>
          <w:rFonts w:hint="eastAsia"/>
          <w:color w:val="auto"/>
          <w:highlight w:val="none"/>
        </w:rPr>
      </w:pPr>
      <w:r>
        <w:rPr>
          <w:rFonts w:hint="eastAsia" w:cs="Times New Roman"/>
          <w:color w:val="auto"/>
          <w:highlight w:val="none"/>
          <w:lang w:val="en-US"/>
        </w:rPr>
        <w:t>需支持对已接收的送检单和对应标本明细内容进行导出。</w:t>
      </w:r>
    </w:p>
    <w:p w14:paraId="2D5CAD3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9.1.2.1.3常规检验</w:t>
      </w:r>
    </w:p>
    <w:p w14:paraId="576DCEE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9.1.2.1.3.1常规标本签收</w:t>
      </w:r>
    </w:p>
    <w:p w14:paraId="2AA6548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常规标本扫码签收，扫描标本条码后，获取标本内的信息并展现到界面中，可以区分已签收和未签收的医嘱，系统根据条码对应的项目自动寻找检验设备。选择签收日期，系统可以根据设置的排号规则自动生成标本号。</w:t>
      </w:r>
    </w:p>
    <w:p w14:paraId="4A064B4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需支持签收时确认条码费用：系统需支持签收标本时，确认费用操作。费用确认失败时，不允许签收。</w:t>
      </w:r>
    </w:p>
    <w:p w14:paraId="6E8313D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需支持签收体检标本：需支持签收第三方系统打印的条码信息，签收时将第三方系统（如体检系统或者HIS系统）打印的条码插入LIS条码表中，同时完成签收操作。</w:t>
      </w:r>
    </w:p>
    <w:p w14:paraId="359D4DF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需支持快速取消签收：需支持在签收界面查看最近签收的标本，并可以快速取消签收。</w:t>
      </w:r>
    </w:p>
    <w:p w14:paraId="6EC5BAF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需支持签收模式设置：需支持快速签收及校验模式签收。</w:t>
      </w:r>
    </w:p>
    <w:p w14:paraId="32A1E68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签收本地配置：系统中设置允许签收标本的过滤条件，包括标本类型、执行科室、检验项目。也可以设置不允许签收的标本类型、执行科室和检验项目。扫描条码对应的信息与设置信息不符时，提示同时不允许签收。</w:t>
      </w:r>
    </w:p>
    <w:p w14:paraId="0815926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9.1.2.1.3.2检验单管理</w:t>
      </w:r>
    </w:p>
    <w:p w14:paraId="3E9E263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9.1.2.1.3.2.1检验单列表</w:t>
      </w:r>
    </w:p>
    <w:p w14:paraId="542D4A5F">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需支持查看指定报告单元及检验日期的所有报告单，可以看到报告单的标本号、审核及发布状态、患者姓名、医嘱项目、测试项目完成状态、患者信息、标本信息等。</w:t>
      </w:r>
    </w:p>
    <w:p w14:paraId="688B0D6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需支持报告单数量统计及未审核数量统计。</w:t>
      </w:r>
    </w:p>
    <w:p w14:paraId="398E220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需支持按单号、按多条件、按关键词等搜索检验单。</w:t>
      </w:r>
    </w:p>
    <w:p w14:paraId="1CBC38D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需支持对检验单的所有操作，包括排序和列表刷新等。</w:t>
      </w:r>
    </w:p>
    <w:p w14:paraId="7BDC6E5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需支持对检验单状态的各种图例进行全部展现及说明。</w:t>
      </w:r>
    </w:p>
    <w:p w14:paraId="5281ACD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9.1.2.1.3.2.2检验单合并</w:t>
      </w:r>
    </w:p>
    <w:p w14:paraId="53D1690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需支持系统定义规则，对不同仪器的检验标本信息和结果进行合并。合并后，原检验单会删除。</w:t>
      </w:r>
    </w:p>
    <w:p w14:paraId="23B7547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9.1.2.1.3.2.3检验单移动</w:t>
      </w:r>
    </w:p>
    <w:p w14:paraId="4B2F222E">
      <w:pPr>
        <w:pStyle w:val="436"/>
        <w:widowControl w:val="0"/>
        <w:numPr>
          <w:ilvl w:val="0"/>
          <w:numId w:val="0"/>
        </w:numPr>
        <w:spacing w:line="360" w:lineRule="auto"/>
        <w:ind w:left="1060" w:leftChars="0"/>
        <w:jc w:val="both"/>
        <w:rPr>
          <w:rFonts w:hint="eastAsia" w:cs="Times New Roman"/>
          <w:color w:val="auto"/>
          <w:highlight w:val="none"/>
          <w:lang w:val="en-US" w:eastAsia="zh-CN"/>
        </w:rPr>
      </w:pPr>
      <w:r>
        <w:rPr>
          <w:rFonts w:hint="eastAsia" w:cs="Times New Roman"/>
          <w:color w:val="auto"/>
          <w:highlight w:val="none"/>
          <w:lang w:val="en-US" w:eastAsia="zh-CN"/>
        </w:rPr>
        <w:t>需支持检验单移动，修改标本号，修改对应的报告单元信息；包括移动检验单时目标结果和原检验单结果的处理方式。</w:t>
      </w:r>
    </w:p>
    <w:p w14:paraId="6A3F223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9.1.2.1.3.2.4患者信息管理</w:t>
      </w:r>
    </w:p>
    <w:p w14:paraId="13107A3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需支持对检验单的患者信息、标本信息及医嘱信息进行查看和编辑。</w:t>
      </w:r>
    </w:p>
    <w:p w14:paraId="7A2D48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9.1.2.1.3.2.5新建检验单</w:t>
      </w:r>
    </w:p>
    <w:p w14:paraId="3642488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需支持通过检验单列表新建检验单，登记检验单信息，包括患者信息、标本信息、医嘱信息等。</w:t>
      </w:r>
    </w:p>
    <w:p w14:paraId="27E49B7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需支持连续创建检验单时，固定带入上一次创建的检验单中指定信息。</w:t>
      </w:r>
    </w:p>
    <w:p w14:paraId="082DD2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9.1.2.1.3.2.6检验标本TAT监控</w:t>
      </w:r>
    </w:p>
    <w:p w14:paraId="60EB3BD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需支持系统详细展示TAT信息，监控每个操作节点，方便查看、追踪标本。</w:t>
      </w:r>
    </w:p>
    <w:p w14:paraId="3B63274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标本详细TAT：展示医嘱开立、条码打印、标本采集、标本送检、标本接收、标本签收、标本检测、结果传输、标本审核、报告打印、标本后处理、标本销毁等操作节点的展示操作时间、操作人及时间间隔。显示此标本正常操作的节点、当前节点及缺失的节点信息。</w:t>
      </w:r>
    </w:p>
    <w:p w14:paraId="65E5D06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需支持标本操作日志查询：根据条码号查询此标本的所有操作日志信息，记录操作内容、操作人及IP信息等</w:t>
      </w:r>
    </w:p>
    <w:p w14:paraId="3C7855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9.1.2.1.3.2.7添加医嘱及测试项目</w:t>
      </w:r>
    </w:p>
    <w:p w14:paraId="6F7ECD9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需支持检验医嘱项目添加：对指定的检验单标本号增加某个医嘱项目。</w:t>
      </w:r>
    </w:p>
    <w:p w14:paraId="6EA2ED9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需支持检验测试项目添加：对指定的检验单标本号，增加某个测试项目到检验单中，同时可批量增加多个测试项目到多张检验单中。</w:t>
      </w:r>
    </w:p>
    <w:p w14:paraId="7B81362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9.1.2.1.3.2.8检验单审核/发布</w:t>
      </w:r>
    </w:p>
    <w:p w14:paraId="270886D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需支持检验员对报告结果及检验单信息进行检查核对，没有异议时即可对检验单进行审核操作，表示检测已结束，已审核后的检验单可以直观看到“已审核”状态。</w:t>
      </w:r>
    </w:p>
    <w:p w14:paraId="0D28960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需支持登录校验管理：审核前需要提示输入密码。</w:t>
      </w:r>
    </w:p>
    <w:p w14:paraId="69107AC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需支持审核校验：系统需需支持审核人和检验人限制是否是同一个人。</w:t>
      </w:r>
    </w:p>
    <w:p w14:paraId="38434E9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需支持危急值审核时提醒：出现危急值结果时，若未发送危急值，则在审核时弹出对话框，要求输入信息，发送危急值给医生，医生及时处理，保证患者的生命安全。</w:t>
      </w:r>
    </w:p>
    <w:p w14:paraId="092B652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员对已审核检验单进行检查核对，没有异议时即可对检验单进行发布操作，表示报告已发布，临床医生可以浏览及打印检验报告，门诊患者可以通过自助报告机打印报告。已发布后的检验单可以直观看到“已审核”状态。</w:t>
      </w:r>
    </w:p>
    <w:p w14:paraId="60D36E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9.1.2.1.3.2.9检验单取消审核/发布</w:t>
      </w:r>
    </w:p>
    <w:p w14:paraId="2A353C0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需支持对已经审核或发布的检验单进行取消审核或取消发布，进行取消操作时，需要填写原因。</w:t>
      </w:r>
    </w:p>
    <w:p w14:paraId="574D00C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需支持检验单已经被医生或患者查看或打印，给出提示。</w:t>
      </w:r>
    </w:p>
    <w:p w14:paraId="4022E40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需支持非本人审核的检验单不允许取消审核（可以通过开关控制）</w:t>
      </w:r>
    </w:p>
    <w:p w14:paraId="15919F7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9.1.2.1.3.2.10检验单批量审核</w:t>
      </w:r>
    </w:p>
    <w:p w14:paraId="0E9EFB9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需支持对检验单进行批量审核。</w:t>
      </w:r>
    </w:p>
    <w:p w14:paraId="04275AA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需支持对空结果及包含有异常值的检验单进行筛选。</w:t>
      </w:r>
    </w:p>
    <w:p w14:paraId="74CE71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9.1.2.1.3.2.11检验单初审</w:t>
      </w:r>
    </w:p>
    <w:p w14:paraId="2EF3356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需支持初级检验员完成检验或结果录入后，可以对检验单进行初审操作。初审后的检验单将等待有审核资质的检验人员进行审核及发布，已初审的检验单可以直观看到“已初审”的状态。</w:t>
      </w:r>
    </w:p>
    <w:p w14:paraId="43539B1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需支持指定报告单元中的检验单是否可以进行初审，可以进行设置。</w:t>
      </w:r>
    </w:p>
    <w:p w14:paraId="797174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9.1.2.1.3.2.12检验单批量初审</w:t>
      </w:r>
    </w:p>
    <w:p w14:paraId="108D81B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需支持对检验单进行批量初审。</w:t>
      </w:r>
    </w:p>
    <w:p w14:paraId="1FB577B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需支持对空结果及包含有异常值的检验单进行筛选。</w:t>
      </w:r>
    </w:p>
    <w:p w14:paraId="0FBF3A9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9.1.2.1.3.2.13检验单锁定</w:t>
      </w:r>
    </w:p>
    <w:p w14:paraId="363898A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单中的结果有问题需要进一步复查时，可以通过将检验单锁定，防止检验单被误审核或发布。已锁定的检验单不能被修改任何信息，也不能被审核或发布，直至取消锁定。锁定检验单时需要填写锁定原因。</w:t>
      </w:r>
    </w:p>
    <w:p w14:paraId="34448B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9.1.2.1.3.2.14检验单封存</w:t>
      </w:r>
    </w:p>
    <w:p w14:paraId="44B697A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需支持当检验单完成了生命周期，由于特殊原因，不会被进行审核及发布，但检验单的所有内容需要被留存，业务完成闭环时，可以进行检验单封存操作。封存后的检验单相当于完成了检验，是“已完成”状态。</w:t>
      </w:r>
    </w:p>
    <w:p w14:paraId="2BE4602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需支持进行检验单封存时，需要填写原因。</w:t>
      </w:r>
    </w:p>
    <w:p w14:paraId="734A398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需支持封存检验单的标本可以被进行后管理登记。</w:t>
      </w:r>
    </w:p>
    <w:p w14:paraId="018E87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9.1.2.1.3.2.15检验单删除</w:t>
      </w:r>
    </w:p>
    <w:p w14:paraId="53E68E1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需支持审核前的检验单可以删除，确认无误后即可删除。删除时可选择仅删除检验单、删除检验单同时清空结果。</w:t>
      </w:r>
    </w:p>
    <w:p w14:paraId="4EE6EAC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9.1.2.1.3.2.16检验单批量删除</w:t>
      </w:r>
    </w:p>
    <w:p w14:paraId="0BC94CA7">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需支持审核前的检验单可以批量删除，输入要删除的多个标本号或者标本号号段即可批量删除标本。删除时可选择删除检验单或结果信息(包括图像)。</w:t>
      </w:r>
    </w:p>
    <w:p w14:paraId="448E684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9.1.2.1.3.2.17批量修改检验单信息</w:t>
      </w:r>
    </w:p>
    <w:p w14:paraId="26433BD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需支持批量修改多个检验单的某个相同的字段内容为指定的值。</w:t>
      </w:r>
    </w:p>
    <w:p w14:paraId="7C5A9A7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需支持一次性批量修改多个字段的值。</w:t>
      </w:r>
    </w:p>
    <w:p w14:paraId="3AE4A3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9.1.2.1.3.2.18不合格标本登记</w:t>
      </w:r>
    </w:p>
    <w:p w14:paraId="705D1D5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需支持对标本进行不合格标本登记，同接收及签收的操作。</w:t>
      </w:r>
    </w:p>
    <w:p w14:paraId="3F3BE05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9.1.2.1.3.3检验结果管理</w:t>
      </w:r>
    </w:p>
    <w:p w14:paraId="771AFB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9.1.2.1.3.3.1检验结果操作区</w:t>
      </w:r>
    </w:p>
    <w:p w14:paraId="612280FA">
      <w:pPr>
        <w:pStyle w:val="436"/>
        <w:widowControl w:val="0"/>
        <w:numPr>
          <w:ilvl w:val="0"/>
          <w:numId w:val="0"/>
        </w:numPr>
        <w:spacing w:line="360" w:lineRule="auto"/>
        <w:ind w:left="1060" w:leftChars="0"/>
        <w:jc w:val="both"/>
        <w:rPr>
          <w:rFonts w:hint="eastAsia"/>
          <w:color w:val="auto"/>
          <w:highlight w:val="none"/>
        </w:rPr>
      </w:pPr>
      <w:r>
        <w:rPr>
          <w:rFonts w:hint="eastAsia" w:cs="Times New Roman"/>
          <w:color w:val="auto"/>
          <w:highlight w:val="none"/>
          <w:lang w:val="en-US"/>
        </w:rPr>
        <w:t>需支持对检验单的患者信息、标本信息及医嘱信息进行查看和编辑。</w:t>
      </w:r>
    </w:p>
    <w:p w14:paraId="03BAE7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9.1.2.1.3.3.2批量录入/修改结果</w:t>
      </w:r>
    </w:p>
    <w:p w14:paraId="344D8DC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需支持批量录入或修改多个检验单的某个相同测试项目的结果。</w:t>
      </w:r>
    </w:p>
    <w:p w14:paraId="1E43E55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需支持将测试项目批量修改为指定的结果。</w:t>
      </w:r>
    </w:p>
    <w:p w14:paraId="2DC1948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需支持将测试项目的结果统一加、减、乘、除一个指定的数量。</w:t>
      </w:r>
    </w:p>
    <w:p w14:paraId="766C67D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9.1.2.1.3.3.3图像结果管理</w:t>
      </w:r>
    </w:p>
    <w:p w14:paraId="37D8B10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需支持对检验单相关图像的查看，可以通过数据采集系统从检验设备端获取图像并传入系统。</w:t>
      </w:r>
    </w:p>
    <w:p w14:paraId="0F0BE7D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需支持手工导入本地图像至该检验单中。</w:t>
      </w:r>
    </w:p>
    <w:p w14:paraId="56CA8AA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需支持图像可以在检验报告中进行浏览，并可以在报告模板中进行排版、打印。</w:t>
      </w:r>
    </w:p>
    <w:p w14:paraId="33354D0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需支持图像结果区域可以固定或收缩。</w:t>
      </w:r>
    </w:p>
    <w:p w14:paraId="1ED900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9.1.2.1.3.3.4结果复查/复检</w:t>
      </w:r>
    </w:p>
    <w:p w14:paraId="05E6ABC3">
      <w:pPr>
        <w:pStyle w:val="436"/>
        <w:widowControl w:val="0"/>
        <w:numPr>
          <w:ilvl w:val="0"/>
          <w:numId w:val="0"/>
        </w:numPr>
        <w:spacing w:line="360" w:lineRule="auto"/>
        <w:ind w:left="1060" w:leftChars="0"/>
        <w:jc w:val="both"/>
        <w:rPr>
          <w:rFonts w:hint="eastAsia" w:cs="Times New Roman"/>
          <w:color w:val="auto"/>
          <w:highlight w:val="none"/>
          <w:lang w:val="en-US"/>
        </w:rPr>
      </w:pPr>
      <w:bookmarkStart w:id="182" w:name="_Hlk191917461"/>
      <w:r>
        <w:rPr>
          <w:rFonts w:hint="eastAsia" w:cs="Times New Roman"/>
          <w:color w:val="auto"/>
          <w:highlight w:val="none"/>
          <w:lang w:val="en-US"/>
        </w:rPr>
        <w:t>需支持原管复查，选择指定的测试项目集合进行复查。</w:t>
      </w:r>
    </w:p>
    <w:p w14:paraId="7D580D0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重新采集标本的复查模式，可以在进行重采复查登记时填写电话记录，并且可以通过登记界面自动将原检验单进行锁定操作，防止误修改，重采登记界面上可以直观看到当前复查次数。（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bookmarkEnd w:id="182"/>
    <w:p w14:paraId="35F9112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9.1.2.1.3.3.5历史结果查看</w:t>
      </w:r>
    </w:p>
    <w:p w14:paraId="2F12C00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需支持查看同一患者在一段时间内的当前检验单所有项目的历史结果及历史结果趋势图。</w:t>
      </w:r>
    </w:p>
    <w:p w14:paraId="7D5DD0B7">
      <w:pPr>
        <w:pStyle w:val="436"/>
        <w:widowControl w:val="0"/>
        <w:numPr>
          <w:ilvl w:val="0"/>
          <w:numId w:val="0"/>
        </w:numPr>
        <w:spacing w:line="360" w:lineRule="auto"/>
        <w:ind w:left="1060" w:leftChars="0"/>
        <w:jc w:val="both"/>
        <w:rPr>
          <w:rFonts w:hint="eastAsia" w:cs="Times New Roman"/>
          <w:color w:val="auto"/>
          <w:highlight w:val="none"/>
          <w:lang w:val="en-US"/>
        </w:rPr>
      </w:pPr>
      <w:bookmarkStart w:id="183" w:name="_Hlk191909745"/>
      <w:r>
        <w:rPr>
          <w:rFonts w:hint="eastAsia" w:cs="Times New Roman"/>
          <w:color w:val="auto"/>
          <w:highlight w:val="none"/>
          <w:lang w:val="en-US"/>
        </w:rPr>
        <w:t>▲需支持本检验单所有</w:t>
      </w:r>
      <w:r>
        <w:rPr>
          <w:rFonts w:hint="eastAsia" w:cs="Times New Roman"/>
          <w:color w:val="auto"/>
          <w:highlight w:val="none"/>
          <w:lang w:val="en-US" w:eastAsia="zh-CN"/>
        </w:rPr>
        <w:t>检测</w:t>
      </w:r>
      <w:r>
        <w:rPr>
          <w:rFonts w:hint="eastAsia" w:cs="Times New Roman"/>
          <w:color w:val="auto"/>
          <w:highlight w:val="none"/>
          <w:lang w:val="en-US"/>
        </w:rPr>
        <w:t>项目的历史结果同屏显示，显示时对异常结果进行不同颜色的背景标注，对于本次结果可以有明确的标识可以与其他历史结果区分，可以快速预览某次历史结果检验单的明细信息，无需在常规检验主界面中切换至该检验单，快速预览窗体中可以查看临床医生已经查看的标识及已打印标识，还有患者信息、标本信息、TAT及备注信息等，还可以查看检验单结果、图像结果及描述性结果。（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bookmarkEnd w:id="183"/>
    <w:p w14:paraId="131CE635">
      <w:pPr>
        <w:pStyle w:val="436"/>
        <w:widowControl w:val="0"/>
        <w:numPr>
          <w:ilvl w:val="0"/>
          <w:numId w:val="0"/>
        </w:numPr>
        <w:spacing w:line="360" w:lineRule="auto"/>
        <w:ind w:left="1060" w:leftChars="0"/>
        <w:jc w:val="both"/>
        <w:rPr>
          <w:rFonts w:hint="eastAsia" w:cs="Times New Roman"/>
          <w:color w:val="auto"/>
          <w:highlight w:val="none"/>
          <w:lang w:val="en-US"/>
        </w:rPr>
      </w:pPr>
      <w:bookmarkStart w:id="184" w:name="_Hlk191909820"/>
      <w:r>
        <w:rPr>
          <w:rFonts w:hint="eastAsia" w:cs="Times New Roman"/>
          <w:color w:val="auto"/>
          <w:highlight w:val="none"/>
          <w:lang w:val="en-US"/>
        </w:rPr>
        <w:t>▲需支持查看每个项目的趋势图，并且在定量测试项目的趋势图上可以标识高值和低值两条水平的辅助线，如有参考区间修改的情况，需将两个参考区间的辅助线都显示在坐标系中，对于最高值和最低值可以直观在趋势图中标识，以便可以更好地分析历史结果趋势。（投标人须按上述要求提供系统</w:t>
      </w:r>
      <w:r>
        <w:rPr>
          <w:rFonts w:hint="eastAsia" w:cs="Times New Roman"/>
          <w:color w:val="auto"/>
          <w:highlight w:val="none"/>
          <w:lang w:val="en-US" w:eastAsia="zh-CN"/>
        </w:rPr>
        <w:t>功能</w:t>
      </w:r>
      <w:r>
        <w:rPr>
          <w:rFonts w:hint="eastAsia" w:cs="Times New Roman"/>
          <w:color w:val="auto"/>
          <w:highlight w:val="none"/>
          <w:lang w:val="en-US"/>
        </w:rPr>
        <w:t>截图）</w:t>
      </w:r>
    </w:p>
    <w:bookmarkEnd w:id="184"/>
    <w:p w14:paraId="56B83E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9.1.2.1.3.3.6相关项目查看</w:t>
      </w:r>
    </w:p>
    <w:p w14:paraId="7533EDF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需支持对每个测试项目分别设置关联测试项目，以帮助对当前结果的合理性进行判断。</w:t>
      </w:r>
    </w:p>
    <w:p w14:paraId="643C501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单中所有测试项目的关联项目可以同时显示，并且可以显示所有关联项目的历史结果，对于本次结果可以有明确的标识可以与其他历史结果进行区分，并对相关项目历史结果中的异常结果进行不同颜色的背景标注。</w:t>
      </w:r>
    </w:p>
    <w:p w14:paraId="78D8F0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9.1.2.1.3.3.7检验数据转质控数据</w:t>
      </w:r>
    </w:p>
    <w:p w14:paraId="3581B65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科质控管理采用模拟患者标本的检测流程，在质控标本完成检测后先作为普通患者检验数据传输至常规检验报告单中，确认结果符合质控标准后，用户将原始检测数据将转换为质控数据，转换时需支持保存质控时间点、质控水平、质控数据类型（在行质控、平行数据）等。</w:t>
      </w:r>
    </w:p>
    <w:p w14:paraId="4C3C63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9.1.2.1.3.3.8危急值登记</w:t>
      </w:r>
    </w:p>
    <w:p w14:paraId="43CD543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单中出现危急值时，在检验单列表中可以显示危急值标本标识，提示检验员及时处理危急值项目。确认危急值结果无误后，可进行危急值的登记，并需支持通过院内消息平台将危急值信息发送给临床，临床确认答复后，检验科可以收到答复信息提醒。若临床超过维护时限没有答复，检验科可以收到超时答复信息提醒。当临床超时未答复时，可以进行电话记录，记录电话通知时间、联系电话、答复者以及电话答复内容，保证危急值闭环管理。也可以在与临床电话沟通后，选择忽略该危急值。</w:t>
      </w:r>
    </w:p>
    <w:p w14:paraId="37238F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9.1.2.1.3.3.9传染病登记</w:t>
      </w:r>
    </w:p>
    <w:p w14:paraId="6A42283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需支持指定某些测试项目为传染病项目。</w:t>
      </w:r>
    </w:p>
    <w:p w14:paraId="070D4A6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需支持对传染病项目进行自动判断，当判定为疑似传染病时，需支持对传染病项目进行登记，并可以通过接口，与院内HIS系统进行报卡信息发送。</w:t>
      </w:r>
    </w:p>
    <w:p w14:paraId="23EC206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需支持当检验单审核时未对系统自动判断为疑似传染病的结果进行处理时进行提示。</w:t>
      </w:r>
    </w:p>
    <w:p w14:paraId="34A3876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9.1.2.1.3.4检验报告打印</w:t>
      </w:r>
    </w:p>
    <w:p w14:paraId="008E43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9.1.2.1.3.4.1检验单打印预览</w:t>
      </w:r>
    </w:p>
    <w:p w14:paraId="6CC2367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需支持在常规检验的当前报告单中进行检验单的打印预览。</w:t>
      </w:r>
    </w:p>
    <w:p w14:paraId="71B131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9.1.2.1.3.4.2检验单打印</w:t>
      </w:r>
    </w:p>
    <w:p w14:paraId="35B49F3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需支持在常规检验中对已发布的检验单进行报告打印，可以本地化配置用于打印报告的打印机。</w:t>
      </w:r>
    </w:p>
    <w:p w14:paraId="6D4CB7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9.1.2.1.3.4.3检验单批量打印</w:t>
      </w:r>
    </w:p>
    <w:p w14:paraId="3326B90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需支持在常规检验中选择多个检验单进行检验报告的批量打印。</w:t>
      </w:r>
    </w:p>
    <w:p w14:paraId="6F94298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需支持手动指定序列范围，并对其范围内的检验单进行校验，并提示正常及异常的信息。</w:t>
      </w:r>
    </w:p>
    <w:p w14:paraId="220971B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需支持仅打印指定患者类别、科室集合的检验单。</w:t>
      </w:r>
    </w:p>
    <w:p w14:paraId="5F5D2FE8">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需支持指定打印检验单的顺序，包括：按标本号、按患者类别、按科室等。</w:t>
      </w:r>
    </w:p>
    <w:p w14:paraId="1503C5B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9.1.2.1.3.4.4重置打印状态</w:t>
      </w:r>
    </w:p>
    <w:p w14:paraId="4CC5405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需支持对已经完成打印的检验单可以批量重置其打印状态为“未打印”，以便患者可以重新再自助报告机上进行自助打印。</w:t>
      </w:r>
    </w:p>
    <w:p w14:paraId="4643412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需支持对目标检验单集合的状态进行校验，对未审核或未打印等无法重置打印状态的检验单进行异常提示。</w:t>
      </w:r>
    </w:p>
    <w:p w14:paraId="1D2710F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9.1.2.1.4微生物检验</w:t>
      </w:r>
    </w:p>
    <w:p w14:paraId="7EC2BC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9.1.2.1.4.1微生物签收工作站</w:t>
      </w:r>
    </w:p>
    <w:p w14:paraId="0FC591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9.1.2.1.4.1.1标本签收</w:t>
      </w:r>
    </w:p>
    <w:p w14:paraId="297DEED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需支持根据标本条码号，页面显示标本基本患者信息、医嘱信息、标本信息等。</w:t>
      </w:r>
    </w:p>
    <w:p w14:paraId="5F3FE7A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根据医生开立的标本医嘱名称对应微生物检验目的；需支持对医生开立的标本类型对应微生物室标准的标本类型；需支持对医生开立的采集部位对应微生物室标准的采集部位。需支持根据检验目的、标本类型、采集部位确定路径，根据路径数量显示页面卡片数量。并根据不同路径填写对应信息。</w:t>
      </w:r>
    </w:p>
    <w:p w14:paraId="31A7953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9.1.2.1.4.1.2不合格标本拒收管理</w:t>
      </w:r>
    </w:p>
    <w:p w14:paraId="05142FC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需支持拒收不合格样本标本，可显示患者信息、标本信息、可填写不合格类型、不合格原因、处理办法、是否重采等信息，并拒收。</w:t>
      </w:r>
    </w:p>
    <w:p w14:paraId="7278D19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9.1.2.1.4.1.3待签收标本管理</w:t>
      </w:r>
    </w:p>
    <w:p w14:paraId="200E26F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需支持微生物标本签收页面可</w:t>
      </w:r>
      <w:bookmarkStart w:id="185" w:name="_Hlk191922717"/>
      <w:r>
        <w:rPr>
          <w:rFonts w:hint="eastAsia" w:cs="Times New Roman"/>
          <w:color w:val="auto"/>
          <w:highlight w:val="none"/>
          <w:lang w:val="en-US"/>
        </w:rPr>
        <w:t>直观</w:t>
      </w:r>
      <w:bookmarkEnd w:id="185"/>
      <w:r>
        <w:rPr>
          <w:rFonts w:hint="eastAsia" w:cs="Times New Roman"/>
          <w:color w:val="auto"/>
          <w:highlight w:val="none"/>
          <w:lang w:val="en-US"/>
        </w:rPr>
        <w:t>显示微生物待处理标本数（标本已经到检验科，但未进入微生物室：已接收未签收的标本）并至少每30秒自动刷新。</w:t>
      </w:r>
    </w:p>
    <w:p w14:paraId="59FA7F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9.1.2.1.4.1.4签收清单打印</w:t>
      </w:r>
    </w:p>
    <w:p w14:paraId="79ED647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需支持对已签收标本查询。</w:t>
      </w:r>
    </w:p>
    <w:p w14:paraId="233527B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需支持选择相应条码可取消签收、导出。</w:t>
      </w:r>
    </w:p>
    <w:p w14:paraId="4942622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需支持对已签收检验单进行补充关联培养瓶、补打标本条码、填写让步签收等操作。</w:t>
      </w:r>
    </w:p>
    <w:p w14:paraId="12BBC8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9.1.2.1.4.2涂片工作站</w:t>
      </w:r>
    </w:p>
    <w:p w14:paraId="49137C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9.1.2.1.4.2.1涂片检验任务列表</w:t>
      </w:r>
    </w:p>
    <w:p w14:paraId="0BA96DE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目的为涂片相关医嘱根据维护的路径签收进入微生物涂片检验流程的标本，会在涂片工作站建立一个涂片检验单，涂片工作站可查看涂片染色的标本（革兰染色、抗酸染色、墨汁染色、六胺银染色等）、血培养一级报告涂片的标本、需要检查标本质量的标本等。</w:t>
      </w:r>
    </w:p>
    <w:p w14:paraId="7DE9B497">
      <w:pPr>
        <w:pStyle w:val="436"/>
        <w:widowControl w:val="0"/>
        <w:numPr>
          <w:ilvl w:val="0"/>
          <w:numId w:val="0"/>
        </w:numPr>
        <w:spacing w:line="360" w:lineRule="auto"/>
        <w:ind w:left="1060" w:leftChars="0"/>
        <w:jc w:val="both"/>
        <w:rPr>
          <w:rFonts w:hint="eastAsia"/>
          <w:color w:val="auto"/>
          <w:highlight w:val="none"/>
        </w:rPr>
      </w:pPr>
      <w:r>
        <w:rPr>
          <w:rFonts w:hint="eastAsia" w:cs="Times New Roman"/>
          <w:color w:val="auto"/>
          <w:highlight w:val="none"/>
          <w:lang w:val="en-US"/>
        </w:rPr>
        <w:t>需支持可通过多种查询条件对检验任务列表进行查询。支持：涂片类别、标本类型、危急值等条件。任务列表可查看检</w:t>
      </w:r>
      <w:r>
        <w:rPr>
          <w:rFonts w:hint="eastAsia"/>
          <w:color w:val="auto"/>
          <w:highlight w:val="none"/>
        </w:rPr>
        <w:t>验单信息、检验单状态、危急值状态、患者传染、超时状态等信息。</w:t>
      </w:r>
    </w:p>
    <w:p w14:paraId="09C2133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9.1.2.1.4.2.2涂片标本质量录入及管理</w:t>
      </w:r>
    </w:p>
    <w:p w14:paraId="756829A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需支持点击检验任务列表中标本质量标签的检验单，显示患者检验单信息。</w:t>
      </w:r>
    </w:p>
    <w:p w14:paraId="3813C5F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需支持可录入上皮细胞和白细胞数量，根据路径配置标本质量合格数值，对此标本的质量进行判断，并显示在各个页面中。</w:t>
      </w:r>
    </w:p>
    <w:p w14:paraId="699F43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9.1.2.1.4.2.3血培养阳性一级报告（涂片）管理</w:t>
      </w:r>
    </w:p>
    <w:p w14:paraId="1DE8396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需支持检验任务列表中涂片一级报告的检验单可显示患者信息，支持录入血培养涂片结果。</w:t>
      </w:r>
    </w:p>
    <w:p w14:paraId="70EFE0F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需支持血培养涂片危急值发送。</w:t>
      </w:r>
    </w:p>
    <w:p w14:paraId="3D97344F">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需支持血培养涂片一级报告发送，同时同步血培养工作站涂片结果。</w:t>
      </w:r>
    </w:p>
    <w:p w14:paraId="6CBE91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9.1.2.1.4.2.4涂片检验单结果录入</w:t>
      </w:r>
    </w:p>
    <w:p w14:paraId="65EDC875">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需支持检验任务列表中涂片项目任务的检验单，支持显示患者信息显示涂片检验单项目默认结果，支持根据染色情况及镜下观察并填写结果，结果显示：项目名称、属性、结果、参考区间、单位等信息。</w:t>
      </w:r>
    </w:p>
    <w:p w14:paraId="6E302B4F">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需支持填写对临床备注、对检验科备注。</w:t>
      </w:r>
    </w:p>
    <w:p w14:paraId="48FA6A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9.1.2.1.4.2.5显微镜图像采集及管理</w:t>
      </w:r>
    </w:p>
    <w:p w14:paraId="49DDA40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需支持检验技师在录入检验单结果时，可查看高拍仪记录的图像信息，可对图像进行标记，可查看图片大图。</w:t>
      </w:r>
    </w:p>
    <w:p w14:paraId="56E9C84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9.1.2.1.4.2.6涂片危急值管理</w:t>
      </w:r>
    </w:p>
    <w:p w14:paraId="61B526A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需支持在维护涂片项目的时候结果为危急值，在填写涂片测试项目的时候根据维护的涂片测试项目判断结果为危急值时，可以发送涂片检验危急值项目。</w:t>
      </w:r>
    </w:p>
    <w:p w14:paraId="7D99C7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9.1.2.1.4.2.7涂片相关检验结果查看</w:t>
      </w:r>
    </w:p>
    <w:p w14:paraId="0F8F7D8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需支持维护涂片路径可查看的相关检验的条件及常规检验的测试项目。</w:t>
      </w:r>
    </w:p>
    <w:p w14:paraId="0ECFEAA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需支持可以查询并显示检验单相关项目的信息。</w:t>
      </w:r>
    </w:p>
    <w:p w14:paraId="596ADC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9.1.2.1.4.3血培养工作站</w:t>
      </w:r>
    </w:p>
    <w:p w14:paraId="73ACD68F">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血培养记录可以记录血培养的相关信息，具体包含：血培养瓶信息：培养瓶编码，起始时间(培养瓶上血培养仪时间)，发布标记，报告时间(报阳时间)，经历时间，培养瓶位置(培养瓶在血培养仪的位置)，采血量；涂片信息：细菌类别，细菌形态，结果时间，特殊标记（污染，疑似假阳性），细菌；初步药敏信息；添加培养瓶、涂片。</w:t>
      </w:r>
    </w:p>
    <w:p w14:paraId="48B027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9.1.2.1.4.3.1微生物血培养任务列表</w:t>
      </w:r>
    </w:p>
    <w:p w14:paraId="28E58DF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验目的为涂片相关医嘱根据维护的路径签收进入微生物血培养检验流程的标本，会在血培养工作站查询到一个培养的检验单，血培养工作站可查看正在培养、培养结束的培养瓶检验单。可通过多种查询条件对检验任务列表进行查询。任务列表可查看检验单信息、检验单状态、危急值状态、患者传染、超时状态等信息。</w:t>
      </w:r>
    </w:p>
    <w:p w14:paraId="0984F36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9.1.2.1.4.3.2培养瓶状态检测</w:t>
      </w:r>
    </w:p>
    <w:p w14:paraId="4C79D39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需支持页面可查看培养设备中血培养瓶的实时状态，包括上机时间、位置、培养时长、目前结果状态等。支持显示报告培养瓶的三级报告状态。</w:t>
      </w:r>
    </w:p>
    <w:p w14:paraId="78B70B4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需支持可在血培养报阳后添加涂片，并在对应的涂片工作站建立涂片检验单。</w:t>
      </w:r>
    </w:p>
    <w:p w14:paraId="213902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9.1.2.1.4.3.3血培养危急值管理</w:t>
      </w:r>
    </w:p>
    <w:p w14:paraId="230EBE6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在血培养路径中维护血培养一级报告的危急值，当出现危急值结果时，可以发布血培养危急值结果。选择即将发布的医嘱项目、血培养报告类型、填写危急值沟通的电话记录，包括电话通知时间、电话答复人、电话记录内容等。</w:t>
      </w:r>
    </w:p>
    <w:p w14:paraId="07AB275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9.1.2.1.4.3.4初步药敏报告管理</w:t>
      </w:r>
    </w:p>
    <w:p w14:paraId="4C104D9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血培养培养瓶报阳后转涂片标本阳性后，可以进行转种培养基，同时进行初步药敏纸片法实验，不同涂片结果的初步药敏的抗菌药物有不同的折点，可填写初步药敏结果填写，可以通过消息平台发送血培养危急值二级报告通知临床，也可通过临时发布功能发布至临床。</w:t>
      </w:r>
    </w:p>
    <w:p w14:paraId="287D09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9.1.2.1.4.3.5血培养相关检验查看</w:t>
      </w:r>
    </w:p>
    <w:p w14:paraId="5FF45BD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需支持根据血培养路径可按照常规医嘱和微生物医嘱维护对应相关检验，可根据医嘱维护相关测试项目，也支持查看同套、另套、三天内同期采集等相关检验并查看。</w:t>
      </w:r>
    </w:p>
    <w:p w14:paraId="3C7329E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9.1.2.1.4.4鉴定及药敏报告工作站</w:t>
      </w:r>
    </w:p>
    <w:p w14:paraId="291B7F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9.1.2.1.4.4.1微生物检验任务管理</w:t>
      </w:r>
    </w:p>
    <w:p w14:paraId="1F09535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需支持可查看需要鉴定的患者列表，支持多种过滤方式，可按号查询：按照患者号、标本号、培养基码；可按常用条件查询：今日需审核、今日需做药敏、需临时发布、暂时阴性等查询条件</w:t>
      </w:r>
    </w:p>
    <w:p w14:paraId="43D003C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需支持可按照检验时间、患者类别、检验单状态（已审核、已发布、已打印等），患者类型、医嘱项目查询条件。</w:t>
      </w:r>
    </w:p>
    <w:p w14:paraId="1E2EDAB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需支持检验任务列表可查看微生物药敏鉴定的检验单，检验单类型，有药敏、有细菌等状态，可查看检验单信息。</w:t>
      </w:r>
    </w:p>
    <w:p w14:paraId="06887E8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需支持可对检验单进行锁定操作可填写锁定原因，支持将该检验单置为锁定状态。</w:t>
      </w:r>
    </w:p>
    <w:p w14:paraId="3D6A22A2">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需支持可对检验单进行审核及发布操作，可根据审核规则对检验单进行审核并根据微生物报告单元维护的信息发布给临床。</w:t>
      </w:r>
    </w:p>
    <w:p w14:paraId="2BBF7FCA">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需支持微生物检验支持报告取消审核功能，需支持填写取消审核原因并可判断登陆人的取消审核权限并取消审核。</w:t>
      </w:r>
    </w:p>
    <w:p w14:paraId="6C96212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w:t>
      </w:r>
      <w:bookmarkStart w:id="186" w:name="OLE_LINK4"/>
      <w:r>
        <w:rPr>
          <w:rFonts w:hint="eastAsia" w:cs="Times New Roman"/>
          <w:color w:val="auto"/>
          <w:highlight w:val="none"/>
          <w:lang w:val="en-US"/>
        </w:rPr>
        <w:t>持微生物检验单支持微生物</w:t>
      </w:r>
      <w:bookmarkEnd w:id="186"/>
      <w:r>
        <w:rPr>
          <w:rFonts w:hint="eastAsia" w:cs="Times New Roman"/>
          <w:color w:val="auto"/>
          <w:highlight w:val="none"/>
          <w:lang w:val="en-US"/>
        </w:rPr>
        <w:t xml:space="preserve">报告打印功能。 </w:t>
      </w:r>
    </w:p>
    <w:p w14:paraId="5683AF6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需支持微生物检验报告单预览功能。</w:t>
      </w:r>
    </w:p>
    <w:p w14:paraId="14ED36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9.1.2.1.4.4.2非致病菌报告结果管理</w:t>
      </w:r>
    </w:p>
    <w:p w14:paraId="6B60C52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需支持当微生物培养未检出致病菌时，可根据维护显示非致病菌（包括：阴性、杂菌、定植菌）报告并发布。</w:t>
      </w:r>
    </w:p>
    <w:p w14:paraId="7A78B6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9.1.2.1.4.4.3致病菌报告结果管理</w:t>
      </w:r>
    </w:p>
    <w:p w14:paraId="03FA2E51">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需支持当检测出致病菌时，可对检验单添加致病菌及致病菌相关信息。也可添加不同形态的相同致病菌信息。</w:t>
      </w:r>
    </w:p>
    <w:p w14:paraId="2FCF830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需支持致病菌的耐药表型可维护。在药敏结果满足条件时，仪器回传耐药类型时可对致病菌填写对应的耐药描述，并可将耐药信息发布给临床。</w:t>
      </w:r>
    </w:p>
    <w:p w14:paraId="46E1DCA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9.1.2.1.4.4.4药敏相关检验查看</w:t>
      </w:r>
    </w:p>
    <w:p w14:paraId="61DB1FA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需支持根据药敏鉴定卡的药敏分组的抗菌药物信息结合CLSI的技术方案维护，根据药敏结果和维护的折点信息判断抗菌药物的敏感度和修正值。</w:t>
      </w:r>
    </w:p>
    <w:p w14:paraId="2E5B195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需支持维护微生物的抗菌药物天然耐药信息。当鉴定出的致病菌的抗菌药物结果违反天然耐药信息时，药敏报告中则会显示对对应的提示。</w:t>
      </w:r>
    </w:p>
    <w:p w14:paraId="77E83B9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9.1.2.1.4.4.5分级发布报告管理</w:t>
      </w:r>
    </w:p>
    <w:p w14:paraId="23428B36">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微生物的中间结果，临床希望在检验过程中可以随时查看，但是患者不能打印报告单，可以使用分级发布的临时发布功能。可以分级发布的功能包括：血培养瓶、血培养一级报告、血培养初步药敏、一般报告结果、微生物结果、微生物药敏结果。</w:t>
      </w:r>
    </w:p>
    <w:p w14:paraId="4AE366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9.1.2.1.4.5菌种保藏工作站</w:t>
      </w:r>
    </w:p>
    <w:p w14:paraId="10E29B4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需支持规定医院需将微生物培养检出的致病菌进行保藏。药敏结果工作站选择检出致病微生物的检验单可根据维护的医院菌种保藏条件匹配对应的菌种盒子并给出菌种码。</w:t>
      </w:r>
    </w:p>
    <w:p w14:paraId="606AA0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9.1.2.1.4.5.1菌种保藏预入库管理</w:t>
      </w:r>
    </w:p>
    <w:p w14:paraId="758F7B1E">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需支持维护菌种保藏冰箱、保藏冰箱的内部存储空间。</w:t>
      </w:r>
    </w:p>
    <w:p w14:paraId="1C732483">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需支持自定义维护菌种盒子，可以维护菌种盒名称、菌种盒盒子码规则、菌种盒盒子内部菌种码规则、盒子内部排列结构、盒子保藏明细信息（可包含菌目、菌科、菌属、菌种、标本类型等）。</w:t>
      </w:r>
    </w:p>
    <w:p w14:paraId="084C7DC0">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将预入库的菌种信息根据维护的菌种盒、菌种保藏冰箱信息分配对应的位置并填写保藏方案、危害程度、保存目的、位置信息、入库盒子所在行、所在列的信息，并支持在预入库列表中对待入库菌种信息重新排序。</w:t>
      </w:r>
    </w:p>
    <w:p w14:paraId="7980DF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9.1.2.1.4.5.2菌种库管理</w:t>
      </w:r>
    </w:p>
    <w:p w14:paraId="5FFDC20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查询已经保藏的菌种信息用以支撑临床科研或菌种查询及领用，支持查询条件：入库时间段、盒子类型、院区、菌种码、菌名、菌种耐药特征、菌种库存状态、患者编码、患者科室、标本号、标本类型、采集部位信息等。</w:t>
      </w:r>
    </w:p>
    <w:p w14:paraId="250A08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9.1.2.1.4.5.3菌株领用管理</w:t>
      </w:r>
    </w:p>
    <w:p w14:paraId="0D06FE4B">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需支持查询菌种信息，根据购物车模式将期望领用的菌种加入菌种领用购物车，可以对保藏的微生物进行领用，并支持微生物双签名领用，支持打印领用清单，支持查询领用的菌种信息。</w:t>
      </w:r>
    </w:p>
    <w:p w14:paraId="605641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9.1.2.1.4.5.4菌株归还管理</w:t>
      </w:r>
    </w:p>
    <w:p w14:paraId="682795BD">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需支持将已经领用的菌种归还，并支持双签名。</w:t>
      </w:r>
    </w:p>
    <w:p w14:paraId="51A850F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9.1.2.1.4.5.5菌株销毁管理</w:t>
      </w:r>
    </w:p>
    <w:p w14:paraId="41363339">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需支持将在菌种库的菌种销毁，并更新菌种库中菌种的状态。</w:t>
      </w:r>
    </w:p>
    <w:p w14:paraId="5757ED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9.1.2.1.5特批医嘱管理</w:t>
      </w:r>
    </w:p>
    <w:p w14:paraId="633928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9.1.2.1.5.1手工医嘱开立</w:t>
      </w:r>
    </w:p>
    <w:p w14:paraId="22D0C72C">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需支持通过手动录入患者信息和开立医嘱。</w:t>
      </w:r>
    </w:p>
    <w:p w14:paraId="3E75BA34">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需支持手工开立的医嘱项目可打印条码与回执单。</w:t>
      </w:r>
    </w:p>
    <w:p w14:paraId="457520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9.1.2.1.5.2特殊人群医嘱管理</w:t>
      </w:r>
    </w:p>
    <w:p w14:paraId="397A1B5F">
      <w:pPr>
        <w:pStyle w:val="436"/>
        <w:widowControl w:val="0"/>
        <w:numPr>
          <w:ilvl w:val="0"/>
          <w:numId w:val="0"/>
        </w:numPr>
        <w:spacing w:line="360" w:lineRule="auto"/>
        <w:ind w:left="1060" w:leftChars="0"/>
        <w:jc w:val="both"/>
        <w:rPr>
          <w:rFonts w:hint="eastAsia" w:cs="Times New Roman"/>
          <w:color w:val="auto"/>
          <w:highlight w:val="none"/>
          <w:lang w:val="en-US"/>
        </w:rPr>
      </w:pPr>
      <w:r>
        <w:rPr>
          <w:rFonts w:hint="eastAsia" w:cs="Times New Roman"/>
          <w:color w:val="auto"/>
          <w:highlight w:val="none"/>
          <w:lang w:val="en-US"/>
        </w:rPr>
        <w:t>需支持对特殊人群医嘱按上级主管部门要求特殊管理。</w:t>
      </w:r>
    </w:p>
    <w:p w14:paraId="1C78CC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9.1.2.1.6医嘱费用终端管理</w:t>
      </w:r>
    </w:p>
    <w:p w14:paraId="614EEA0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9.1.2.1.6.1撤销已执行医嘱</w:t>
      </w:r>
    </w:p>
    <w:p w14:paraId="2B75929F">
      <w:pPr>
        <w:pStyle w:val="436"/>
        <w:widowControl w:val="0"/>
        <w:numPr>
          <w:ilvl w:val="0"/>
          <w:numId w:val="0"/>
        </w:numPr>
        <w:spacing w:line="360" w:lineRule="auto"/>
        <w:ind w:left="1060" w:leftChars="0"/>
        <w:jc w:val="both"/>
        <w:rPr>
          <w:rFonts w:hint="eastAsia" w:cs="Times New Roman"/>
          <w:color w:val="auto"/>
          <w:highlight w:val="none"/>
          <w:lang w:val="en-US" w:eastAsia="zh-CN"/>
        </w:rPr>
      </w:pPr>
      <w:r>
        <w:rPr>
          <w:rFonts w:hint="eastAsia" w:cs="Times New Roman"/>
          <w:color w:val="auto"/>
          <w:highlight w:val="none"/>
          <w:lang w:val="en-US" w:eastAsia="zh-CN"/>
        </w:rPr>
        <w:t>需支持通过标本条码、医嘱开立时间段、患者类型、患者号查询要处理的医嘱列表，勾选后可撤销执行。</w:t>
      </w:r>
    </w:p>
    <w:p w14:paraId="5886A3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9.1.2.1.7检验报告</w:t>
      </w:r>
    </w:p>
    <w:p w14:paraId="403923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9.1.2.1.7.1临床报告查看</w:t>
      </w:r>
    </w:p>
    <w:p w14:paraId="6B102232">
      <w:pPr>
        <w:pStyle w:val="436"/>
        <w:widowControl w:val="0"/>
        <w:numPr>
          <w:ilvl w:val="0"/>
          <w:numId w:val="0"/>
        </w:numPr>
        <w:spacing w:line="360" w:lineRule="auto"/>
        <w:ind w:left="1060" w:leftChars="0"/>
        <w:jc w:val="both"/>
        <w:rPr>
          <w:rFonts w:hint="eastAsia" w:cs="Times New Roman"/>
          <w:color w:val="auto"/>
          <w:highlight w:val="none"/>
          <w:lang w:val="en-US" w:eastAsia="zh-CN"/>
        </w:rPr>
      </w:pPr>
      <w:r>
        <w:rPr>
          <w:rFonts w:hint="eastAsia" w:cs="Times New Roman"/>
          <w:color w:val="auto"/>
          <w:highlight w:val="none"/>
          <w:lang w:val="en-US" w:eastAsia="zh-CN"/>
        </w:rPr>
        <w:t>需支持通过患者号、姓名、床号、医嘱开立时间等可查询到相应的患者检验报告结果，点击打印按钮可以打印输入到打印机。</w:t>
      </w:r>
    </w:p>
    <w:p w14:paraId="64FCDB1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9.1.2.1.7.2一站式打印</w:t>
      </w:r>
    </w:p>
    <w:p w14:paraId="536CDB3D">
      <w:pPr>
        <w:pStyle w:val="436"/>
        <w:widowControl w:val="0"/>
        <w:numPr>
          <w:ilvl w:val="0"/>
          <w:numId w:val="0"/>
        </w:numPr>
        <w:spacing w:line="360" w:lineRule="auto"/>
        <w:ind w:left="1060" w:leftChars="0"/>
        <w:jc w:val="both"/>
        <w:rPr>
          <w:rFonts w:hint="eastAsia" w:cs="Times New Roman"/>
          <w:color w:val="auto"/>
          <w:highlight w:val="none"/>
          <w:lang w:val="en-US" w:eastAsia="zh-CN"/>
        </w:rPr>
      </w:pPr>
      <w:r>
        <w:rPr>
          <w:rFonts w:hint="eastAsia" w:cs="Times New Roman"/>
          <w:color w:val="auto"/>
          <w:highlight w:val="none"/>
          <w:lang w:val="en-US" w:eastAsia="zh-CN"/>
        </w:rPr>
        <w:t>需支持报告发放、补打人员通过患者号、姓名、科室等，查询出患者检验报告结果及状态，可以打印及告知患者。</w:t>
      </w:r>
    </w:p>
    <w:p w14:paraId="122398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9.1.2.1.7.3自助机打印</w:t>
      </w:r>
    </w:p>
    <w:p w14:paraId="7AA296A0">
      <w:pPr>
        <w:pStyle w:val="436"/>
        <w:widowControl w:val="0"/>
        <w:numPr>
          <w:ilvl w:val="0"/>
          <w:numId w:val="0"/>
        </w:numPr>
        <w:spacing w:line="360" w:lineRule="auto"/>
        <w:ind w:left="1060" w:leftChars="0"/>
        <w:jc w:val="both"/>
        <w:rPr>
          <w:rFonts w:hint="eastAsia" w:cs="Times New Roman"/>
          <w:color w:val="auto"/>
          <w:highlight w:val="none"/>
          <w:lang w:val="en-US" w:eastAsia="zh-CN"/>
        </w:rPr>
      </w:pPr>
      <w:r>
        <w:rPr>
          <w:rFonts w:hint="eastAsia" w:cs="Times New Roman"/>
          <w:color w:val="auto"/>
          <w:highlight w:val="none"/>
          <w:lang w:val="en-US" w:eastAsia="zh-CN"/>
        </w:rPr>
        <w:t>需支持患者通过自助机提示，通过回执单、医保卡、就诊卡、身份证等方式查询检验报告及检验状态，并打印出已发布的检验报告。</w:t>
      </w:r>
    </w:p>
    <w:p w14:paraId="4A795E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9.1.2.1.8标本后管理</w:t>
      </w:r>
    </w:p>
    <w:p w14:paraId="2D3B8C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9.1.2.1.8.1标本后处理登记</w:t>
      </w:r>
    </w:p>
    <w:p w14:paraId="6077D1E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需支持单个标本扫码登记和常规检验批量登记。</w:t>
      </w:r>
    </w:p>
    <w:p w14:paraId="6FBC00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需支持在标本后处理登记时，选择存放位置和选择试管架型。</w:t>
      </w:r>
    </w:p>
    <w:p w14:paraId="1A6C25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需支持自定义后处理架号的排号规则。</w:t>
      </w:r>
    </w:p>
    <w:p w14:paraId="41DB717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需支持对后处理架号的打印。</w:t>
      </w:r>
    </w:p>
    <w:p w14:paraId="1A9D94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根据对未审核的标本，不能进行后处理登记的提醒。</w:t>
      </w:r>
    </w:p>
    <w:p w14:paraId="2A46FB5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需支持对已完成检测的标本批量进行后处理登记。</w:t>
      </w:r>
    </w:p>
    <w:p w14:paraId="002603C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9.1.2.1.8.2后处理标本管理</w:t>
      </w:r>
    </w:p>
    <w:p w14:paraId="4D6C30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需支持对已登记的后处理标本按登记时间范围或条码号查询。</w:t>
      </w:r>
    </w:p>
    <w:p w14:paraId="4A8E843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需支持按整架销毁，也可以扫条码进行单个销毁。</w:t>
      </w:r>
    </w:p>
    <w:p w14:paraId="5872D35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需支持单个标本或整架标本进行转移存放位置。</w:t>
      </w:r>
    </w:p>
    <w:p w14:paraId="4821EA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9.1.2.1.9质控管理</w:t>
      </w:r>
    </w:p>
    <w:p w14:paraId="582CFD3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9.1.2.1.9.1仪器与项目信息维护</w:t>
      </w:r>
    </w:p>
    <w:p w14:paraId="50FA4DD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9.1.2.1.9.1.1仪器质控品维护</w:t>
      </w:r>
    </w:p>
    <w:p w14:paraId="2D881E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需支持对质控设备维护所使用的质控品信息：包括质控品有关基本信息，有效时间段信息，批次，水平数量，是否为平行质控品信息等进行基本信息维护。</w:t>
      </w:r>
    </w:p>
    <w:p w14:paraId="5A170E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需支持可从其他已维护的仪器对照的质控品信息进行复制。</w:t>
      </w:r>
    </w:p>
    <w:p w14:paraId="41A5DB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9.1.2.1.9.1.2仪器质控品与项目对照</w:t>
      </w:r>
    </w:p>
    <w:p w14:paraId="12DAA3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需支持对质控品需要做的质控项目添加对照，可以手工从仪器的质控项目对照中选择，也可以用过已有质控品对照关系中复制。</w:t>
      </w:r>
    </w:p>
    <w:p w14:paraId="68C38F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9.1.2.1.9.2质控计划与规则维护</w:t>
      </w:r>
    </w:p>
    <w:p w14:paraId="31758B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9.1.2.1.9.2.1质控项目信息维护</w:t>
      </w:r>
    </w:p>
    <w:p w14:paraId="057F53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需支持根据质控品厂家要求或者实验室要求，对质控项目均值、标准差、变异系数的设置固定参数信息。</w:t>
      </w:r>
    </w:p>
    <w:p w14:paraId="00ACFD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需支持通过实验室累积的质控数据进行计算来设置均值、标准差、变异系数的参数信息设置。</w:t>
      </w:r>
    </w:p>
    <w:p w14:paraId="07853F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需支持通过设置参数启用时间范围。</w:t>
      </w:r>
    </w:p>
    <w:p w14:paraId="1DE05B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需支持为质控项目设置水平浓度、试剂校准品等信息。</w:t>
      </w:r>
    </w:p>
    <w:p w14:paraId="431B584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9.1.2.1.9.2.2质控规则维护</w:t>
      </w:r>
    </w:p>
    <w:p w14:paraId="0B1565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需支持Westgard多种质控规则可批量或单个为质控项目进行维护。</w:t>
      </w:r>
    </w:p>
    <w:p w14:paraId="4ED39FE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需支持1-2s规则是否作为启动规则的开关设置，适用多水平质控品的跨水平质控判断。</w:t>
      </w:r>
    </w:p>
    <w:p w14:paraId="27AA79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需支持用户可自定义质控规则。</w:t>
      </w:r>
    </w:p>
    <w:p w14:paraId="521149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9.1.2.1.9.2.3定性质控转换维护</w:t>
      </w:r>
    </w:p>
    <w:p w14:paraId="7C3431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需支持定性质控项目的结果转换维护。</w:t>
      </w:r>
    </w:p>
    <w:p w14:paraId="794DBC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需支持定性质控项目与质控物对照维护、及失控规则维护。</w:t>
      </w:r>
    </w:p>
    <w:p w14:paraId="3636B1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9.1.2.1.9.2.4质量目标设置</w:t>
      </w:r>
    </w:p>
    <w:p w14:paraId="6B54A1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需支持允许临床实验室对其进行自定义设置。</w:t>
      </w:r>
    </w:p>
    <w:p w14:paraId="28CA1A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9.1.2.1.9.3质控条码管理</w:t>
      </w:r>
    </w:p>
    <w:p w14:paraId="6C76A90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9.1.2.1.9.3.1双向质控条码管理</w:t>
      </w:r>
    </w:p>
    <w:p w14:paraId="1F3EF8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需支持双向质控条码信息维护。</w:t>
      </w:r>
    </w:p>
    <w:p w14:paraId="4DDEEE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需支持计算质控条码与质控项目的对照维护。</w:t>
      </w:r>
    </w:p>
    <w:p w14:paraId="7C7C6CF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需支持质控条码打印、补打及删除操作。</w:t>
      </w:r>
    </w:p>
    <w:p w14:paraId="4C6C29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9.1.2.1.9.4质控数据管理</w:t>
      </w:r>
    </w:p>
    <w:p w14:paraId="6C6FA6E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9.1.2.1.9.4.1质控项目数据查看</w:t>
      </w:r>
    </w:p>
    <w:p w14:paraId="126385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需支持以质控项目为单位，展示一段时间内的结果数据。</w:t>
      </w:r>
    </w:p>
    <w:p w14:paraId="0EFF8A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需支持仪器自动传输质控结果，手动录入结果，从常规检验页面导入患者结果作为质控结果。</w:t>
      </w:r>
    </w:p>
    <w:p w14:paraId="7C6FB6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需支持自动判断质控结果是否失控。</w:t>
      </w:r>
    </w:p>
    <w:p w14:paraId="64BDBED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需支持质控结果转换成过程数据，及增删改查操作。</w:t>
      </w:r>
    </w:p>
    <w:p w14:paraId="5E4FFAA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需支持质控者签名及审核操作。</w:t>
      </w:r>
    </w:p>
    <w:p w14:paraId="3D50A93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9.1.2.1.9.4.2质控单日数据查看</w:t>
      </w:r>
    </w:p>
    <w:p w14:paraId="5A79AD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需支持对单日仪器下的质控项目结果数据查看。</w:t>
      </w:r>
    </w:p>
    <w:p w14:paraId="08EFC8E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需支持仪器自动传输质控结果，手动录入结果，从常规检验页面导入患者结果作为质控结果。</w:t>
      </w:r>
    </w:p>
    <w:p w14:paraId="71FAF3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需支持自动判断质控结果是否失控。</w:t>
      </w:r>
    </w:p>
    <w:p w14:paraId="4369B2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需支持质控结果转换成过程数据，及增删改查操作。</w:t>
      </w:r>
    </w:p>
    <w:p w14:paraId="490252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需支持质控者签名及审核操作。</w:t>
      </w:r>
    </w:p>
    <w:p w14:paraId="791AD3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9.1.2.1.9.4.3质控过程数据查看</w:t>
      </w:r>
    </w:p>
    <w:p w14:paraId="15334B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需支持失控登记时自动将失控结果转换成过程数据。</w:t>
      </w:r>
    </w:p>
    <w:p w14:paraId="6BF1AC8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需支持过程数据查询。</w:t>
      </w:r>
    </w:p>
    <w:p w14:paraId="3173C7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需支持质控图上展示过程数据。</w:t>
      </w:r>
    </w:p>
    <w:p w14:paraId="41BB3B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9.1.2.1.9.5质控图查看及分析</w:t>
      </w:r>
    </w:p>
    <w:p w14:paraId="46DDB8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9.1.2.1.9.5.1质控图查看及分析</w:t>
      </w:r>
    </w:p>
    <w:p w14:paraId="42ECCF2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需支持在行及平行数据的质控图展示。</w:t>
      </w:r>
    </w:p>
    <w:p w14:paraId="11D4FC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需支持多种质控图：LJ图，计算LJ图，Z分数图等查看。</w:t>
      </w:r>
    </w:p>
    <w:p w14:paraId="32EFCC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需支持可查相关参数统计信息：批号、水平、设定均值标准差及CV、计算均值标准差及CV、累计均值标准差及CV。</w:t>
      </w:r>
    </w:p>
    <w:p w14:paraId="3489EF4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需支持过程数据、操作日志的展示。</w:t>
      </w:r>
    </w:p>
    <w:p w14:paraId="2AADC9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需支持自动判定并标记警告值及失控值。</w:t>
      </w:r>
    </w:p>
    <w:p w14:paraId="681A97C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需支持设置质控图的显示：如频数分布图、显示操作记录、显示过程数据等等。</w:t>
      </w:r>
    </w:p>
    <w:p w14:paraId="5F3E11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9.1.2.1.9.6质控失控管理</w:t>
      </w:r>
    </w:p>
    <w:p w14:paraId="6B3606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9.1.2.1.9.6.1失控登记</w:t>
      </w:r>
    </w:p>
    <w:p w14:paraId="129226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需支持在质控图的失控点或数据列表的失控数据处登记失控报告。</w:t>
      </w:r>
    </w:p>
    <w:p w14:paraId="0BDC660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需支持可以根据登记过的质控操作记录分析失控原因，协助质控员登记失控报告。</w:t>
      </w:r>
    </w:p>
    <w:p w14:paraId="2143E13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9.1.2.1.9.6.2失控报告查看</w:t>
      </w:r>
    </w:p>
    <w:p w14:paraId="44246C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需支持对失控报告进行审核、驳回。</w:t>
      </w:r>
    </w:p>
    <w:p w14:paraId="4462483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需支持对失控报告打印。</w:t>
      </w:r>
    </w:p>
    <w:p w14:paraId="0978E2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9.1.2.1.9.7质控汇总及分析管理</w:t>
      </w:r>
    </w:p>
    <w:p w14:paraId="7D948E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9.1.2.1.9.7.1质控月总结登记</w:t>
      </w:r>
    </w:p>
    <w:p w14:paraId="471C4E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需支持在月总结登记时，根据均值、标准差、变异系数的变化趋势图。</w:t>
      </w:r>
    </w:p>
    <w:p w14:paraId="240F2E2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需支持对危险性分析，失控情况总结及纠正措施和改进措施登记。</w:t>
      </w:r>
    </w:p>
    <w:p w14:paraId="756989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需支持对比分析的之前月份数据和累积数据，可查看对比分析参数表与对比分析图，进行总结过程记录与分析登记。</w:t>
      </w:r>
    </w:p>
    <w:p w14:paraId="6CC306E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9.1.2.1.9.7.2质控月总结查看</w:t>
      </w:r>
    </w:p>
    <w:p w14:paraId="10EBF3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需支持对月总结报告进行审核、驳回。</w:t>
      </w:r>
    </w:p>
    <w:p w14:paraId="46EC48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需支持对月总结报告进行打印。</w:t>
      </w:r>
    </w:p>
    <w:p w14:paraId="71B02C1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9.1.2.1.9.7.3质控数据汇总</w:t>
      </w:r>
    </w:p>
    <w:p w14:paraId="0E9770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需支持用户可查询某段时间的单个仪器所有质控项目的统计数据，如：设定均值标准差、计算均值标准差及质控原始数据。</w:t>
      </w:r>
    </w:p>
    <w:p w14:paraId="62B46C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需支持用户查看不同项目在不同标准差倍数下的数据点数占比和失控占比。</w:t>
      </w:r>
    </w:p>
    <w:p w14:paraId="3EC219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9.1.2.1.9.8质控操作记录</w:t>
      </w:r>
    </w:p>
    <w:p w14:paraId="375295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9.1.2.1.9.8.1登记质控操作日志</w:t>
      </w:r>
    </w:p>
    <w:p w14:paraId="764569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需支持对质控操作过程中发生的行为操作可以登记质控操作日志，形成质控过程记录。</w:t>
      </w:r>
    </w:p>
    <w:p w14:paraId="5FEE9C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需支持可以在质控图的数据点上或者质控数据进行登记，或者在质控操作记录查询页面进行补充操作记录登记。</w:t>
      </w:r>
    </w:p>
    <w:p w14:paraId="5FF63AA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需支持在登记的同时可以同步至多个项目。</w:t>
      </w:r>
    </w:p>
    <w:p w14:paraId="0435114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9.1.2.1.9.8.2质控操作记录查看</w:t>
      </w:r>
    </w:p>
    <w:p w14:paraId="02E5A1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需支持对登记过的质控行为操作记录在操作查询。</w:t>
      </w:r>
    </w:p>
    <w:p w14:paraId="3E7AF0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9.1.2.1.9.9质控数据比对</w:t>
      </w:r>
    </w:p>
    <w:p w14:paraId="0D564B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9.1.2.1.9.9.1仪器质控数据比对</w:t>
      </w:r>
    </w:p>
    <w:p w14:paraId="429A747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需支持同一质控项目多台仪器的结果和参数进行比对。</w:t>
      </w:r>
    </w:p>
    <w:p w14:paraId="3A73D2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需支持以图表方式展示比对内容。</w:t>
      </w:r>
    </w:p>
    <w:p w14:paraId="0853D2D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9.1.2.1.10试剂管理</w:t>
      </w:r>
    </w:p>
    <w:p w14:paraId="12CCFD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9.1.2.1.10.1试剂及厂商基本信息维护</w:t>
      </w:r>
    </w:p>
    <w:p w14:paraId="5D2E2D5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9.1.2.1.10.1.1仓库信息维护</w:t>
      </w:r>
    </w:p>
    <w:p w14:paraId="4F8F71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需支持建立多个试剂仓库。</w:t>
      </w:r>
    </w:p>
    <w:p w14:paraId="4D0E7D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9.1.2.1.10.1.2试剂基本信息维护</w:t>
      </w:r>
    </w:p>
    <w:p w14:paraId="3FE212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需支持对试剂基本信息的维护，包括厂家、试剂规格、批准文号、相关证书等信息的维护。</w:t>
      </w:r>
    </w:p>
    <w:p w14:paraId="5EFD0F0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需支持试剂多规格维护。</w:t>
      </w:r>
    </w:p>
    <w:p w14:paraId="2D3730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9.1.2.1.10.1.3仓库与试剂信息对照</w:t>
      </w:r>
    </w:p>
    <w:p w14:paraId="3946C33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需支持对不同仓库同种试剂设置试剂的最低库存，积压库存，有效期预警时间，批准文号预警维护。</w:t>
      </w:r>
    </w:p>
    <w:p w14:paraId="6ABCCD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9.1.2.1.10.2试剂与项目对照管理</w:t>
      </w:r>
    </w:p>
    <w:p w14:paraId="6816604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需支持试剂对照应用的测试项目和设置试剂的消耗量。</w:t>
      </w:r>
    </w:p>
    <w:p w14:paraId="3D775B5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9.1.2.1.10.3试剂出入库</w:t>
      </w:r>
    </w:p>
    <w:p w14:paraId="26F87F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9.1.2.1.10.3.1试剂入库</w:t>
      </w:r>
    </w:p>
    <w:p w14:paraId="2638DD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需支持的入库方式包含：扫申请单号入库、手工入库</w:t>
      </w:r>
    </w:p>
    <w:p w14:paraId="6EA7B4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需支持入库时打印试剂条码，也需需支持条码查询、补打操作。</w:t>
      </w:r>
    </w:p>
    <w:p w14:paraId="32D105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需支持暂存入库操作。</w:t>
      </w:r>
    </w:p>
    <w:p w14:paraId="17BAB9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需支持撤销入库操作。</w:t>
      </w:r>
    </w:p>
    <w:p w14:paraId="716A78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9.1.2.1.10.3.2试剂出库</w:t>
      </w:r>
    </w:p>
    <w:p w14:paraId="1CA377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需支持扫入库单号、扫试剂条码号及手工出库。</w:t>
      </w:r>
    </w:p>
    <w:p w14:paraId="463626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需支持正常出库、过期出库及报损库存等类型。</w:t>
      </w:r>
    </w:p>
    <w:p w14:paraId="2666E1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需支持暂存出库、撤销出库及打印出库清单和出库条码等操作。</w:t>
      </w:r>
    </w:p>
    <w:p w14:paraId="53F56E0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9.1.2.1.10.4试剂申请管理</w:t>
      </w:r>
    </w:p>
    <w:p w14:paraId="0989E5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9.1.2.1.10.4.1手动申请试剂</w:t>
      </w:r>
    </w:p>
    <w:p w14:paraId="0A3037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需支持根据查询条件查找需要申请采购的试剂信息，填写需要申请的数量。</w:t>
      </w:r>
    </w:p>
    <w:p w14:paraId="76D42E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9.1.2.1.10.4.2自动计算申请</w:t>
      </w:r>
    </w:p>
    <w:p w14:paraId="45012C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需支持通过当前库存量及仓库试剂库存设置自动计算需要申请的试剂量。</w:t>
      </w:r>
    </w:p>
    <w:p w14:paraId="5927F1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9.1.2.1.10.5试剂盘点</w:t>
      </w:r>
    </w:p>
    <w:p w14:paraId="6C5D251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需支持制定盘点计划时，可以设置盘点方式于盘点内容以及预计开始盘点的时间。</w:t>
      </w:r>
    </w:p>
    <w:p w14:paraId="4C63DA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需支持手工盘点。</w:t>
      </w:r>
    </w:p>
    <w:p w14:paraId="2DC0C0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需支持扫码盘点。</w:t>
      </w:r>
    </w:p>
    <w:p w14:paraId="569C39D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9.1.2.1.10.6库存及预警管理</w:t>
      </w:r>
    </w:p>
    <w:p w14:paraId="426461E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需支持查看当前试剂库存数量、批次、预过期或存放位置等信息。</w:t>
      </w:r>
    </w:p>
    <w:p w14:paraId="200C78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需支持可在查看同时添加申购。</w:t>
      </w:r>
    </w:p>
    <w:p w14:paraId="1969D0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需支持按批号、有效期等信息显示试剂信息。</w:t>
      </w:r>
    </w:p>
    <w:p w14:paraId="0B7B11A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9.1.2.1.10.7试剂使用登记</w:t>
      </w:r>
    </w:p>
    <w:p w14:paraId="0B60DF5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9.1.2.1.10.7.1启用登记</w:t>
      </w:r>
    </w:p>
    <w:p w14:paraId="1E6555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需支持对试剂进行启用扫码登记，可以在登记的同时打印试剂开瓶效期码。</w:t>
      </w:r>
    </w:p>
    <w:p w14:paraId="3090554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9.1.2.1.10.7.2使用登记</w:t>
      </w:r>
    </w:p>
    <w:p w14:paraId="2C25123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需支持试剂开瓶使用过程的使用量记录和试剂用完登记。可查看已开启使用的试剂效期状态和剩余量等信息。</w:t>
      </w:r>
    </w:p>
    <w:p w14:paraId="253968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9.1.2.1.11实验室管理</w:t>
      </w:r>
    </w:p>
    <w:p w14:paraId="266BEF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9.1.2.1.11.1人员管理</w:t>
      </w:r>
    </w:p>
    <w:p w14:paraId="15E29A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9.1.2.1.11.1.1人员基本信息</w:t>
      </w:r>
    </w:p>
    <w:p w14:paraId="31594E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人员基本信息进行登记及管理，人员基本信息包括编码、姓名、英文名、性别、民族、生日、员工编号、职务、职务级别、入职时间、联系电话、色盲、邮箱、住址、国籍、籍贯、学历、学位、毕业学校、专业、证件类型、证件号、政治面貌、婚姻状况、配偶姓名、配偶电话、配偶单位等。</w:t>
      </w:r>
    </w:p>
    <w:p w14:paraId="4A22FF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9.1.2.1.11.1.2人员档案信息</w:t>
      </w:r>
    </w:p>
    <w:p w14:paraId="3BB918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需支持人员档案信息的登记，符合ISO 15189管理要求，包括：能力评估、相关证书、意外暴露记录、健康档案、学习经历、表现评估、科研情况、学术论文、奖励惩罚、任职档案、教学档案、培训/学习/交流/会议记录、工作经历、著作等。 </w:t>
      </w:r>
    </w:p>
    <w:p w14:paraId="46E60F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9.1.2.1.11.1.3人员管理审批</w:t>
      </w:r>
    </w:p>
    <w:p w14:paraId="02E8A1B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需支持对人员基本信息及人员档案登记事件的审批。</w:t>
      </w:r>
    </w:p>
    <w:p w14:paraId="319049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需支持对申请的内容进行批准或驳回。</w:t>
      </w:r>
    </w:p>
    <w:p w14:paraId="075A45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9.1.2.1.11.2设备管理</w:t>
      </w:r>
    </w:p>
    <w:p w14:paraId="2D16234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9.1.2.1.11.2.1计算机档案</w:t>
      </w:r>
    </w:p>
    <w:p w14:paraId="45538A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需支持对检验科内的计算机设备的管理。</w:t>
      </w:r>
    </w:p>
    <w:p w14:paraId="30F122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需支持录入主机信息，和其他来源，用途，地址等信息，进行保存，存储数据库，实现对科内计算机进行使用管理。</w:t>
      </w:r>
    </w:p>
    <w:p w14:paraId="2DBFB2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需支持增删改查，需支持档案的导出和打印。</w:t>
      </w:r>
    </w:p>
    <w:p w14:paraId="2E2F06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9.1.2.1.11.2.2检验科设备一览表</w:t>
      </w:r>
    </w:p>
    <w:p w14:paraId="5D090E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需支持对检验科内的检验设备，温控，离心机，显微镜，培养仪等设备的管理。</w:t>
      </w:r>
    </w:p>
    <w:p w14:paraId="3F81DB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需支持录入设备分类，所在小组，设备生成厂家，资产号，设备状态保养人等信息，进行保存，存储数据库，实现对科内设备的管理。</w:t>
      </w:r>
    </w:p>
    <w:p w14:paraId="73D06D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需支持增删改查，需支持管理记录的导出和打印。 </w:t>
      </w:r>
    </w:p>
    <w:p w14:paraId="1DF7CB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9.1.2.1.11.2.3设备运行记录</w:t>
      </w:r>
    </w:p>
    <w:p w14:paraId="464319A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需支持对检验科内的检验设备，温控，离心机，显微镜，培养仪等设备运行记录的管理。</w:t>
      </w:r>
    </w:p>
    <w:p w14:paraId="173B7F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需支持录入设备的运行记录，检验设备科算出报告数，理论测试数，实际测试数，保存数据，存储数据库，实现对科内设备运行记录的管理。</w:t>
      </w:r>
    </w:p>
    <w:p w14:paraId="609CB95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需支持增删改查，需支持导出和打印。</w:t>
      </w:r>
    </w:p>
    <w:p w14:paraId="777EA3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9.1.2.1.11.2.4设备故障维修记录</w:t>
      </w:r>
    </w:p>
    <w:p w14:paraId="5063C8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需支持对检验科内的检验设备，温控，离心机，显微镜，培养仪等设备维修保养记录的管理。</w:t>
      </w:r>
    </w:p>
    <w:p w14:paraId="1F03B4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需支持录入设备的故障现象，维修工人等维修记录，保存数据，存储数据库，实现对科内计算机进行使用管理。</w:t>
      </w:r>
    </w:p>
    <w:p w14:paraId="6C2F7A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需支持增删改查，需支持导出和打印。</w:t>
      </w:r>
    </w:p>
    <w:p w14:paraId="747758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9.1.2.1.11.2.5设备保养记录</w:t>
      </w:r>
    </w:p>
    <w:p w14:paraId="2199374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需支持对检验科内的检验设备，温控，离心机，显微镜，培养仪等设备保养记录的管理。</w:t>
      </w:r>
    </w:p>
    <w:p w14:paraId="0DEB928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需支持录入设备的保养方式，保养日期等记录，保存数据，存储数据库，实现对科内设备保养的管理。</w:t>
      </w:r>
    </w:p>
    <w:p w14:paraId="21608A0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需支持增删改查，需支持导出和打印。</w:t>
      </w:r>
    </w:p>
    <w:p w14:paraId="0F9AF6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9.1.2.1.11.3环境管理</w:t>
      </w:r>
    </w:p>
    <w:p w14:paraId="46F8C19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9.1.2.1.11.3.1环境监控管理</w:t>
      </w:r>
    </w:p>
    <w:p w14:paraId="5026E3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需支持对检验科内的环境记录的管理。</w:t>
      </w:r>
    </w:p>
    <w:p w14:paraId="7EE3D1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需支持录入小组下对应的环境参数，温度湿度室内外压力等记录，存储数据库，实现对科内环境的监控管理。</w:t>
      </w:r>
    </w:p>
    <w:p w14:paraId="04D635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需支持增删改查，需支持导出和打印。</w:t>
      </w:r>
    </w:p>
    <w:p w14:paraId="28C139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87" w:name="_Toc157670694"/>
      <w:r>
        <w:rPr>
          <w:rFonts w:hint="eastAsia" w:ascii="宋体" w:hAnsi="宋体" w:eastAsia="宋体" w:cs="宋体"/>
          <w:b w:val="0"/>
          <w:bCs w:val="0"/>
          <w:color w:val="auto"/>
          <w:sz w:val="21"/>
          <w:szCs w:val="21"/>
          <w:highlight w:val="none"/>
          <w:lang w:val="en-US" w:eastAsia="zh-CN"/>
        </w:rPr>
        <w:t>9.1.2.1.12统计查询</w:t>
      </w:r>
    </w:p>
    <w:p w14:paraId="17C725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9.1.2.1.12.1危急值查询</w:t>
      </w:r>
    </w:p>
    <w:p w14:paraId="4DFAAA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需支持根据危急值发送时间、患者类型、专业组、开立科室、护士站等条件，查询出相应危急值记录，查看闭环状态、各环节的操作人及处理内容、响应时长等。</w:t>
      </w:r>
    </w:p>
    <w:p w14:paraId="245ED4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9.1.2.1.12.2不合格标本查询</w:t>
      </w:r>
    </w:p>
    <w:p w14:paraId="650E7BB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需支持根据不合格标本登记时间、患者类型、专业组、开立科室、护士站等条件，查询出相应不合格标本记录，查看闭环状态、各环节的操作人及处理内容、响应时长等。</w:t>
      </w:r>
    </w:p>
    <w:p w14:paraId="77AC49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88" w:name="_Hlk191685618"/>
      <w:r>
        <w:rPr>
          <w:rFonts w:hint="eastAsia" w:ascii="宋体" w:hAnsi="宋体" w:eastAsia="宋体" w:cs="宋体"/>
          <w:b w:val="0"/>
          <w:bCs w:val="0"/>
          <w:color w:val="auto"/>
          <w:sz w:val="21"/>
          <w:szCs w:val="21"/>
          <w:highlight w:val="none"/>
          <w:lang w:val="en-US" w:eastAsia="zh-CN"/>
        </w:rPr>
        <w:t>9.1.2.1.12.3检验单综合查询</w:t>
      </w:r>
    </w:p>
    <w:bookmarkEnd w:id="188"/>
    <w:p w14:paraId="278CE5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需支持通过患者信息、患者号、条码号、患者姓名、性别、年龄、证件号等条码查询检验单列表及检验单状态，还可以打印和预览报告。</w:t>
      </w:r>
    </w:p>
    <w:p w14:paraId="633A3D0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9.1.2.1.12.4检验结果查询</w:t>
      </w:r>
    </w:p>
    <w:p w14:paraId="4C4495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需支持根据测试项目、结果类型、结果范围、标本类型、开立科室、患者号、患者姓名、等查询指定范围的检验结果，可以多条件相关、也可以多条件同时成立。</w:t>
      </w:r>
    </w:p>
    <w:p w14:paraId="7E19ED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89" w:name="_Hlk191687043"/>
      <w:r>
        <w:rPr>
          <w:rFonts w:hint="eastAsia" w:ascii="宋体" w:hAnsi="宋体" w:eastAsia="宋体" w:cs="宋体"/>
          <w:b w:val="0"/>
          <w:bCs w:val="0"/>
          <w:color w:val="auto"/>
          <w:sz w:val="21"/>
          <w:szCs w:val="21"/>
          <w:highlight w:val="none"/>
          <w:lang w:val="en-US" w:eastAsia="zh-CN"/>
        </w:rPr>
        <w:t>9.1.2.1.12.5传染病登记记录</w:t>
      </w:r>
    </w:p>
    <w:bookmarkEnd w:id="189"/>
    <w:p w14:paraId="43B651A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需支持根据登记时间段、患者类别、患者号、登记原因查询传染病登记记录。</w:t>
      </w:r>
    </w:p>
    <w:p w14:paraId="446752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9.1.2.1.12.6TAT质量分析</w:t>
      </w:r>
    </w:p>
    <w:p w14:paraId="4AD8BD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需支持根据检验日期、项目类型、科室、实验室、专业组、患者类型、医嘱项目条件进行统计，可以增减统计时间点，可以增减合格率、不合格率、平均TAT、10%位数、50%位数、90%位数，还可以自定义增加。</w:t>
      </w:r>
    </w:p>
    <w:p w14:paraId="77DB82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9.1.2.1.12.7标本分时操作量分析</w:t>
      </w:r>
    </w:p>
    <w:p w14:paraId="3B2A9C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需支持根据患者类别、实验室、专业组、报告单元、标本类型，签收时间或审核时间二选一查看一段日期中全天24小时或48小时的各类操作量分布情况。</w:t>
      </w:r>
    </w:p>
    <w:p w14:paraId="6CD318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9.1.2.1.12.8检验工作量统计查询</w:t>
      </w:r>
    </w:p>
    <w:p w14:paraId="796FF3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审核时间、患者类别、开立科室、标本类型、执行实验室、专业组、医嘱项目为查询条件，可以多选专业组、患者类别、开立科室等做为统计分组字段，统计出患者人数、报告单数、医嘱项目数、费用总额。</w:t>
      </w:r>
    </w:p>
    <w:p w14:paraId="56F044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9.1.2.1.13日志管理</w:t>
      </w:r>
      <w:bookmarkEnd w:id="187"/>
    </w:p>
    <w:p w14:paraId="5A8455A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9.1.2.1.13.1标本日志查询</w:t>
      </w:r>
    </w:p>
    <w:p w14:paraId="21D6F1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需支持查询检验单修改，审核，取消审核等操作记录，操作电脑IP。</w:t>
      </w:r>
    </w:p>
    <w:p w14:paraId="4DEBB7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需支持查询标本取消审核操作记录，操作电脑IP。</w:t>
      </w:r>
    </w:p>
    <w:p w14:paraId="66F61E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9.1.2.1.13.2非标本日志查询</w:t>
      </w:r>
    </w:p>
    <w:p w14:paraId="0AFD83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需支持查询质控管理、试剂管理、环境管理等操作记录，操作电脑IP。</w:t>
      </w:r>
    </w:p>
    <w:p w14:paraId="3AB9CF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9.1.2.1.13.3维护日志查询</w:t>
      </w:r>
    </w:p>
    <w:p w14:paraId="054C87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需支持LIS系统维护操作日志：根据操作时间段、操作类别、操作人查询LIS系统维护操作的日志。</w:t>
      </w:r>
    </w:p>
    <w:p w14:paraId="6408300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9.1.2.1.14模板管理</w:t>
      </w:r>
    </w:p>
    <w:p w14:paraId="292719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0" w:name="_Hlk191690173"/>
      <w:bookmarkStart w:id="191" w:name="_Toc160728244"/>
      <w:bookmarkStart w:id="192" w:name="_Toc128145144"/>
      <w:bookmarkStart w:id="193" w:name="_Toc128142208"/>
      <w:r>
        <w:rPr>
          <w:rFonts w:hint="eastAsia" w:ascii="宋体" w:hAnsi="宋体" w:eastAsia="宋体" w:cs="宋体"/>
          <w:b w:val="0"/>
          <w:bCs w:val="0"/>
          <w:color w:val="auto"/>
          <w:sz w:val="21"/>
          <w:szCs w:val="21"/>
          <w:highlight w:val="none"/>
          <w:lang w:val="en-US" w:eastAsia="zh-CN"/>
        </w:rPr>
        <w:t>9.1.2.1.14.1条码打印模板维护</w:t>
      </w:r>
    </w:p>
    <w:bookmarkEnd w:id="190"/>
    <w:p w14:paraId="5C0028C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4" w:name="_Hlk191690587"/>
      <w:r>
        <w:rPr>
          <w:rFonts w:hint="eastAsia" w:ascii="宋体" w:hAnsi="宋体" w:eastAsia="宋体" w:cs="宋体"/>
          <w:b w:val="0"/>
          <w:bCs w:val="0"/>
          <w:color w:val="auto"/>
          <w:sz w:val="21"/>
          <w:szCs w:val="21"/>
          <w:highlight w:val="none"/>
          <w:lang w:val="en-US" w:eastAsia="zh-CN"/>
        </w:rPr>
        <w:t>需支持条码模板根据患者类型和用途维护多个模板，模板中数据标签与数据源里用KeyID对应</w:t>
      </w:r>
      <w:bookmarkEnd w:id="194"/>
      <w:r>
        <w:rPr>
          <w:rFonts w:hint="eastAsia" w:ascii="宋体" w:hAnsi="宋体" w:eastAsia="宋体" w:cs="宋体"/>
          <w:b w:val="0"/>
          <w:bCs w:val="0"/>
          <w:color w:val="auto"/>
          <w:sz w:val="21"/>
          <w:szCs w:val="21"/>
          <w:highlight w:val="none"/>
          <w:lang w:val="en-US" w:eastAsia="zh-CN"/>
        </w:rPr>
        <w:t>，模板尺寸一般为5X3CM，要注意条码周围有足够留白，增加条码识别率。</w:t>
      </w:r>
    </w:p>
    <w:p w14:paraId="0D2A330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5" w:name="_Hlk191690610"/>
      <w:r>
        <w:rPr>
          <w:rFonts w:hint="eastAsia" w:ascii="宋体" w:hAnsi="宋体" w:eastAsia="宋体" w:cs="宋体"/>
          <w:b w:val="0"/>
          <w:bCs w:val="0"/>
          <w:color w:val="auto"/>
          <w:sz w:val="21"/>
          <w:szCs w:val="21"/>
          <w:highlight w:val="none"/>
          <w:lang w:val="en-US" w:eastAsia="zh-CN"/>
        </w:rPr>
        <w:t>9.1.2.1.14.2回执单打印模板</w:t>
      </w:r>
    </w:p>
    <w:bookmarkEnd w:id="195"/>
    <w:p w14:paraId="26F4D6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需支持回执单模板显示患者号条码、患者信息、医嘱信息及取报告时间，模板中数据标签与数据源里用KeyID对应，回执单高度可维护为自动高度。</w:t>
      </w:r>
    </w:p>
    <w:p w14:paraId="19C4C59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6" w:name="_Hlk191658307"/>
      <w:r>
        <w:rPr>
          <w:rFonts w:hint="eastAsia" w:ascii="宋体" w:hAnsi="宋体" w:eastAsia="宋体" w:cs="宋体"/>
          <w:b w:val="0"/>
          <w:bCs w:val="0"/>
          <w:color w:val="auto"/>
          <w:sz w:val="21"/>
          <w:szCs w:val="21"/>
          <w:highlight w:val="none"/>
          <w:lang w:val="en-US" w:eastAsia="zh-CN"/>
        </w:rPr>
        <w:t>9.1.2.1.14.3报告单模板维护</w:t>
      </w:r>
    </w:p>
    <w:bookmarkEnd w:id="196"/>
    <w:p w14:paraId="2CDDA21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需支持检验报告模板维护，根据患者类理、结果数量、图片个数、具体项目等分为多个模板，用到的标签多，文本、日期、表达式、图片、签名、页码、多行文本、线条等，结果多时要能双列、要能分页。</w:t>
      </w:r>
    </w:p>
    <w:p w14:paraId="4D9F99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7" w:name="_Hlk191691222"/>
      <w:r>
        <w:rPr>
          <w:rFonts w:hint="eastAsia" w:ascii="宋体" w:hAnsi="宋体" w:eastAsia="宋体" w:cs="宋体"/>
          <w:b w:val="0"/>
          <w:bCs w:val="0"/>
          <w:color w:val="auto"/>
          <w:sz w:val="21"/>
          <w:szCs w:val="21"/>
          <w:highlight w:val="none"/>
          <w:lang w:val="en-US" w:eastAsia="zh-CN"/>
        </w:rPr>
        <w:t>9.1.2.1.14.4微生物报告模板维护</w:t>
      </w:r>
    </w:p>
    <w:bookmarkEnd w:id="197"/>
    <w:p w14:paraId="7EDB50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需支持微生物报告模板，根据检验目的、结果情况分多种模板，微生物还需要有专属组件，结果列表可以维护细菌大分页，结果小分组。</w:t>
      </w:r>
    </w:p>
    <w:bookmarkEnd w:id="191"/>
    <w:bookmarkEnd w:id="192"/>
    <w:bookmarkEnd w:id="193"/>
    <w:p w14:paraId="3EA04D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9.1.2.1.15数据采集系统</w:t>
      </w:r>
    </w:p>
    <w:p w14:paraId="26B7EE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8" w:name="_Toc157670634"/>
      <w:r>
        <w:rPr>
          <w:rFonts w:hint="eastAsia" w:ascii="宋体" w:hAnsi="宋体" w:eastAsia="宋体" w:cs="宋体"/>
          <w:b w:val="0"/>
          <w:bCs w:val="0"/>
          <w:color w:val="auto"/>
          <w:sz w:val="21"/>
          <w:szCs w:val="21"/>
          <w:highlight w:val="none"/>
          <w:lang w:val="en-US" w:eastAsia="zh-CN"/>
        </w:rPr>
        <w:t>9.1.2.1.15.1串口数据接收功能</w:t>
      </w:r>
      <w:bookmarkEnd w:id="198"/>
    </w:p>
    <w:p w14:paraId="794BE9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需支持串口测试工具：串口工具负责对检验设备的原始数据采集，并可直接保存在本地指定路径中。</w:t>
      </w:r>
    </w:p>
    <w:p w14:paraId="7058AC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需支持原始数据保存到数据库：原始数据保存到数据库，定期清空原始数据内容，可设置完成。</w:t>
      </w:r>
    </w:p>
    <w:p w14:paraId="14DF11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需支持原始数据保留到本地文件夹中：原始数据可以保存到本地数据库中，可通过配置管理解决。</w:t>
      </w:r>
    </w:p>
    <w:p w14:paraId="4CC09A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199" w:name="_Toc157670635"/>
      <w:r>
        <w:rPr>
          <w:rFonts w:hint="eastAsia" w:ascii="宋体" w:hAnsi="宋体" w:eastAsia="宋体" w:cs="宋体"/>
          <w:b w:val="0"/>
          <w:bCs w:val="0"/>
          <w:color w:val="auto"/>
          <w:sz w:val="21"/>
          <w:szCs w:val="21"/>
          <w:highlight w:val="none"/>
          <w:lang w:val="en-US" w:eastAsia="zh-CN"/>
        </w:rPr>
        <w:t>9.1.2.1.15.2网络数据接收功能</w:t>
      </w:r>
      <w:bookmarkEnd w:id="199"/>
    </w:p>
    <w:p w14:paraId="140455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需支持TCP/IP数据采集：指定网络监听端口号，建立网络通信机制，完成数据采集，指令发送等功能。</w:t>
      </w:r>
    </w:p>
    <w:p w14:paraId="054D52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0" w:name="_Toc157670636"/>
      <w:r>
        <w:rPr>
          <w:rFonts w:hint="eastAsia" w:ascii="宋体" w:hAnsi="宋体" w:eastAsia="宋体" w:cs="宋体"/>
          <w:b w:val="0"/>
          <w:bCs w:val="0"/>
          <w:color w:val="auto"/>
          <w:sz w:val="21"/>
          <w:szCs w:val="21"/>
          <w:highlight w:val="none"/>
          <w:lang w:val="en-US" w:eastAsia="zh-CN"/>
        </w:rPr>
        <w:t>9.1.2.1.15.3文件数据接收功能</w:t>
      </w:r>
      <w:bookmarkEnd w:id="200"/>
    </w:p>
    <w:p w14:paraId="025FB2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需支持文件数据处理：根据程序确定的文件信息（路径，名称等），程序获得对应的检验结果信息。</w:t>
      </w:r>
    </w:p>
    <w:p w14:paraId="2C492A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1" w:name="_Toc157670637"/>
      <w:r>
        <w:rPr>
          <w:rFonts w:hint="eastAsia" w:ascii="宋体" w:hAnsi="宋体" w:eastAsia="宋体" w:cs="宋体"/>
          <w:b w:val="0"/>
          <w:bCs w:val="0"/>
          <w:color w:val="auto"/>
          <w:sz w:val="21"/>
          <w:szCs w:val="21"/>
          <w:highlight w:val="none"/>
          <w:lang w:val="en-US" w:eastAsia="zh-CN"/>
        </w:rPr>
        <w:t>9.1.2.1.15.4数据库文件接收</w:t>
      </w:r>
      <w:bookmarkEnd w:id="201"/>
    </w:p>
    <w:p w14:paraId="0DE08B9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需支持获得数据库文件结果：可以连接不同的设备数据库，配置结果数据表信息，查询信息，获得数据，并将数据保存到数据库中。</w:t>
      </w:r>
    </w:p>
    <w:p w14:paraId="7A5761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2" w:name="_Toc157670638"/>
      <w:r>
        <w:rPr>
          <w:rFonts w:hint="eastAsia" w:ascii="宋体" w:hAnsi="宋体" w:eastAsia="宋体" w:cs="宋体"/>
          <w:b w:val="0"/>
          <w:bCs w:val="0"/>
          <w:color w:val="auto"/>
          <w:sz w:val="21"/>
          <w:szCs w:val="21"/>
          <w:highlight w:val="none"/>
          <w:lang w:val="en-US" w:eastAsia="zh-CN"/>
        </w:rPr>
        <w:t>9.1.2.1.15.5图像数据采集</w:t>
      </w:r>
      <w:bookmarkEnd w:id="202"/>
    </w:p>
    <w:p w14:paraId="053F1A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需支持二进制数据组成图像：原始数据为二进制格式，需要程序完成坐标，标识等绘制，将绘制的内容形成文件，保存到数据库中。</w:t>
      </w:r>
    </w:p>
    <w:p w14:paraId="60DF17F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需支持文件式图像：数据转换后，直接保存文件到数据库中。</w:t>
      </w:r>
    </w:p>
    <w:p w14:paraId="69A81FB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需支持函数式图像：血流变图像，通过函数连线，形成文件后，存到数据库中。</w:t>
      </w:r>
    </w:p>
    <w:p w14:paraId="71D5DB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3" w:name="_Toc157670639"/>
      <w:r>
        <w:rPr>
          <w:rFonts w:hint="eastAsia" w:ascii="宋体" w:hAnsi="宋体" w:eastAsia="宋体" w:cs="宋体"/>
          <w:b w:val="0"/>
          <w:bCs w:val="0"/>
          <w:color w:val="auto"/>
          <w:sz w:val="21"/>
          <w:szCs w:val="21"/>
          <w:highlight w:val="none"/>
          <w:lang w:val="en-US" w:eastAsia="zh-CN"/>
        </w:rPr>
        <w:t>9.1.2.1.15.6串口内容设置</w:t>
      </w:r>
      <w:bookmarkEnd w:id="203"/>
    </w:p>
    <w:p w14:paraId="345BD2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需支持对串口基本信息进行配置：波特率，数据位，校验位，停止位，串口端口号等设置。</w:t>
      </w:r>
    </w:p>
    <w:p w14:paraId="419BE8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4" w:name="_Toc157670640"/>
      <w:r>
        <w:rPr>
          <w:rFonts w:hint="eastAsia" w:ascii="宋体" w:hAnsi="宋体" w:eastAsia="宋体" w:cs="宋体"/>
          <w:b w:val="0"/>
          <w:bCs w:val="0"/>
          <w:color w:val="auto"/>
          <w:sz w:val="21"/>
          <w:szCs w:val="21"/>
          <w:highlight w:val="none"/>
          <w:lang w:val="en-US" w:eastAsia="zh-CN"/>
        </w:rPr>
        <w:t>9.1.2.1.15.7网络监听设置</w:t>
      </w:r>
      <w:bookmarkEnd w:id="204"/>
    </w:p>
    <w:p w14:paraId="152558F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需支持对网口基本信息进行配置：设置指定的IP，端口号信息设置。</w:t>
      </w:r>
    </w:p>
    <w:p w14:paraId="54D3A65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5" w:name="_Toc157670641"/>
      <w:r>
        <w:rPr>
          <w:rFonts w:hint="eastAsia" w:ascii="宋体" w:hAnsi="宋体" w:eastAsia="宋体" w:cs="宋体"/>
          <w:b w:val="0"/>
          <w:bCs w:val="0"/>
          <w:color w:val="auto"/>
          <w:sz w:val="21"/>
          <w:szCs w:val="21"/>
          <w:highlight w:val="none"/>
          <w:lang w:val="en-US" w:eastAsia="zh-CN"/>
        </w:rPr>
        <w:t>9.1.2.1.15.8文件数据接收配置</w:t>
      </w:r>
      <w:bookmarkEnd w:id="205"/>
    </w:p>
    <w:p w14:paraId="56A06B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需支持系统配置：对文件的路径，文件名称进行定义。</w:t>
      </w:r>
    </w:p>
    <w:p w14:paraId="634569E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6" w:name="_Toc157670642"/>
      <w:r>
        <w:rPr>
          <w:rFonts w:hint="eastAsia" w:ascii="宋体" w:hAnsi="宋体" w:eastAsia="宋体" w:cs="宋体"/>
          <w:b w:val="0"/>
          <w:bCs w:val="0"/>
          <w:color w:val="auto"/>
          <w:sz w:val="21"/>
          <w:szCs w:val="21"/>
          <w:highlight w:val="none"/>
          <w:lang w:val="en-US" w:eastAsia="zh-CN"/>
        </w:rPr>
        <w:t>9.1.2.1.15.9数据库文件配置</w:t>
      </w:r>
      <w:bookmarkEnd w:id="206"/>
    </w:p>
    <w:p w14:paraId="78FC4C5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需支持指定连接的数据库类型。</w:t>
      </w:r>
    </w:p>
    <w:p w14:paraId="020A3AE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需支持定义需要查询的表，数据字段，为检验系统提供结果数据。</w:t>
      </w:r>
    </w:p>
    <w:p w14:paraId="5D8306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需支持指定查询数据库的地址。</w:t>
      </w:r>
    </w:p>
    <w:p w14:paraId="06A091B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7" w:name="_Toc157670643"/>
      <w:r>
        <w:rPr>
          <w:rFonts w:hint="eastAsia" w:ascii="宋体" w:hAnsi="宋体" w:eastAsia="宋体" w:cs="宋体"/>
          <w:b w:val="0"/>
          <w:bCs w:val="0"/>
          <w:color w:val="auto"/>
          <w:sz w:val="21"/>
          <w:szCs w:val="21"/>
          <w:highlight w:val="none"/>
          <w:lang w:val="en-US" w:eastAsia="zh-CN"/>
        </w:rPr>
        <w:t>9.1.2.1.15.10质控信息设置</w:t>
      </w:r>
      <w:bookmarkEnd w:id="207"/>
    </w:p>
    <w:p w14:paraId="5902250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需支持对质控标本号设置，质控物标识进行配置，设置质控值数量，设置质控结果的处理机制。</w:t>
      </w:r>
      <w:bookmarkEnd w:id="179"/>
    </w:p>
    <w:p w14:paraId="4253E67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9.1.2.2AI智能体</w:t>
      </w:r>
    </w:p>
    <w:p w14:paraId="27BE654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8" w:name="_Toc97072215"/>
      <w:r>
        <w:rPr>
          <w:rFonts w:hint="eastAsia" w:ascii="宋体" w:hAnsi="宋体" w:eastAsia="宋体" w:cs="宋体"/>
          <w:b w:val="0"/>
          <w:bCs w:val="0"/>
          <w:color w:val="auto"/>
          <w:sz w:val="21"/>
          <w:szCs w:val="21"/>
          <w:highlight w:val="none"/>
          <w:lang w:val="en-US" w:eastAsia="zh-CN"/>
        </w:rPr>
        <w:t>9.1.2.2.1检验医师助手</w:t>
      </w:r>
    </w:p>
    <w:p w14:paraId="4E3F8D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验医师助手需要基于通用大模型DeepSeek开发，通过构建私域知识库并采用RAG（检索增强生成）技术，为检验医师设计。其私域知识库应整合权威标准与临床指南，涵盖至少400余项检验项目的专业知识体系，并建立至少300余个与检验指标密切关联的疾病知识库。</w:t>
      </w:r>
    </w:p>
    <w:bookmarkEnd w:id="208"/>
    <w:p w14:paraId="7736E3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9.1.2.2.1.1检验报告解读</w:t>
      </w:r>
    </w:p>
    <w:p w14:paraId="0FCDEE7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该助手需具备对检验报告的双重分析能力：</w:t>
      </w:r>
    </w:p>
    <w:p w14:paraId="6A4302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需支持对检验报告单中的单个项目进行专业解读；</w:t>
      </w:r>
    </w:p>
    <w:p w14:paraId="27B4B7B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需支持结合患者临床信息对整体报告进行综合分析；</w:t>
      </w:r>
    </w:p>
    <w:p w14:paraId="5AF82B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需支持检验医师基于分析结果与助手开展实时互动，对异常结果的原因进行询问，助手将给出可能性解答。</w:t>
      </w:r>
    </w:p>
    <w:p w14:paraId="7DA83B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9.1.2.2.1.2检验及疾病知识问答</w:t>
      </w:r>
    </w:p>
    <w:p w14:paraId="39F09A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需支持对检验项目及疾病相关的内容基于RAG的知识库进行问题分析及回答。</w:t>
      </w:r>
    </w:p>
    <w:p w14:paraId="5E747C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09" w:name="_Toc195535551"/>
      <w:r>
        <w:rPr>
          <w:rFonts w:hint="eastAsia" w:ascii="宋体" w:hAnsi="宋体" w:eastAsia="宋体" w:cs="宋体"/>
          <w:b w:val="0"/>
          <w:bCs w:val="0"/>
          <w:color w:val="auto"/>
          <w:sz w:val="21"/>
          <w:szCs w:val="21"/>
          <w:highlight w:val="none"/>
          <w:lang w:val="en-US" w:eastAsia="zh-CN"/>
        </w:rPr>
        <w:t>9.1.2.2.2 ISO15189问答助手</w:t>
      </w:r>
      <w:bookmarkEnd w:id="209"/>
    </w:p>
    <w:p w14:paraId="35E26E8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ISO15189是国际标准化组织制定的医学实验室质量与能力认可准则，其认可流程复杂且需准备大量资料，对经验不足的实验室而言挑战较大。为此，系统需基于DeepSeek通用大模型，整合私域知识库，运用RAG技术，可联合本院检验科共建符合本院实际的ISO15189专家知识库，并开发出问答助手。</w:t>
      </w:r>
    </w:p>
    <w:p w14:paraId="4AB6DA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检验医生可通过该助手随时交流探讨ISO15189相关知识，快速获取解答。</w:t>
      </w:r>
    </w:p>
    <w:p w14:paraId="63F9A48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0" w:name="_Toc195535552"/>
      <w:r>
        <w:rPr>
          <w:rFonts w:hint="eastAsia" w:ascii="宋体" w:hAnsi="宋体" w:eastAsia="宋体" w:cs="宋体"/>
          <w:b w:val="0"/>
          <w:bCs w:val="0"/>
          <w:color w:val="auto"/>
          <w:sz w:val="21"/>
          <w:szCs w:val="21"/>
          <w:highlight w:val="none"/>
          <w:lang w:val="en-US" w:eastAsia="zh-CN"/>
        </w:rPr>
        <w:t>9.1.2.2.2.1 ISO15189知识问答</w:t>
      </w:r>
      <w:bookmarkEnd w:id="210"/>
    </w:p>
    <w:p w14:paraId="7B2A38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需支持对ISO15189相关文件进行上传，构建知识库；</w:t>
      </w:r>
    </w:p>
    <w:p w14:paraId="1DBE803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需支持上传DOCX、EXCEL、PPT、IMAGE、PDF、TXT、MD、JSON、EML、HTML格式，以构建支持库；</w:t>
      </w:r>
    </w:p>
    <w:p w14:paraId="304AB3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需支持对已构建的ISO15189知识库内容基于DeepSeek进行问答交互。</w:t>
      </w:r>
    </w:p>
    <w:p w14:paraId="3CC3BC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1" w:name="_Toc195535553"/>
      <w:r>
        <w:rPr>
          <w:rFonts w:hint="eastAsia" w:ascii="宋体" w:hAnsi="宋体" w:eastAsia="宋体" w:cs="宋体"/>
          <w:b w:val="0"/>
          <w:bCs w:val="0"/>
          <w:color w:val="auto"/>
          <w:sz w:val="21"/>
          <w:szCs w:val="21"/>
          <w:highlight w:val="none"/>
          <w:lang w:val="en-US" w:eastAsia="zh-CN"/>
        </w:rPr>
        <w:t>9.1.2.2.3检验科室文件检索</w:t>
      </w:r>
      <w:bookmarkEnd w:id="211"/>
    </w:p>
    <w:p w14:paraId="3C1455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检验科室内部文档种类繁多，涵盖论文、科研资料、培训材料以及学习文档等各类文件，日常查找文件往往需要耗费大量时间。需构建检验科室专属的文件检索私域知识库，支持文件上传，并借助先进的大模型DeepSeek，运用RAG（检索增强生成）技术，打造一个“文件管家”，以便高效搜索文件。</w:t>
      </w:r>
    </w:p>
    <w:p w14:paraId="731F812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2" w:name="_Toc195535554"/>
      <w:r>
        <w:rPr>
          <w:rFonts w:hint="eastAsia" w:ascii="宋体" w:hAnsi="宋体" w:eastAsia="宋体" w:cs="宋体"/>
          <w:b w:val="0"/>
          <w:bCs w:val="0"/>
          <w:color w:val="auto"/>
          <w:sz w:val="21"/>
          <w:szCs w:val="21"/>
          <w:highlight w:val="none"/>
          <w:lang w:val="en-US" w:eastAsia="zh-CN"/>
        </w:rPr>
        <w:t>9.1.2.2.3.1检验科室文件检索</w:t>
      </w:r>
      <w:bookmarkEnd w:id="212"/>
    </w:p>
    <w:p w14:paraId="1AAACD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需支持对检验科相关文件进行上传，构建知识库，需支持DOCX、EXCEL、PPT、IMAGE、PDF、TXT、MD、JSON、EML、HTML、ODF格式；</w:t>
      </w:r>
    </w:p>
    <w:p w14:paraId="25ABA4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需支持对已上传文件的内容基于DeepSeek等国产大模型进行问答式搜索。</w:t>
      </w:r>
    </w:p>
    <w:p w14:paraId="44DFA3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9.1.2.2.4医学检验智能审核系统</w:t>
      </w:r>
    </w:p>
    <w:p w14:paraId="528F2A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基于人、机、料、法、环、测等多个质量维度，维护检验报告的审核规则，可实现检验报告单的高质量、高效流、低成本的自动审核。</w:t>
      </w:r>
    </w:p>
    <w:p w14:paraId="596BDB7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9.1.2.2.4.1规则元素构建</w:t>
      </w:r>
    </w:p>
    <w:p w14:paraId="19D032A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对使用到的基础规则元素进行构建，以支撑规则库维护。</w:t>
      </w:r>
    </w:p>
    <w:p w14:paraId="633364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9.1.2.2.4.1.1运算符维护</w:t>
      </w:r>
    </w:p>
    <w:p w14:paraId="4593AE2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需支持运算符的查看和编辑。</w:t>
      </w:r>
    </w:p>
    <w:p w14:paraId="4D8C17C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9.1.2.2.4.1.2条件维护</w:t>
      </w:r>
    </w:p>
    <w:p w14:paraId="12792D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需支持对条件的查看、新增、编辑、删除。</w:t>
      </w:r>
    </w:p>
    <w:p w14:paraId="4DDEB24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9.1.2.2.4.1.3条件组维护</w:t>
      </w:r>
    </w:p>
    <w:p w14:paraId="736AB02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需支持对条件组的查看、新增、编辑、删除、条件组可视化。</w:t>
      </w:r>
    </w:p>
    <w:p w14:paraId="5EF497E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9.1.2.2.4.1.4模块维护</w:t>
      </w:r>
    </w:p>
    <w:p w14:paraId="6873E9D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需支持常规模块的查看、新增、编辑、删除、模块可视化；</w:t>
      </w:r>
    </w:p>
    <w:p w14:paraId="41DF63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9.1.2.2.4.1.5LIS标准数据维护</w:t>
      </w:r>
    </w:p>
    <w:p w14:paraId="31EDAA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需支持与LIS对接时的标准数据维护，包括：标本类型列表、采集部位列表、科室列表、护士站列表、实验室人员列表、报告单元与测试项目对照。</w:t>
      </w:r>
    </w:p>
    <w:p w14:paraId="05A9CD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9.1.2.2.4.1.6组件运算数据对照维护</w:t>
      </w:r>
    </w:p>
    <w:p w14:paraId="5E3E20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需支持组件运算数据的对照维护，包括：患者类型、收费标识、审核状态、质控标识、患者性别、患者信息来源类型。</w:t>
      </w:r>
    </w:p>
    <w:p w14:paraId="107125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9.1.2.2.4.1.7规则库维护</w:t>
      </w:r>
    </w:p>
    <w:p w14:paraId="5B4BE3B0">
      <w:pPr>
        <w:pStyle w:val="436"/>
        <w:widowControl w:val="0"/>
        <w:numPr>
          <w:ilvl w:val="0"/>
          <w:numId w:val="0"/>
        </w:numPr>
        <w:spacing w:line="360" w:lineRule="auto"/>
        <w:ind w:left="1060" w:leftChars="0"/>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需按用户要求提供规则维护功能。</w:t>
      </w:r>
    </w:p>
    <w:p w14:paraId="5FBBE4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9.1.2.2.4.1.8规则链维护</w:t>
      </w:r>
    </w:p>
    <w:p w14:paraId="464B28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需支持规则库中规则链列表信息查询、新增、修改。</w:t>
      </w:r>
    </w:p>
    <w:p w14:paraId="4C6FCB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9.1.2.2.4.1.9复制规则链</w:t>
      </w:r>
    </w:p>
    <w:p w14:paraId="77DDB3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需支持复制本院其他报告单元的规则链数据。</w:t>
      </w:r>
    </w:p>
    <w:p w14:paraId="0F48A1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9.1.2.2.4.1.10规则链预览</w:t>
      </w:r>
    </w:p>
    <w:p w14:paraId="70745B4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需支持规则链维护完成后，预览整体规则链路。</w:t>
      </w:r>
    </w:p>
    <w:p w14:paraId="3ADEFE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9.1.2.2.4.1.11EPSR阶段规则维护</w:t>
      </w:r>
    </w:p>
    <w:p w14:paraId="17DA0F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需支持EPSR四个阶段的规则维护，包括：入口阶段、签收预检查阶段、单项检查阶段、检验单级检查阶段。</w:t>
      </w:r>
    </w:p>
    <w:p w14:paraId="239DB5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9.1.2.2.4.1.12规则验证</w:t>
      </w:r>
    </w:p>
    <w:p w14:paraId="20F3A257">
      <w:pPr>
        <w:pStyle w:val="436"/>
        <w:widowControl w:val="0"/>
        <w:numPr>
          <w:ilvl w:val="0"/>
          <w:numId w:val="0"/>
        </w:numPr>
        <w:spacing w:line="360" w:lineRule="auto"/>
        <w:ind w:left="1060" w:leftChars="0"/>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需提供规则验证功能。</w:t>
      </w:r>
    </w:p>
    <w:p w14:paraId="74530F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9.1.2.2.4.1.13查看规则链列表</w:t>
      </w:r>
    </w:p>
    <w:p w14:paraId="3179E5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需支持对可进行规则验证的规则链列表信息查看。</w:t>
      </w:r>
    </w:p>
    <w:p w14:paraId="2C5AA3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9.1.2.2.4.1.14查看规则链基本信息</w:t>
      </w:r>
    </w:p>
    <w:p w14:paraId="2C460EF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需支持对可进行规则验证的规则链基本信息进行展示。</w:t>
      </w:r>
    </w:p>
    <w:p w14:paraId="16BA1C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9.1.2.2.4.1.15数据筛选及分析</w:t>
      </w:r>
    </w:p>
    <w:p w14:paraId="7CED38C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需支持对想要用于验证的数据进行条件筛选；</w:t>
      </w:r>
    </w:p>
    <w:p w14:paraId="33A90EE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需支持对筛选后的数据进行多维度分析。</w:t>
      </w:r>
    </w:p>
    <w:p w14:paraId="77AC91B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9.1.2.2.4.1.16审核助手</w:t>
      </w:r>
    </w:p>
    <w:p w14:paraId="325E50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用于LIS系统中，与LIS系统进行结合，完成检验报告智能审核。</w:t>
      </w:r>
    </w:p>
    <w:p w14:paraId="67379C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9.1.2.2.4.1.17执行智能审核</w:t>
      </w:r>
    </w:p>
    <w:p w14:paraId="5B6E66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需支持与LIS系统进行对接与整合，共同完成检验报告智能审核；</w:t>
      </w:r>
    </w:p>
    <w:p w14:paraId="354CD69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需支持将智能审核工作面板嵌入LIS系统，也支持独立悬浮于LIS系统之上；</w:t>
      </w:r>
    </w:p>
    <w:p w14:paraId="5FD018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需支持对LIS系统当前报告单元的检验单进行自动审核，可以看到当前报告单元整体的自动审核的相关信息，包括：已智能审核检验单数量、待智能审核检验单数量；</w:t>
      </w:r>
    </w:p>
    <w:p w14:paraId="4D5227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需支持查看未通过智能审核的检验单的详细信息，包括项目未通过智能审核的原因、提示等信息。</w:t>
      </w:r>
    </w:p>
    <w:p w14:paraId="63BBE0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9.1.2.2.4.1.18智能审核监测中心</w:t>
      </w:r>
    </w:p>
    <w:p w14:paraId="39AC6B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可通过可视化大屏对实验室智能审核情况及实时运行情况进行监测。</w:t>
      </w:r>
    </w:p>
    <w:p w14:paraId="26B226F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9.1.2.2.4.1.19智能审核运行监控</w:t>
      </w:r>
    </w:p>
    <w:p w14:paraId="1B8DC8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需支持查看实验室智能审核的整体情况；</w:t>
      </w:r>
    </w:p>
    <w:p w14:paraId="294BA0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需支持查看待关注的检验单TOP20，便于及时发现漏审检验单；</w:t>
      </w:r>
    </w:p>
    <w:p w14:paraId="5547E2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需支持查看各报告单元的审核检验单数、审核通过率情况；</w:t>
      </w:r>
    </w:p>
    <w:p w14:paraId="41C9F3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需支持从人、机、料、法、环、测等六个维度，去查看实验室整体智能审核的情况，分析不同维度在质量方面的状况。</w:t>
      </w:r>
    </w:p>
    <w:p w14:paraId="7B882C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9.1.2.3服务要求</w:t>
      </w:r>
    </w:p>
    <w:p w14:paraId="32235F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需提供1名产品开发工程师驻场，1名交付工程师驻场；</w:t>
      </w:r>
    </w:p>
    <w:p w14:paraId="1209A4F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▲除现有已接入设备外，项目验收前新增设备需接入的不额外收费。（投标人须按上述要求提供书面承诺书）</w:t>
      </w:r>
    </w:p>
    <w:p w14:paraId="170A70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3" w:name="_Toc206078498"/>
      <w:bookmarkStart w:id="214" w:name="_Toc26058"/>
      <w:bookmarkStart w:id="215" w:name="_Toc32169"/>
      <w:r>
        <w:rPr>
          <w:rFonts w:hint="eastAsia" w:ascii="宋体" w:hAnsi="宋体" w:eastAsia="宋体" w:cs="宋体"/>
          <w:b w:val="0"/>
          <w:bCs w:val="0"/>
          <w:color w:val="auto"/>
          <w:sz w:val="21"/>
          <w:szCs w:val="21"/>
          <w:highlight w:val="none"/>
          <w:lang w:val="en-US" w:eastAsia="zh-CN"/>
        </w:rPr>
        <w:t>9.1.3重症系统</w:t>
      </w:r>
      <w:bookmarkEnd w:id="213"/>
      <w:bookmarkEnd w:id="214"/>
      <w:bookmarkEnd w:id="215"/>
    </w:p>
    <w:p w14:paraId="068E61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9.1.3.1护理工作站</w:t>
      </w:r>
    </w:p>
    <w:p w14:paraId="1F3B21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9.1.3.1.1患者管理</w:t>
      </w:r>
    </w:p>
    <w:p w14:paraId="3A9170D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需支持患者的入科管理,展示当前科室患者的整体情况。</w:t>
      </w:r>
    </w:p>
    <w:p w14:paraId="78A1D5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9.1.3.1.2监测表单</w:t>
      </w:r>
    </w:p>
    <w:p w14:paraId="7378EB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需支持病人重症医学科护理记录单相关信息的记录。</w:t>
      </w:r>
    </w:p>
    <w:p w14:paraId="00EAFD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9.1.3.1.3出入量管理</w:t>
      </w:r>
    </w:p>
    <w:p w14:paraId="520EA45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需支持统计并显示患者全天的出量、入量、平衡量情况。</w:t>
      </w:r>
    </w:p>
    <w:p w14:paraId="16C2FFA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9.1.3.1.4可视化管路管理</w:t>
      </w:r>
    </w:p>
    <w:p w14:paraId="51D5DC5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需提供列表管路管理和人体视图管路管理。</w:t>
      </w:r>
    </w:p>
    <w:p w14:paraId="1472E4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9.1.3.1.5可视化皮肤管理</w:t>
      </w:r>
    </w:p>
    <w:p w14:paraId="16B1F5E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需提供列表皮肤管理和人体视图皮肤管理。</w:t>
      </w:r>
    </w:p>
    <w:p w14:paraId="443268C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9.1.3.1.6医嘱管理</w:t>
      </w:r>
    </w:p>
    <w:p w14:paraId="5CEA11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需支持药物医嘱提醒、药物医嘱执行及逾期提醒，重点药物超剂量预警提示；需支持医嘱执行管理。</w:t>
      </w:r>
    </w:p>
    <w:p w14:paraId="1AB218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9.1.3.1.7评估评分</w:t>
      </w:r>
    </w:p>
    <w:p w14:paraId="3D52E7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需支持重症护理常用评分。</w:t>
      </w:r>
    </w:p>
    <w:p w14:paraId="308215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9.1.3.1.8护理记录</w:t>
      </w:r>
    </w:p>
    <w:p w14:paraId="098482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需支持体征、医嘱及检验结果自动提取；提供抢救快速记录功能。</w:t>
      </w:r>
    </w:p>
    <w:p w14:paraId="3B84C2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9.1.3.1.9护理计划</w:t>
      </w:r>
    </w:p>
    <w:p w14:paraId="6F26F4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需支持护理计划模板；支持自动生成护理计划，并通过终端发送到指定护士。</w:t>
      </w:r>
    </w:p>
    <w:p w14:paraId="447CF0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9.1.3.1.10护士交班</w:t>
      </w:r>
    </w:p>
    <w:p w14:paraId="081C15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需支持自动生成护理交班记录；支持查询交班历史记录。</w:t>
      </w:r>
    </w:p>
    <w:p w14:paraId="387AC3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9.1.3.1.11文书管理</w:t>
      </w:r>
    </w:p>
    <w:p w14:paraId="58BD69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需支持自动获取相关设备数据，自动填充到护理文书中；支持文书预览和文书打印。</w:t>
      </w:r>
    </w:p>
    <w:p w14:paraId="7588DE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9.1.3.2医生工作站</w:t>
      </w:r>
    </w:p>
    <w:p w14:paraId="1EC375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9.1.3.2.1病情全景</w:t>
      </w:r>
    </w:p>
    <w:p w14:paraId="4B79BC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▲需提供患者病情全景视图，视图包含近24小时连续动态的病情总结。（投标人须按上述要求提供系统功能截图）</w:t>
      </w:r>
    </w:p>
    <w:p w14:paraId="183DE34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9.1.3.2.2病情总览</w:t>
      </w:r>
    </w:p>
    <w:p w14:paraId="194430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需支持同界面显示患者生命体征趋势，24小时出入量趋势，管路管理情况，特殊用药情况及评估评分。</w:t>
      </w:r>
    </w:p>
    <w:p w14:paraId="67F30FD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9.1.3.2.3患者主页</w:t>
      </w:r>
    </w:p>
    <w:p w14:paraId="72B4D8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需支持同时间轴展示患者基本体征、出入量、检测指标、检查、用药情况、机械通气、CRRT及营养记录。</w:t>
      </w:r>
    </w:p>
    <w:p w14:paraId="1EF47EB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9.1.3.2.4医生评分</w:t>
      </w:r>
    </w:p>
    <w:p w14:paraId="24ADACB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需支持重症医学科常用医生评分功能，自定义不同的评分时间后系统自动抓取各项指标。</w:t>
      </w:r>
    </w:p>
    <w:p w14:paraId="35C79C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9.1.3.2.5治疗管理</w:t>
      </w:r>
    </w:p>
    <w:p w14:paraId="45CAF6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需支持机械通气患者的治疗管理；</w:t>
      </w:r>
    </w:p>
    <w:p w14:paraId="1669C6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需支持CRRT治疗管理。</w:t>
      </w:r>
    </w:p>
    <w:p w14:paraId="72EFE0C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9.1.3.2.6疾病管理</w:t>
      </w:r>
    </w:p>
    <w:p w14:paraId="7790184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需提供如下病种的标准化诊疗流程支持与辅助决策功能。</w:t>
      </w:r>
    </w:p>
    <w:p w14:paraId="6E011750">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脓毒症诊疗管理；</w:t>
      </w:r>
    </w:p>
    <w:p w14:paraId="3AE85412">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急性呼吸窘迫综合征诊疗管理；</w:t>
      </w:r>
    </w:p>
    <w:p w14:paraId="7DEE01B0">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急性肾损伤诊疗管理；</w:t>
      </w:r>
    </w:p>
    <w:p w14:paraId="2EC3C442">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呼吸机相关性肺炎诊疗管理；</w:t>
      </w:r>
    </w:p>
    <w:p w14:paraId="274CF39E">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中心静脉导管相关感染诊疗管理；</w:t>
      </w:r>
    </w:p>
    <w:p w14:paraId="4E2AAD7E">
      <w:pPr>
        <w:pStyle w:val="436"/>
        <w:widowControl w:val="0"/>
        <w:numPr>
          <w:ilvl w:val="0"/>
          <w:numId w:val="7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导尿管相关感染诊疗管理。</w:t>
      </w:r>
    </w:p>
    <w:p w14:paraId="564EA4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9.1.3.2.7医生交班</w:t>
      </w:r>
    </w:p>
    <w:p w14:paraId="2203C1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需支持医生交班记录功能。</w:t>
      </w:r>
    </w:p>
    <w:p w14:paraId="052502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6" w:name="_Toc30627"/>
      <w:r>
        <w:rPr>
          <w:rFonts w:hint="eastAsia" w:ascii="宋体" w:hAnsi="宋体" w:eastAsia="宋体" w:cs="宋体"/>
          <w:b w:val="0"/>
          <w:bCs w:val="0"/>
          <w:color w:val="auto"/>
          <w:sz w:val="21"/>
          <w:szCs w:val="21"/>
          <w:highlight w:val="none"/>
          <w:lang w:val="en-US" w:eastAsia="zh-CN"/>
        </w:rPr>
        <w:t>9.1.3.2.8远程会诊</w:t>
      </w:r>
      <w:bookmarkEnd w:id="216"/>
    </w:p>
    <w:p w14:paraId="77D1953F">
      <w:pPr>
        <w:pStyle w:val="436"/>
        <w:widowControl w:val="0"/>
        <w:numPr>
          <w:ilvl w:val="0"/>
          <w:numId w:val="7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参与会诊业务的工作人员均需进行身份认证。医师和患者可使用移动设备开展会诊。</w:t>
      </w:r>
    </w:p>
    <w:p w14:paraId="3E57795D">
      <w:pPr>
        <w:pStyle w:val="436"/>
        <w:widowControl w:val="0"/>
        <w:numPr>
          <w:ilvl w:val="0"/>
          <w:numId w:val="7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录入信息需涵盖患者基本信息、病史、检查情况，以及会诊类别、邀请专家等，并需支持上传会诊资料。</w:t>
      </w:r>
    </w:p>
    <w:p w14:paraId="3CD7B8C8">
      <w:pPr>
        <w:pStyle w:val="436"/>
        <w:widowControl w:val="0"/>
        <w:numPr>
          <w:ilvl w:val="0"/>
          <w:numId w:val="7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医生之间可通过视频、音频和图文形式进行会诊，视频和会诊资料支持浮窗分屏显示。</w:t>
      </w:r>
    </w:p>
    <w:p w14:paraId="3AD89BE3">
      <w:pPr>
        <w:pStyle w:val="436"/>
        <w:widowControl w:val="0"/>
        <w:numPr>
          <w:ilvl w:val="0"/>
          <w:numId w:val="7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需支持依据时间、机构等条件，对会诊业务量和详细信息进行查询统计。</w:t>
      </w:r>
    </w:p>
    <w:p w14:paraId="22E115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9.1.3.3管理模块</w:t>
      </w:r>
    </w:p>
    <w:p w14:paraId="2FF084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9.1.3.3.1质控指标</w:t>
      </w:r>
    </w:p>
    <w:p w14:paraId="3927B08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需按照《重症医学专业医疗质量控制指标（2024年版）》要求，完成十九项重症质控指标的新增与更新；</w:t>
      </w:r>
    </w:p>
    <w:p w14:paraId="42AC8C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需实现质控指标数据的溯源追踪与标准化上报，确保医疗质量管控的规范性与可追溯性。</w:t>
      </w:r>
    </w:p>
    <w:p w14:paraId="709419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9.1.3.3.2统计分析</w:t>
      </w:r>
    </w:p>
    <w:p w14:paraId="7CAF80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需支持科室各种指标的自动统计：包括但不限于平均在科天数、累计床日数、床位使用率、流转情况等。</w:t>
      </w:r>
    </w:p>
    <w:p w14:paraId="73E2A2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9.1.3.4科研工作站</w:t>
      </w:r>
    </w:p>
    <w:p w14:paraId="5892DB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▲需提供科研数据资产看板；支持课题创建/管理。（投标人须按上述要求提供系统功能截图或承诺书）</w:t>
      </w:r>
    </w:p>
    <w:p w14:paraId="14FCEF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9.1.3.5AI智能体</w:t>
      </w:r>
    </w:p>
    <w:p w14:paraId="4684E3E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AI大模型需支持自动化生成病历。</w:t>
      </w:r>
    </w:p>
    <w:p w14:paraId="7327AC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需支持24小时连续动态监测患者数据。</w:t>
      </w:r>
    </w:p>
    <w:p w14:paraId="54180C3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需通过对监测数据分析，能对患者进行病情评估，并提供诊疗方案。</w:t>
      </w:r>
    </w:p>
    <w:p w14:paraId="399969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7" w:name="_Toc194929418"/>
      <w:bookmarkStart w:id="218" w:name="_Toc108429276"/>
      <w:r>
        <w:rPr>
          <w:rFonts w:hint="eastAsia" w:ascii="宋体" w:hAnsi="宋体" w:eastAsia="宋体" w:cs="宋体"/>
          <w:b w:val="0"/>
          <w:bCs w:val="0"/>
          <w:color w:val="auto"/>
          <w:sz w:val="21"/>
          <w:szCs w:val="21"/>
          <w:highlight w:val="none"/>
          <w:lang w:val="en-US" w:eastAsia="zh-CN"/>
        </w:rPr>
        <w:t>9.1.3.5.1专病规则库</w:t>
      </w:r>
      <w:bookmarkEnd w:id="217"/>
      <w:bookmarkEnd w:id="218"/>
    </w:p>
    <w:p w14:paraId="4D7622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19" w:name="_Toc194929419"/>
      <w:bookmarkEnd w:id="219"/>
      <w:bookmarkStart w:id="220" w:name="_Toc108429277"/>
      <w:bookmarkEnd w:id="220"/>
      <w:bookmarkStart w:id="221" w:name="_Toc108353425"/>
      <w:bookmarkEnd w:id="221"/>
      <w:r>
        <w:rPr>
          <w:rFonts w:hint="eastAsia" w:ascii="宋体" w:hAnsi="宋体" w:eastAsia="宋体" w:cs="宋体"/>
          <w:b w:val="0"/>
          <w:bCs w:val="0"/>
          <w:color w:val="auto"/>
          <w:sz w:val="21"/>
          <w:szCs w:val="21"/>
          <w:highlight w:val="none"/>
          <w:lang w:val="en-US" w:eastAsia="zh-CN"/>
        </w:rPr>
        <w:t>▲系统需提供可视化规则引擎，需支持超过1000条的临床指标和100条的逻辑判断规则组合，以适应临床需求不断变化。（投标人须按上述要求提供系统功能截图）</w:t>
      </w:r>
    </w:p>
    <w:p w14:paraId="481845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9.1.3.5.1.1多参数项目选择</w:t>
      </w:r>
    </w:p>
    <w:p w14:paraId="6633F32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自定义诊疗方案，可根据自身临床诊断经验规则自定义配置疾病诊断项目，同时可自动提取系统参数如基本信息、管路信息、入ICU前治疗情况、化验检查、病情评估、呼吸监测、循环监测、其他器官监测、结局指标、药品信息、神经系统等。</w:t>
      </w:r>
    </w:p>
    <w:p w14:paraId="7202F0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系统需支持自定义满足条件数量，支持可添加多个条件组合，并自动生成组合条件，同时关联治疗方案及提醒级别。</w:t>
      </w:r>
    </w:p>
    <w:p w14:paraId="75E2DB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系统需支持对预警参数持续变化的配置，如持续上升次数、持续下降次数、持续升高、持续降低、持续时间等进行自定义配置。</w:t>
      </w:r>
    </w:p>
    <w:p w14:paraId="1AFDE2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系统需支持对肌酐等参数对其基线变化倍数的配置。</w:t>
      </w:r>
    </w:p>
    <w:p w14:paraId="18F65D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系统需支持对镇静镇痛类药品剂量范围配置，用于监测镇静镇痛药品在合理范围使用。</w:t>
      </w:r>
    </w:p>
    <w:p w14:paraId="3E7D6AA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GB" w:eastAsia="zh-CN"/>
        </w:rPr>
      </w:pPr>
      <w:bookmarkStart w:id="222" w:name="_Toc194929421"/>
      <w:bookmarkStart w:id="223" w:name="_Toc108429280"/>
      <w:r>
        <w:rPr>
          <w:rFonts w:hint="eastAsia" w:ascii="宋体" w:hAnsi="宋体" w:eastAsia="宋体" w:cs="宋体"/>
          <w:b w:val="0"/>
          <w:bCs w:val="0"/>
          <w:color w:val="auto"/>
          <w:sz w:val="21"/>
          <w:szCs w:val="21"/>
          <w:highlight w:val="none"/>
          <w:lang w:val="en-US" w:eastAsia="zh-CN"/>
        </w:rPr>
        <w:t>9.1.3.5.2专病决策树</w:t>
      </w:r>
    </w:p>
    <w:p w14:paraId="6C70FB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9.1.3.5.2.1治疗决策树</w:t>
      </w:r>
    </w:p>
    <w:p w14:paraId="457AD8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▲系统需聚焦于重症常见疾病，构建治疗决策树。决策树结构应以图形化或流程化界面方式，将各个治疗节点形成完整治疗方案。（投标人须按上述要求提供系统功能截图）</w:t>
      </w:r>
    </w:p>
    <w:p w14:paraId="14C030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9.1.3.5.2.2治疗节点</w:t>
      </w:r>
    </w:p>
    <w:p w14:paraId="2C1A82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选定治疗节点后，系统需可查看该节点下的治疗方案，并依据患者实际状况灵活调整，最终形成个性化的治疗计划。</w:t>
      </w:r>
    </w:p>
    <w:p w14:paraId="1007794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9.1.3.5.3病种管理</w:t>
      </w:r>
    </w:p>
    <w:p w14:paraId="09C591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需提供本地化服务，病种可按照医生要求扩展，具体需包括：病种的扩展、规则节点本地化配置、治疗节点本地化配置、数据来源管理。</w:t>
      </w:r>
    </w:p>
    <w:p w14:paraId="7B6CF3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云南高发蛇毒中毒、菌子中毒等重症病种，可构建“快速筛查-精准干预-区域协同”的标准化救治体系。首先，基于临床大数据与人工智能技术，开发多模态快速筛查模型：整合患者病史（如蛇类特征、菌种形态）、症状（局部肿胀、凝血障碍或神经毒性表现）、实验室指标（凝血功能、肝酶谱、肌酐激增）及影像特征，结合AI算法快速识别毒素类型及严重程度。其次，制定标准化救治方案：如蛇毒中毒以抗蛇毒血清为核心，辅以局部清创、呼吸循环支持及凝血功能管理；菌子中毒则按毒素类型分层干预，如鹅膏毒素中毒早期采用活性炭吸附、血液净化及特异性解毒剂（水飞蓟素），重症患者启动肝移植评估流程。同时可基于区域远程协作网络，对区域协同急救进行探索。</w:t>
      </w:r>
    </w:p>
    <w:p w14:paraId="1DBFF7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9.1.3.5.4重症治疗图谱</w:t>
      </w:r>
    </w:p>
    <w:p w14:paraId="6883A14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系统需将预警触发作为关键节点，在触发时刻同步呈现对应的治疗图谱。需支持回顾不同预警时间节点，所关联的重症治疗图谱。</w:t>
      </w:r>
    </w:p>
    <w:p w14:paraId="1CD01A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9.1.3.5.5患者</w:t>
      </w:r>
      <w:bookmarkEnd w:id="222"/>
      <w:bookmarkEnd w:id="223"/>
      <w:r>
        <w:rPr>
          <w:rFonts w:hint="eastAsia" w:ascii="宋体" w:hAnsi="宋体" w:eastAsia="宋体" w:cs="宋体"/>
          <w:b w:val="0"/>
          <w:bCs w:val="0"/>
          <w:color w:val="auto"/>
          <w:sz w:val="21"/>
          <w:szCs w:val="21"/>
          <w:highlight w:val="none"/>
          <w:lang w:val="en-US" w:eastAsia="zh-CN"/>
        </w:rPr>
        <w:t>主页</w:t>
      </w:r>
    </w:p>
    <w:p w14:paraId="769899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9.1.3.5.5.1系统预警模型</w:t>
      </w:r>
    </w:p>
    <w:p w14:paraId="574689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在科患者及重要信息显示。系统需支持显示患者各大系统预警模型，包括心脏、肾脏、呼吸、肝脏、神经、皮肤、凝血、胃肠等系统模型，当模型参数出现异常时，根据需根据预设模型进行预警。当器官出现异常时，支持在床头卡上红色预警显示。</w:t>
      </w:r>
    </w:p>
    <w:p w14:paraId="4824ABF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9.1.3.5.5.2分级显示患者病情</w:t>
      </w:r>
    </w:p>
    <w:p w14:paraId="41E72A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系统需支持各大系统指标异常时红色显示，正常时绿色显示。</w:t>
      </w:r>
    </w:p>
    <w:p w14:paraId="5C4356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9.1.3.5.6早期诊断预警</w:t>
      </w:r>
    </w:p>
    <w:p w14:paraId="1E57B3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根据后台规则引擎方案，对患者疾病进行早期实时预警。系统提供如AKI、ARDS、SEPSIS等疾病早期预警。系统需可选择患者提醒方案，包括关注时提醒方案和随时提醒方案。明确发生黄色、红色预警后的推送人，保证被推送对象在班，能处理预警信息。</w:t>
      </w:r>
    </w:p>
    <w:p w14:paraId="25939A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24" w:name="_Toc108429283"/>
      <w:bookmarkStart w:id="225" w:name="_Toc194929424"/>
      <w:r>
        <w:rPr>
          <w:rFonts w:hint="eastAsia" w:ascii="宋体" w:hAnsi="宋体" w:eastAsia="宋体" w:cs="宋体"/>
          <w:b w:val="0"/>
          <w:bCs w:val="0"/>
          <w:color w:val="auto"/>
          <w:sz w:val="21"/>
          <w:szCs w:val="21"/>
          <w:highlight w:val="none"/>
          <w:lang w:val="en-US" w:eastAsia="zh-CN"/>
        </w:rPr>
        <w:t>9.1.3.5.7全景监测视图</w:t>
      </w:r>
      <w:bookmarkEnd w:id="224"/>
      <w:bookmarkEnd w:id="225"/>
    </w:p>
    <w:p w14:paraId="2A8EBD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9.1.3.5.7.1患者全景监测</w:t>
      </w:r>
    </w:p>
    <w:p w14:paraId="41036CC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以人体图形式展示患者心脏、肾脏、呼吸、肝脏、神经、皮肤、凝血、肠胃八大系统预警模型，正常和异常系统及指标可区分显示和预警。患者全景辅助检查视图包括患者基本信息、全景监测数据，当前治疗、给氧方式、待执行医嘱、影像结果，当前决策树、疾病检验关注指标等，辅助医生诊断病情。（投标人须按上述要求提供系统功能截图）</w:t>
      </w:r>
    </w:p>
    <w:p w14:paraId="3B70FF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9.1.3.5.7.2诊疗记录回顾</w:t>
      </w:r>
    </w:p>
    <w:p w14:paraId="791569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系统需支持专病下所有提醒及治疗方案回顾，需支持查看每个预警节点具体治疗情况。</w:t>
      </w:r>
    </w:p>
    <w:p w14:paraId="456B08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26" w:name="_Toc194929425"/>
      <w:bookmarkStart w:id="227" w:name="_Toc108429284"/>
      <w:r>
        <w:rPr>
          <w:rFonts w:hint="eastAsia" w:ascii="宋体" w:hAnsi="宋体" w:eastAsia="宋体" w:cs="宋体"/>
          <w:b w:val="0"/>
          <w:bCs w:val="0"/>
          <w:color w:val="auto"/>
          <w:sz w:val="21"/>
          <w:szCs w:val="21"/>
          <w:highlight w:val="none"/>
          <w:lang w:val="en-US" w:eastAsia="zh-CN"/>
        </w:rPr>
        <w:t>9.1.3.5.8治疗方案推荐</w:t>
      </w:r>
      <w:bookmarkEnd w:id="226"/>
      <w:bookmarkEnd w:id="227"/>
    </w:p>
    <w:p w14:paraId="3641A4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9.1.3.5.8.1治疗方案提示</w:t>
      </w:r>
    </w:p>
    <w:p w14:paraId="0F57F02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系统需支持治疗方案的提示，包括当前预警、治疗建议等，辅助诊疗方案包括用药、监测目标、呼吸治疗、评分建议、治疗、护理等。系统需支持对应疾病指南查看。系统需支持对诊疗方案治疗图谱查看。</w:t>
      </w:r>
    </w:p>
    <w:p w14:paraId="3BA5819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9.1.3.5.8.2治疗方案修改</w:t>
      </w:r>
    </w:p>
    <w:p w14:paraId="5769E4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系统需支持治疗方案自定义修改及维护，支持提示方案后，系统需支持医生手动修改方案。</w:t>
      </w:r>
    </w:p>
    <w:p w14:paraId="1480858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28" w:name="_Toc108429285"/>
      <w:bookmarkStart w:id="229" w:name="_Toc194929426"/>
      <w:r>
        <w:rPr>
          <w:rFonts w:hint="eastAsia" w:ascii="宋体" w:hAnsi="宋体" w:eastAsia="宋体" w:cs="宋体"/>
          <w:b w:val="0"/>
          <w:bCs w:val="0"/>
          <w:color w:val="auto"/>
          <w:sz w:val="21"/>
          <w:szCs w:val="21"/>
          <w:highlight w:val="none"/>
          <w:lang w:val="en-US" w:eastAsia="zh-CN"/>
        </w:rPr>
        <w:t>9.1.3.5.9诊疗目标监测</w:t>
      </w:r>
      <w:bookmarkEnd w:id="228"/>
      <w:bookmarkEnd w:id="229"/>
    </w:p>
    <w:p w14:paraId="219085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系统需支持在系统中设置治疗目标值，在治疗过程中通过监测项目把控，将各项指标控制住在合理范围之内，可通过曲线图实时监测指标变化情况。</w:t>
      </w:r>
    </w:p>
    <w:p w14:paraId="405F90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9.1.3.5.9.1诊疗目标监测</w:t>
      </w:r>
    </w:p>
    <w:p w14:paraId="2D2F579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系统需支持诊疗目标监测功能，可对疾病相关监测指标，如血压、心率、血糖、血氧饱和度等支持实时曲线查看，对于检验数据支持显示最新数据，辅助医生监测治疗目标情况。。</w:t>
      </w:r>
    </w:p>
    <w:p w14:paraId="0C3F837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9.1.3.5.9.2历史图表查看</w:t>
      </w:r>
    </w:p>
    <w:p w14:paraId="7BA21B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系统需支持查看历史监测曲线，支持自定义时间段。</w:t>
      </w:r>
    </w:p>
    <w:p w14:paraId="151095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9.1.3.5.9.3治疗目标配置</w:t>
      </w:r>
    </w:p>
    <w:p w14:paraId="38332C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系统需支持治疗目标配置功能，可根据不同病种配置监测模板，可自定义曲线图形配置和列表配置，并设置监测范围。</w:t>
      </w:r>
    </w:p>
    <w:p w14:paraId="1E3952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30" w:name="_Toc108429286"/>
      <w:bookmarkStart w:id="231" w:name="_Toc194929427"/>
      <w:r>
        <w:rPr>
          <w:rFonts w:hint="eastAsia" w:ascii="宋体" w:hAnsi="宋体" w:eastAsia="宋体" w:cs="宋体"/>
          <w:b w:val="0"/>
          <w:bCs w:val="0"/>
          <w:color w:val="auto"/>
          <w:sz w:val="21"/>
          <w:szCs w:val="21"/>
          <w:highlight w:val="none"/>
          <w:lang w:val="en-US" w:eastAsia="zh-CN"/>
        </w:rPr>
        <w:t>9.1.3.5.10营养管理</w:t>
      </w:r>
      <w:bookmarkEnd w:id="230"/>
      <w:bookmarkEnd w:id="231"/>
    </w:p>
    <w:p w14:paraId="1823035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9.1.3.5.10.1营养评分</w:t>
      </w:r>
    </w:p>
    <w:p w14:paraId="1242E9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系统需提供常用营养评分，如AGI评分、 NUTRIC评分等对患者营养状况进行评估。</w:t>
      </w:r>
    </w:p>
    <w:p w14:paraId="2BFE30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9.1.3.5.10.2营养配方计算</w:t>
      </w:r>
    </w:p>
    <w:p w14:paraId="5196A6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系统需提供营养配方计算功能，可能够根据配方计算出总热卡、蛋白热卡、非蛋白热卡、氮、糖、脂肪、氨基酸、热氮比、糖脂比。需提供医嘱预览单历史记录，可以复制。需提供营养配方单打印功能。</w:t>
      </w:r>
    </w:p>
    <w:p w14:paraId="1B8E3C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9.1.3.5.10.3营养监测图表</w:t>
      </w:r>
    </w:p>
    <w:p w14:paraId="3ABD27C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系统提供营养成分的柱状图，医护人员可以直观地查看患者营养目标值与配方实际值的对比。柱状图展示患者营养目标值（热卡、热氮比、糖脂等）。</w:t>
      </w:r>
    </w:p>
    <w:p w14:paraId="05ABE69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9.1.3.5.10.4热量配方监测图</w:t>
      </w:r>
    </w:p>
    <w:p w14:paraId="2EB92A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系统需提供配方热量趋势图，图形化呈现患者入住 ICU 期间的营养配方情况变化趋势。</w:t>
      </w:r>
    </w:p>
    <w:p w14:paraId="109BC6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9.1.3.6服务要求</w:t>
      </w:r>
    </w:p>
    <w:p w14:paraId="4309890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需提供1名产品开发工程师驻场。</w:t>
      </w:r>
    </w:p>
    <w:p w14:paraId="5FDAED7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9.2医学紧急</w:t>
      </w:r>
      <w:bookmarkEnd w:id="165"/>
      <w:bookmarkEnd w:id="166"/>
      <w:bookmarkEnd w:id="167"/>
      <w:bookmarkEnd w:id="168"/>
      <w:r>
        <w:rPr>
          <w:rFonts w:hint="eastAsia" w:ascii="宋体" w:hAnsi="宋体" w:eastAsia="宋体" w:cs="宋体"/>
          <w:b w:val="0"/>
          <w:bCs w:val="0"/>
          <w:color w:val="auto"/>
          <w:sz w:val="21"/>
          <w:szCs w:val="21"/>
          <w:highlight w:val="none"/>
          <w:lang w:val="en-US" w:eastAsia="zh-CN"/>
        </w:rPr>
        <w:t>救援能力提升</w:t>
      </w:r>
    </w:p>
    <w:p w14:paraId="6CD4EE3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32" w:name="_Toc15503"/>
      <w:bookmarkStart w:id="233" w:name="_Toc206078502"/>
      <w:bookmarkStart w:id="234" w:name="_Toc24573"/>
      <w:bookmarkStart w:id="235" w:name="_Toc202951830"/>
      <w:r>
        <w:rPr>
          <w:rFonts w:hint="eastAsia" w:ascii="宋体" w:hAnsi="宋体" w:eastAsia="宋体" w:cs="宋体"/>
          <w:b w:val="0"/>
          <w:bCs w:val="0"/>
          <w:color w:val="auto"/>
          <w:sz w:val="21"/>
          <w:szCs w:val="21"/>
          <w:highlight w:val="none"/>
          <w:lang w:val="en-US" w:eastAsia="zh-CN"/>
        </w:rPr>
        <w:t>9.2.1应急救援数据中心</w:t>
      </w:r>
      <w:bookmarkEnd w:id="232"/>
      <w:bookmarkEnd w:id="233"/>
      <w:bookmarkEnd w:id="234"/>
      <w:bookmarkEnd w:id="235"/>
    </w:p>
    <w:p w14:paraId="3FC34A62">
      <w:pPr>
        <w:pStyle w:val="436"/>
        <w:widowControl w:val="0"/>
        <w:numPr>
          <w:ilvl w:val="0"/>
          <w:numId w:val="7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行政区划数据库：需支持按照国家行政区域的划分，同时顾及政治、经济、文化、民族、地理、人口、国防、历史传统等多方面的因素。</w:t>
      </w:r>
    </w:p>
    <w:p w14:paraId="4209776E">
      <w:pPr>
        <w:pStyle w:val="436"/>
        <w:widowControl w:val="0"/>
        <w:numPr>
          <w:ilvl w:val="0"/>
          <w:numId w:val="7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传染病监测数据：需支持患者传染病报卡数据、检查检验结果、医嘱、病历上报国家传染病前置机系统，并能通过联动进行传染病报卡预警和提醒等。</w:t>
      </w:r>
    </w:p>
    <w:p w14:paraId="00378B09">
      <w:pPr>
        <w:pStyle w:val="436"/>
        <w:widowControl w:val="0"/>
        <w:numPr>
          <w:ilvl w:val="0"/>
          <w:numId w:val="7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应急资源数据库</w:t>
      </w:r>
    </w:p>
    <w:p w14:paraId="6DDD841A">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应急通讯录数据：需支持汇集区域应急体系人员通讯录（包含：市分管领导、委领导、应急办领导、120相关人员，应急专家、医疗机构人员、专科专家、救援队人员、应急值守人员等），形成应急通讯录数据库。</w:t>
      </w:r>
    </w:p>
    <w:p w14:paraId="6621BD40">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专家库：需支持汇集区域急诊、呼吸、中毒、心血管等相关临床专业领域的专家相关信息，形成专家库。</w:t>
      </w:r>
    </w:p>
    <w:p w14:paraId="37662661">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应急管理机构数据库：需支持汇集市、县、乡应急机构的地址、电话、负责人等相关信息，形成应急管理机构数据库。</w:t>
      </w:r>
    </w:p>
    <w:p w14:paraId="64DB20D1">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医疗机构数据库：需支持汇集区域内直属医疗机构、基层医疗机构的地址、电话、科室、负责人等相关信息，形成医疗机构数据库。</w:t>
      </w:r>
    </w:p>
    <w:p w14:paraId="4586DA00">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疾控机构数据库：需支持汇集市、区、县各级疾控机构的地址、电话、负责人等相关信息，形成疾控机构数据库。</w:t>
      </w:r>
    </w:p>
    <w:p w14:paraId="6166174D">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卫生机构数据库：需支持汇集市、区、县各级卫生监督机构的地址、电话、负责人等相关信息，形成卫生监督机构数据库。</w:t>
      </w:r>
    </w:p>
    <w:p w14:paraId="2498D4FE">
      <w:pPr>
        <w:pStyle w:val="436"/>
        <w:widowControl w:val="0"/>
        <w:numPr>
          <w:ilvl w:val="1"/>
          <w:numId w:val="73"/>
        </w:numPr>
        <w:tabs>
          <w:tab w:val="clear" w:pos="840"/>
        </w:tabs>
        <w:spacing w:line="360" w:lineRule="auto"/>
        <w:ind w:left="106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应急队伍数据库：需支持汇集应急队伍的人员组成、地点、联系方式、主要装备、救援类型、专长等信息，形成应急队伍数据库。</w:t>
      </w:r>
    </w:p>
    <w:p w14:paraId="162FDC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36" w:name="_Toc202951831"/>
      <w:bookmarkStart w:id="237" w:name="_Toc206078503"/>
      <w:bookmarkStart w:id="238" w:name="_Toc181"/>
      <w:bookmarkStart w:id="239" w:name="_Toc7727"/>
      <w:r>
        <w:rPr>
          <w:rFonts w:hint="eastAsia" w:ascii="宋体" w:hAnsi="宋体" w:eastAsia="宋体" w:cs="宋体"/>
          <w:b w:val="0"/>
          <w:bCs w:val="0"/>
          <w:color w:val="auto"/>
          <w:sz w:val="21"/>
          <w:szCs w:val="21"/>
          <w:highlight w:val="none"/>
          <w:lang w:val="en-US" w:eastAsia="zh-CN"/>
        </w:rPr>
        <w:t>9.2.2应急指挥驾驶舱</w:t>
      </w:r>
      <w:bookmarkEnd w:id="236"/>
      <w:bookmarkEnd w:id="237"/>
      <w:bookmarkEnd w:id="238"/>
      <w:bookmarkEnd w:id="239"/>
    </w:p>
    <w:p w14:paraId="453C5D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需提供急诊专属的质量控制数据可视化平台（智慧质控大屏）。</w:t>
      </w:r>
    </w:p>
    <w:p w14:paraId="37E831A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可视化大屏需动态、直观地集中展示核心质控指标（2024版）的实时状态、历史趋势、达标情况、预警信息等。</w:t>
      </w:r>
    </w:p>
    <w:p w14:paraId="61C6CBB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需支持以可视化的方式实时汇总反映整个急诊医学科的当前运作情况，显示患者就诊总数、三级四区人数、各诊室候诊人数、当值医护人数、绿色通道开启情况、抢救室使用情况、留观室使用情况等。</w:t>
      </w:r>
    </w:p>
    <w:p w14:paraId="2282B7E0">
      <w:pPr>
        <w:pStyle w:val="436"/>
        <w:widowControl w:val="0"/>
        <w:numPr>
          <w:ilvl w:val="0"/>
          <w:numId w:val="0"/>
        </w:numPr>
        <w:spacing w:line="360" w:lineRule="auto"/>
        <w:ind w:left="1060" w:leftChars="0"/>
        <w:jc w:val="both"/>
        <w:rPr>
          <w:rFonts w:hint="eastAsia"/>
          <w:color w:val="auto"/>
          <w:highlight w:val="none"/>
        </w:rPr>
      </w:pPr>
      <w:r>
        <w:rPr>
          <w:rFonts w:hint="eastAsia" w:ascii="宋体" w:hAnsi="宋体" w:eastAsia="宋体" w:cs="宋体"/>
          <w:b w:val="0"/>
          <w:bCs w:val="0"/>
          <w:color w:val="auto"/>
          <w:sz w:val="21"/>
          <w:szCs w:val="21"/>
          <w:highlight w:val="none"/>
          <w:lang w:val="en-US" w:eastAsia="zh-CN"/>
        </w:rPr>
        <w:t>需支持多维度（时间、科室、病种、人员等）数据钻取分析，辅助管理者快速洞察全局、定位问题、评估成效。为急诊日常管</w:t>
      </w:r>
      <w:r>
        <w:rPr>
          <w:rFonts w:hint="eastAsia"/>
          <w:color w:val="auto"/>
          <w:highlight w:val="none"/>
        </w:rPr>
        <w:t>理、科内质控会议及上级检查提供强有力的数据支撑与决策依据。</w:t>
      </w:r>
    </w:p>
    <w:p w14:paraId="0BD4D84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40" w:name="_Toc31352"/>
      <w:bookmarkStart w:id="241" w:name="_Toc206078504"/>
      <w:bookmarkStart w:id="242" w:name="_Toc202951832"/>
      <w:bookmarkStart w:id="243" w:name="_Toc8398"/>
      <w:r>
        <w:rPr>
          <w:rFonts w:hint="eastAsia" w:ascii="宋体" w:hAnsi="宋体" w:eastAsia="宋体" w:cs="宋体"/>
          <w:b w:val="0"/>
          <w:bCs w:val="0"/>
          <w:color w:val="auto"/>
          <w:sz w:val="21"/>
          <w:szCs w:val="21"/>
          <w:highlight w:val="none"/>
          <w:lang w:val="en-US" w:eastAsia="zh-CN"/>
        </w:rPr>
        <w:t>9.2.3预警监测平台</w:t>
      </w:r>
      <w:bookmarkEnd w:id="240"/>
      <w:bookmarkEnd w:id="241"/>
      <w:bookmarkEnd w:id="242"/>
      <w:bookmarkEnd w:id="243"/>
    </w:p>
    <w:p w14:paraId="7F79F5B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需依据《急诊医疗质量控制指标（2024年版）》标准，系统性集成并结构化处理新版核心质控指标所需数据。</w:t>
      </w:r>
    </w:p>
    <w:p w14:paraId="04D3F96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需建立标准化的数据采集，确保指标数据的完整性、准确性与可追溯性。</w:t>
      </w:r>
    </w:p>
    <w:p w14:paraId="53136D0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需实现指标数据的自动化计算与实时/准实时更新，为质控管理提供可靠的数据基础。</w:t>
      </w:r>
    </w:p>
    <w:p w14:paraId="2B4AC7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需基于集成的质控指标数据，对关键质控指标（如：就诊等待时间、危重患者滞留时间、关键救治环节时效性等）进行实时动态监测。</w:t>
      </w:r>
    </w:p>
    <w:p w14:paraId="6EE1473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预警信息需通过系统消息、短信等预设渠道，定向、实时推送至相关责任人，实现风险的早期发现、快速响应。</w:t>
      </w:r>
    </w:p>
    <w:p w14:paraId="5375E7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44" w:name="_Toc206078505"/>
      <w:bookmarkStart w:id="245" w:name="_Toc202951833"/>
      <w:bookmarkStart w:id="246" w:name="_Toc2258"/>
      <w:bookmarkStart w:id="247" w:name="_Toc2415"/>
      <w:r>
        <w:rPr>
          <w:rFonts w:hint="eastAsia" w:ascii="宋体" w:hAnsi="宋体" w:eastAsia="宋体" w:cs="宋体"/>
          <w:b w:val="0"/>
          <w:bCs w:val="0"/>
          <w:color w:val="auto"/>
          <w:sz w:val="21"/>
          <w:szCs w:val="21"/>
          <w:highlight w:val="none"/>
          <w:lang w:val="en-US" w:eastAsia="zh-CN"/>
        </w:rPr>
        <w:t>9.2.4指挥调度平台</w:t>
      </w:r>
      <w:bookmarkEnd w:id="244"/>
      <w:bookmarkEnd w:id="245"/>
      <w:bookmarkEnd w:id="246"/>
      <w:bookmarkEnd w:id="247"/>
    </w:p>
    <w:p w14:paraId="6D2F3C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为保障紧急救援事件中相关科室医生能快速参与应急诊疗，需实现以下功能：</w:t>
      </w:r>
    </w:p>
    <w:p w14:paraId="48344186">
      <w:pPr>
        <w:pStyle w:val="436"/>
        <w:widowControl w:val="0"/>
        <w:numPr>
          <w:ilvl w:val="0"/>
          <w:numId w:val="74"/>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账号开立：需支持为医院常规科室医生（如消化内科、心内科、骨科、外科等）在急诊系统中快速创建临时或专属账号，账号信息应关联医生所属科室、职称等基础信息，确保身份可追溯。</w:t>
      </w:r>
    </w:p>
    <w:p w14:paraId="17C29569">
      <w:pPr>
        <w:pStyle w:val="436"/>
        <w:widowControl w:val="0"/>
        <w:numPr>
          <w:ilvl w:val="0"/>
          <w:numId w:val="74"/>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权限配置：需根据紧急事件涉及的诊疗需求，为对应科室医生配置急诊系统内的应急诊疗操作权限、患者信息查看权限、与急诊团队协同沟通权限。</w:t>
      </w:r>
    </w:p>
    <w:p w14:paraId="1EEAADEB">
      <w:pPr>
        <w:pStyle w:val="436"/>
        <w:widowControl w:val="0"/>
        <w:numPr>
          <w:ilvl w:val="0"/>
          <w:numId w:val="74"/>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权限动态调整：需支持根据紧急事件的类型及处置阶段，灵活调整医生权限范围，事件结束后可快速收回或冻结相关账号及权限，保障系统数据安全。</w:t>
      </w:r>
    </w:p>
    <w:p w14:paraId="2C1EE2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48" w:name="_Toc202951834"/>
      <w:bookmarkStart w:id="249" w:name="_Toc3592"/>
      <w:bookmarkStart w:id="250" w:name="_Toc30661"/>
      <w:bookmarkStart w:id="251" w:name="_Toc206078506"/>
      <w:r>
        <w:rPr>
          <w:rFonts w:hint="eastAsia" w:ascii="宋体" w:hAnsi="宋体" w:eastAsia="宋体" w:cs="宋体"/>
          <w:b w:val="0"/>
          <w:bCs w:val="0"/>
          <w:color w:val="auto"/>
          <w:sz w:val="21"/>
          <w:szCs w:val="21"/>
          <w:highlight w:val="none"/>
          <w:lang w:val="en-US" w:eastAsia="zh-CN"/>
        </w:rPr>
        <w:t>9.2.5医疗救治平台</w:t>
      </w:r>
      <w:bookmarkEnd w:id="248"/>
      <w:bookmarkEnd w:id="249"/>
      <w:bookmarkEnd w:id="250"/>
      <w:bookmarkEnd w:id="251"/>
    </w:p>
    <w:p w14:paraId="37F237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9.2.5.1救援队后勤物资管理系统</w:t>
      </w:r>
    </w:p>
    <w:p w14:paraId="6259C5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9.2.5.1.1预警信息</w:t>
      </w:r>
    </w:p>
    <w:p w14:paraId="290D4AC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需支持对应急物资相关数据进行预警提醒，包括有：保质期预警、灭菌日期预警、库存上下限预警以及实时动态数据等。预警信息可以按库房、按类别等统计。</w:t>
      </w:r>
    </w:p>
    <w:p w14:paraId="7DFACC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9.2.5.1.1.1应急物资实时数据动态</w:t>
      </w:r>
    </w:p>
    <w:p w14:paraId="1988D4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应急物资进行实时管控、监督，主要管控有：结存金额分析、物资单品使用量排名、出入库调拨情况一览表等物资数据实时监管；不仅需实时数据动态分析，还需图形化分析；给与仓管员、应急处领导等相关人员极大的工作上的帮助。</w:t>
      </w:r>
    </w:p>
    <w:p w14:paraId="314038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9.2.5.1.1.2预警信息</w:t>
      </w:r>
    </w:p>
    <w:p w14:paraId="07BFDB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应急物资的保质期、库存、证件等进行预警提醒；使用者可先通过图形化主界面了解到大概情况，通过图形化主界面进入保质期、库存预警、证件预警详细页面，可以对物资材料进行过期、即将到期、库存、证件材料等信息准确掌握。预警信息可以按库、按单位等分类统计。</w:t>
      </w:r>
    </w:p>
    <w:p w14:paraId="664FA83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9.2.5.1.2应急物资请领管理</w:t>
      </w:r>
    </w:p>
    <w:p w14:paraId="18F47A7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需支持通过网络实现应急物资请领。在申领过程中增加对历史请领数据的判断、库存高底限的判断以及非正常数据的提醒，并接请领过程可以模板化管理，缩短请领的时间成本。</w:t>
      </w:r>
    </w:p>
    <w:p w14:paraId="760A8A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9.2.5.1.2.1应急物资请领</w:t>
      </w:r>
    </w:p>
    <w:p w14:paraId="0D6BAE1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应急物资请领单可以新增，也可以通过历史引入请领单，请领单通过相关操作人员提交、审核、最后发送到至请领审核模块进行最终的审核确认。</w:t>
      </w:r>
    </w:p>
    <w:p w14:paraId="77017B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9.2.5.1.2.2应急物资请领购物车</w:t>
      </w:r>
    </w:p>
    <w:p w14:paraId="0EE5CF8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库房人员可以根据应急仓库筛选，清楚每一个应急仓库物资情况，针对常用应急物资是否属于安全库存，并进行及时补货；</w:t>
      </w:r>
    </w:p>
    <w:p w14:paraId="2156A7D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9.2.5.1.2.3请领状况查询</w:t>
      </w:r>
    </w:p>
    <w:p w14:paraId="14718F0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提供给各单位相关管理人员查询请领单状态。可进行制单日期查询、请领单号、请领单位、库房、库房状态等查询条件进行过滤查询。</w:t>
      </w:r>
    </w:p>
    <w:p w14:paraId="638850D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9.2.5.1.2.4库房请领审核</w:t>
      </w:r>
    </w:p>
    <w:p w14:paraId="7F9301E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库房人员针对于各单位请领的单据，可进行制单日期查询、请领单号、请领单位、库房、库房状态、高级查询等过滤查询；也可执行汇总审核、退回单位、生成出库单、生成移库单、生成应急物资需求计划等操作执行单位请领单。</w:t>
      </w:r>
    </w:p>
    <w:p w14:paraId="45BCF0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9.2.5.1.2.5请领综合查询</w:t>
      </w:r>
    </w:p>
    <w:p w14:paraId="7C5139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库房人员针对于各单位请领的单据，可根据制单日期、请领单位、制单人、请领单号等查询条件进行明细查询。</w:t>
      </w:r>
    </w:p>
    <w:p w14:paraId="530A43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9.2.5.1.2.6单位退库申请</w:t>
      </w:r>
    </w:p>
    <w:p w14:paraId="4BC3673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单位对于领用有误的应急物资，可以在此进行退库申请，以便各管理人员审核后进行退库。</w:t>
      </w:r>
    </w:p>
    <w:p w14:paraId="225C595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9.2.5.1.2.7退库申请库房审核</w:t>
      </w:r>
    </w:p>
    <w:p w14:paraId="4BDC31B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库房可对各单位发送的退库申请单进行退回、审核等操作。</w:t>
      </w:r>
    </w:p>
    <w:p w14:paraId="596B8AB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9.2.5.1.2.8问题反馈</w:t>
      </w:r>
    </w:p>
    <w:p w14:paraId="0DB5CE3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库房管理人员或者各单位可对应急物资进行问题的反馈，以便后续对供应商供货进行分析。</w:t>
      </w:r>
    </w:p>
    <w:p w14:paraId="12B533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9.2.5.1.2.9产品评价查询</w:t>
      </w:r>
    </w:p>
    <w:p w14:paraId="4C888A8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单位或者应急库房管理员可对产品的评价进行查询。</w:t>
      </w:r>
    </w:p>
    <w:p w14:paraId="2D3868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9.2.5.1.3应急物资验收管理</w:t>
      </w:r>
    </w:p>
    <w:p w14:paraId="681F9D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系统可以直接对推送的应急物资送货单进行验收，即可整单验收，也可以根据实际验收情况进行部分验收。</w:t>
      </w:r>
    </w:p>
    <w:p w14:paraId="1FE931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9.2.5.1.3.1应急物资验收</w:t>
      </w:r>
    </w:p>
    <w:p w14:paraId="5023AA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用于采购入库之前的应急物资验收，检查应急物资名称、型号与计划是否相同，是否标明产地、批号、灭菌日期，包装物等项内容。库房人员根据采购到货的实际数量和相关验收属性进行单据填制。验收单录入后，确认无误可直接生成入库单。</w:t>
      </w:r>
    </w:p>
    <w:p w14:paraId="0349B18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9.2.5.1.4应急物资管理</w:t>
      </w:r>
    </w:p>
    <w:p w14:paraId="3D2D5D0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对应急物资从期初到入库、出库、调拨、结算、以及供应商对账的全业务链管理。</w:t>
      </w:r>
    </w:p>
    <w:p w14:paraId="10573B4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9.2.5.1.4.1期初管理</w:t>
      </w:r>
    </w:p>
    <w:p w14:paraId="7D89D9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应急物资的期初业务管理，包括有库存初始账和未处理的材料明细情况。</w:t>
      </w:r>
    </w:p>
    <w:p w14:paraId="2C7654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(1)库存初始账</w:t>
      </w:r>
    </w:p>
    <w:p w14:paraId="52A71F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系统投入使用时，应急物资仓库有一些历史库存数据需要录入到系统中。可以录入到库存初始账。库存初始账支持手工新增、导入、审核、删除、打印等功能；库存初始账建立完后，需要期初结账，保证数据不会随便被修改。</w:t>
      </w:r>
    </w:p>
    <w:p w14:paraId="7073A7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(2)未处理明细</w:t>
      </w:r>
    </w:p>
    <w:p w14:paraId="1FF6ED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在系统上线使用时，以此为一个节点，应急物资仓库有一些早于这个节点的历史库存数据，需要录入到系统中。</w:t>
      </w:r>
    </w:p>
    <w:p w14:paraId="5EF7B5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9.2.5.1.4.2入库管理</w:t>
      </w:r>
    </w:p>
    <w:p w14:paraId="600414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入库管理是对所有的材料入库业务进行管理，包括有材料入库、入库单对应的发票管理、以及供应商的入库对账操作等。</w:t>
      </w:r>
    </w:p>
    <w:p w14:paraId="1794B5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(1)应急物资入库</w:t>
      </w:r>
    </w:p>
    <w:p w14:paraId="3F0F07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验收合格的材料可以直接生成入库单，系统也支持新增入库单，材料入库单不仅有高级查询、财务分类打印等功能，还提供入库单的审核、确认、复制、删除、打印、生成发票、生成出库单等功能。采购入库和退货都用入库单来录入，采购入库作为正数录入，退货作为负数录入。</w:t>
      </w:r>
    </w:p>
    <w:p w14:paraId="3E9C18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(2)入库开票处理</w:t>
      </w:r>
    </w:p>
    <w:p w14:paraId="056E03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对于非货票同行的送货单，通知供应商开票；与供采协同平台联用，消息会发送到供采协同平台。</w:t>
      </w:r>
    </w:p>
    <w:p w14:paraId="6886FE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(3)入库明细查询</w:t>
      </w:r>
    </w:p>
    <w:p w14:paraId="1DE84A3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查询库房所有材料明细入库信息，库房人员可根据各种条件对材料的库存、货位、数量等情况进行查看。</w:t>
      </w:r>
    </w:p>
    <w:p w14:paraId="737415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①调拨-入库明细查询</w:t>
      </w:r>
    </w:p>
    <w:p w14:paraId="4776CE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需支持对调拨明细进行查询，方便调拨入库和调拨出库双方进行核对。</w:t>
      </w:r>
    </w:p>
    <w:p w14:paraId="33E06F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②供应商对账单</w:t>
      </w:r>
    </w:p>
    <w:p w14:paraId="443058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需支持应急物资库房与供应商对账，可以查询仓库下供应商的采购入库、采购退货的数量和金额。</w:t>
      </w:r>
    </w:p>
    <w:p w14:paraId="0DC165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9.2.5.1.4.3调拨管理</w:t>
      </w:r>
    </w:p>
    <w:p w14:paraId="4F5233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调拨管理是对所有的材料调拨业务进行管理，包括材料的调拨入出库、调拨明细查询等。</w:t>
      </w:r>
    </w:p>
    <w:p w14:paraId="1F8BC78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（1）材料调拨</w:t>
      </w:r>
    </w:p>
    <w:p w14:paraId="50721AD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总库将验收后的耗材调拨给其他库房或者单位。用于库房之间的材料平移功能，生成库房的调拨出库单据和调拨入库单据，支持审核、保存、查询等功能。全面准确的处理各种应急物资的调拨业务及账务。可通过查询调拨的详细信息，了解到物资调出仓库、调入仓库、物资名称、规格、型号、数量、单位等移库信息。</w:t>
      </w:r>
    </w:p>
    <w:p w14:paraId="447DC9E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（2）调拨明细查询</w:t>
      </w:r>
    </w:p>
    <w:p w14:paraId="28B6BA0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可对应急物资的调拨信息进行查询，方便核对。</w:t>
      </w:r>
    </w:p>
    <w:p w14:paraId="050B204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9.2.5.1.4.4出库管理</w:t>
      </w:r>
    </w:p>
    <w:p w14:paraId="16E1B1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出库管理是对所有的应急物资出库业务进行管理，包括期初退库、材料配送、材料出库、确认收货、出库模板设置、单位库房盘点、出库明细查询、调拨-出库明细查询、跨单位调拨等。</w:t>
      </w:r>
    </w:p>
    <w:p w14:paraId="6B5DFC6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（1）期初退库</w:t>
      </w:r>
    </w:p>
    <w:p w14:paraId="0FA8B71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对于该系统上线以前各单位已领用，在使用过程中出现问题需要退货的物资，可在此页面进行期初退库，以便退回到仓库后，由采购人员联系供应商进行退货。</w:t>
      </w:r>
    </w:p>
    <w:p w14:paraId="5683AAC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（2）应急物资配送</w:t>
      </w:r>
    </w:p>
    <w:p w14:paraId="143B05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对于供应商已送货并验收的应急物资，若各单位在申请时填制了配送地址且需要配送到的地方，可在此直接引入之前的申请单生成配送单，或者直接手工填制配送单，配送人员可根据配送单配货给各单位。</w:t>
      </w:r>
    </w:p>
    <w:p w14:paraId="3758B42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（3）材料出库</w:t>
      </w:r>
    </w:p>
    <w:p w14:paraId="6104EDE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对于有库存的物资，我们可以直接根据相应的单据生成出库单，如：根据请领单、入库单、自动货架或货柜取货记录、无人值守库房取货记录等。</w:t>
      </w:r>
    </w:p>
    <w:p w14:paraId="152687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（4）单位确认收货</w:t>
      </w:r>
    </w:p>
    <w:p w14:paraId="0234FD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单位对于配送的货物确认无误后，可在此进行确认收货，以便为后续的追溯留痕。</w:t>
      </w:r>
    </w:p>
    <w:p w14:paraId="45EBD1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（5）出库明细查询</w:t>
      </w:r>
    </w:p>
    <w:p w14:paraId="02DCD26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以多方位、多角度对出库数据进行查询分析，包括按照制单时间、领用单位、出库仓库、供应商等。</w:t>
      </w:r>
    </w:p>
    <w:p w14:paraId="6C80D9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（6）调拨明细查询</w:t>
      </w:r>
    </w:p>
    <w:p w14:paraId="261DC3B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针对调拨操作，对调拨单据明细进行查询，方便与入库中的调拨明细进行核对。</w:t>
      </w:r>
    </w:p>
    <w:p w14:paraId="5EEABC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（7）跨单位调拨</w:t>
      </w:r>
    </w:p>
    <w:p w14:paraId="6E4D11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需支持跨单位调拨，且可直接出库到跨单位相应部门，方便追溯。</w:t>
      </w:r>
    </w:p>
    <w:p w14:paraId="1DAFAC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9.2.5.1.4.5盘点管理</w:t>
      </w:r>
    </w:p>
    <w:p w14:paraId="77674C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盘点管理是对所有的应急物资盘点业务进行管理，包括物资盘点、盘点明细查询等。</w:t>
      </w:r>
    </w:p>
    <w:p w14:paraId="5100004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（1）物资盘点</w:t>
      </w:r>
    </w:p>
    <w:p w14:paraId="0816D9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可对各库房物资进行盘点，同时支持多种盘点方式，如：盲盘、临盘等。支持RFID射频盘点技术，大幅提高盘点效率。</w:t>
      </w:r>
    </w:p>
    <w:p w14:paraId="6F931D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（2）盘点明细查询</w:t>
      </w:r>
    </w:p>
    <w:p w14:paraId="79E073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可针对盘点的结果进行查询及核对，避免输入性错误。</w:t>
      </w:r>
    </w:p>
    <w:p w14:paraId="32AF42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9.2.5.1.4.6库存查询</w:t>
      </w:r>
    </w:p>
    <w:p w14:paraId="089977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库存管理是对所有的应急物资库存情况进行管理，包括库存台账、库存收发结存、入库汇总查询、出库汇总查询等。</w:t>
      </w:r>
    </w:p>
    <w:p w14:paraId="028D97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（1）库存台账</w:t>
      </w:r>
    </w:p>
    <w:p w14:paraId="0CEE53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可分库房进行库存物资的查询，便于月底核对库存数据。</w:t>
      </w:r>
    </w:p>
    <w:p w14:paraId="2E1846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（2）库存收发结存</w:t>
      </w:r>
    </w:p>
    <w:p w14:paraId="74476C8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月底汇总各库房物资的期初、当月入库、当月出库、结存数据，便于和财务进行对账。</w:t>
      </w:r>
    </w:p>
    <w:p w14:paraId="731BF82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（3）入库汇总查询</w:t>
      </w:r>
    </w:p>
    <w:p w14:paraId="130C0F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可汇总某一时间段所有供应商入库信息，包括供应商名称、入库数量、入库金额等。</w:t>
      </w:r>
    </w:p>
    <w:p w14:paraId="50ABC93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（4）出库汇总查询</w:t>
      </w:r>
    </w:p>
    <w:p w14:paraId="6953E18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可汇总某一时间段所有单位领用耗材信息，包括领用单位、出库数量、出库金额等。</w:t>
      </w:r>
    </w:p>
    <w:p w14:paraId="51FF02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9.2.5.1.5期末处理</w:t>
      </w:r>
    </w:p>
    <w:p w14:paraId="3F0F02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根据软件系统的适用规则，在月末、年末等时间点，对系统的使用情况进行结账，和会计核算期间保持一致。具体操作有：对已完成的单据进行结账，对未完成的单据进行确认，保证期末处理的正确性与一致性。</w:t>
      </w:r>
    </w:p>
    <w:p w14:paraId="3DE93F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9.2.5.1.5.1未确认单据列表</w:t>
      </w:r>
    </w:p>
    <w:p w14:paraId="3847B3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在管理库存的出入库时，没有确认的出入库单是不记账的。因此，在结账之前，需要将没有确认的单价进行确认，只有这样才能保证结账正确，查询未确认的出入库单据</w:t>
      </w:r>
      <w:r>
        <w:rPr>
          <w:rFonts w:hint="eastAsia" w:ascii="宋体" w:hAnsi="宋体" w:eastAsia="宋体" w:cs="宋体"/>
          <w:b w:val="0"/>
          <w:bCs w:val="0"/>
          <w:color w:val="auto"/>
          <w:sz w:val="21"/>
          <w:szCs w:val="21"/>
          <w:highlight w:val="none"/>
          <w:lang w:val="en-US" w:eastAsia="zh-Hans"/>
        </w:rPr>
        <w:t>。</w:t>
      </w:r>
    </w:p>
    <w:p w14:paraId="31C7E8D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9.2.5.1.5.2期末结账</w:t>
      </w:r>
    </w:p>
    <w:p w14:paraId="5D3BCE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在在每一个月结束的时候，需要统计本月出入库动态，结转账簿，设立结账标志，将本期余额结转到下月。本月就不能再做出库库操作。</w:t>
      </w:r>
    </w:p>
    <w:p w14:paraId="5A627B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9.2.5.1.6条形码管理</w:t>
      </w:r>
    </w:p>
    <w:p w14:paraId="0F3367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系统在管理过程中需支持条码的应用，对条码进行管理，包括条码自定义、条码查询等。支持条形码、二维码、RFID条码。</w:t>
      </w:r>
    </w:p>
    <w:p w14:paraId="4221C3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条码管理，支持生成送货单时在送货单编辑时，维护条码信息，条码维护即编辑应急物资的个体条码，系统将自动添加事先定义的条码规则前缀或者是按照规则自动生成条码，按照规则进行编辑。</w:t>
      </w:r>
    </w:p>
    <w:p w14:paraId="24491C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9.2.5.1.6.1自定义条码生成</w:t>
      </w:r>
    </w:p>
    <w:p w14:paraId="23C785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可根据自定义条码的条件生成应急物资自定义条码。</w:t>
      </w:r>
    </w:p>
    <w:p w14:paraId="385A90D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9.2.5.1.6.2条码查询</w:t>
      </w:r>
    </w:p>
    <w:p w14:paraId="057276A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可根据条码查询条件，查询应急物资条码。</w:t>
      </w:r>
    </w:p>
    <w:p w14:paraId="133F68A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9.2.5.1.7统计分析</w:t>
      </w:r>
    </w:p>
    <w:p w14:paraId="029F4D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对系统中所涉及的各种应急物资进行统计并分析，包括有：保质期预警、库存预警、成本分析、积压分析、未使用材料分析以及成本差异分析等。</w:t>
      </w:r>
    </w:p>
    <w:p w14:paraId="346178A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9.2.5.1.7.1存储分析</w:t>
      </w:r>
    </w:p>
    <w:p w14:paraId="1A5E00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对库存应急物资进行全面系统的分析，包括有质保期、库存上下限、库龄、呆滞积压、以及近期未使用情况等。</w:t>
      </w:r>
    </w:p>
    <w:p w14:paraId="234ACA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（1）保质期预警</w:t>
      </w:r>
    </w:p>
    <w:p w14:paraId="0753CC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查询应急物资库房材料保质期的情况，可查询临近或者过期的材料信息。</w:t>
      </w:r>
    </w:p>
    <w:p w14:paraId="34CCDE2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（2）库存预警</w:t>
      </w:r>
    </w:p>
    <w:p w14:paraId="32731EB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根据当前的库存量和用户设置的最高、最低和安全库存，如果当前库存超过预警，则显示相关信息。</w:t>
      </w:r>
    </w:p>
    <w:p w14:paraId="056D19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（3）ABC成本分析</w:t>
      </w:r>
    </w:p>
    <w:p w14:paraId="4571B21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在应急物资材料字典维护中，有一个选项是物资材料的ABC分类，这里就是按照上述分类显示。各类物资期末库存所占的百分比，提供ABC成本分析的查询功能。</w:t>
      </w:r>
    </w:p>
    <w:p w14:paraId="35C9D88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（4）库龄分析</w:t>
      </w:r>
    </w:p>
    <w:p w14:paraId="1B8461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查询并分析物资的储存天数，提供库龄分析的查询功能。</w:t>
      </w:r>
    </w:p>
    <w:p w14:paraId="408BF7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（5）呆滞积压物资分析</w:t>
      </w:r>
    </w:p>
    <w:p w14:paraId="54A00A4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根据用户在物资字典中维护的是否呆滞积压管理以及呆滞标准，显示物资的周转率，提供呆滞积压物资分析的查询。</w:t>
      </w:r>
    </w:p>
    <w:p w14:paraId="1AB7456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（6）近期未使用材料查询</w:t>
      </w:r>
    </w:p>
    <w:p w14:paraId="03EE1A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查询在指定日期及指定日期之前若干天中，没有出入库的信息，提供没有动态的库存信息的查询功能。</w:t>
      </w:r>
    </w:p>
    <w:p w14:paraId="607575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9.2.5.1.7.2综合分析</w:t>
      </w:r>
    </w:p>
    <w:p w14:paraId="153B4F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对应急库存物资外的业务进行分析，包括消耗分析、报废分析、周转分析、储备差异分析以及收发存汇总等。</w:t>
      </w:r>
    </w:p>
    <w:p w14:paraId="1F7751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（1）各单位应急物资费用差异分析</w:t>
      </w:r>
    </w:p>
    <w:p w14:paraId="3F8EEED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查询应急物资在一段时间内的消耗（也就是出库）对比，提供材料消耗的分析、对比的查询功能。</w:t>
      </w:r>
    </w:p>
    <w:p w14:paraId="696D0C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（2）应急物资报废分析</w:t>
      </w:r>
    </w:p>
    <w:p w14:paraId="179534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按照仓库查询在一段时间内的报废金额占总库存金额的百分比及占总消耗的百分比，提供物资报废分析的查询功能。</w:t>
      </w:r>
    </w:p>
    <w:p w14:paraId="521CC3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（3）应急物资周转分析</w:t>
      </w:r>
    </w:p>
    <w:p w14:paraId="3481866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按照仓库查询一段时间内的周转次数和周转天数，提供周转次数和周转天数的查询功能。</w:t>
      </w:r>
    </w:p>
    <w:p w14:paraId="680D45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（4）应急物资储备差异分析</w:t>
      </w:r>
    </w:p>
    <w:p w14:paraId="602B63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查询应急物资材料在一段时间内的储备对比分析，提供材料储备对比分析的查询功能。</w:t>
      </w:r>
    </w:p>
    <w:p w14:paraId="7B9B71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9.2.5.1.8财务管理</w:t>
      </w:r>
    </w:p>
    <w:p w14:paraId="1554DE8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对系统中和财务有关的业务进行处理，包括有财务纬度的账表管理和财务业务对账等功能。</w:t>
      </w:r>
    </w:p>
    <w:p w14:paraId="73E983B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9.2.5.1.8.1账表管理</w:t>
      </w:r>
    </w:p>
    <w:p w14:paraId="606FA0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按照财务工作的习惯，系统内置材料明细账、按财务纬度和库存分类纬度的材料收发账表及明细、期末盘存表等内容。</w:t>
      </w:r>
    </w:p>
    <w:p w14:paraId="357EB2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（1）材料明细账</w:t>
      </w:r>
    </w:p>
    <w:p w14:paraId="58A39C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查询物资材料的每一笔出入库动态信息，提供物资材料明细账的查询。</w:t>
      </w:r>
    </w:p>
    <w:p w14:paraId="17B873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（2）库存材料收发表账表（物资分类）</w:t>
      </w:r>
    </w:p>
    <w:p w14:paraId="1A3035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根据日期、物资类别和仓库等，按照物资类别查询库房材料的出、入、存汇总。</w:t>
      </w:r>
    </w:p>
    <w:p w14:paraId="468125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（3）库存材料收发表账表（财务分类）</w:t>
      </w:r>
    </w:p>
    <w:p w14:paraId="63839E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根据日期、财务分类和仓库等，按照物资类别查询库房材料的出、入、存汇总。</w:t>
      </w:r>
    </w:p>
    <w:p w14:paraId="4B5ED1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（4）库存收发查询</w:t>
      </w:r>
    </w:p>
    <w:p w14:paraId="0F9E40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根据日期、仓库和物资类别，查询库房材料的期初、入库、出库、期末的数量、金额信息。</w:t>
      </w:r>
    </w:p>
    <w:p w14:paraId="452F5E9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（5）期末盘存表</w:t>
      </w:r>
    </w:p>
    <w:p w14:paraId="454D4B7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根据日期和仓库，按照物资类别查询库房材料的期初余额、本期收入金额、本期支出金额、盘盈金额、盘亏金额、结存金额。</w:t>
      </w:r>
    </w:p>
    <w:p w14:paraId="415497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9.2.5.1.8.2财务对账</w:t>
      </w:r>
    </w:p>
    <w:p w14:paraId="6548CF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从财务管理的纬度对库存的实际业务及盘存进行核对，正确核对出物资材料的成本、管理成本、风险成本及时间成本等。</w:t>
      </w:r>
    </w:p>
    <w:p w14:paraId="354B6D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9.2.5.1.9报表管理</w:t>
      </w:r>
    </w:p>
    <w:p w14:paraId="29A867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对应急物资材料的实际库存、虚拟库存、出入库、移库，以及单位支出、成本分摊、可是库存情况等通过报表的形式汇总展示。</w:t>
      </w:r>
    </w:p>
    <w:p w14:paraId="3CA911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9.2.5.1.9.1材料库存汇总表</w:t>
      </w:r>
    </w:p>
    <w:p w14:paraId="3D13F9A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查询库存材料每个或多个会计期间的本期增加、本期减少和期末结存金额，为财务提供数据。</w:t>
      </w:r>
    </w:p>
    <w:p w14:paraId="425CB5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9.2.5.1.9.2虚库库存汇总表</w:t>
      </w:r>
    </w:p>
    <w:p w14:paraId="79B5C1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按照设置的仓库、业务类型统计期初、本期增减、本期减少、期末库存情况。</w:t>
      </w:r>
    </w:p>
    <w:p w14:paraId="4CD1CB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9.2.5.1.9.3出入库统计表</w:t>
      </w:r>
    </w:p>
    <w:p w14:paraId="276786E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Hans"/>
        </w:rPr>
      </w:pPr>
      <w:r>
        <w:rPr>
          <w:rFonts w:hint="eastAsia" w:ascii="宋体" w:hAnsi="宋体" w:eastAsia="宋体" w:cs="宋体"/>
          <w:b w:val="0"/>
          <w:bCs w:val="0"/>
          <w:color w:val="auto"/>
          <w:sz w:val="21"/>
          <w:szCs w:val="21"/>
          <w:highlight w:val="none"/>
          <w:lang w:val="en-US" w:eastAsia="zh-CN"/>
        </w:rPr>
        <w:t>查询库房出入库明细汇总内容，可以根据物资分类、单位、资金来源、货位维度去自定义汇总内容</w:t>
      </w:r>
      <w:r>
        <w:rPr>
          <w:rFonts w:hint="eastAsia" w:ascii="宋体" w:hAnsi="宋体" w:eastAsia="宋体" w:cs="宋体"/>
          <w:b w:val="0"/>
          <w:bCs w:val="0"/>
          <w:color w:val="auto"/>
          <w:sz w:val="21"/>
          <w:szCs w:val="21"/>
          <w:highlight w:val="none"/>
          <w:lang w:val="en-US" w:eastAsia="zh-Hans"/>
        </w:rPr>
        <w:t>。</w:t>
      </w:r>
    </w:p>
    <w:p w14:paraId="49AFAD0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9.2.5.1.9.4材料移库汇总表</w:t>
      </w:r>
    </w:p>
    <w:p w14:paraId="738CCB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查询库房间移库库明细汇总内容，可以根据物资分类、单位、资金来源、货位维度去自定义汇总内容。只查询移库业务类型的材料数据。</w:t>
      </w:r>
    </w:p>
    <w:p w14:paraId="7B7008D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9.2.5.1.9.5应急物资支出汇总表</w:t>
      </w:r>
    </w:p>
    <w:p w14:paraId="141006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支持按照财务分类维度统计各个单位的领用数据。</w:t>
      </w:r>
    </w:p>
    <w:p w14:paraId="45D774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9.2.5.1.9.6应急物资库盘点查询</w:t>
      </w:r>
    </w:p>
    <w:p w14:paraId="75ADD3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Hans"/>
        </w:rPr>
      </w:pPr>
      <w:r>
        <w:rPr>
          <w:rFonts w:hint="eastAsia" w:ascii="宋体" w:hAnsi="宋体" w:eastAsia="宋体" w:cs="宋体"/>
          <w:b w:val="0"/>
          <w:bCs w:val="0"/>
          <w:color w:val="auto"/>
          <w:sz w:val="21"/>
          <w:szCs w:val="21"/>
          <w:highlight w:val="none"/>
          <w:lang w:val="en-US" w:eastAsia="zh-CN"/>
        </w:rPr>
        <w:t>统计应急物资仓库的盘存情况，支持盘点日期、盘点金额、出库次数、出库金额等信息查询</w:t>
      </w:r>
      <w:r>
        <w:rPr>
          <w:rFonts w:hint="eastAsia" w:ascii="宋体" w:hAnsi="宋体" w:eastAsia="宋体" w:cs="宋体"/>
          <w:b w:val="0"/>
          <w:bCs w:val="0"/>
          <w:color w:val="auto"/>
          <w:sz w:val="21"/>
          <w:szCs w:val="21"/>
          <w:highlight w:val="none"/>
          <w:lang w:val="en-US" w:eastAsia="zh-Hans"/>
        </w:rPr>
        <w:t>。</w:t>
      </w:r>
    </w:p>
    <w:p w14:paraId="2893394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9.2.5.1.10资质证件管理</w:t>
      </w:r>
    </w:p>
    <w:p w14:paraId="3309618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可对系统中涉及到的应急物资的生产厂商证件、供应商证件、材料证件等资质进行统一管理，包括资质证件的分类、设置、效期预警等内容。</w:t>
      </w:r>
    </w:p>
    <w:p w14:paraId="09EFB19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9.2.5.1.10.1证件资质分类</w:t>
      </w:r>
    </w:p>
    <w:p w14:paraId="4B7BD7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需支持对物资材料的证照类别进行设置，包括院手动设置的材料类别和外部通过供应商管理平台接收的材料证照类别。</w:t>
      </w:r>
    </w:p>
    <w:p w14:paraId="690BE7B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9.2.5.1.10.2材料证件资质设置</w:t>
      </w:r>
    </w:p>
    <w:p w14:paraId="08C477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可对接入供应商管理平台的材料证件数据的记录进行查看与审核等操作，对没有供应商管理平台的供应商材料证件提供手动新增材料证件信息功能。</w:t>
      </w:r>
    </w:p>
    <w:p w14:paraId="743A68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9.2.5.1.10.3供应商证件资质设置</w:t>
      </w:r>
    </w:p>
    <w:p w14:paraId="7FC47AC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可对接入供应商管理平台的证件数据的记录进行查看与审核等操作，对没有供应商管理平台的供应商证件提供手动新增供应商证件信息功能。</w:t>
      </w:r>
    </w:p>
    <w:p w14:paraId="2FA62CA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9.2.5.1.10.4厂商证件资质设置</w:t>
      </w:r>
    </w:p>
    <w:p w14:paraId="150B19B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需支持物资生产厂商证件信息设置，包括厂商资质，厂商信息等。</w:t>
      </w:r>
    </w:p>
    <w:p w14:paraId="65E589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9.2.5.1.10.5材料证件资质预警</w:t>
      </w:r>
    </w:p>
    <w:p w14:paraId="31CB353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需支持材料证件资质预警，针对材料证件有消息进行预警设置，到期进行预警提醒。</w:t>
      </w:r>
    </w:p>
    <w:p w14:paraId="5BC58AF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9.2.5.1.10.6供应商证件有效期预警</w:t>
      </w:r>
    </w:p>
    <w:p w14:paraId="44704B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需支持供应商证件有效期预警，针对供应商证件有效期管理，根据设置到期进行预警提醒。</w:t>
      </w:r>
    </w:p>
    <w:p w14:paraId="230B0C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9.2.5.1.11基础设置</w:t>
      </w:r>
    </w:p>
    <w:p w14:paraId="79EF9F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可对系统正常运行需要的基础设置进行管理，包括基础信息管理、业务模板设置、接口及参数管理、公告管理等内容。</w:t>
      </w:r>
    </w:p>
    <w:p w14:paraId="78C1220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9.2.5.1.11.1参数设置</w:t>
      </w:r>
    </w:p>
    <w:p w14:paraId="24423FD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可设置平台中，所有需要的功能节点流程上的参数功能。</w:t>
      </w:r>
    </w:p>
    <w:p w14:paraId="1C977C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9.2.5.1.11.2基础信息</w:t>
      </w:r>
    </w:p>
    <w:p w14:paraId="7A830A0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可对系统运行的基础信息进行管理，包括有物资字典、仓库信息、仓库材料设置、单位材料设置、定额设置、虚拟仓库、货柜信息以及系统操作次数限制等内容。</w:t>
      </w:r>
    </w:p>
    <w:p w14:paraId="1025C1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（1）物资字典</w:t>
      </w:r>
    </w:p>
    <w:p w14:paraId="136F0D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可维护物资材料，支持按物资名称新增维护物资属性；支持按物资属性进行物资进行分类并维护；按物资目录名称来维护物资价格；支持进行调整物资价格；维护供应商基本信息，三证信息。</w:t>
      </w:r>
    </w:p>
    <w:p w14:paraId="26675F5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（2）仓库信息</w:t>
      </w:r>
    </w:p>
    <w:p w14:paraId="66C08D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可维护仓库信息，支持新增维护库房。</w:t>
      </w:r>
    </w:p>
    <w:p w14:paraId="040AEB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（3）仓库材料设置</w:t>
      </w:r>
    </w:p>
    <w:p w14:paraId="31E9EA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可设置仓库与材料的对应关系。</w:t>
      </w:r>
    </w:p>
    <w:p w14:paraId="75D941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（4）仓库材料库存设置</w:t>
      </w:r>
    </w:p>
    <w:p w14:paraId="2AAFD0A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可设置仓库物资材料的最高库存、最低库存和安全库存。</w:t>
      </w:r>
    </w:p>
    <w:p w14:paraId="35E3AF3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（5）智能补货设置</w:t>
      </w:r>
    </w:p>
    <w:p w14:paraId="7AC4CA8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当即时库存低于安全库存时，当设置的补货定时任务时间到了时，触发自动补货（定时任务）生成采购计划，也可手动触发补货；补货后即时库存值需达到最高库存，即库存上限；补货期间，继续出库，即时库存继续减少，当即时库存低于最低库存时，系统予以预警，且在出库时予以提示。</w:t>
      </w:r>
    </w:p>
    <w:p w14:paraId="6A9BAF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（6）高级查询设置</w:t>
      </w:r>
    </w:p>
    <w:p w14:paraId="7196B3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可设置单据的高级查询条件，完善查询条件，便于单据数据更快、更准查询。</w:t>
      </w:r>
    </w:p>
    <w:p w14:paraId="3D60D2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（7）物资储备定额</w:t>
      </w:r>
    </w:p>
    <w:p w14:paraId="467FB4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可设置物资的额度、年周转次数和周转天数。支持对各单位请领限额进行配置，用来控制各单位请领数量，控制跨界领物。可调用各单位应急物资领用情况，可实时查询采购进度。</w:t>
      </w:r>
    </w:p>
    <w:p w14:paraId="2C4166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（8）虚仓设置</w:t>
      </w:r>
    </w:p>
    <w:p w14:paraId="640B9FD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个虚仓可对应多个仓库，一个仓库可对应多个虚仓，可根据虚仓生成报表。在报表管理-虚库库存汇总表中，可根据已设定的虚仓进行报表的查询，虚仓作为报表的查询条件。一个虚仓中对应的实体仓库可包括一级仓库和单位仓库。</w:t>
      </w:r>
    </w:p>
    <w:p w14:paraId="2CFF8A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（9）虚仓报表显示设置</w:t>
      </w:r>
    </w:p>
    <w:p w14:paraId="627879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虚仓报表的动态表头可自定义设置显示名称、是否显示、方向，以及对应的业务类型，可以支持一个显示名称对应多个业务类型，一个业务类型对应多个显示名称。可根据设置的显示名称、是否显示、方向出产出动态表头。</w:t>
      </w:r>
    </w:p>
    <w:p w14:paraId="42E37F3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（10）货位管理</w:t>
      </w:r>
    </w:p>
    <w:p w14:paraId="2C94FB6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货位处于某一个仓库下，从属于仓库。作为当前仓库启用电子货柜的设定条件。货位信息包括：货位属于的仓库、货位名称、IP地址、摘要信息、货位状态（启用、停用）、关系设置等。</w:t>
      </w:r>
    </w:p>
    <w:p w14:paraId="6A7CCF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9.2.5.1.11.3接口设置</w:t>
      </w:r>
    </w:p>
    <w:p w14:paraId="5134D0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系统需内置接口自定义功能，根据实际业务情况对本系统与其他系统之间的业务关联对接口进行适应性及个性化调试。比如与相关硬件设备、供应商自助平台和省市应急管理系统等。</w:t>
      </w:r>
    </w:p>
    <w:p w14:paraId="72399A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9.2.5.2急诊医学信息管理平台</w:t>
      </w:r>
    </w:p>
    <w:p w14:paraId="26F4EC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9.2.5.2.1急危重一体化工作台</w:t>
      </w:r>
    </w:p>
    <w:p w14:paraId="1D204F0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需支持多院区科室/人员权限统一配置。</w:t>
      </w:r>
    </w:p>
    <w:p w14:paraId="7B8553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需支持跨院区查看急诊留观/抢救床位情况。</w:t>
      </w:r>
    </w:p>
    <w:p w14:paraId="44E434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需支持多院区急诊科室流转，同时查看患者足迹，生命体征，转入时间，接受时间等。</w:t>
      </w:r>
    </w:p>
    <w:p w14:paraId="01CE373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9.2.5.2.2预检分诊系统与分诊结算</w:t>
      </w:r>
    </w:p>
    <w:p w14:paraId="5F2832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9.2.5.2.2.1患者登记</w:t>
      </w:r>
    </w:p>
    <w:p w14:paraId="241CF78E">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需支持患者信息直接录入，支持初诊患者分诊建档/登记。</w:t>
      </w:r>
    </w:p>
    <w:p w14:paraId="0651CA72">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需支持对接HIS系统，自动获取急诊病人挂号信息。</w:t>
      </w:r>
    </w:p>
    <w:p w14:paraId="0AD03250">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需支持直接通过读取就诊卡/身份证/医保卡快速获取身份信息。</w:t>
      </w:r>
    </w:p>
    <w:p w14:paraId="7026D1B2">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需支持群伤、批量抢救患者登记。</w:t>
      </w:r>
    </w:p>
    <w:p w14:paraId="1C478111">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需支持婴幼儿和儿童患者建档/登记。</w:t>
      </w:r>
    </w:p>
    <w:p w14:paraId="7E2F3620">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▲需支持绿色通道病人标识，通过床旁监护设备，自动采集生命体征，后续记录分诊信息。（投标人须按上述要求提供系统功能截图）</w:t>
      </w:r>
    </w:p>
    <w:p w14:paraId="743C585E">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需支持患者来源能标识上转医院的名称、区县等。</w:t>
      </w:r>
    </w:p>
    <w:p w14:paraId="4A16F9F8">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需支持分诊基本信息登记功能，包含：病人ID、患者姓名、性别、身份证号、出生日期、电话、地址、联系人、电话、发病时间、民族、国籍等。</w:t>
      </w:r>
    </w:p>
    <w:p w14:paraId="6E80879E">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需支持先分诊后挂号，先挂号后分诊，双流程操作与把控。</w:t>
      </w:r>
    </w:p>
    <w:p w14:paraId="53DFA126">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需支持分诊即挂号流程操作，优化急诊诊疗流程，实现先诊疗后付费的流程，提升患者就医体验。</w:t>
      </w:r>
    </w:p>
    <w:p w14:paraId="4536063F">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需支持患者到院方式的登记，包括步入、轮椅、推床、的士、120、110、私家车、直升机等方式，选择110时，需要记录警车号。</w:t>
      </w:r>
    </w:p>
    <w:p w14:paraId="449A77C0">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需支持患者陪送人员的登记，包括自入、家人、朋友、警察、路人、安全中心、院内其他科室转入、其他等，选择院内其他科室转入，可以录入具体的转入科室。</w:t>
      </w:r>
    </w:p>
    <w:p w14:paraId="74F0EAEC">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需支持患者类型登记，包括三无人员、路倒、发热、腹泻、门诊转急诊输液、常用分诊、中暑等，选择具体类型时，能够与主诉知识库联动。</w:t>
      </w:r>
    </w:p>
    <w:p w14:paraId="59714855">
      <w:pPr>
        <w:pStyle w:val="436"/>
        <w:widowControl w:val="0"/>
        <w:numPr>
          <w:ilvl w:val="0"/>
          <w:numId w:val="75"/>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需支持无名氏登记，能够针对三无病人，自动分配预检号进行登记，后期可与挂号信息进行匹配。</w:t>
      </w:r>
    </w:p>
    <w:p w14:paraId="69F0D4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9.2.5.2.2.2患者叫号</w:t>
      </w:r>
    </w:p>
    <w:p w14:paraId="5718C4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需支持对接叫号系统，针对急门诊患者。</w:t>
      </w:r>
    </w:p>
    <w:p w14:paraId="6C40EB6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9.2.5.2.2.3体征自动采集</w:t>
      </w:r>
    </w:p>
    <w:p w14:paraId="119430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需支持患者体征数据采集，并可根据生命体征记录情况自动分级，可手工修改分级。</w:t>
      </w:r>
    </w:p>
    <w:p w14:paraId="7D11B2A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9.2.5.2.2.4评分管理</w:t>
      </w:r>
    </w:p>
    <w:p w14:paraId="2AFFF6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需支持院前常用评分，包括并不限于如MEWS、GCS、FAST、PHI、NIHSS评分等。支持评分自定义配置。</w:t>
      </w:r>
    </w:p>
    <w:p w14:paraId="388E55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需支持评分管理，系统通过评分自动对病人病情按轻重缓急做系统分级，评分能够根据医院的需求灵活配置；</w:t>
      </w:r>
    </w:p>
    <w:p w14:paraId="477197C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系统需默认提供的评分包括疼痛评分、GCS评分、MEWS评分、创伤评分和REMS评分、FAST、PHI、NIHSS评分等，其中疼痛评分需要支持周边疼痛和中枢疼痛的区分，帮助医护人员准确判定分级。</w:t>
      </w:r>
    </w:p>
    <w:p w14:paraId="6BD8E6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9.2.5.2.2.5预检分诊</w:t>
      </w:r>
    </w:p>
    <w:p w14:paraId="7B1E8FB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（1）自动分级</w:t>
      </w:r>
    </w:p>
    <w:p w14:paraId="5E7D60D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需支持根据常见的急诊患者症状进行快捷分诊，支持自动化分级并关联患者分诊去向；</w:t>
      </w:r>
    </w:p>
    <w:p w14:paraId="0AF8D2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（2）人工分级</w:t>
      </w:r>
    </w:p>
    <w:p w14:paraId="06AF58E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需支持对自动分级修改，进行人工分级。</w:t>
      </w:r>
    </w:p>
    <w:p w14:paraId="0FF273C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（3）再次分诊</w:t>
      </w:r>
    </w:p>
    <w:p w14:paraId="635170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需支持再次分诊，不同级别患者超过规定时间内未接诊，自动提醒。</w:t>
      </w:r>
    </w:p>
    <w:p w14:paraId="4648DC4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（4）不同分诊模式</w:t>
      </w:r>
    </w:p>
    <w:p w14:paraId="7437E5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需支持先分诊后挂号，先挂号后分诊两种模式。</w:t>
      </w:r>
    </w:p>
    <w:p w14:paraId="1F6608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（5）腕带打印</w:t>
      </w:r>
    </w:p>
    <w:p w14:paraId="284E00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需支持分诊后打印腕带或者分诊条，根据医院需要配置打印信息。 </w:t>
      </w:r>
    </w:p>
    <w:p w14:paraId="537AFA6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（6）预检分诊知识库</w:t>
      </w:r>
    </w:p>
    <w:p w14:paraId="2FE51A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三区四级、四区四级等多种预检分诊知识库。需支持病情分级分诊知识库，提供常用主诉、判断依据集合；能够支持医院授权人员对分诊知识库进行自定义配置与维护，不断完善知识库内容。（投标人须按上述要求提供系统功能截图或承诺书）</w:t>
      </w:r>
    </w:p>
    <w:p w14:paraId="032586B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（7）分诊统计</w:t>
      </w:r>
    </w:p>
    <w:p w14:paraId="51AE0F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分诊统计功能，如分级患者比例、三无患者占比、分诊去向比例、分诊准确率等。支持按照医院科室的统计需求定制化统计指标。支持超时提醒功能，可在当班组长及主任护士长登录界面弹窗提醒，并形成独立报表。支持分诊质量分析。（投标人须按上述要求提供系统功能截图）</w:t>
      </w:r>
    </w:p>
    <w:p w14:paraId="1D9350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（8）智能评分</w:t>
      </w:r>
    </w:p>
    <w:p w14:paraId="3789BE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需提供急诊相关的医学自动评分（包括MEWS,REWS评分，GCS评分）根据评分结果自动分级。</w:t>
      </w:r>
    </w:p>
    <w:p w14:paraId="3A64F2E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（9）三无人员创建</w:t>
      </w:r>
    </w:p>
    <w:p w14:paraId="4DC74BA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需支持三无人员快速建立，根据日期，时间，快速生成三无人员标识。</w:t>
      </w:r>
    </w:p>
    <w:p w14:paraId="71AE274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（10）数据导出</w:t>
      </w:r>
    </w:p>
    <w:p w14:paraId="412682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需按照时间、分诊级别、就诊转归区域等查询条件导出急诊患者预检分诊登记表，节省急诊护士每天登记时间。</w:t>
      </w:r>
    </w:p>
    <w:p w14:paraId="7D6748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（11）群伤事件</w:t>
      </w:r>
    </w:p>
    <w:p w14:paraId="7E5DBD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需支持群伤，批量抢救病人的登记，打印腕带，快速分诊，完善信息。并可以自定群伤事件类型，批量导出群伤事件表。</w:t>
      </w:r>
    </w:p>
    <w:p w14:paraId="6D4DA8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（12）超时患者提醒</w:t>
      </w:r>
    </w:p>
    <w:p w14:paraId="573826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需支持根据分诊时间，就诊时间，对相应超时的患者进行标识处理，优先排列，并支持二次分诊。</w:t>
      </w:r>
    </w:p>
    <w:p w14:paraId="20372E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（13）医嘱、检查检验报告查看</w:t>
      </w:r>
    </w:p>
    <w:p w14:paraId="7FFE910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需支持直接在分诊界面查看HIS、检验、PACS、心电等院内系统的医嘱、病历、检查、检验、心电等报告结果信息。</w:t>
      </w:r>
    </w:p>
    <w:p w14:paraId="640F89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需支持绿色通道类型（胸痛、卒中、创伤等）选择与主诉的联动、智能确定分级，其中选择创伤时，支持弹窗显示高危险受伤机制供护士选择判定分级。支持群伤、批量抢救病人登记，提供单独的群伤事件管理模块，管理群伤患者。</w:t>
      </w:r>
    </w:p>
    <w:p w14:paraId="4312FFE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（15）需支持内嵌病情分级知识库，提供常用主诉、判定依据集合；能够支持医院授权人员能够对分诊知识库进行自定义配置与维护，不断完善知识库内容；</w:t>
      </w:r>
    </w:p>
    <w:p w14:paraId="4AF00B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（16）需根据主诉及主诉判断依据，系统自动推荐分诊级别及去向，分诊人员做最后判断；</w:t>
      </w:r>
    </w:p>
    <w:p w14:paraId="76034FE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（17）需支持体征数据自动采集、上传，具有数据输出协议及接口的监护仪、臂式血压计等设备实现体征数据的自动采集，依据采集的生命体征进行判定分级；</w:t>
      </w:r>
    </w:p>
    <w:p w14:paraId="781C78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18）生命体征采集的指标需包括收缩压、舒张压、心率、呼吸、SPO2、体温，需支持选择意识状态，若患者拒测或已无体征，需支持选择拒测TPRBP和无生命迹象。需提供三区四级、新五级分诊模式，病情等级筛选，遵循卫生部的《急诊病人病情分级试点指导原则（2011 征求意见稿）》，分诊人员将病人分配到适当的治疗区；</w:t>
      </w:r>
    </w:p>
    <w:p w14:paraId="7758F9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19）▲需支持二次分诊，不同级别患者超过规定时间内未接诊，自动提醒；系统能够实现自动分级、每个级别有颜色管理，选择病人流向；允许分诊护士对自动分级信息进行修正，修正分诊级别需要选择修改理由。（投标人须按上述要求提供系统功能截图）</w:t>
      </w:r>
    </w:p>
    <w:p w14:paraId="2B5C8A7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需提供单独的院前患者管理界面，支持与院前急救系统对接，实现院前患者的快速分诊。</w:t>
      </w:r>
    </w:p>
    <w:p w14:paraId="1838E3F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（20）需提供分诊统计功能，支持分诊准确率统计、三无人员统计、预检分诊分级统计、分诊去向统计等，支持按照科室的统计需求定制化，支持饼图、柱状图、表格等形式展现数据。</w:t>
      </w:r>
    </w:p>
    <w:p w14:paraId="598DD09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9.2.5.2.2.6院前数据对接</w:t>
      </w:r>
    </w:p>
    <w:p w14:paraId="30893A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需支持直接院前患者的基本信息，生命体征数据，评分，病历数据导入到预检系统。</w:t>
      </w:r>
    </w:p>
    <w:p w14:paraId="1B9454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患者不同入院方式，系统实现将流程业务打通，实现院前院内信息无缝衔接。患者来源为120救护车：可获取院前急救信息如：患者基本信息、病情状况、院前病情评估、分诊预报、转运监护、检验检查预申请信息等。</w:t>
      </w:r>
    </w:p>
    <w:p w14:paraId="24693D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需按照要求完成云南省卫生健康信息互通共享平台-院前急救业务的对接工作</w:t>
      </w:r>
    </w:p>
    <w:p w14:paraId="746497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9.2.5.2.2.7一键启动绿色通道</w:t>
      </w:r>
    </w:p>
    <w:p w14:paraId="520539E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需支持绿色通道登记，允许标识绿色通道病人如胸痛、卒中、创伤、高危孕产妇、新生儿等。</w:t>
      </w:r>
    </w:p>
    <w:p w14:paraId="2D8C1A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需支持预检时自动开启绿色通道，自动挂号，标识绿通患者，更改费别，允许患者进行欠费操作。</w:t>
      </w:r>
    </w:p>
    <w:p w14:paraId="72E485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9.2.5.2.2.8体征自动采集</w:t>
      </w:r>
    </w:p>
    <w:p w14:paraId="43E8CC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需支持患者体征数据采集，并可根据生命体征记录情况自动分级，可手工修改分级。</w:t>
      </w:r>
    </w:p>
    <w:p w14:paraId="54ED0F0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9.2.5.2.3护士工作站（门急诊/抢救区/留观区）</w:t>
      </w:r>
    </w:p>
    <w:p w14:paraId="256704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需支持自动采集床旁设备信息；需支持床旁PDA进行身份核对；需支持床旁平板手持快速录入生命体征、操作checklist表单、抢救治疗措施（下拉点选）等功能，并实现自动时间采集及修改功能。</w:t>
      </w:r>
    </w:p>
    <w:p w14:paraId="7C16CF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9.2.5.2.3.1诊疗区切换</w:t>
      </w:r>
    </w:p>
    <w:p w14:paraId="1224C1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w:t>
      </w:r>
      <w:r>
        <w:rPr>
          <w:rFonts w:hint="eastAsia" w:ascii="宋体" w:hAnsi="宋体" w:eastAsia="宋体" w:cs="宋体"/>
          <w:b w:val="0"/>
          <w:bCs w:val="0"/>
          <w:color w:val="auto"/>
          <w:sz w:val="21"/>
          <w:szCs w:val="21"/>
          <w:highlight w:val="none"/>
          <w:lang w:val="en-US" w:eastAsia="zh-Hans"/>
        </w:rPr>
        <w:t>支持切换不同的院区/区域（急门诊、抢救区、留观区)分别进行护理操作。系统应支持急诊患者分级分区的有序管理，实现红黄绿区快速流转和统一管理。基于系统可实现急门诊、留观、抢救自由流转；支持患者转归功能选择具体的区域，并记录流转时间；支持出科召回功能对已转出的患者进行召回。以达到以危重症患者为中心的诊疗护理全程跟踪管理。</w:t>
      </w:r>
    </w:p>
    <w:p w14:paraId="2725889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9.2.5.2.3.2患者管理</w:t>
      </w:r>
    </w:p>
    <w:p w14:paraId="65F6FF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需实现患者入区及入区后的相关操作，包括患者相关属性编辑和查看，同时需支持患者出区后得病历补充修改。包括入区，出区，打印床头卡，转床，换床，床位锁定等。</w:t>
      </w:r>
    </w:p>
    <w:p w14:paraId="4FBA4C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9.2.5.2.3.3患者查询</w:t>
      </w:r>
    </w:p>
    <w:p w14:paraId="391602D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需根据条件筛选抢救\留观诊疗区内的患者信息；需根据查询条件不同分为高级查询和基本查询。</w:t>
      </w:r>
    </w:p>
    <w:p w14:paraId="1C772C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9.2.5.2.3.4费用管理</w:t>
      </w:r>
    </w:p>
    <w:p w14:paraId="22E768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(1)患者的费用管理，可针对医嘱进行新增，作废，关联。同时针对患者状态进行快速查看，护士针对患者得医嘱状态进行判断，包括：已提交，已收费，已作废，已停止等。</w:t>
      </w:r>
    </w:p>
    <w:p w14:paraId="229978F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(2)计费：护士根据系统配置权限，进行下达材料费，护理费，救护车费等，费用直接关联到病人。同时可以创建模版，模版内容可以增加，减少，修改数量。支持诊疗结束未计费收入者弹窗提醒。</w:t>
      </w:r>
    </w:p>
    <w:p w14:paraId="74C357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9.2.5.2.3.5医嘱管理</w:t>
      </w:r>
    </w:p>
    <w:p w14:paraId="04EE8E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选中患者查看医嘱，护士按照相关规定进行医嘱核对；核对完成后可进行计费，计费完成后根据实际情况领取药品，进行配液；配液完成后，打印输液标签(输液执行单)；之后进行医嘱执行；支持新开医嘱声音提醒。需支持对接合理用药系统。</w:t>
      </w:r>
    </w:p>
    <w:p w14:paraId="4EE047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(1)医嘱审核</w:t>
      </w:r>
    </w:p>
    <w:p w14:paraId="0D2729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需支持按照时间、区域、长期或临时、不同的医嘱类别分别过滤医嘱进行审核，支持医嘱退回操作，可控制已收费医嘱不允许退回。</w:t>
      </w:r>
    </w:p>
    <w:p w14:paraId="326DE0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(2)医嘱打印</w:t>
      </w:r>
    </w:p>
    <w:p w14:paraId="3C3ABE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需支持按照时间、区域、长期/临时、打印状态、单据类别过滤医嘱进行打印。</w:t>
      </w:r>
    </w:p>
    <w:p w14:paraId="34B88BA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(3)医嘱执行</w:t>
      </w:r>
    </w:p>
    <w:p w14:paraId="26D1A8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需支持按照时间、区域、长期/临时、医嘱类别、状态过滤医嘱进行医嘱执行。</w:t>
      </w:r>
    </w:p>
    <w:p w14:paraId="5449AB1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9.2.5.2.3.6患者足迹</w:t>
      </w:r>
    </w:p>
    <w:p w14:paraId="29347C6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需针对患者的就诊轨迹进行动态展示，全方位展示患者的预检，医嘱，转归，电子病历等时间的罗列，支持足迹中查看检查，检验报告的结果值。</w:t>
      </w:r>
    </w:p>
    <w:p w14:paraId="5D952AF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9.2.5.2.3.7患者质控时间轴</w:t>
      </w:r>
    </w:p>
    <w:p w14:paraId="3E9F5F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▲需根据患者的各个节点的时间轴进行标记，自动绘制患者质控时间轴，根据后台配置质控信息，对超时或未完成的时间节点进行标注。（投标人须按上述要求提供系统功能截图）</w:t>
      </w:r>
    </w:p>
    <w:p w14:paraId="0322ED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9.2.5.2.3.8任务管理</w:t>
      </w:r>
    </w:p>
    <w:p w14:paraId="6DF8C3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需根据护理记录单对应数据内容，将护士的日常工作内容进行拆分，需包含以下四个模块：</w:t>
      </w:r>
    </w:p>
    <w:p w14:paraId="7B71FB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(1)监控图表</w:t>
      </w:r>
    </w:p>
    <w:p w14:paraId="5EC90AE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需支持新增监控数据记录，监控数据支持自定义配置，同时需支持获取监护仪的生命体征。</w:t>
      </w:r>
    </w:p>
    <w:p w14:paraId="61B31CF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(2)液体平衡</w:t>
      </w:r>
    </w:p>
    <w:p w14:paraId="2F6A6D7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▲参与液体平衡计算的医嘱执行后需支持自动同步显示在入量中，需支持按照医嘱执行自动算入量，需支持按照图例方式显示液体平衡及出入量。（投标人须按上述要求提供系统功能截图）</w:t>
      </w:r>
    </w:p>
    <w:p w14:paraId="20F765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(3)导管护理</w:t>
      </w:r>
    </w:p>
    <w:p w14:paraId="4DEE40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需根据患者信息进行新增，删除，拔管，记录插管时间，拔管时间。需支持按照系统配置项目内容添加不同类型的管路。</w:t>
      </w:r>
    </w:p>
    <w:p w14:paraId="4823E5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(4).病情描述</w:t>
      </w:r>
    </w:p>
    <w:p w14:paraId="2418774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患者的病情描述进行文字性的数据进行录入，需支持新建、更新、导入模板，模板需支持个人模板与科室模板两个模块。在病情描述过程中，需支持复制与修改，可根据权限配置判断是否可以修改他人记录。同时需支持引入患者生命体征，LIS，医嘱数据等。（投标人须按上述要求提供系统功能截图）</w:t>
      </w:r>
    </w:p>
    <w:p w14:paraId="59A4A3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9.2.5.2.3.9患者总览</w:t>
      </w:r>
    </w:p>
    <w:p w14:paraId="1C1015C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需针对患者监控/液体/导管/描述多项数据同时进行查看，方便用户快速审核并修改。</w:t>
      </w:r>
    </w:p>
    <w:p w14:paraId="301FFD8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9.2.5.2.3.10护理文书</w:t>
      </w:r>
    </w:p>
    <w:p w14:paraId="564F2C5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(1)文书模板定制</w:t>
      </w:r>
    </w:p>
    <w:p w14:paraId="3665EEB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需支持根据模板进行定制，支持引用医嘱记录</w:t>
      </w:r>
    </w:p>
    <w:p w14:paraId="7F8295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(2)护理评估</w:t>
      </w:r>
    </w:p>
    <w:p w14:paraId="4FBE83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需支持护理评估自动进行汇总评分，给出评估结果。 </w:t>
      </w:r>
    </w:p>
    <w:p w14:paraId="5ACAC6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(3)体温单</w:t>
      </w:r>
    </w:p>
    <w:p w14:paraId="303DEC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需根据各个区域进行展示，数据自动进行生成，按时间轴进行生成曲线，生成小结、总结等。</w:t>
      </w:r>
    </w:p>
    <w:p w14:paraId="52A30C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(4)护理单</w:t>
      </w:r>
    </w:p>
    <w:p w14:paraId="542CF9B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护理单模板支需持定制开发，按照区域进行展示，数据自动生成，可以自动生成小结，总结； 支持续打，区域合并打印。</w:t>
      </w:r>
    </w:p>
    <w:p w14:paraId="5C74C4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9.2.5.2.3.11报告调阅</w:t>
      </w:r>
    </w:p>
    <w:p w14:paraId="06AD3A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需支持查看本次就诊时间的所有检查检验结果，支持医生端的病历同步展示。</w:t>
      </w:r>
    </w:p>
    <w:p w14:paraId="3E9D48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9.2.5.2.3.12患者360</w:t>
      </w:r>
    </w:p>
    <w:p w14:paraId="32F26D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需集成医院平台的资源，全方位展示患者的诊断，医嘱，病历，检查，检验信息。</w:t>
      </w:r>
    </w:p>
    <w:p w14:paraId="19693B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9.2.5.2.3.13计费模板</w:t>
      </w:r>
    </w:p>
    <w:p w14:paraId="750E86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需具有按照范围、状态、模板名称搜索计费模板；同时需对模板进行编辑，修改名称及内容。</w:t>
      </w:r>
    </w:p>
    <w:p w14:paraId="493C86B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9.2.5.2.3.14个人中心</w:t>
      </w:r>
    </w:p>
    <w:p w14:paraId="3208F5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需支持根据权限维护个人和科室计费模板；各区域计费模板根据适用区域维护内容显示；</w:t>
      </w:r>
    </w:p>
    <w:p w14:paraId="1CBFBD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9.2.5.2.4医生工作站（门急诊/抢救区/留观区/）</w:t>
      </w:r>
    </w:p>
    <w:p w14:paraId="02D189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9.2.5.2.4.1诊疗区切换</w:t>
      </w:r>
    </w:p>
    <w:p w14:paraId="3B9514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同一套框架下满足急诊不同诊疗模式，系统功能应根据患者分区不同，实现诊疗模式的自动切换。如流水患者直接切换至急门诊工作站。抢救患者切换至抢救工作站模式。留观患者切换至留观工作站模式。严格根据病人分区不同，划分诊疗医嘱的内容及操作。</w:t>
      </w:r>
    </w:p>
    <w:p w14:paraId="613E39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9.2.5.2.4.2患者概况</w:t>
      </w:r>
    </w:p>
    <w:p w14:paraId="2B32A2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(1)区域患者概况</w:t>
      </w:r>
    </w:p>
    <w:p w14:paraId="508DFF0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需支持不同区域的患者查看患者信息，可以根据后台配置显示患者状态：未就诊，就诊中，就诊结束等。同时展示每个状态的患者数量，自动统计。</w:t>
      </w:r>
    </w:p>
    <w:p w14:paraId="727D51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(2)床头卡管理</w:t>
      </w:r>
    </w:p>
    <w:p w14:paraId="4CA6270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在留观/抢救区，需支持进行床头卡片展示。可根据后台配置显示患者不同改的字段，包括：科室，首诊医生，护士，病历号等。同时需支持过滤分管患者等。</w:t>
      </w:r>
    </w:p>
    <w:p w14:paraId="1D335EC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(3)患者列表</w:t>
      </w:r>
    </w:p>
    <w:p w14:paraId="56C6E2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需支持床头卡片与列表形式的互相转换，同时可以按照自定义配置列表字段的功能。支持设置对应的科室的挂号类别，并按类别过滤同步的患者挂号记录。</w:t>
      </w:r>
    </w:p>
    <w:p w14:paraId="26EF71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(4)快速就诊</w:t>
      </w:r>
    </w:p>
    <w:p w14:paraId="4AE13F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需支持快速就诊，继续接诊，取消接诊，转诊，召回等操作，是用户快速切换患者状态。</w:t>
      </w:r>
    </w:p>
    <w:p w14:paraId="3E3F4E0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9.2.5.2.4.3患者转归</w:t>
      </w:r>
    </w:p>
    <w:p w14:paraId="1DA0F3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(1)患者去向选择</w:t>
      </w:r>
    </w:p>
    <w:p w14:paraId="42B4EA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需提供患者去向选择的功能，包括出院/住院/转科/转院 等去向设置，去向可通过系统配置自定义配置。</w:t>
      </w:r>
    </w:p>
    <w:p w14:paraId="31987F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(2)转归住院</w:t>
      </w:r>
    </w:p>
    <w:p w14:paraId="426A650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当患者转归住院时，可按照住院要求显示必填属性：姓名、性别、年龄、patid、费别、诊断、住院科室、住院病区、开单科室、开单医生、医生签名、开单时间。住院科室和病区联动。住院提交后，会传送HIS或者入院准备中心、结算中心等。</w:t>
      </w:r>
    </w:p>
    <w:p w14:paraId="06B2D4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(3)转留观</w:t>
      </w:r>
    </w:p>
    <w:p w14:paraId="158193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需提供急诊医生对患者（抢救或急门诊）进行转留观的功能及流程，并支持关联填写留观登记。</w:t>
      </w:r>
    </w:p>
    <w:p w14:paraId="2700382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(4)转院</w:t>
      </w:r>
    </w:p>
    <w:p w14:paraId="4E76D4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需支持多院区进行流转，同时记录流转过程和时间</w:t>
      </w:r>
    </w:p>
    <w:p w14:paraId="3FD49B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9.2.5.2.4.4录入医嘱</w:t>
      </w:r>
    </w:p>
    <w:p w14:paraId="5A7007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需支持医嘱开立审核流程。与普通门诊医嘱不同，急诊医嘱可同时满足如下几点：</w:t>
      </w:r>
    </w:p>
    <w:p w14:paraId="16EA2E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急门诊、留观区、抢救区病人临时医嘱与长期医嘱的开立；</w:t>
      </w:r>
    </w:p>
    <w:p w14:paraId="30F6A7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满足抢救医嘱的补录管理；</w:t>
      </w:r>
    </w:p>
    <w:p w14:paraId="0174A7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满足留观病人的长期医嘱开立，护理执行反馈；</w:t>
      </w:r>
    </w:p>
    <w:p w14:paraId="733B35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(1)录入医嘱操作</w:t>
      </w:r>
    </w:p>
    <w:p w14:paraId="4170600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需支持医嘱的长期/临时录入功能，同时支持删除/修改/保存/复制/提交/作废/取消。</w:t>
      </w:r>
    </w:p>
    <w:p w14:paraId="0F2042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(2)药品医嘱</w:t>
      </w:r>
    </w:p>
    <w:p w14:paraId="639E932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药品的录入不同的医嘱类型药品。需支持不同剂型药品医嘱录入功能，如口服药、针剂、大输液等。同时支持自动成组/手动成组。需支持药品剂型对应用法设置及默认用法设置的功能，在医嘱录入的时候，根据药品剂型，匹配筛选可选用的用法字典。</w:t>
      </w:r>
    </w:p>
    <w:p w14:paraId="557FD67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(3)检验医嘱</w:t>
      </w:r>
    </w:p>
    <w:p w14:paraId="2453A6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需支持检验医嘱/申请单录入检查医嘱。</w:t>
      </w:r>
    </w:p>
    <w:p w14:paraId="381D5A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(4)检查医嘱</w:t>
      </w:r>
    </w:p>
    <w:p w14:paraId="592714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需支持检验医嘱/申请单录入。</w:t>
      </w:r>
    </w:p>
    <w:p w14:paraId="4B4D77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(5)其他医嘱</w:t>
      </w:r>
    </w:p>
    <w:p w14:paraId="75F47E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需支持手术/用血/护理/膳食/治疗/文字医嘱。</w:t>
      </w:r>
    </w:p>
    <w:p w14:paraId="3FB6904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(6)费用关联</w:t>
      </w:r>
    </w:p>
    <w:p w14:paraId="59CA04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需支持医嘱关联费用。</w:t>
      </w:r>
    </w:p>
    <w:p w14:paraId="362BF21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(7)历史医嘱</w:t>
      </w:r>
    </w:p>
    <w:p w14:paraId="4EF2DE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需支持查看历史医嘱。</w:t>
      </w:r>
    </w:p>
    <w:p w14:paraId="564A05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(8)医嘱组套</w:t>
      </w:r>
    </w:p>
    <w:p w14:paraId="70BE3C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需支持医嘱套餐的建立和引用。</w:t>
      </w:r>
    </w:p>
    <w:p w14:paraId="4D1B2C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9.2.5.2.4.5诊断管理 </w:t>
      </w:r>
    </w:p>
    <w:p w14:paraId="2697AF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(1)诊断录入</w:t>
      </w:r>
    </w:p>
    <w:p w14:paraId="24238AF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需支持诊断的录入，排序，删除，对接CDSS等。需支持按照诊断时间的先后顺序排列。显示列：诊断内容、疾病名称和编码、国家医保编码、诊断类型、开立人、开立时间。</w:t>
      </w:r>
    </w:p>
    <w:p w14:paraId="02963E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(2)历史诊断</w:t>
      </w:r>
    </w:p>
    <w:p w14:paraId="58D963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需支持查看历史诊断，包括：门诊，急诊，住院等。</w:t>
      </w:r>
    </w:p>
    <w:p w14:paraId="26CFFE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9.2.5.2.4.6医嘱打印</w:t>
      </w:r>
    </w:p>
    <w:p w14:paraId="146F74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需支持医嘱单/汇总单/导诊单的打印;需支持处方打印，精毒麻特殊药品打印，出院带药打印;支持检查/检验医嘱的打印;需支持护理/膳食/文字/作废医嘱的打印。</w:t>
      </w:r>
    </w:p>
    <w:p w14:paraId="12E4F8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9.2.5.2.4.7其他辅助功能</w:t>
      </w:r>
    </w:p>
    <w:p w14:paraId="751BF3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(1)报告查看</w:t>
      </w:r>
    </w:p>
    <w:p w14:paraId="4C4CBCF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需支持报告调阅查看检查，检验信息等。</w:t>
      </w:r>
    </w:p>
    <w:p w14:paraId="36F961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(2)疾病上报</w:t>
      </w:r>
    </w:p>
    <w:p w14:paraId="1818F1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需支持疾病上报，传染病上报。</w:t>
      </w:r>
    </w:p>
    <w:p w14:paraId="0FECBEA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(3)平台对接</w:t>
      </w:r>
    </w:p>
    <w:p w14:paraId="085AFD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需支持患者平台数据的对接。</w:t>
      </w:r>
    </w:p>
    <w:p w14:paraId="25C212F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(4)不良事件上报</w:t>
      </w:r>
    </w:p>
    <w:p w14:paraId="215D53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需支持不良事件的上报。</w:t>
      </w:r>
    </w:p>
    <w:p w14:paraId="144C1A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(5)对接合理用药系统</w:t>
      </w:r>
    </w:p>
    <w:p w14:paraId="46ACC1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需支持对接合理用药系统，对合理用药的功能进行集成。</w:t>
      </w:r>
    </w:p>
    <w:p w14:paraId="6C9595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9.2.5.2.4.8患者管理</w:t>
      </w:r>
    </w:p>
    <w:p w14:paraId="41931A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(1)出科查询</w:t>
      </w:r>
    </w:p>
    <w:p w14:paraId="4372ED7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需支持患者的出科查询，按照搜索条件进行搜索：首诊医生/科室/时间等。</w:t>
      </w:r>
    </w:p>
    <w:p w14:paraId="2B0C8B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(2)患者召回</w:t>
      </w:r>
    </w:p>
    <w:p w14:paraId="1B4EB4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需支持召回患者功能，保证数据连续性和一致性。</w:t>
      </w:r>
    </w:p>
    <w:p w14:paraId="357C4B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9.2.5.2.4.9个人中心 </w:t>
      </w:r>
    </w:p>
    <w:p w14:paraId="7C67BF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(1)医嘱组套管理</w:t>
      </w:r>
    </w:p>
    <w:p w14:paraId="333A49E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需支持医嘱套餐的管理：个人套餐，科室套餐，并通过权限控制修改。</w:t>
      </w:r>
    </w:p>
    <w:p w14:paraId="5E30F68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(2)病历段落维护</w:t>
      </w:r>
    </w:p>
    <w:p w14:paraId="176DB4C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需支持段落的维护和修改。</w:t>
      </w:r>
    </w:p>
    <w:p w14:paraId="66BD81D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(3)病历模板保存</w:t>
      </w:r>
    </w:p>
    <w:p w14:paraId="0F2C35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需支持病历模板的修改和保存。</w:t>
      </w:r>
    </w:p>
    <w:p w14:paraId="2E1537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9.2.5.2.5急诊电子病历系统</w:t>
      </w:r>
    </w:p>
    <w:p w14:paraId="7F02B0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需支持根据急诊专科制定专科电子病历。</w:t>
      </w:r>
    </w:p>
    <w:p w14:paraId="25293A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(1)添加病历</w:t>
      </w:r>
    </w:p>
    <w:p w14:paraId="39B998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需支持添加不同区域的电子病历，同时支持不同区域的历史病历的引用。</w:t>
      </w:r>
    </w:p>
    <w:p w14:paraId="201D85E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(2)病历书写权限</w:t>
      </w:r>
    </w:p>
    <w:p w14:paraId="27A6C95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需支持病历权限的设置。</w:t>
      </w:r>
    </w:p>
    <w:p w14:paraId="44878B1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(3)电子签名</w:t>
      </w:r>
    </w:p>
    <w:p w14:paraId="1EF0B65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需支持录入电子签名，评分，病程的插入功能。支持家属电子签名、指纹摘取及输出打印功能。</w:t>
      </w:r>
    </w:p>
    <w:p w14:paraId="138F390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(4)医学计算器</w:t>
      </w:r>
    </w:p>
    <w:p w14:paraId="788AFE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需支持各种医学计算器，包括：体重系数，卡帕值，微糖公式的计算。</w:t>
      </w:r>
    </w:p>
    <w:p w14:paraId="07405FD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(5)引入信息</w:t>
      </w:r>
    </w:p>
    <w:p w14:paraId="4BAA44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需支持引入诊断，就诊记录，检查/检验数据，护理，过敏记录。</w:t>
      </w:r>
    </w:p>
    <w:p w14:paraId="5E15AA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(6)历史病历查看</w:t>
      </w:r>
    </w:p>
    <w:p w14:paraId="0038B8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需支持查看历史急诊/门诊病历。需支持挂号时间快速检索；需支持患者姓名、就诊号、ID号信息检索；支持急诊特殊病历收藏。</w:t>
      </w:r>
    </w:p>
    <w:p w14:paraId="1B0E8F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9.2.5.2.6急诊输液管理系统</w:t>
      </w:r>
    </w:p>
    <w:p w14:paraId="18A83F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9.2.5.2.6.1输液治疗接单管理</w:t>
      </w:r>
    </w:p>
    <w:p w14:paraId="098D3C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需具有多种功能列表包括：输液|治疗、待穿刺|治疗、输液|治疗中、输液|治疗结束患者列表；并提供当前待输液|治疗、待穿刺|治疗、输液|治疗中、输液|治疗结束患者人次统计。</w:t>
      </w:r>
    </w:p>
    <w:p w14:paraId="0A4885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9.2.5.2.6.2处方管理</w:t>
      </w:r>
    </w:p>
    <w:p w14:paraId="1B26D2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需提供接单患者的门诊单据一览表，列表信息包括：处方和药品的组标志、医嘱内容、用法、频次、滴速、天数、总量、执行/总数、退、嘱托、处方号、开方日期、开方科室、开方医生、药房、诊断。</w:t>
      </w:r>
    </w:p>
    <w:p w14:paraId="3B53DDA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9.2.5.2.6.3执行记录</w:t>
      </w:r>
    </w:p>
    <w:p w14:paraId="1B6B80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可以显示执行记录明细，需支持查看药品在各阶段的状态（例如处方审核-冲配审核-配液-上车-接车-呼叫-穿刺-巡视-恢复/暂停-拔针等）和执行人员、执行时间</w:t>
      </w:r>
    </w:p>
    <w:p w14:paraId="061C3C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9.2.5.2.6.4皮试管理</w:t>
      </w:r>
    </w:p>
    <w:p w14:paraId="044ADD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可以显示阴性和阳性结果显示。在皮试药品上皮试结果为阴性，显示“阴性”标志；皮试结果为阳性的药品不显示在处方上；患者信息栏显示皮试信息</w:t>
      </w:r>
    </w:p>
    <w:p w14:paraId="472675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9.2.5.2.6.5输液统计</w:t>
      </w:r>
    </w:p>
    <w:p w14:paraId="29702F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需支持每日输液区工作量统计报表，需支持根据院区、开始日期、结束日期对报表进行查询，统计明细包括：日期、时间段、输液总人数、肌注+皮下注射人数、皮试人数。</w:t>
      </w:r>
    </w:p>
    <w:p w14:paraId="4FC8B7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9.2.5.2.6.6费用管理</w:t>
      </w:r>
    </w:p>
    <w:p w14:paraId="622CA8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可以对接第三方收费系统，在输液室进行收费和材料补费处理。</w:t>
      </w:r>
    </w:p>
    <w:p w14:paraId="6642E1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9.2.5.2.6.7导诊单</w:t>
      </w:r>
    </w:p>
    <w:p w14:paraId="2EC857A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需提供输液室查看患者的导诊单信息。</w:t>
      </w:r>
    </w:p>
    <w:p w14:paraId="56D8524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9.2.5.2.6.8采血管理</w:t>
      </w:r>
    </w:p>
    <w:p w14:paraId="43D8494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需提供采血患者标签模版，需支持医生根据需求自定义打印信息，需提供采血患者标签打印功能，</w:t>
      </w:r>
    </w:p>
    <w:p w14:paraId="5B7EFA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9.2.5.2.7急诊质控数据统计分析管理</w:t>
      </w:r>
    </w:p>
    <w:p w14:paraId="31601A45">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可实现卫健委2024版急诊质控指标，包含抢救室滞留时间中位数、急诊分级分诊执行率等多项指标；</w:t>
      </w:r>
    </w:p>
    <w:p w14:paraId="4EDC915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①需提供急诊科室质控指标，同时支持各区域统一质控管理</w:t>
      </w:r>
    </w:p>
    <w:p w14:paraId="7EC1CE3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②需支持急诊质控十项指标：</w:t>
      </w:r>
    </w:p>
    <w:p w14:paraId="6C10F29D">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急诊科医患比；</w:t>
      </w:r>
    </w:p>
    <w:p w14:paraId="61385AC2">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急诊科护患比；</w:t>
      </w:r>
    </w:p>
    <w:p w14:paraId="49FEA9B4">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急诊各级患者比例；</w:t>
      </w:r>
    </w:p>
    <w:p w14:paraId="49C14771">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抢救室滞留时间中位数；</w:t>
      </w:r>
    </w:p>
    <w:p w14:paraId="16DE86DB">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急性心肌梗死（STEMI）患者平均门药时间及门药时间达标率；</w:t>
      </w:r>
    </w:p>
    <w:p w14:paraId="71E83A00">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急性心肌梗死（STEMI）患者平均门球时间及门球时间达标率；</w:t>
      </w:r>
    </w:p>
    <w:p w14:paraId="750605E9">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急诊抢救室患者死亡率；</w:t>
      </w:r>
    </w:p>
    <w:p w14:paraId="031DBBDA">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急诊手术患者死亡率；</w:t>
      </w:r>
    </w:p>
    <w:p w14:paraId="26BC4595">
      <w:pPr>
        <w:pStyle w:val="436"/>
        <w:widowControl w:val="0"/>
        <w:numPr>
          <w:ilvl w:val="0"/>
          <w:numId w:val="0"/>
        </w:numPr>
        <w:spacing w:line="360" w:lineRule="auto"/>
        <w:ind w:left="1060" w:leftChars="0" w:firstLine="199" w:firstLineChars="95"/>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ROSC成功率非计划重返抢救室率。</w:t>
      </w:r>
    </w:p>
    <w:p w14:paraId="1FC61F21">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需支持急诊常用统计报表、三甲评审指标报表两大类的统计分析报表，以直观的图标及饼图协助管理人员监控科室运营，实现科室运行的闭环管理。</w:t>
      </w:r>
    </w:p>
    <w:p w14:paraId="0EA4EFBC">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需提供急诊常用统计功能，急诊病谱及其构成比等；</w:t>
      </w:r>
    </w:p>
    <w:p w14:paraId="688DC25B">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需支持护理敏感指标的统计；</w:t>
      </w:r>
    </w:p>
    <w:p w14:paraId="21660CB4">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需支持按照医院的指标定义、计算公式、指标意义、指标实际值等要求设置指标的期望值和预警值。</w:t>
      </w:r>
    </w:p>
    <w:p w14:paraId="63022197">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需支持急诊质控指标链接到原始数据，便于指标溯源。</w:t>
      </w:r>
    </w:p>
    <w:p w14:paraId="63CF93A4">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需提供急诊主要病种诊疗时间轴管理，以时间轴形式展示病人从分诊到离院诊疗项目信息，包括诊疗项目名称、诊疗时间、执行状态、开单医生、执行护士等。</w:t>
      </w:r>
    </w:p>
    <w:p w14:paraId="2D5FE919">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需加强救治时间窗过程监控，帮助管理者和决策者实时了解医院运行状态，及时发现并解决问题。</w:t>
      </w:r>
    </w:p>
    <w:p w14:paraId="537E3AD9">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需支持采集急救过程中的时间节点和医疗数据，支持数据的汇总和分析。</w:t>
      </w:r>
    </w:p>
    <w:p w14:paraId="2CA47DB6">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需支持集成救治诊疗数据，支持自定义查询、统计和分析。</w:t>
      </w:r>
    </w:p>
    <w:p w14:paraId="3D7771A7">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需支持进行关键医疗时间的追踪和分析，可以定位到具体的处置人、时间和操作等。</w:t>
      </w:r>
    </w:p>
    <w:p w14:paraId="2A4FF8E6">
      <w:pPr>
        <w:pStyle w:val="436"/>
        <w:widowControl w:val="0"/>
        <w:numPr>
          <w:ilvl w:val="0"/>
          <w:numId w:val="76"/>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需支持图表、趋势图等多种数据展现方式。</w:t>
      </w:r>
    </w:p>
    <w:p w14:paraId="590C523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9.2.5.2.8系统配置</w:t>
      </w:r>
    </w:p>
    <w:p w14:paraId="48BBE153">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登录用户管理</w:t>
      </w:r>
    </w:p>
    <w:p w14:paraId="6AC00DF5">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需提供系统登录用户信息查询，所属角色修改。</w:t>
      </w:r>
    </w:p>
    <w:p w14:paraId="64E463EB">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系统菜单管理</w:t>
      </w:r>
    </w:p>
    <w:p w14:paraId="28DA0823">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需支持系统功能菜单维护。包括菜单的增加、修改、删除等操作。</w:t>
      </w:r>
    </w:p>
    <w:p w14:paraId="4F76F16B">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系统角色管理</w:t>
      </w:r>
    </w:p>
    <w:p w14:paraId="21187362">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需支持系统角色的增加、修改、删除等操作。</w:t>
      </w:r>
    </w:p>
    <w:p w14:paraId="420F4474">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角色菜单分配</w:t>
      </w:r>
    </w:p>
    <w:p w14:paraId="5EC1E56A">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需按照系统角色分配所属菜单，完成登录菜单权限功能。</w:t>
      </w:r>
    </w:p>
    <w:p w14:paraId="4F8AF417">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系统编码管理</w:t>
      </w:r>
    </w:p>
    <w:p w14:paraId="20C2F55E">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可维护系统编码类别，及类别所属项目。</w:t>
      </w:r>
    </w:p>
    <w:p w14:paraId="724BD6E9">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配置管理</w:t>
      </w:r>
    </w:p>
    <w:p w14:paraId="62809896">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需包括开关项目维护，对照项目维护，给药方法维护。</w:t>
      </w:r>
    </w:p>
    <w:p w14:paraId="7A6A9AB7">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病区病床配置</w:t>
      </w:r>
    </w:p>
    <w:p w14:paraId="66BE51B8">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需支持对科室病区病床进行维护。</w:t>
      </w:r>
    </w:p>
    <w:p w14:paraId="2E51E7C5">
      <w:pPr>
        <w:pStyle w:val="436"/>
        <w:widowControl w:val="0"/>
        <w:numPr>
          <w:ilvl w:val="0"/>
          <w:numId w:val="77"/>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导管配置</w:t>
      </w:r>
    </w:p>
    <w:p w14:paraId="173547F0">
      <w:pPr>
        <w:pStyle w:val="436"/>
        <w:widowControl w:val="0"/>
        <w:numPr>
          <w:ilvl w:val="0"/>
          <w:numId w:val="0"/>
        </w:numPr>
        <w:spacing w:line="360" w:lineRule="auto"/>
        <w:ind w:left="1060" w:leftChars="0" w:firstLine="630" w:firstLineChars="3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需支持维护管路图表导管分类及分类所属项目信息的增加、修改、删除等操作。</w:t>
      </w:r>
    </w:p>
    <w:p w14:paraId="72156D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9.2.5.3系统集成与业务数据采集</w:t>
      </w:r>
    </w:p>
    <w:p w14:paraId="3B1F1A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需支持采用独立信息系统集成网关，以存储过程、视图、WebService 及其他数据同步机制，按需访问 HIS、PACS、RIS、LIS、EMR 等服务器，选择性的同步患者基本信息、诊断信息、医嘱信息、检查信息、检验信息、病历等数据到数据库服务器。需支持HL7等多种标准和非标准接口，支持二次开发。需支持急诊预检分诊子系统集成身份证、医保卡、就诊卡、电子医保卡等读卡设备获取患者基本信息。</w:t>
      </w:r>
    </w:p>
    <w:p w14:paraId="333A98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需支持按需同步急诊医生站和急诊护理系统的业务数据进行结构化重组，进行交接班业务数据汇总和展示。</w:t>
      </w:r>
    </w:p>
    <w:p w14:paraId="6A0A22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需支持进行急诊质控平台业务数据的抽取，并自动计算相关质控指标数据。</w:t>
      </w:r>
    </w:p>
    <w:p w14:paraId="21D797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需提供统一的业务桌面，实现急诊业务数据模块的单点登录。</w:t>
      </w:r>
    </w:p>
    <w:p w14:paraId="66D707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实现系统间数据互通，强化院内多学科高效协作。如：急诊可获取查看各项诊断数据、就诊数据、治疗数据等，实现流程及数据的无缝衔接。支持平台化建设，在医联体内其他医院数据开放的情况下，可以查看各个医院的患者各项诊断，就诊数据。同时支持通过部署急诊大屏的形式进行清晰展示。</w:t>
      </w:r>
    </w:p>
    <w:p w14:paraId="6240157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需支持通过急诊平台对科室内部系统进行接管与整合。</w:t>
      </w:r>
    </w:p>
    <w:p w14:paraId="4F84B0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需采用独立信息系统集成网关，以存储过程、视图、WebService及其他数据同步机制，按需访问HIS、PACS、RIS、LIS、EMR等服务器。</w:t>
      </w:r>
    </w:p>
    <w:p w14:paraId="30740D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9.2.5.4设备数据采集</w:t>
      </w:r>
    </w:p>
    <w:p w14:paraId="6F410E4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需支持连接急诊的监护仪，呼吸机等设备，获取设备采集数据。</w:t>
      </w:r>
    </w:p>
    <w:p w14:paraId="2DCE10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需支持监护数据集成：自动采集床边监护设备的数据，服务器同步数据存储，提供多种设备接口的内置支持。</w:t>
      </w:r>
    </w:p>
    <w:p w14:paraId="556BA7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需支持体征趋势图界面，可以直观展示体征数据的波动和变化情况。</w:t>
      </w:r>
    </w:p>
    <w:p w14:paraId="1E008A2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需支持并实现急诊科提供数据输出的设备数据采集，包括监护仪、呼吸机、血气分析仪、血滤机、POCT以及心电数据等医疗设备数据。同步按照数据采集需求提供监护仪、呼吸机等床旁设备采集套件。</w:t>
      </w:r>
    </w:p>
    <w:p w14:paraId="15BFEAA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需支持将预检分诊台监护仪采集的生命体征数据对接预检分诊系统作为分级判定依据，进行判定分级。</w:t>
      </w:r>
    </w:p>
    <w:p w14:paraId="7E9AF5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需支持自动绑定和手动绑定设备，最大程度减少医护人员工作量。</w:t>
      </w:r>
    </w:p>
    <w:p w14:paraId="19BA6C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9.2.5.5  120院前急救对接</w:t>
      </w:r>
    </w:p>
    <w:p w14:paraId="1FF158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9.2.5.5.1急救流程协同优化</w:t>
      </w:r>
    </w:p>
    <w:p w14:paraId="08D54F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实时信息共享平台：需建立急救车与医院急诊科之间的数据共享通道，实现患者生命体征（如心率、血压、呼吸频率）、现场初步诊断记录（如创伤类型、用药情况）实时传输至院内，缩短急救信息传递时间。</w:t>
      </w:r>
    </w:p>
    <w:p w14:paraId="7A4A421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标准化数据共享：需实现急救车、120调度中心与医院系统的数据共享，确保患者身份、病史、急救记录无缝衔接，减少人工重复录入错误。</w:t>
      </w:r>
    </w:p>
    <w:p w14:paraId="0DD64B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动态预检分诊机制：需根据院前传输的患者伤情数据（如出血量、意识状态），院内急诊科提前启动对应抢救预案（如创伤团队集结、手术室准备），缩短患者到院后等待时间。</w:t>
      </w:r>
    </w:p>
    <w:p w14:paraId="7121946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跨部门协同工具：急救人员可通过移动设备快速调阅患者既往病历（如过敏史、慢性病史），辅助现场决策。</w:t>
      </w:r>
    </w:p>
    <w:p w14:paraId="3046C6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按照要求完成云南省卫生健康信息互通共享平台-院前急救业务的对接工作，同时按照《医院智慧服务分级评估标准体系(试行)》(国卫办医函2019)236号)中关于急救衔接的相关系统功能评估内容完善相关功能。</w:t>
      </w:r>
    </w:p>
    <w:p w14:paraId="262C89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9.2.5.5.2急救时效与质量控制</w:t>
      </w:r>
    </w:p>
    <w:p w14:paraId="15A4E5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电子病历规范化管理：需建立院前急救电子病历模板，强制录入关键字段（如急救措施、用药记录），确保病历完整性和可追溯性，满足三级医院评审要求。</w:t>
      </w:r>
    </w:p>
    <w:p w14:paraId="71F991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9.2.5.5.3患者服务与安全保障</w:t>
      </w:r>
    </w:p>
    <w:p w14:paraId="0E45EE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家属信息同步机制：急救过程中需通过短信或小程序向家属推送患者状态、预计到院时间及接诊科室，减少沟通成本与纠纷风险。</w:t>
      </w:r>
    </w:p>
    <w:p w14:paraId="2BE75BA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院前-院内交接闭环：开发电子化交接单，明确责任划分与关键信息核对（如患者身份、用药清单），确保救治连续性，降低医疗差错率。</w:t>
      </w:r>
    </w:p>
    <w:p w14:paraId="65B326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9.2.5.6血站全流程对接</w:t>
      </w:r>
    </w:p>
    <w:p w14:paraId="24E91A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9.2.5.6.1血液全流程管理优化</w:t>
      </w:r>
    </w:p>
    <w:p w14:paraId="1D9B46A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血液库存动态监控：建立医院血库与中心血站之间的实时库存同步机制，支持血液入库、出库、退库等操作在线协同，避免人工核对误差。当库存低于安全阈值时，自动生成补货申请并推送至血站。</w:t>
      </w:r>
    </w:p>
    <w:p w14:paraId="68F1CA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紧急用血快速通道：针对突发群伤事件，开通跨机构血液调配绿色通道，通过电子化流程实现30分钟内完成血液申请、审批、运输全流程，缩短紧急用血等待时间。</w:t>
      </w:r>
    </w:p>
    <w:p w14:paraId="1EEC07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9.2.5.6.2业务协同与效率提升</w:t>
      </w:r>
    </w:p>
    <w:p w14:paraId="5FD683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全流程电子化追溯：为每袋血液分配唯一电子标识，记录从采集、检验、运输到临床使用的完整信息，支持快速追溯问题批次血液流向，降低医疗风险。</w:t>
      </w:r>
    </w:p>
    <w:p w14:paraId="438BAE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退库流程简化：开发退库合理性校验功能，自动比对血液状态（如有效期、储存条件）与退库原因，减少无效退库操作。</w:t>
      </w:r>
    </w:p>
    <w:p w14:paraId="60B0AD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用血数据分析：定期生成用血统计报告（如科室用血分布、血型利用率），辅助医院优化血液储备策略。</w:t>
      </w:r>
    </w:p>
    <w:p w14:paraId="750D146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9.2.5.7会诊管理</w:t>
      </w:r>
    </w:p>
    <w:p w14:paraId="11D442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（1）多种会诊类型</w:t>
      </w:r>
    </w:p>
    <w:p w14:paraId="17072FC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需支持会诊的不同类型：科间会诊、院内多科会诊、院外会诊、多院区会诊。支持一键启动急会诊。对会诊全流程进行质控管理。含一键启动急会诊计时及到位时间自动采集。</w:t>
      </w:r>
    </w:p>
    <w:p w14:paraId="09C140B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（2）消息推送</w:t>
      </w:r>
    </w:p>
    <w:p w14:paraId="55DB4D6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会诊申请调用接口推送消息给门诊、住院系统。</w:t>
      </w:r>
    </w:p>
    <w:p w14:paraId="5935E58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（3）会诊签到</w:t>
      </w:r>
    </w:p>
    <w:p w14:paraId="03B335D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需支持会诊签到，显示签到时间，签到人等信息。</w:t>
      </w:r>
    </w:p>
    <w:p w14:paraId="0D259C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（4）会诊意见</w:t>
      </w:r>
    </w:p>
    <w:p w14:paraId="76EFC0B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需支持会诊意见的确认，会诊结束等信息。</w:t>
      </w:r>
    </w:p>
    <w:p w14:paraId="66C11D9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（5）会诊记录查询</w:t>
      </w:r>
    </w:p>
    <w:p w14:paraId="199A41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需支持历史会诊记录的查询。</w:t>
      </w:r>
    </w:p>
    <w:p w14:paraId="4DCB70F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（6）会诊时间轴</w:t>
      </w:r>
    </w:p>
    <w:p w14:paraId="10BAAE0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需支持会诊发起时间，签到时间，完成时间自动生成会诊时间轴。</w:t>
      </w:r>
    </w:p>
    <w:p w14:paraId="64B3B9C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9.2.5.8接班管理</w:t>
      </w:r>
    </w:p>
    <w:p w14:paraId="5DEBFD8F">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需提供电子交接班本，接班流程操作，支持按人员，区域，班次进行交班。支持伤病员电子交接班系统流程与重点关注项未完成的提醒机制。</w:t>
      </w:r>
    </w:p>
    <w:p w14:paraId="416B3C1A">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需提供交接班引入功能，自动带出患者生命体征，病历主诉，检查检验结果信息。</w:t>
      </w:r>
    </w:p>
    <w:p w14:paraId="49ED9387">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需支持医护人员按区域（抢救、留观）交接班登记。</w:t>
      </w:r>
    </w:p>
    <w:p w14:paraId="3A4172F7">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需支持科室交班自动汇总分诊、抢救区、留观区等病人信息，记录交班日志。</w:t>
      </w:r>
    </w:p>
    <w:p w14:paraId="7BE44E29">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需支持医护交接班的定制化功能。支持自动提取患者病情、诊断信息、体征、评分等信息，按需记录交接班日志。</w:t>
      </w:r>
    </w:p>
    <w:p w14:paraId="00977256">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需支持交接班报告自动提取检验危急值和备忘信息。</w:t>
      </w:r>
    </w:p>
    <w:p w14:paraId="4D09EF09">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需支持交接班签名、归档、打印。</w:t>
      </w:r>
    </w:p>
    <w:p w14:paraId="1124030A">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需支持大屏交班模式，能够在交接班大屏上进行科室交班，可以通过电子床头卡进行患者交班信息查阅。</w:t>
      </w:r>
    </w:p>
    <w:p w14:paraId="2D95629D">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需支持急诊晨会交班，自动抓取患者总数、病危、一级护理、抢救等人数。同时提供患者的诊断、生命体征、检查检验、医嘱数据，一键带入。支持以大屏幕集中展示。</w:t>
      </w:r>
    </w:p>
    <w:p w14:paraId="56F4DB8E">
      <w:pPr>
        <w:pStyle w:val="436"/>
        <w:widowControl w:val="0"/>
        <w:numPr>
          <w:ilvl w:val="0"/>
          <w:numId w:val="78"/>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需支持医护交接功能，根据科室配置的交接班项目，选定患者后快速交接，并采用电子签名确认。</w:t>
      </w:r>
    </w:p>
    <w:p w14:paraId="0A97AB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9.2.5.8.1医生交班</w:t>
      </w:r>
    </w:p>
    <w:p w14:paraId="778C00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需提供以下功能：</w:t>
      </w:r>
    </w:p>
    <w:p w14:paraId="50FA2D38">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急诊一般病人的汇总（批量）交班。</w:t>
      </w:r>
    </w:p>
    <w:p w14:paraId="28A5977C">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针对重点患者单个交班功能。</w:t>
      </w:r>
    </w:p>
    <w:p w14:paraId="73B1373A">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患者交班重点内容编辑的功能。</w:t>
      </w:r>
    </w:p>
    <w:p w14:paraId="70A09B56">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代交班功能，可以通过账号授权的方式实现代交班功能。</w:t>
      </w:r>
    </w:p>
    <w:p w14:paraId="5C742867">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已交班患者可以进行撤销</w:t>
      </w:r>
    </w:p>
    <w:p w14:paraId="6F3EE27D">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支持急门诊/留观区/抢救区 独立交班功能，</w:t>
      </w:r>
    </w:p>
    <w:p w14:paraId="5A83C4E7">
      <w:pPr>
        <w:pStyle w:val="436"/>
        <w:widowControl w:val="0"/>
        <w:numPr>
          <w:ilvl w:val="0"/>
          <w:numId w:val="79"/>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对患者已经进行的交班，可以查看总人数，新入人数，手术人数进行查询明细。</w:t>
      </w:r>
    </w:p>
    <w:p w14:paraId="0C25B6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9.2.5.8.2护士交班</w:t>
      </w:r>
    </w:p>
    <w:p w14:paraId="1DD8F087">
      <w:pPr>
        <w:pStyle w:val="436"/>
        <w:widowControl w:val="0"/>
        <w:numPr>
          <w:ilvl w:val="0"/>
          <w:numId w:val="80"/>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患者交接：需按照交接的患者的总人数、危重人数、新入人数、手术人数交接查询，同时可查询明细。</w:t>
      </w:r>
    </w:p>
    <w:p w14:paraId="26903274">
      <w:pPr>
        <w:pStyle w:val="436"/>
        <w:widowControl w:val="0"/>
        <w:numPr>
          <w:ilvl w:val="0"/>
          <w:numId w:val="80"/>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科室交接：需按照接班的科室查询接诊患者、留观患者、住院患者、危重患者、死亡患者数据，同时可查看明细。</w:t>
      </w:r>
    </w:p>
    <w:p w14:paraId="04EC43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9.2.5.9无纸化病案管理</w:t>
      </w:r>
    </w:p>
    <w:p w14:paraId="76E9BB3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门急诊需推行无纸化管理，门诊统一使用导诊单，不再打印门诊处方、门诊检查检验申请、门诊治疗单等单据，确保患者凭借一张导诊单，即可清晰获取各项就诊指引，无需再往返于不同科室领取多张纸质单据。降低运营成本。</w:t>
      </w:r>
    </w:p>
    <w:p w14:paraId="7FC012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门急诊病历需进行无纸化归档，由管理部门统一进行管理和质控，满足三级医院评审要求。</w:t>
      </w:r>
    </w:p>
    <w:p w14:paraId="068484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9.2.5.10门诊化疗管理</w:t>
      </w:r>
    </w:p>
    <w:p w14:paraId="24DF271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9.2.5.10.1基本信息维护</w:t>
      </w:r>
    </w:p>
    <w:p w14:paraId="1FEA6F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需支持化疗室名称、主管护士、备注的维护。</w:t>
      </w:r>
    </w:p>
    <w:p w14:paraId="7FD6712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需支持化疗室主管护士、备注、是否开放化疗室的修改。</w:t>
      </w:r>
    </w:p>
    <w:p w14:paraId="60BFF3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需支持通过化疗室状态过滤显示化疗室信息。</w:t>
      </w:r>
    </w:p>
    <w:p w14:paraId="3EE307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需支持维护化疗室下的化疗座位，支持单个和批量维护。</w:t>
      </w:r>
    </w:p>
    <w:p w14:paraId="269A4D3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需支持维护不同座位类型的座位。</w:t>
      </w:r>
    </w:p>
    <w:p w14:paraId="0891E3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需支持座位类型、是否关闭座位的修改。</w:t>
      </w:r>
    </w:p>
    <w:p w14:paraId="5FE36D8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需支持通过座位类型、占用状态、有效性过滤显示座位信息。</w:t>
      </w:r>
    </w:p>
    <w:p w14:paraId="32ED6B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9.2.5.10.2化疗计划开立</w:t>
      </w:r>
    </w:p>
    <w:p w14:paraId="59477B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（1）用户可作废患者的化疗计划（系统会自动取消之后所有预约），作废的计划不能被重启；</w:t>
      </w:r>
    </w:p>
    <w:p w14:paraId="264A45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（2）用户可完成患者的化疗计划，因特殊情况化疗未按预约完成的可手动完成，化疗计划完成后可开立新的化疗计划。</w:t>
      </w:r>
    </w:p>
    <w:p w14:paraId="0A6B3DC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9.2.5.10.3化疗计划审核</w:t>
      </w:r>
    </w:p>
    <w:p w14:paraId="4F2D800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对于由其他科室医生开立的医嘱，本科室护士需要进行审核，若审核通过方能进行缴费。审核不通过的需联系原开单医生进行修改后再次审核。</w:t>
      </w:r>
    </w:p>
    <w:p w14:paraId="1F94DD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（1）该类医嘱必须与其他医嘱进行区分；</w:t>
      </w:r>
    </w:p>
    <w:p w14:paraId="2D131A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（2）日间中心医嘱不需要护士审核。</w:t>
      </w:r>
    </w:p>
    <w:p w14:paraId="50F70E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9.2.5.10.4化疗计划预约</w:t>
      </w:r>
    </w:p>
    <w:p w14:paraId="31044A4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（1）需显示当前患者的总次数，已预约次数，显示已预约时间；</w:t>
      </w:r>
    </w:p>
    <w:p w14:paraId="0CA257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（2）按需预约次数一起预约，选择第一次时间后弹出界面，可以选择剩余时间，同一张床、同一时间段预约；</w:t>
      </w:r>
    </w:p>
    <w:p w14:paraId="4B0DC9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（3）需支持取消预约，取消此次预约及后面预约；</w:t>
      </w:r>
    </w:p>
    <w:p w14:paraId="6AE8CE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（4）需支持输液量预约时间判断（以预约次数中最大量判断）；</w:t>
      </w:r>
    </w:p>
    <w:p w14:paraId="0048C47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（5）仅查看我的：选择仅查看我的，即可查看当前患者的所有预约记录。</w:t>
      </w:r>
    </w:p>
    <w:p w14:paraId="02A63A4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9.2.5.10.5历史化疗计划查看</w:t>
      </w:r>
    </w:p>
    <w:p w14:paraId="3E16E4A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需查看患者历次的化疗计划，主要展示内容需包括：</w:t>
      </w:r>
    </w:p>
    <w:p w14:paraId="0F4FA71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（1）每个化疗计划每个阶段的状态，包括预约、登记、完成；</w:t>
      </w:r>
    </w:p>
    <w:p w14:paraId="7DCADB1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（2）每个阶段的医嘱情况，包括开立、发送、执行、作废；</w:t>
      </w:r>
    </w:p>
    <w:p w14:paraId="6A45416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（3）每个阶段患者的输液反应；</w:t>
      </w:r>
    </w:p>
    <w:p w14:paraId="7DEBD4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（4）每个阶段患者的生命体征及特殊情况。</w:t>
      </w:r>
    </w:p>
    <w:p w14:paraId="5B45286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9.2.5.10.6化疗患者管理</w:t>
      </w:r>
    </w:p>
    <w:p w14:paraId="072B6D2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患者管理主页面，需展示预约、登记、完成的患者基本信息及化疗信息，实现功能需包括：</w:t>
      </w:r>
    </w:p>
    <w:p w14:paraId="28074F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（1）化疗患者预约、登记、完成、生命体征录入、输液反应录入，转抢救床；</w:t>
      </w:r>
    </w:p>
    <w:p w14:paraId="3B7EF5C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（2）静配药品医嘱发送、化疗医嘱执行、作废；</w:t>
      </w:r>
    </w:p>
    <w:p w14:paraId="10A752F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（3）患者腕带、床头卡打印，瓶贴、输液卡、执行单打印。</w:t>
      </w:r>
    </w:p>
    <w:p w14:paraId="7E27BE9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9.2.5.10.7打印中心</w:t>
      </w:r>
    </w:p>
    <w:p w14:paraId="55C7FC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（1）需支持打印患者的瓶贴、输液卡、医嘱执行单；</w:t>
      </w:r>
    </w:p>
    <w:p w14:paraId="741F49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（2）需支持根据打印状态、是否为静配药房过滤打印。</w:t>
      </w:r>
    </w:p>
    <w:p w14:paraId="6F5304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9.2.5.11多学科协作医疗</w:t>
      </w:r>
    </w:p>
    <w:p w14:paraId="5ED8A0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需支持结合团队医疗、结队医疗、疑难病例诊治业务开展对应团队管理、挂号、看诊、分析统计。</w:t>
      </w:r>
    </w:p>
    <w:p w14:paraId="37A3F6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9.2.5.12远程转诊管理</w:t>
      </w:r>
    </w:p>
    <w:p w14:paraId="2846A7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针对应急患者，需支持远程转诊管理，其他医疗机构当患者需要转诊治疗时可以发起转诊申请，医院科室接收以后办理转诊治疗业务。</w:t>
      </w:r>
    </w:p>
    <w:p w14:paraId="3985082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9.2.5.13群伤群检事件管理</w:t>
      </w:r>
    </w:p>
    <w:p w14:paraId="3F95AD9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（1）事件启动</w:t>
      </w:r>
    </w:p>
    <w:p w14:paraId="6C32086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触发条件：需支持通过120急救系统或下级医院通知获知群体伤员事件。</w:t>
      </w:r>
    </w:p>
    <w:p w14:paraId="5679ED6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快速建档：需支持预检分诊护士通过系统记录事件名称、发生时间及伤员分诊等级（如红/黄/绿区）。</w:t>
      </w:r>
    </w:p>
    <w:p w14:paraId="1E955E1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（2）批量处理与标识</w:t>
      </w:r>
    </w:p>
    <w:p w14:paraId="634656E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临时建档：需支持自动生成虚拟编号创建患者临时档案，无需填写详细信息。</w:t>
      </w:r>
    </w:p>
    <w:p w14:paraId="1C8042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快速输出：需支持批量打印分诊腕带或评估单，腕带颜色按分诊等级自动区分（如红色为危急），便于现场快速识别。</w:t>
      </w:r>
    </w:p>
    <w:p w14:paraId="7F902B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虚拟床位：需支持自动匹配虚拟床位，打印患者床头卡。</w:t>
      </w:r>
    </w:p>
    <w:p w14:paraId="58E2F7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院前对接：伤员送达后，需支持通过分诊等级匹配临时档案，确认后自动分流至对应区域（抢救室/留观室/诊间）。</w:t>
      </w:r>
    </w:p>
    <w:p w14:paraId="164DC1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（3）动态增补与关联</w:t>
      </w:r>
    </w:p>
    <w:p w14:paraId="400217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群伤患者关联：需支持将中途新增伤员关联至同一事件，确保数据统一管理。</w:t>
      </w:r>
    </w:p>
    <w:p w14:paraId="2B5C310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（4）信息完善与闭环</w:t>
      </w:r>
    </w:p>
    <w:p w14:paraId="0AD14B7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后期补录：需支持治疗结束后完善患者详细信息（身份证、医保卡、联系方式等）。</w:t>
      </w:r>
    </w:p>
    <w:p w14:paraId="1A489BA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事件归档：需支持一键导出事件完整报告。需支持自动同步至质控系统，记录事件类型、伤员情况，支持统计分析。</w:t>
      </w:r>
    </w:p>
    <w:p w14:paraId="6E88087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9.2.5.14病历服务智能体</w:t>
      </w:r>
    </w:p>
    <w:p w14:paraId="73B9C3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9.2.5.14.1病历点评</w:t>
      </w:r>
    </w:p>
    <w:p w14:paraId="388552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9.2.5.14.1.1病历点评引擎</w:t>
      </w:r>
    </w:p>
    <w:p w14:paraId="6DCD5F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需支持采用成熟的开源大语言模型为底座，如DeepSeek等，具备强大的语言理解和逻辑推理能力；</w:t>
      </w:r>
    </w:p>
    <w:p w14:paraId="7AD360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需支持快速分析病历中基础语言错误，如错别字，逻辑不通顺等问题；</w:t>
      </w:r>
    </w:p>
    <w:p w14:paraId="1A23F83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需支持根据《病历书写基本规范》和业内相关标准快速检查病历中医学相关缺陷问题。</w:t>
      </w:r>
    </w:p>
    <w:p w14:paraId="70F5631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需支持错误溯源机制，可以追溯缺陷问题的病历原文，以及对应的电子病历规范要求；</w:t>
      </w:r>
    </w:p>
    <w:p w14:paraId="10E83E4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需支持提出错误对应的修改参考结果</w:t>
      </w:r>
    </w:p>
    <w:p w14:paraId="38AA15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9.2.5.14.1.2病历点评</w:t>
      </w:r>
    </w:p>
    <w:p w14:paraId="700C10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需支持在病历书写过程中，对病历进行实时点评。</w:t>
      </w:r>
    </w:p>
    <w:p w14:paraId="19E146D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需支持缺陷、原文、理由、建议以及依据信息显示。</w:t>
      </w:r>
    </w:p>
    <w:p w14:paraId="72670E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需支持医生对点评结果进行合理性判定。</w:t>
      </w:r>
    </w:p>
    <w:p w14:paraId="76A43C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需支持缺陷跳转定位病历位置。</w:t>
      </w:r>
    </w:p>
    <w:p w14:paraId="15AD6D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9.2.5.14.2病历生成</w:t>
      </w:r>
    </w:p>
    <w:p w14:paraId="394B786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9.2.5.14.2.1病历生成引擎</w:t>
      </w:r>
    </w:p>
    <w:p w14:paraId="1F574C7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需支持采用成熟的开源大语言模型为底座，如DeepSeek、Qwen等，具备强大的语言理解和逻辑推理能力；</w:t>
      </w:r>
    </w:p>
    <w:p w14:paraId="731DD9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需支持快速生成符合《病历书写基本规范》和业内相关标准的多种临床场景病历；</w:t>
      </w:r>
    </w:p>
    <w:p w14:paraId="5B310D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需支持病历生成个性化调整，确保生成的病历适应不同医院、科室等临床场景的需求；</w:t>
      </w:r>
    </w:p>
    <w:p w14:paraId="03D584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需支持病历溯源机制，可以逐句查看生成病历的数据来源，确保病历的可验证性与合规性；</w:t>
      </w:r>
    </w:p>
    <w:p w14:paraId="3137A4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9.2.5.14.2.2出院小结</w:t>
      </w:r>
    </w:p>
    <w:p w14:paraId="3EB2F63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需支持医生书写出院小结时参考病历生成的内容。</w:t>
      </w:r>
    </w:p>
    <w:p w14:paraId="729CC4B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需支持生成的内容至少包括入院情况、诊疗经过、出院情况三个章节。</w:t>
      </w:r>
    </w:p>
    <w:p w14:paraId="0333A2C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需支持生成的内容写入病历中。</w:t>
      </w:r>
    </w:p>
    <w:p w14:paraId="6EF8A7B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需支持对结果进行评价。</w:t>
      </w:r>
    </w:p>
    <w:p w14:paraId="54465E1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需支持生成的内容追溯数据来源，用于医生判断数据可信性。</w:t>
      </w:r>
    </w:p>
    <w:p w14:paraId="2A945DA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9.2.5.15门诊及住院病历、报告结构化模版</w:t>
      </w:r>
    </w:p>
    <w:p w14:paraId="18DA1D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按医院诊疗业务需求提供相适应的住院病历与检验、检查报告模版。</w:t>
      </w:r>
    </w:p>
    <w:p w14:paraId="13D2AF0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52" w:name="_Toc206078507"/>
      <w:bookmarkStart w:id="253" w:name="_Toc1796"/>
      <w:bookmarkStart w:id="254" w:name="_Toc17430"/>
      <w:bookmarkStart w:id="255" w:name="_Toc31922"/>
      <w:bookmarkStart w:id="256" w:name="OLE_LINK1"/>
      <w:r>
        <w:rPr>
          <w:rFonts w:hint="eastAsia" w:ascii="宋体" w:hAnsi="宋体" w:eastAsia="宋体" w:cs="宋体"/>
          <w:b w:val="0"/>
          <w:bCs w:val="0"/>
          <w:color w:val="auto"/>
          <w:sz w:val="21"/>
          <w:szCs w:val="21"/>
          <w:highlight w:val="none"/>
          <w:lang w:val="en-US" w:eastAsia="zh-CN"/>
        </w:rPr>
        <w:t>9.3智慧服务能力</w:t>
      </w:r>
      <w:bookmarkEnd w:id="252"/>
      <w:bookmarkEnd w:id="253"/>
      <w:bookmarkEnd w:id="254"/>
      <w:bookmarkEnd w:id="255"/>
      <w:r>
        <w:rPr>
          <w:rFonts w:hint="eastAsia" w:ascii="宋体" w:hAnsi="宋体" w:eastAsia="宋体" w:cs="宋体"/>
          <w:b w:val="0"/>
          <w:bCs w:val="0"/>
          <w:color w:val="auto"/>
          <w:sz w:val="21"/>
          <w:szCs w:val="21"/>
          <w:highlight w:val="none"/>
          <w:lang w:val="en-US" w:eastAsia="zh-CN"/>
        </w:rPr>
        <w:t>提升</w:t>
      </w:r>
    </w:p>
    <w:p w14:paraId="1491246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57" w:name="_Toc206078508"/>
      <w:bookmarkStart w:id="258" w:name="_Toc1715"/>
      <w:bookmarkStart w:id="259" w:name="_Toc6289"/>
      <w:r>
        <w:rPr>
          <w:rFonts w:hint="eastAsia" w:ascii="宋体" w:hAnsi="宋体" w:eastAsia="宋体" w:cs="宋体"/>
          <w:b w:val="0"/>
          <w:bCs w:val="0"/>
          <w:color w:val="auto"/>
          <w:sz w:val="21"/>
          <w:szCs w:val="21"/>
          <w:highlight w:val="none"/>
          <w:lang w:val="en-US" w:eastAsia="zh-CN"/>
        </w:rPr>
        <w:t>9.3.1患者服务平台（微信小程序）</w:t>
      </w:r>
      <w:bookmarkEnd w:id="257"/>
      <w:bookmarkEnd w:id="258"/>
      <w:bookmarkEnd w:id="259"/>
    </w:p>
    <w:p w14:paraId="1F2EDFE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9.3.1.1复诊号源匹配</w:t>
      </w:r>
    </w:p>
    <w:p w14:paraId="64519D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报告列表、导引单需支持根据检查、检验的详细进展状态，预估报告完成的剩余时间。</w:t>
      </w:r>
    </w:p>
    <w:p w14:paraId="2A04E10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需支持智能提示患者并可推荐历史就诊、问诊医生的门诊号源。</w:t>
      </w:r>
    </w:p>
    <w:p w14:paraId="1838FF8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9.3.1.2智能检查预约</w:t>
      </w:r>
    </w:p>
    <w:p w14:paraId="5DAF33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需支持基于统一预约平台的智能推荐算法，为患者提供按检查时间、按检查路径、自选时间等多种检查预约模式。</w:t>
      </w:r>
    </w:p>
    <w:p w14:paraId="25488F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需支持对于相互影响的治疗、手术内容可自动错开预约时间。</w:t>
      </w:r>
    </w:p>
    <w:p w14:paraId="6BC6D11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9.3.1.3辅助住院计划</w:t>
      </w:r>
    </w:p>
    <w:p w14:paraId="454F3B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需支持按照患者住院预约情况，辅助医师、科室制定工作计划。</w:t>
      </w:r>
    </w:p>
    <w:p w14:paraId="0BB29A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9.3.1.4入院预约</w:t>
      </w:r>
    </w:p>
    <w:p w14:paraId="5DD80B0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需支持患者通过在线预约申请住院时间、床位类型等信息。</w:t>
      </w:r>
    </w:p>
    <w:p w14:paraId="442B8B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9.3.1.5消息分级管理</w:t>
      </w:r>
    </w:p>
    <w:p w14:paraId="55980D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需支持就诊消息通知的订阅管理，允许患者屏蔽非关键信息。</w:t>
      </w:r>
    </w:p>
    <w:p w14:paraId="453F77C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需支持可视化门诊就诊全流程模型，将就诊过程中的各个事件节点，通过待办、已办等方式清晰展示，并快速指引线上、线下办理渠道。</w:t>
      </w:r>
    </w:p>
    <w:p w14:paraId="2EE3F3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需支持实时的消息提醒通知，实现就诊全流程的智能化引导。</w:t>
      </w:r>
    </w:p>
    <w:p w14:paraId="7A0525A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9.3.1.6患者投诉闭环</w:t>
      </w:r>
    </w:p>
    <w:p w14:paraId="32822ED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需支持与投诉管理系统集成对接，对投诉意见的分类处理，可通过短信、APP消息等方式通知医院管理部门；</w:t>
      </w:r>
    </w:p>
    <w:p w14:paraId="474AD5C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需支持对于患者投诉支持以短信、APP消息等方式回应；</w:t>
      </w:r>
    </w:p>
    <w:p w14:paraId="1CF8029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需支持根据患者就诊活动，动态推送满意度调查内容，满意度调查结果与就诊活动可对应。</w:t>
      </w:r>
    </w:p>
    <w:p w14:paraId="718755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9.3.1.7风险评估</w:t>
      </w:r>
    </w:p>
    <w:p w14:paraId="6FDEA3F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与智能导诊、预问诊系统对接，实现患者可使用自有移动设备及PC设备进行风险评估，评估结果可反馈至医院系统存储；可根据患者病历资料自动完成风险评估，并将结果推送给患者或者监护人。（投标人须按上述要求提供系统功能截图）</w:t>
      </w:r>
    </w:p>
    <w:p w14:paraId="4B45E0A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9.3.1.8在线购药</w:t>
      </w:r>
    </w:p>
    <w:p w14:paraId="52C916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患者根据需要，浏览药品详情，选择处方药品，需支持购物车功能选择多个药品，支持问诊费用与药品费用一次性或分别支付，提交购药需求申请成功后，等待医生进行服务。（投标人须按上述要求提供系统功能截图）</w:t>
      </w:r>
    </w:p>
    <w:p w14:paraId="07711B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医生接诊后，在线与医生通过图文或语音方式进行沟通病情，以及诉求，医生开具药品后，将推送处方缴费通知。</w:t>
      </w:r>
    </w:p>
    <w:p w14:paraId="193A84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患者接收到处方后，可在线提交配送订单，并在线支付药品费用，处方通过物流配送到家。</w:t>
      </w:r>
    </w:p>
    <w:p w14:paraId="7500D13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9.3.1.9慢病续方</w:t>
      </w:r>
    </w:p>
    <w:p w14:paraId="3B67FCA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需支持查看一年内的诊处方记录（药品处方）。</w:t>
      </w:r>
    </w:p>
    <w:p w14:paraId="1F55923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选择指定处方，填写续方信息，提交申请，等待医生审核。</w:t>
      </w:r>
    </w:p>
    <w:p w14:paraId="30D78DF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医生在线审核后，患者在线缴费，选择取药方式。（支持配送的机构，可申请药品邮寄到家）</w:t>
      </w:r>
    </w:p>
    <w:p w14:paraId="586D2C5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需支持在线查阅续方申请记录、医生审核状态等信息。</w:t>
      </w:r>
    </w:p>
    <w:p w14:paraId="6F4B04F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9.3.1.10干部体检</w:t>
      </w:r>
    </w:p>
    <w:p w14:paraId="2C0B094C">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体检预约:需支持在线预约体检，需采集信息包括姓名、性别、年龄、身份证号码、电话号码、干部就诊号及单位(级别)。</w:t>
      </w:r>
    </w:p>
    <w:p w14:paraId="3E7062AE">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体检报告:需提供电子体检报告的查询服务。</w:t>
      </w:r>
    </w:p>
    <w:p w14:paraId="78867E48">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体检缴费:便于用户在需要增加体检项目时在线完成费用缴纳。</w:t>
      </w:r>
    </w:p>
    <w:p w14:paraId="5AA77E86">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体检问卷:需集成各类体检相关问卷调查表，供用户在线填写。</w:t>
      </w:r>
    </w:p>
    <w:p w14:paraId="66ADC9F2">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健康科普:需推送关于体检常见异常指标、慢性病管理等健康科普知识。</w:t>
      </w:r>
    </w:p>
    <w:p w14:paraId="34293F01">
      <w:pPr>
        <w:pStyle w:val="436"/>
        <w:widowControl w:val="0"/>
        <w:numPr>
          <w:ilvl w:val="0"/>
          <w:numId w:val="81"/>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门诊预约:便于用户在检后根据异常指标预约专科门诊，进行进一步咨询或就诊。</w:t>
      </w:r>
    </w:p>
    <w:p w14:paraId="2D62C70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9.3.1.11智能分诊导诊</w:t>
      </w:r>
    </w:p>
    <w:p w14:paraId="417A44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需支持基于人工智能技术的医疗辅助工具，通过自知识图谱和机器学习算法，为患者提供精准的预诊分科服务。</w:t>
      </w:r>
    </w:p>
    <w:p w14:paraId="0A96CDD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以症状主诉为入口，结合用户输入的年龄、病史等基本信息，模拟医生问诊逻辑进行多轮交互，通过语义分析匹配疾病特征库中的数千种病症模型，最终推荐合适科室，支持医院挂号系统对接，一键跳转挂号系统，快速预约挂号。（投标人须按上述要求提供系统功能截图）</w:t>
      </w:r>
    </w:p>
    <w:p w14:paraId="1BBD65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系统核心模块需包括智能问答引擎、疾病知识库、动态分诊模型和实时数据分析平台。须包含不少于10万次调阅服务。</w:t>
      </w:r>
    </w:p>
    <w:p w14:paraId="4BE8375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9.3.1.12智能报告分析</w:t>
      </w:r>
    </w:p>
    <w:p w14:paraId="269F3E4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智能报告解读系统是基于 AI 的医疗数据分析平台，通过自然语言处理、医学知识图谱及深度学习技术，实现对检验、影像、病理等多模态报告的自动化解析与风险评估。</w:t>
      </w:r>
    </w:p>
    <w:p w14:paraId="4623E19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▲系统需支持对标准化检查、检验结果数据，匹配临床指南与疾病特征库，标注异常指标、生成通俗化解读结论，并输出可视化图表与健康建议。（投标人须按上述要求提供系统功能截图）</w:t>
      </w:r>
    </w:p>
    <w:p w14:paraId="21B5D2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核心功能需包括：异常指标预警、多报告交叉分析、疾病概率预测及分级诊疗推荐，覆盖血检、CT、基因检测等常见报告类型。患者可通过智能问答进一步获取指标含义、复查建议及就医指引。须包含不少于30万次调阅服务。</w:t>
      </w:r>
    </w:p>
    <w:p w14:paraId="57521CD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9.3.1.13智能预问诊</w:t>
      </w:r>
    </w:p>
    <w:p w14:paraId="0429D69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智能预问诊系统是基于AI的院前辅助工具，旨在通过智能理解患者的主诉，模拟医生真实的问诊思路，协助患者系统地梳理病情，自动采集患者病史信息，优化诊疗流程。</w:t>
      </w:r>
    </w:p>
    <w:p w14:paraId="5419972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需支持通过多轮对话交互（文字/语音），引导患者结构化描述症状、病程、用药史及生活习惯，结合NLP与医学知识图谱解析病情特征，自动生成标准化预诊报告，包含主诉摘要、过往史、家族史、过敏史等病历信息。</w:t>
      </w:r>
    </w:p>
    <w:p w14:paraId="74C86D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需支持智能预问诊对话界面根据实际的问题类型，提供不同的便捷输入方式，包括自由输入文本、数字、单选、多选、滚轮、下拉框等多种方式。提升可视化体验且尽量节约患者时间。</w:t>
      </w:r>
    </w:p>
    <w:p w14:paraId="4810AE5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预诊报告需支持同步至医生工作站，医生接诊前调阅，可提前了解患者的基本病情，提高诊疗效率。</w:t>
      </w:r>
    </w:p>
    <w:p w14:paraId="233946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书写病历时，需支持一键引用至电子病历模板，提高门诊病历书写质量和效率。须包含不少于10万次调阅服务。</w:t>
      </w:r>
    </w:p>
    <w:p w14:paraId="674C19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9.3.1.14智能就医助手</w:t>
      </w:r>
    </w:p>
    <w:p w14:paraId="6D7734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智能语义交互：需依托先进医疗大模型，具备强大语义理解能力，深度结合医院门诊、住院、线上诊疗等业务场景，精准回复患者咨询，给予正确就医指引。</w:t>
      </w:r>
    </w:p>
    <w:p w14:paraId="1132432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全程就医助手：紧密结合患者本次就诊过程，充当贴心就医助手，从诊前准备到诊中流程再到诊后注意事项，全程指导患者顺利就医。</w:t>
      </w:r>
    </w:p>
    <w:p w14:paraId="50478B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全天候服务：需提供 7×24 小时不间断服务，动态更新知识库，确保为患者提供精准的问答建议，同时基于患者情况进行智能推荐相关医疗服务。</w:t>
      </w:r>
    </w:p>
    <w:p w14:paraId="63B542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医疗服务优化：系统需具备高频问题分析功能，能够深入挖掘患者高频咨询问题，为医院提供数据支持，助力医院针对性地改善医疗服务质量。</w:t>
      </w:r>
    </w:p>
    <w:p w14:paraId="4F58790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视化流程指引：需支持诊前、诊中、诊后的可视化门诊就诊全流程指引，清晰展示就诊过程中的待办事件。智能指引线上、线下办理渠道，实现就诊全流程的智能化引导，有效提升患者就医体验，减少患者就诊的迷茫和不便。须包含不少于10万次调阅服务。</w:t>
      </w:r>
    </w:p>
    <w:p w14:paraId="10289E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9.3.1.15智能体检</w:t>
      </w:r>
    </w:p>
    <w:p w14:paraId="015AFF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智能体检是基于AI的辅助工具，检前模块旨在通过智能理解患者的主诉，模拟医生真实的问诊思路，通过多轮对话交互（文字/语音），向患者推荐合适的体检套餐以及套餐中不包含但需增加的检查、检验项目。检后模块支持对患者整份体检报告进行分析并主动向患者推荐相应的专科或者医师进一步看诊。</w:t>
      </w:r>
    </w:p>
    <w:p w14:paraId="1AFF15E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9.3.1.16智能用药管家</w:t>
      </w:r>
    </w:p>
    <w:p w14:paraId="20B346D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为患者提供个性化用药指导服务。对接医院合理用药的药品说明书，同患者处方进行个性化匹配后为患者提供用药指导服务，帮助患者规律用药提升依从性。它包括：细粒度用药指导（含用法用量、服用方法、与饮食关系、起效时间）、用药警示、不良反应及处理方法、疾病科普、用药提醒、效果追踪等。须包含不少于10万次调阅服务。</w:t>
      </w:r>
    </w:p>
    <w:p w14:paraId="18B0591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9.3.1.17捐精预约</w:t>
      </w:r>
    </w:p>
    <w:p w14:paraId="4057157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需支持维护预约套餐，查询、展示预约套餐项目清单，套餐项目的详细说明</w:t>
      </w:r>
    </w:p>
    <w:p w14:paraId="67E0041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需支持排班管理，按照预约套餐设置排班、按照设置的排班信息定期自动生成排班，支持对排班进行编辑管理。</w:t>
      </w:r>
    </w:p>
    <w:p w14:paraId="180AFD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需支持按照姓名、门诊号等信息查看患者预约的订单信息。</w:t>
      </w:r>
    </w:p>
    <w:p w14:paraId="78A9AC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9.3.1.18疫苗预约</w:t>
      </w:r>
    </w:p>
    <w:p w14:paraId="2042B3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需支持查询、展示疫苗项目清单，疫苗项目的详细说明，疫苗接种的院内排班等信息。</w:t>
      </w:r>
    </w:p>
    <w:p w14:paraId="39E187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需支持基于院内的疫苗接种日期（分时段排班），快速预约并支持在线缴纳接种费用。</w:t>
      </w:r>
    </w:p>
    <w:p w14:paraId="1C0B35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需支持预防保健科等管理人员可在线查询全部预约信息，支持在线审核预约人员。</w:t>
      </w:r>
    </w:p>
    <w:p w14:paraId="7518970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需支持通过管理平台维护疫苗项目的基本信息（详细介绍、禁忌事项、接种地点等），以及对接种数据的统计报表。</w:t>
      </w:r>
    </w:p>
    <w:p w14:paraId="4B67CB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9.3.1.19电子病历夹</w:t>
      </w:r>
    </w:p>
    <w:p w14:paraId="67EF334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需支持对接院内系统，实现个人就诊记录、医嘱信息、病历信息、报告信息等就诊数据的自动归集。</w:t>
      </w:r>
    </w:p>
    <w:p w14:paraId="5E8FBAC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需支持在线维护个人健康档案信息。</w:t>
      </w:r>
    </w:p>
    <w:p w14:paraId="4AFD722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需支持外院就诊记录、病历资料等上传归集功能。</w:t>
      </w:r>
    </w:p>
    <w:p w14:paraId="7810564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9.3.1.20个人授权管理</w:t>
      </w:r>
    </w:p>
    <w:p w14:paraId="25CA7F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需支持查询个人账号的授权绑定信息（支持人脸识别验证后操作）。</w:t>
      </w:r>
    </w:p>
    <w:p w14:paraId="64916F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需支持在线解除个人账号的授权绑定。</w:t>
      </w:r>
    </w:p>
    <w:p w14:paraId="3A5E70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9.3.1.21一站式退费管理</w:t>
      </w:r>
    </w:p>
    <w:p w14:paraId="540B3D7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自助机、微信公众号、小程序等方式为患者提供互联网+一站式退费服务（包括但不限于挂号退费、预交金退费、互联网诊疗项目退费、常规诊疗项目退费等），系统登记门急诊、住院等不同类型患者在医院的退费申请，退费所有过程让信息在各环节流动，减少患者跑腿，让退费流程规范、高效，退费记录可追溯，可统计。</w:t>
      </w:r>
    </w:p>
    <w:p w14:paraId="4E40F4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9.3.1.22在线义诊</w:t>
      </w:r>
    </w:p>
    <w:p w14:paraId="2D0264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需支持管理端创建义诊活动，编辑活动内容、活动排班。</w:t>
      </w:r>
    </w:p>
    <w:p w14:paraId="4FCAC2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需支持基于院内义诊排班，患者在线预约义诊服务。需支持【可预约】、【活动中】、【已结束】等状态标签标识。</w:t>
      </w:r>
    </w:p>
    <w:p w14:paraId="3090ED5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与医生在线问诊交流，过程需支持语音、图片、文字、视频、电话。</w:t>
      </w:r>
    </w:p>
    <w:p w14:paraId="42EF03F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问诊完成后，需支持对医生的服务态度、问诊过程进行评价。（1-5星评价、文字评价等）</w:t>
      </w:r>
    </w:p>
    <w:p w14:paraId="66780C3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9.3.1.23门诊业务优化</w:t>
      </w:r>
    </w:p>
    <w:p w14:paraId="267AADD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需支持按发票号查询门诊收费清单、收费明细。</w:t>
      </w:r>
    </w:p>
    <w:p w14:paraId="4B6C12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需支持门诊退号时弹窗选择退号原因，并支持按原因的统计分析功能。</w:t>
      </w:r>
    </w:p>
    <w:p w14:paraId="0C2012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需支持医疗机构三大目录查询功能，包括基本医疗保险药品目录、诊疗项目目录、医疗服务设施标准查询。</w:t>
      </w:r>
    </w:p>
    <w:p w14:paraId="4573907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需支持查询个人的门诊诊断证明，支持下载保存证明书。</w:t>
      </w:r>
    </w:p>
    <w:p w14:paraId="7D7B2E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9.3.1.24多语言模式</w:t>
      </w:r>
    </w:p>
    <w:p w14:paraId="79B7BB4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需支持切换中文、英文模式展示基础功能模块及后续界面：如AI导诊、绑定就诊人、挂号、缴费、报告查询、线上门诊、挂号记录、缴费记录、线上门诊记录等。</w:t>
      </w:r>
    </w:p>
    <w:p w14:paraId="1899BF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9.3.1.25科普宣教</w:t>
      </w:r>
    </w:p>
    <w:p w14:paraId="5D474C4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需支持在线编辑、制定按科室、病种的个性化宣教内容。</w:t>
      </w:r>
    </w:p>
    <w:p w14:paraId="13471FF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需支持按门诊、住院、科室、疾病等条件，自动推送科普、宣教资料。</w:t>
      </w:r>
    </w:p>
    <w:p w14:paraId="2AA1C8C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60" w:name="_Toc2768"/>
      <w:bookmarkStart w:id="261" w:name="_Toc8223"/>
      <w:bookmarkStart w:id="262" w:name="_Toc206078509"/>
      <w:r>
        <w:rPr>
          <w:rFonts w:hint="eastAsia" w:ascii="宋体" w:hAnsi="宋体" w:eastAsia="宋体" w:cs="宋体"/>
          <w:b w:val="0"/>
          <w:bCs w:val="0"/>
          <w:color w:val="auto"/>
          <w:sz w:val="21"/>
          <w:szCs w:val="21"/>
          <w:highlight w:val="none"/>
          <w:lang w:val="en-US" w:eastAsia="zh-CN"/>
        </w:rPr>
        <w:t>9.3.2互联网诊疗服务平台（APP版）</w:t>
      </w:r>
      <w:bookmarkEnd w:id="260"/>
      <w:bookmarkEnd w:id="261"/>
      <w:bookmarkEnd w:id="262"/>
    </w:p>
    <w:p w14:paraId="1B9F6A4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9.3.2.1▲诊疗团队</w:t>
      </w:r>
    </w:p>
    <w:p w14:paraId="4DBD21A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需支持在线组建医生团队。支持医生个人在线邀请其他医生加入团队，发送邀请通知，同意后正式加入团队。</w:t>
      </w:r>
    </w:p>
    <w:p w14:paraId="6BC0C0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需支持团队队长向全部成员授权管理员、接诊排班、医嘱病历等权限。</w:t>
      </w:r>
    </w:p>
    <w:p w14:paraId="5CB1A7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需支持有排班权限的医生可在线开通在线接诊服务，制定咨询、复诊的出诊排班。</w:t>
      </w:r>
    </w:p>
    <w:p w14:paraId="267105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需支持患者可实时查看医生团队成员信息、排班信息，在线预约团队问诊。</w:t>
      </w:r>
    </w:p>
    <w:p w14:paraId="58FC01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需支持专家团队、多学科团队成员介绍，推荐团队内其他医生号源。</w:t>
      </w:r>
    </w:p>
    <w:p w14:paraId="56CCA7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需支持在线复诊功能模块，增加推荐医生。</w:t>
      </w:r>
    </w:p>
    <w:p w14:paraId="043EB5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（投标人须按上述要求提供系统功能截图）</w:t>
      </w:r>
    </w:p>
    <w:p w14:paraId="74C1A62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9.3.2.2在线复诊升级</w:t>
      </w:r>
    </w:p>
    <w:p w14:paraId="441004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（1）需支持通过动态提醒等机制，提升云诊室接诊效率、接诊及时性；</w:t>
      </w:r>
    </w:p>
    <w:p w14:paraId="3586B6E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（2）需支持复制和导入历史处方和历史病历，快速完成复诊续方；</w:t>
      </w:r>
    </w:p>
    <w:p w14:paraId="0C242F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（3）医生结束问诊时，需增加配置开关，配置结束问诊时是否需要校验病历的签名提交，未提交病历不允许结束问诊；</w:t>
      </w:r>
    </w:p>
    <w:p w14:paraId="63481B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（4）需支持医生接诊后，自动语音电话通知患者；（患者离线时）</w:t>
      </w:r>
    </w:p>
    <w:p w14:paraId="604F618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（5）需支持AI预问诊后，APP快速引用预问诊报告功能；</w:t>
      </w:r>
    </w:p>
    <w:p w14:paraId="605C89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（6）在线问诊过程中，需支持医生间转诊；</w:t>
      </w:r>
    </w:p>
    <w:p w14:paraId="5903775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（7）个人中心用户操作手册的统计归集；</w:t>
      </w:r>
    </w:p>
    <w:p w14:paraId="7507265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（8）在线管理个人处方模板、组套（需支持与HIS组套对接）；</w:t>
      </w:r>
    </w:p>
    <w:p w14:paraId="2E56C59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（9）需支持开放式问答和固定次数问答，并需支持医生主动赠送问答次数；</w:t>
      </w:r>
    </w:p>
    <w:p w14:paraId="51E7714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（10）需支持为患者开立知情同意书文书；</w:t>
      </w:r>
    </w:p>
    <w:p w14:paraId="36F24D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（11）在在线复诊碎片化接诊基础上，需增加定时接诊模式，医患约定接诊时间，需支持问诊提醒，限定接诊时间。</w:t>
      </w:r>
    </w:p>
    <w:p w14:paraId="08A609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9.3.2.3病历审签</w:t>
      </w:r>
    </w:p>
    <w:p w14:paraId="64C2590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需支持上级医生对病历进行审批、CA签名。</w:t>
      </w:r>
    </w:p>
    <w:p w14:paraId="0EDE41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9.3.2.4院内会诊闭环</w:t>
      </w:r>
    </w:p>
    <w:p w14:paraId="7F7EE5E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需支持医生在线发起会诊申请。选择住院患者、会诊科室、会诊医生，申请提交后，向会诊医生推送消息通知。</w:t>
      </w:r>
    </w:p>
    <w:p w14:paraId="42479E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需支持医生查看本科室的会诊邀请信息、患者的基本信息。包括申请科室、申请人、申请时间、患者基本信息、诊断信息、会诊目的、会诊来源、会诊状态等信息。</w:t>
      </w:r>
    </w:p>
    <w:p w14:paraId="508804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需支持受邀医生在线确认会诊时间，确认接受会诊邀请。</w:t>
      </w:r>
    </w:p>
    <w:p w14:paraId="0D2D65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需支持会诊医生扫描患者腕带二维码，在线签到。</w:t>
      </w:r>
    </w:p>
    <w:p w14:paraId="218C39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需支持申请医生在线查看会诊医生提交的会诊结论信息。</w:t>
      </w:r>
    </w:p>
    <w:p w14:paraId="1B78D1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需支持申请医生在线结束本次会诊。</w:t>
      </w:r>
    </w:p>
    <w:p w14:paraId="05052B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9.3.2.5医生站融合</w:t>
      </w:r>
    </w:p>
    <w:p w14:paraId="3268DFC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需支持云诊室系统与内网一体化医生站的融合、集成。</w:t>
      </w:r>
    </w:p>
    <w:p w14:paraId="7C5E29B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需支持通过医生站完成与院外患者的在线音视频问诊。</w:t>
      </w:r>
    </w:p>
    <w:p w14:paraId="4373297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需支持通过医生站完成医嘱开立、病历书写等业务处理。</w:t>
      </w:r>
    </w:p>
    <w:p w14:paraId="3409DDD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9.3.2.6个人信息维护</w:t>
      </w:r>
    </w:p>
    <w:p w14:paraId="799082B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需支持查询医生基本信息、擅长信息、个人头像等。</w:t>
      </w:r>
    </w:p>
    <w:p w14:paraId="37F422E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需支持在线修改个人基本信息、擅长信息、上传个人头像，提交门诊办审核。</w:t>
      </w:r>
    </w:p>
    <w:p w14:paraId="2BEC42E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审核前需支持撤销申请、重新编辑。</w:t>
      </w:r>
    </w:p>
    <w:p w14:paraId="21CF4DD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需支持门诊办医生查询已提交的个人信息审核记录。查看详细的待审核内容。</w:t>
      </w:r>
    </w:p>
    <w:p w14:paraId="28EB0F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需支持在线查看个人信息的审核状态。审核中、已审核、驳回等。</w:t>
      </w:r>
    </w:p>
    <w:p w14:paraId="5CAEF69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需支持通过管理后台在线处理提交的申请信息，支持审核通过和申请驳回。审核通过后，基本信息集中保存到院内系统。</w:t>
      </w:r>
    </w:p>
    <w:p w14:paraId="3F35F34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需支持审核驳回时说明驳回理由。</w:t>
      </w:r>
    </w:p>
    <w:p w14:paraId="13C2425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审核管理需支持通过掌上医生APP，由特定权限人员（门诊部专员）在线审核。</w:t>
      </w:r>
    </w:p>
    <w:p w14:paraId="1E778D6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需支持查看我的历史审核记录。</w:t>
      </w:r>
    </w:p>
    <w:p w14:paraId="6B793A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9.3.2.7手术申请</w:t>
      </w:r>
    </w:p>
    <w:p w14:paraId="24BAD22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手术申请主要在PC端完成填写和下达，移动端作为PC端的延伸和补充，需与手麻系统、手术预约系统做接口，支持医生床边开立手术申请单。</w:t>
      </w:r>
    </w:p>
    <w:p w14:paraId="2E1D065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医生在病人床旁时可能需要查看病人的手术申请情况，通过与手麻系统、手术预约系统做接口，供医生查看已开申请单信息，并支持撤销申请单。</w:t>
      </w:r>
    </w:p>
    <w:p w14:paraId="2A89588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9.3.2.8过敏管理</w:t>
      </w:r>
    </w:p>
    <w:p w14:paraId="7216F9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过敏信息是病人的一个重要病历信息，医生在床旁通过移动端除了查看，可能还需要录入信息。由电子病历系统提供数据接口，写入到电子病历系统中，以达到过敏信息的统一。</w:t>
      </w:r>
    </w:p>
    <w:p w14:paraId="7668F3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电子病历系统提供数据接口，移动医生站供医生查看病人的历史过敏信息。</w:t>
      </w:r>
    </w:p>
    <w:p w14:paraId="3356F36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9.3.2.9授权管理</w:t>
      </w:r>
    </w:p>
    <w:p w14:paraId="29C48B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授权患者列表：需支持查看我授权的及我被授权的患者列表，可编辑及取消授权操作。可通过病人姓名搜索。</w:t>
      </w:r>
    </w:p>
    <w:p w14:paraId="74328D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授权管理：需支持查看已开放授权医生，可继续添加医生及取消已有医生授权。支持控制授权开放模块及授权时间。</w:t>
      </w:r>
    </w:p>
    <w:p w14:paraId="5267B94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9.3.2.10我的粉丝</w:t>
      </w:r>
    </w:p>
    <w:p w14:paraId="703AD0C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需支持查看关注、收藏我的患者信息。</w:t>
      </w:r>
    </w:p>
    <w:p w14:paraId="1B69085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9.3.2.11我的成就</w:t>
      </w:r>
    </w:p>
    <w:p w14:paraId="2770B59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需支持查看个人的工作量统计，支持构建个人成就模型。</w:t>
      </w:r>
    </w:p>
    <w:p w14:paraId="29F405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63" w:name="_Toc206078510"/>
      <w:bookmarkStart w:id="264" w:name="_Toc32679"/>
      <w:bookmarkStart w:id="265" w:name="_Toc4775"/>
      <w:r>
        <w:rPr>
          <w:rFonts w:hint="eastAsia" w:ascii="宋体" w:hAnsi="宋体" w:eastAsia="宋体" w:cs="宋体"/>
          <w:b w:val="0"/>
          <w:bCs w:val="0"/>
          <w:color w:val="auto"/>
          <w:sz w:val="21"/>
          <w:szCs w:val="21"/>
          <w:highlight w:val="none"/>
          <w:lang w:val="en-US" w:eastAsia="zh-CN"/>
        </w:rPr>
        <w:t>9.3.3远程诊疗平台</w:t>
      </w:r>
      <w:bookmarkEnd w:id="263"/>
      <w:bookmarkEnd w:id="264"/>
      <w:bookmarkEnd w:id="265"/>
    </w:p>
    <w:p w14:paraId="1188B0C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9.3.3.1转诊服务衔接</w:t>
      </w:r>
    </w:p>
    <w:p w14:paraId="43F394F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需支持双向转诊业务中，可接收医联体内医院发送的电子转诊申请单，直接生成本院的电子住院单、门诊加号。</w:t>
      </w:r>
    </w:p>
    <w:p w14:paraId="72A6C88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需支持入院办理流程与线下相同，可通过自助入院快速办理入院登记、费用预交。</w:t>
      </w:r>
    </w:p>
    <w:p w14:paraId="0367EC7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9.3.3.2远程门诊</w:t>
      </w:r>
    </w:p>
    <w:p w14:paraId="44E749C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基层/医联体医师辅助患者申请预约上级医院专家的远程门诊号源，交纳远程门诊费用。基层医生与患者通过音视频方式与上级专家在线问诊、交流。上级专家给与相应的治疗方案，由基层医生完成后续的治疗。</w:t>
      </w:r>
    </w:p>
    <w:p w14:paraId="78071CA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需支持对于需要转诊的患者可通过转诊服务发起向上转诊。</w:t>
      </w:r>
    </w:p>
    <w:p w14:paraId="43E240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66" w:name="_Toc206078511"/>
      <w:bookmarkStart w:id="267" w:name="_Toc9612"/>
      <w:bookmarkStart w:id="268" w:name="_Toc12011"/>
      <w:r>
        <w:rPr>
          <w:rFonts w:hint="eastAsia" w:ascii="宋体" w:hAnsi="宋体" w:eastAsia="宋体" w:cs="宋体"/>
          <w:b w:val="0"/>
          <w:bCs w:val="0"/>
          <w:color w:val="auto"/>
          <w:sz w:val="21"/>
          <w:szCs w:val="21"/>
          <w:highlight w:val="none"/>
          <w:lang w:val="en-US" w:eastAsia="zh-CN"/>
        </w:rPr>
        <w:t>9.3.4随访系统</w:t>
      </w:r>
      <w:bookmarkEnd w:id="266"/>
      <w:bookmarkEnd w:id="267"/>
      <w:bookmarkEnd w:id="268"/>
    </w:p>
    <w:p w14:paraId="59D348F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9.3.4.1用户管理</w:t>
      </w:r>
    </w:p>
    <w:p w14:paraId="19A44E6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基本信息设置：需包含用户账号、密码用户类别、身份证号、手机号、性别、出生日期、科室、职称、类别的设置；</w:t>
      </w:r>
    </w:p>
    <w:p w14:paraId="4F61AC1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权限信息设置：需包含对用户角色、全息档案试视图设置、数据查看权限设置、计划查看权限设置等角色管理。</w:t>
      </w:r>
    </w:p>
    <w:p w14:paraId="711428A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9.3.4.2患者查询</w:t>
      </w:r>
    </w:p>
    <w:p w14:paraId="2D67716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需支持对接院内系统，按照门诊、住院、在院分类查询患者信息。</w:t>
      </w:r>
    </w:p>
    <w:p w14:paraId="7475FF7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需支持门诊患者基于就诊信息（患者姓名、门诊号、就诊日期、就诊科室、就诊医生、疾病诊断）等条件筛选和检索。</w:t>
      </w:r>
    </w:p>
    <w:p w14:paraId="6DD7496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需支持在院患者基于在院信息（患者姓名、住院号、入院日期、入院科室、入院病区、入院诊断）等条件进行患者筛选和检索。</w:t>
      </w:r>
    </w:p>
    <w:p w14:paraId="7728034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需支持出院患者基于出院信息（患者姓名、住院号、出院日期、出院科室、出院病区、出院诊断）等条件进行患者筛选和检索。</w:t>
      </w:r>
    </w:p>
    <w:p w14:paraId="5513B0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需支持查询患者的基本信息和就诊相关信息。</w:t>
      </w:r>
    </w:p>
    <w:p w14:paraId="6F59F33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需支持向特定患者手动加入随访计划，发送随访消息。</w:t>
      </w:r>
    </w:p>
    <w:p w14:paraId="68D4EC3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9.3.4.3患者档案</w:t>
      </w:r>
    </w:p>
    <w:p w14:paraId="4B769C1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需支持对接院内系统，查询患者院内就诊的病史信息。</w:t>
      </w:r>
    </w:p>
    <w:p w14:paraId="204E512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需支持查看患者个人信息，包括姓名、性别、年龄、电话、家庭住址、联系人等基本信息；</w:t>
      </w:r>
    </w:p>
    <w:p w14:paraId="778D28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需支持查看历次门诊诊疗信息，包括就诊记录、门诊诊断、检验报告、检查报告、医嘱信息、病历文书等，按照时间顺序对历次门诊诊疗记录进行排列，同时可查看门诊就诊次数。</w:t>
      </w:r>
    </w:p>
    <w:p w14:paraId="7D4857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需支持查看历次住院诊疗记录，包括出院记录、出院诊断、检验报告、检查报告、医嘱信息、病历文书等，按照时间顺序对历次住院诊疗记录进行排列，同时可查看住院次数。</w:t>
      </w:r>
    </w:p>
    <w:p w14:paraId="5B5ED09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9.3.4.4▲随访计划</w:t>
      </w:r>
    </w:p>
    <w:p w14:paraId="5F75D4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建立科室随访计划。制定随访计划基本信息（计划名称、随访人员、随访时间等），设置随访规则（患者来源、院区、科室、病区、医生、疾病诊断、手术方案、治疗方案等），设置随访任务（普通随访、定时随访、发送时间、任务类型、提醒内容、随访表单、宣教资料等）。</w:t>
      </w:r>
    </w:p>
    <w:p w14:paraId="4656C4B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需支持按照随访计划设置的随访规则条件，每天定时自动从院内系统抽取符合的患者，自动入组，自动启动随访计划。</w:t>
      </w:r>
    </w:p>
    <w:p w14:paraId="09C536B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需支持随访计划的新增、停止、编辑、启动等功能。</w:t>
      </w:r>
    </w:p>
    <w:p w14:paraId="6DD1A21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（投标人须按上述要求提供系统功能截图）</w:t>
      </w:r>
    </w:p>
    <w:p w14:paraId="1E4507E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9.3.4.5随访任务</w:t>
      </w:r>
    </w:p>
    <w:p w14:paraId="594C186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需支持实时或按随访计划设置时间，自动推送提醒消息、随访表单、宣教资料。</w:t>
      </w:r>
    </w:p>
    <w:p w14:paraId="575032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需支持微信渠道开展随访，发送微信随访提醒通知，推送随访问卷到微信公众号，患者可在手机端接收并填写。</w:t>
      </w:r>
    </w:p>
    <w:p w14:paraId="3AB5173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需支持短信渠道开展随访，发送随访提醒短信到患者手机端，患者在手机端填写并提交随访问卷。</w:t>
      </w:r>
    </w:p>
    <w:p w14:paraId="5047DF2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需支持随访AI智能语音、机器人拨打电话并自动识别收集等。</w:t>
      </w:r>
    </w:p>
    <w:p w14:paraId="704812D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9.3.4.6随访跟踪</w:t>
      </w:r>
    </w:p>
    <w:p w14:paraId="1808774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需支持查询随访计划详细，直观展现患者的随访情况，例如是否回复，是否异常等；患者回复无异常情况，支持随访任务自动完成。</w:t>
      </w:r>
    </w:p>
    <w:p w14:paraId="17D40A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需支持随访结果异常情况的预警和管理。患者回复有异常情况下，系统自动生成提醒内容并通知随访人员（短信）。</w:t>
      </w:r>
    </w:p>
    <w:p w14:paraId="3C981D9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需支持每天定时向随访人员发送前一日随访执行结果情况，包括随访记录情况。</w:t>
      </w:r>
    </w:p>
    <w:p w14:paraId="32B42C9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9.3.4.7随访记录</w:t>
      </w:r>
    </w:p>
    <w:p w14:paraId="45200EB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需支持查询患者的历次随访记录、表单记录、宣教记录、提醒记录。支持电话随访后，人工填写随访表单。</w:t>
      </w:r>
    </w:p>
    <w:p w14:paraId="79E1B5E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需支持查询患者院内病史记录。包括门诊、住院、医嘱、病历、报告等诊疗信息。</w:t>
      </w:r>
    </w:p>
    <w:p w14:paraId="630D6CC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9.3.4.8数据统计</w:t>
      </w:r>
    </w:p>
    <w:p w14:paraId="151348A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需支持按科室、随访人员分别的工作量统计功能，包括随访量、随访率、失访率等统计指标，支持报表下载、导出。</w:t>
      </w:r>
    </w:p>
    <w:p w14:paraId="1FD68B7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需支持按随访表单统计使用量情况。查询科室使用排名、医生使用排名。</w:t>
      </w:r>
    </w:p>
    <w:p w14:paraId="04B0AC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需支持按宣教材料统计使用量情况。查询科室使用排名、医生使用排名。</w:t>
      </w:r>
    </w:p>
    <w:p w14:paraId="08DFD96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9.3.4.9知识库管理</w:t>
      </w:r>
    </w:p>
    <w:p w14:paraId="0EA513B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需支持表单库、宣教库、短信库的查询、新建、编辑、删除等管理功能。表单题型至少包括：单项填空题、下拉选择题、单选题、多选题。</w:t>
      </w:r>
    </w:p>
    <w:p w14:paraId="6DF273F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69" w:name="_Toc26171"/>
      <w:bookmarkStart w:id="270" w:name="_Toc206078512"/>
      <w:bookmarkStart w:id="271" w:name="_Toc30929"/>
      <w:r>
        <w:rPr>
          <w:rFonts w:hint="eastAsia" w:ascii="宋体" w:hAnsi="宋体" w:eastAsia="宋体" w:cs="宋体"/>
          <w:b w:val="0"/>
          <w:bCs w:val="0"/>
          <w:color w:val="auto"/>
          <w:sz w:val="21"/>
          <w:szCs w:val="21"/>
          <w:highlight w:val="none"/>
          <w:lang w:val="en-US" w:eastAsia="zh-CN"/>
        </w:rPr>
        <w:t>9.3.5穿戴</w:t>
      </w:r>
      <w:bookmarkEnd w:id="269"/>
      <w:bookmarkEnd w:id="270"/>
      <w:bookmarkEnd w:id="271"/>
      <w:r>
        <w:rPr>
          <w:rFonts w:hint="eastAsia" w:ascii="宋体" w:hAnsi="宋体" w:eastAsia="宋体" w:cs="宋体"/>
          <w:b w:val="0"/>
          <w:bCs w:val="0"/>
          <w:color w:val="auto"/>
          <w:sz w:val="21"/>
          <w:szCs w:val="21"/>
          <w:highlight w:val="none"/>
          <w:lang w:val="en-US" w:eastAsia="zh-CN"/>
        </w:rPr>
        <w:t>应用</w:t>
      </w:r>
    </w:p>
    <w:p w14:paraId="09581A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9.3.5.1患者端（微信小程序）</w:t>
      </w:r>
    </w:p>
    <w:p w14:paraId="13FDBB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需支持健康数据展示，包括运动、心率、血压、血氧、睡眠、体温；</w:t>
      </w:r>
    </w:p>
    <w:p w14:paraId="08047D4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运动展示需包括运动距离和消耗热量，一周运动统计趋势图；运动目标和完成情况；</w:t>
      </w:r>
    </w:p>
    <w:p w14:paraId="2F470B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需支持心率展示测量心率和进7日测量趋势图，支持手动录入；</w:t>
      </w:r>
    </w:p>
    <w:p w14:paraId="5390E6E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需支持血压展示舒张压和收缩压和趋势图，展示当前血压状态，支持查看历史血压和支持手动录入；</w:t>
      </w:r>
    </w:p>
    <w:p w14:paraId="78F6BE4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需支持血氧饱和度展示测量数字和7日趋势图；</w:t>
      </w:r>
    </w:p>
    <w:p w14:paraId="2CEE70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需支持睡眠展示睡眠时长和睡眠趋势图；</w:t>
      </w:r>
    </w:p>
    <w:p w14:paraId="525FB08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需支持体温展示体温测量数值和7日体温变化趋势图；</w:t>
      </w:r>
    </w:p>
    <w:p w14:paraId="3C0306F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需支持患者测量后患者的客户端会弹出预警信息，包括时间、名称和数值；</w:t>
      </w:r>
    </w:p>
    <w:p w14:paraId="5B2E7A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需支持查看历史预警、可以拨打医院救助电话求助，可以进行线上或线下预约，可以制定自己的健康改善计划；</w:t>
      </w:r>
    </w:p>
    <w:p w14:paraId="210D6CD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72" w:name="_Hlk202976742"/>
      <w:r>
        <w:rPr>
          <w:rFonts w:hint="eastAsia" w:ascii="宋体" w:hAnsi="宋体" w:eastAsia="宋体" w:cs="宋体"/>
          <w:b w:val="0"/>
          <w:bCs w:val="0"/>
          <w:color w:val="auto"/>
          <w:sz w:val="21"/>
          <w:szCs w:val="21"/>
          <w:highlight w:val="none"/>
          <w:lang w:val="en-US" w:eastAsia="zh-CN"/>
        </w:rPr>
        <w:t>需</w:t>
      </w:r>
      <w:bookmarkEnd w:id="272"/>
      <w:r>
        <w:rPr>
          <w:rFonts w:hint="eastAsia" w:ascii="宋体" w:hAnsi="宋体" w:eastAsia="宋体" w:cs="宋体"/>
          <w:b w:val="0"/>
          <w:bCs w:val="0"/>
          <w:color w:val="auto"/>
          <w:sz w:val="21"/>
          <w:szCs w:val="21"/>
          <w:highlight w:val="none"/>
          <w:lang w:val="en-US" w:eastAsia="zh-CN"/>
        </w:rPr>
        <w:t>提供健康科普专栏，展示科普健康宣教内容。</w:t>
      </w:r>
    </w:p>
    <w:p w14:paraId="1B1624D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9.3.5.2医生端APP</w:t>
      </w:r>
    </w:p>
    <w:p w14:paraId="3B901B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需支持通过门诊号和住院号添加患者，支持扫描患者病历号二维码添加患者；支持移除患者；</w:t>
      </w:r>
    </w:p>
    <w:p w14:paraId="2282B84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生端需支持查询体征监测患者基本信息（包括姓名、手机号、性别、年龄、门诊号、住院号、家庭住址）、健康档案（身高、体重、现病史、既往史、家族史、过敏史）、穿戴设备体征参数（运动、心率、血压、血氧、睡眠、血糖、体重、体温）；</w:t>
      </w:r>
    </w:p>
    <w:p w14:paraId="0BE556D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需支持设置患者运动计划和提醒时间，支持设置心率预警值和预警提示间隔时间、支持设置血压预警，高压预警值和低压预警值；</w:t>
      </w:r>
    </w:p>
    <w:p w14:paraId="78421D8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针对体征预警和监测趋势，医生可以设置患者随访调查问卷，通过体征参数和随访调查给出患者健康管理计划。</w:t>
      </w:r>
    </w:p>
    <w:p w14:paraId="1B7465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9.3.5.3数据大屏展示</w:t>
      </w:r>
    </w:p>
    <w:p w14:paraId="5B6F000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需支持展示院内患者健康数据，主要包括步数、心率、睡眠、血压（B9）、脉率（心电B9）、体温（B9）、电量和佩戴状态；</w:t>
      </w:r>
    </w:p>
    <w:p w14:paraId="4C60477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需支持体征预警、设备脱落预警、电量预警。</w:t>
      </w:r>
    </w:p>
    <w:p w14:paraId="24A241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73" w:name="_Toc206078514"/>
      <w:bookmarkStart w:id="274" w:name="_Toc27718"/>
      <w:bookmarkStart w:id="275" w:name="_Toc24393"/>
      <w:r>
        <w:rPr>
          <w:rFonts w:hint="eastAsia" w:ascii="宋体" w:hAnsi="宋体" w:eastAsia="宋体" w:cs="宋体"/>
          <w:b w:val="0"/>
          <w:bCs w:val="0"/>
          <w:color w:val="auto"/>
          <w:sz w:val="21"/>
          <w:szCs w:val="21"/>
          <w:highlight w:val="none"/>
          <w:lang w:val="en-US" w:eastAsia="zh-CN"/>
        </w:rPr>
        <w:t>9.3.6运营管理</w:t>
      </w:r>
      <w:bookmarkEnd w:id="273"/>
      <w:bookmarkEnd w:id="274"/>
      <w:bookmarkEnd w:id="275"/>
    </w:p>
    <w:p w14:paraId="7FBA77B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9.3.6.1数据分析</w:t>
      </w:r>
    </w:p>
    <w:p w14:paraId="2F8FCD7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需支持各功能模块的入口埋点进行使用频率统计，通过使用频率的统计、分析。</w:t>
      </w:r>
    </w:p>
    <w:p w14:paraId="3AC9752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需支持互联网医院实时运营结果的监控、分析（监控首页、大屏）。</w:t>
      </w:r>
    </w:p>
    <w:p w14:paraId="5D9FC10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需支持医生行为分析、用户画像。</w:t>
      </w:r>
    </w:p>
    <w:p w14:paraId="54BD8A1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需支持患者行为分析、用户画像。</w:t>
      </w:r>
    </w:p>
    <w:p w14:paraId="0667EF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需支持挂号、退号行为统计、分析（黄牛分析）。</w:t>
      </w:r>
    </w:p>
    <w:p w14:paraId="5C6546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9.3.6.2基础安全</w:t>
      </w:r>
    </w:p>
    <w:p w14:paraId="344429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需支持互联网环境下患者敏感数据须加密存储，加密必须采用国产加密算法；</w:t>
      </w:r>
    </w:p>
    <w:p w14:paraId="35E9212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需支持互联网环境下信息系统所有数据须进行加密传输；</w:t>
      </w:r>
    </w:p>
    <w:p w14:paraId="4BA9F88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需支持定期组织漏洞扫描与渗透测试，并按照测试结果及时修补系统漏洞；</w:t>
      </w:r>
    </w:p>
    <w:p w14:paraId="52AF92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需支持使用患者院外信息须有患者电子授权。</w:t>
      </w:r>
    </w:p>
    <w:p w14:paraId="3495363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9.3.6.3监管数据</w:t>
      </w:r>
    </w:p>
    <w:p w14:paraId="5B4C8D8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需支持省监管平台上传数据记录查询，以及上传数据正确性校验。</w:t>
      </w:r>
    </w:p>
    <w:p w14:paraId="22DF4A5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76" w:name="_Toc206078515"/>
      <w:bookmarkStart w:id="277" w:name="_Toc18221"/>
      <w:bookmarkStart w:id="278" w:name="_Toc8304"/>
      <w:r>
        <w:rPr>
          <w:rFonts w:hint="eastAsia" w:ascii="宋体" w:hAnsi="宋体" w:eastAsia="宋体" w:cs="宋体"/>
          <w:b w:val="0"/>
          <w:bCs w:val="0"/>
          <w:color w:val="auto"/>
          <w:sz w:val="21"/>
          <w:szCs w:val="21"/>
          <w:highlight w:val="none"/>
          <w:lang w:val="en-US" w:eastAsia="zh-CN"/>
        </w:rPr>
        <w:t>9.3.7云服务</w:t>
      </w:r>
      <w:bookmarkEnd w:id="276"/>
      <w:bookmarkEnd w:id="277"/>
      <w:bookmarkEnd w:id="278"/>
    </w:p>
    <w:p w14:paraId="6B32D51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需包含一年即时通讯服务（不限时长与流程）；</w:t>
      </w:r>
    </w:p>
    <w:p w14:paraId="182516F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需包含一年实时音视频服务（不限流量）。</w:t>
      </w:r>
    </w:p>
    <w:p w14:paraId="61EECC4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79" w:name="_Toc206078516"/>
      <w:bookmarkStart w:id="280" w:name="_Toc10163"/>
      <w:bookmarkStart w:id="281" w:name="_Toc20906"/>
      <w:r>
        <w:rPr>
          <w:rFonts w:hint="eastAsia" w:ascii="宋体" w:hAnsi="宋体" w:eastAsia="宋体" w:cs="宋体"/>
          <w:b w:val="0"/>
          <w:bCs w:val="0"/>
          <w:color w:val="auto"/>
          <w:sz w:val="21"/>
          <w:szCs w:val="21"/>
          <w:highlight w:val="none"/>
          <w:lang w:val="en-US" w:eastAsia="zh-CN"/>
        </w:rPr>
        <w:t>9.3.8智能体</w:t>
      </w:r>
      <w:bookmarkEnd w:id="279"/>
      <w:bookmarkEnd w:id="280"/>
      <w:bookmarkEnd w:id="281"/>
    </w:p>
    <w:p w14:paraId="211FDC18">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9.3.8.1智能体云资源调用服务</w:t>
      </w:r>
    </w:p>
    <w:p w14:paraId="5E4B5AC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需包含不少于200万次调阅服务。</w:t>
      </w:r>
    </w:p>
    <w:p w14:paraId="0BE7AC1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82" w:name="_Toc206078517"/>
      <w:bookmarkStart w:id="283" w:name="_Toc21475"/>
      <w:r>
        <w:rPr>
          <w:rFonts w:hint="eastAsia" w:ascii="宋体" w:hAnsi="宋体" w:eastAsia="宋体" w:cs="宋体"/>
          <w:b w:val="0"/>
          <w:bCs w:val="0"/>
          <w:color w:val="auto"/>
          <w:sz w:val="21"/>
          <w:szCs w:val="21"/>
          <w:highlight w:val="none"/>
          <w:lang w:val="en-US" w:eastAsia="zh-CN"/>
        </w:rPr>
        <w:t>9.3.9服务</w:t>
      </w:r>
      <w:bookmarkEnd w:id="282"/>
      <w:bookmarkEnd w:id="283"/>
      <w:r>
        <w:rPr>
          <w:rFonts w:hint="eastAsia" w:ascii="宋体" w:hAnsi="宋体" w:eastAsia="宋体" w:cs="宋体"/>
          <w:b w:val="0"/>
          <w:bCs w:val="0"/>
          <w:color w:val="auto"/>
          <w:sz w:val="21"/>
          <w:szCs w:val="21"/>
          <w:highlight w:val="none"/>
          <w:lang w:val="en-US" w:eastAsia="zh-CN"/>
        </w:rPr>
        <w:t>要求</w:t>
      </w:r>
    </w:p>
    <w:p w14:paraId="51C1AF9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需提供1名产品开发工程师驻场。</w:t>
      </w:r>
    </w:p>
    <w:bookmarkEnd w:id="256"/>
    <w:p w14:paraId="0E7B224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84" w:name="_Toc30512"/>
      <w:bookmarkStart w:id="285" w:name="_Toc16825"/>
      <w:bookmarkStart w:id="286" w:name="_Toc6086"/>
      <w:bookmarkStart w:id="287" w:name="_Toc206078518"/>
      <w:bookmarkStart w:id="288" w:name="OLE_LINK3"/>
      <w:r>
        <w:rPr>
          <w:rFonts w:hint="eastAsia" w:ascii="宋体" w:hAnsi="宋体" w:eastAsia="宋体" w:cs="宋体"/>
          <w:b w:val="0"/>
          <w:bCs w:val="0"/>
          <w:color w:val="auto"/>
          <w:sz w:val="21"/>
          <w:szCs w:val="21"/>
          <w:highlight w:val="none"/>
          <w:lang w:val="en-US" w:eastAsia="zh-CN"/>
        </w:rPr>
        <w:t>9.4本地化改造及运维</w:t>
      </w:r>
      <w:bookmarkEnd w:id="284"/>
      <w:bookmarkEnd w:id="285"/>
      <w:bookmarkEnd w:id="286"/>
      <w:bookmarkEnd w:id="287"/>
      <w:r>
        <w:rPr>
          <w:rFonts w:hint="eastAsia" w:ascii="宋体" w:hAnsi="宋体" w:eastAsia="宋体" w:cs="宋体"/>
          <w:b w:val="0"/>
          <w:bCs w:val="0"/>
          <w:color w:val="auto"/>
          <w:sz w:val="21"/>
          <w:szCs w:val="21"/>
          <w:highlight w:val="none"/>
          <w:lang w:val="en-US" w:eastAsia="zh-CN"/>
        </w:rPr>
        <w:t>服务能力提升</w:t>
      </w:r>
    </w:p>
    <w:p w14:paraId="38CDE29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89" w:name="_Toc206078519"/>
      <w:bookmarkStart w:id="290" w:name="_Toc25069"/>
      <w:bookmarkStart w:id="291" w:name="_Toc19955"/>
      <w:r>
        <w:rPr>
          <w:rFonts w:hint="eastAsia" w:ascii="宋体" w:hAnsi="宋体" w:eastAsia="宋体" w:cs="宋体"/>
          <w:b w:val="0"/>
          <w:bCs w:val="0"/>
          <w:color w:val="auto"/>
          <w:sz w:val="21"/>
          <w:szCs w:val="21"/>
          <w:highlight w:val="none"/>
          <w:lang w:val="en-US" w:eastAsia="zh-CN"/>
        </w:rPr>
        <w:t>9.4.1系统日常运维</w:t>
      </w:r>
      <w:bookmarkEnd w:id="289"/>
      <w:bookmarkEnd w:id="290"/>
      <w:bookmarkEnd w:id="291"/>
    </w:p>
    <w:p w14:paraId="4D7BBE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围绕医院HIS、电子病历、LIS、PACS等核心业务系统的本地化应用场景，需建立7×24小时电话响应机制，实时处置系统紧急问题（如适配院内诊疗流程的功能异常、本地化数据交互故障）。针对系统本地化数据逻辑的提升改造需求（如贴合院内质控规则的数据调整），需制定标准化操作流程，严格执行双人复核机制，保障数据准确性与业务合规性。同时，需统筹协调集成平台、BI、血透治疗等系统厂商，结合医院本地化运维需求灵活安排远程或现场技术支持，定期输出系统运维分析报告，重点总结本地化问题处理效率与优化方向，确保运维服务贴合院内业务实际。</w:t>
      </w:r>
    </w:p>
    <w:p w14:paraId="1F43A08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92" w:name="_Toc24896"/>
      <w:bookmarkStart w:id="293" w:name="_Toc8597"/>
      <w:bookmarkStart w:id="294" w:name="_Toc206078520"/>
      <w:r>
        <w:rPr>
          <w:rFonts w:hint="eastAsia" w:ascii="宋体" w:hAnsi="宋体" w:eastAsia="宋体" w:cs="宋体"/>
          <w:b w:val="0"/>
          <w:bCs w:val="0"/>
          <w:color w:val="auto"/>
          <w:sz w:val="21"/>
          <w:szCs w:val="21"/>
          <w:highlight w:val="none"/>
          <w:lang w:val="en-US" w:eastAsia="zh-CN"/>
        </w:rPr>
        <w:t>9.4.2服务器数据库日常运维</w:t>
      </w:r>
      <w:bookmarkEnd w:id="292"/>
      <w:bookmarkEnd w:id="293"/>
      <w:bookmarkEnd w:id="294"/>
    </w:p>
    <w:p w14:paraId="0072163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聚焦医院服务器与数据库本地化部署环境（如适配院内业务负载的服务器架构、贴合医疗数据特征的数据库配置），需提供集成运维服务。开展针对性日常巡检（如检查服务器适配院内业务高峰的运行状态、数据库支撑本地化数据存储的稳定性），需结合院内业务负载特征提供硬件升级适配建议，快速排查解决适配本地化应用的数据库故障与应用异常，定期输出运维服务报告，重点反馈本地化部署环境的优化空间。</w:t>
      </w:r>
    </w:p>
    <w:p w14:paraId="33CBE8A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各系统数据库语句效率分析、数据库死循环、冗余语句检查等基于SQL语句的审查与优化，并给出详细的分析报告和测试优化结果；按季度分析应用程序与数据库的交互方式，检查数据库参数配置、内存分配、锁竞争机制等，并给出详细的分析报告和测试优化结果；按季度或半年期审分析查现有表结构、索引设计及数据库分区策略，并提出优化调整方案；根据实际业务负载，对数据库配置参数进行精细化吊证，充分发挥数据库性能。</w:t>
      </w:r>
    </w:p>
    <w:p w14:paraId="30A9BF0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95" w:name="_Toc206078521"/>
      <w:bookmarkStart w:id="296" w:name="_Toc5081"/>
      <w:bookmarkStart w:id="297" w:name="_Toc8755"/>
      <w:r>
        <w:rPr>
          <w:rFonts w:hint="eastAsia" w:ascii="宋体" w:hAnsi="宋体" w:eastAsia="宋体" w:cs="宋体"/>
          <w:b w:val="0"/>
          <w:bCs w:val="0"/>
          <w:color w:val="auto"/>
          <w:sz w:val="21"/>
          <w:szCs w:val="21"/>
          <w:highlight w:val="none"/>
          <w:lang w:val="en-US" w:eastAsia="zh-CN"/>
        </w:rPr>
        <w:t>9.4.3政策性接口</w:t>
      </w:r>
      <w:bookmarkEnd w:id="295"/>
      <w:bookmarkEnd w:id="296"/>
      <w:bookmarkEnd w:id="297"/>
    </w:p>
    <w:p w14:paraId="7B12BC9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密切跟踪国家及地方政策性要求，需结合医院业务流程本地化特点，将政策需求转化为系统本地化适配任务（如调整医保接口以匹配院内结算流程、优化质控接口以贴合院内数据统计口径），确保系统功能与政策要求、院内实际业务双适配，保障系统合规性与业务连续性。</w:t>
      </w:r>
    </w:p>
    <w:p w14:paraId="18D98F7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298" w:name="_Toc21446"/>
      <w:bookmarkStart w:id="299" w:name="_Toc14653"/>
      <w:bookmarkStart w:id="300" w:name="_Toc206078522"/>
      <w:r>
        <w:rPr>
          <w:rFonts w:hint="eastAsia" w:ascii="宋体" w:hAnsi="宋体" w:eastAsia="宋体" w:cs="宋体"/>
          <w:b w:val="0"/>
          <w:bCs w:val="0"/>
          <w:color w:val="auto"/>
          <w:sz w:val="21"/>
          <w:szCs w:val="21"/>
          <w:highlight w:val="none"/>
          <w:lang w:val="en-US" w:eastAsia="zh-CN"/>
        </w:rPr>
        <w:t>9.4.4业务系统功能需求改造</w:t>
      </w:r>
      <w:bookmarkEnd w:id="298"/>
      <w:bookmarkEnd w:id="299"/>
      <w:bookmarkEnd w:id="300"/>
    </w:p>
    <w:p w14:paraId="6D607B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设立专职需求响应小组，承接各类非模块级业务修改任务。通过建立需求池管理机制，依据业务紧急程度与重要性进行优先级排序，确保需求处理高效有序。在需求开发过程中，需严格遵循编码规范与测试流程，完成后由业务部门进行验收确认，保障修改内容精准匹配业务需求。需每月汇总需求处理情况，形成业务需求修改报告，展示需求完成进度、用户反馈及优化建议。（协同改造内容包含不限于,患者“一页纸”就诊、门急诊病案无纸化管理、疼痛评估应用改造、门诊化疗应用改造、床位预约应用改造、会诊管理应用改造、血站实时库存改造、多学科协作改造、检查预约应用改造、慢病管理应用改造、自助出入院应用改造、双向转诊应用改造、健康管理体检中心应用改造、专家团队出诊改造、AI融合应用改造。）</w:t>
      </w:r>
    </w:p>
    <w:p w14:paraId="29785A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01" w:name="_Toc18810"/>
      <w:bookmarkStart w:id="302" w:name="_Toc206078523"/>
      <w:bookmarkStart w:id="303" w:name="_Toc3640"/>
      <w:r>
        <w:rPr>
          <w:rFonts w:hint="eastAsia" w:ascii="宋体" w:hAnsi="宋体" w:eastAsia="宋体" w:cs="宋体"/>
          <w:b w:val="0"/>
          <w:bCs w:val="0"/>
          <w:color w:val="auto"/>
          <w:sz w:val="21"/>
          <w:szCs w:val="21"/>
          <w:highlight w:val="none"/>
          <w:lang w:val="en-US" w:eastAsia="zh-CN"/>
        </w:rPr>
        <w:t>9.4.5日常报表、数据统计服务</w:t>
      </w:r>
      <w:bookmarkEnd w:id="301"/>
      <w:bookmarkEnd w:id="302"/>
      <w:bookmarkEnd w:id="303"/>
    </w:p>
    <w:p w14:paraId="092954A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需配备专业数据分析团队，基于医院各业务系统数据，定制化开发日常报表模板，涵盖门诊、住院、财务、物资等多维度业务数据统计，需同步进行数据校验与异常值排查，确保数据统计的及时性与准确性。</w:t>
      </w:r>
    </w:p>
    <w:p w14:paraId="11A0993B">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9.4.6数据治理与合规改进服务</w:t>
      </w:r>
    </w:p>
    <w:p w14:paraId="59231FC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依托医院集成平台开展数据收集、标准化治理与调取分析，需成立专项服务小组；日常通过治理后的数据支撑院内合规管理，需在医保监管、内部审计等工作开展前，结合治理数据集对信息系统自查排查风险并制定预案，工作期间高效提供数据与功能支撑，针对发现的问题协同制定整改方案并跟踪闭环；最终基于全流程数据治理与分析结果形成改进报告，需提出系统优化与业务流程完善建议，推动医院合规管理与业务质量持续提升。</w:t>
      </w:r>
    </w:p>
    <w:p w14:paraId="33863F9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04" w:name="_Toc13067"/>
      <w:bookmarkStart w:id="305" w:name="_Toc12169"/>
      <w:bookmarkStart w:id="306" w:name="_Toc206078525"/>
      <w:r>
        <w:rPr>
          <w:rFonts w:hint="eastAsia" w:ascii="宋体" w:hAnsi="宋体" w:eastAsia="宋体" w:cs="宋体"/>
          <w:b w:val="0"/>
          <w:bCs w:val="0"/>
          <w:color w:val="auto"/>
          <w:sz w:val="21"/>
          <w:szCs w:val="21"/>
          <w:highlight w:val="none"/>
          <w:lang w:val="en-US" w:eastAsia="zh-CN"/>
        </w:rPr>
        <w:t>9.4.7临床满意度提升巡检服务</w:t>
      </w:r>
      <w:bookmarkEnd w:id="304"/>
      <w:bookmarkEnd w:id="305"/>
      <w:bookmarkEnd w:id="306"/>
    </w:p>
    <w:p w14:paraId="4041CC0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每季度开展临床满意度专项巡检工作，组建由技术人员与业务骨干构成的巡检小组，深入各临床科室进行实地走访与问卷调查，全面收集系统使用过程中存在的问题，涵盖操作便捷性、功能完整性、响应速度等多个维度。针对收集到的问题，建立台账管理机制，明确责任人和解决时限，实时跟踪问题解决进度。对于无法当场解决的复杂问题，需协调相关部门与厂商资源共同攻关。巡检结束后，需编制临床满意度提升报告，详细阐述问题收集情况、解决措施及效果评估，为后续系统优化提供数据支撑。</w:t>
      </w:r>
    </w:p>
    <w:p w14:paraId="373D42B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07" w:name="_Toc206078526"/>
      <w:bookmarkStart w:id="308" w:name="_Toc29222"/>
      <w:bookmarkStart w:id="309" w:name="_Toc17111"/>
      <w:r>
        <w:rPr>
          <w:rFonts w:hint="eastAsia" w:ascii="宋体" w:hAnsi="宋体" w:eastAsia="宋体" w:cs="宋体"/>
          <w:b w:val="0"/>
          <w:bCs w:val="0"/>
          <w:color w:val="auto"/>
          <w:sz w:val="21"/>
          <w:szCs w:val="21"/>
          <w:highlight w:val="none"/>
          <w:lang w:val="en-US" w:eastAsia="zh-CN"/>
        </w:rPr>
        <w:t>9.4.8系统性能季度改善</w:t>
      </w:r>
      <w:bookmarkEnd w:id="307"/>
      <w:bookmarkEnd w:id="308"/>
      <w:bookmarkEnd w:id="309"/>
    </w:p>
    <w:p w14:paraId="44366C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需每季度开展系统性能专项优化工作，组建性能调优技术团队，运用专业性能监测工具，对医院各信息系统进行全面性能评估，涵盖系统响应时间、吞吐量、资源利用率等核心指标，深度分析性能瓶颈问题。优化完成后，进行压力测试与性能验证，确保系统性能得到显著提升。最终形成系统性能季度改善报告，展示性能优化前后对比数据、优化措施及效果评估，为系统持续稳定运行提供保障。</w:t>
      </w:r>
    </w:p>
    <w:bookmarkEnd w:id="288"/>
    <w:p w14:paraId="76E115E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10.管理与实施要求</w:t>
      </w:r>
    </w:p>
    <w:p w14:paraId="3411F5B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10" w:name="_Toc462781076"/>
      <w:bookmarkStart w:id="311" w:name="_Toc215458291"/>
      <w:bookmarkStart w:id="312" w:name="_Toc510606378"/>
      <w:bookmarkStart w:id="313" w:name="_Toc14723226"/>
      <w:r>
        <w:rPr>
          <w:rFonts w:hint="eastAsia" w:ascii="宋体" w:hAnsi="宋体" w:eastAsia="宋体" w:cs="宋体"/>
          <w:b w:val="0"/>
          <w:bCs w:val="0"/>
          <w:color w:val="auto"/>
          <w:sz w:val="21"/>
          <w:szCs w:val="21"/>
          <w:highlight w:val="none"/>
          <w:lang w:val="en-US" w:eastAsia="zh-CN"/>
        </w:rPr>
        <w:t>10.1项目小组</w:t>
      </w:r>
      <w:bookmarkEnd w:id="310"/>
      <w:bookmarkEnd w:id="311"/>
      <w:bookmarkEnd w:id="312"/>
      <w:bookmarkEnd w:id="313"/>
    </w:p>
    <w:p w14:paraId="300B58C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供应商应成立针对信息系统建设的项目小组，服务期运维驻场人员不少于10人，成员包括并不限于：</w:t>
      </w:r>
    </w:p>
    <w:p w14:paraId="3E58823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项目经理：具备三年以上同类项目管理工作经验，并全权代表供应商执行各项技术及管理工作；提供2025年5月至今任意连续3个月的社保缴纳证明材料。</w:t>
      </w:r>
    </w:p>
    <w:p w14:paraId="6489126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系统工程师：具备三年以上系统开发及管理、运维经验，并具有在三甲医院系统开发应用管理和系统分析经验； </w:t>
      </w:r>
    </w:p>
    <w:p w14:paraId="79932A97">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项目实施、运维服务人员：项目签约后，供应商须提供常驻项目实施人员在相应现场工作，直至项目结束。运维服务驻场人员不得随意更换，更换需提前20天报备并经医院同意。</w:t>
      </w:r>
    </w:p>
    <w:p w14:paraId="1DD5DFC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项目管理与上线支持人员：系统上线期间，供应商须提供项目管理与上线支持人员；人员须为供应商正式员工，且任职一年以上。</w:t>
      </w:r>
    </w:p>
    <w:p w14:paraId="30F60DE3">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14" w:name="_Toc462781077"/>
      <w:bookmarkStart w:id="315" w:name="_Toc510606379"/>
      <w:bookmarkStart w:id="316" w:name="_Toc14723227"/>
      <w:r>
        <w:rPr>
          <w:rFonts w:hint="eastAsia" w:ascii="宋体" w:hAnsi="宋体" w:eastAsia="宋体" w:cs="宋体"/>
          <w:b w:val="0"/>
          <w:bCs w:val="0"/>
          <w:color w:val="auto"/>
          <w:sz w:val="21"/>
          <w:szCs w:val="21"/>
          <w:highlight w:val="none"/>
          <w:lang w:val="en-US" w:eastAsia="zh-CN"/>
        </w:rPr>
        <w:t>10.2项目进度要求</w:t>
      </w:r>
      <w:bookmarkEnd w:id="314"/>
      <w:bookmarkEnd w:id="315"/>
      <w:bookmarkEnd w:id="316"/>
    </w:p>
    <w:p w14:paraId="6A7F9355">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采购人根据对核心业务实施内容的工期要求（由用户方最终确定），要按时保质完成系统上线工作。</w:t>
      </w:r>
    </w:p>
    <w:p w14:paraId="3B4403D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17" w:name="_Toc462781078"/>
      <w:bookmarkStart w:id="318" w:name="_Toc14723228"/>
      <w:bookmarkStart w:id="319" w:name="_Toc215458294"/>
      <w:bookmarkStart w:id="320" w:name="_Toc510606380"/>
      <w:bookmarkStart w:id="321" w:name="_Toc181375118"/>
      <w:bookmarkStart w:id="322" w:name="_Toc212521631"/>
      <w:r>
        <w:rPr>
          <w:rFonts w:hint="eastAsia" w:ascii="宋体" w:hAnsi="宋体" w:eastAsia="宋体" w:cs="宋体"/>
          <w:b w:val="0"/>
          <w:bCs w:val="0"/>
          <w:color w:val="auto"/>
          <w:sz w:val="21"/>
          <w:szCs w:val="21"/>
          <w:highlight w:val="none"/>
          <w:lang w:val="en-US" w:eastAsia="zh-CN"/>
        </w:rPr>
        <w:t>10.3文档资料管理</w:t>
      </w:r>
      <w:bookmarkEnd w:id="317"/>
      <w:bookmarkEnd w:id="318"/>
      <w:bookmarkEnd w:id="319"/>
      <w:bookmarkEnd w:id="320"/>
      <w:bookmarkEnd w:id="321"/>
      <w:bookmarkEnd w:id="322"/>
    </w:p>
    <w:p w14:paraId="3B5502E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投标人需要提供完善的文档，并对项目进行过程中的文档进行有效的管理，接受用户方对项目各阶段评估分析和监督管理。</w:t>
      </w:r>
    </w:p>
    <w:p w14:paraId="475D856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整个项目的过程包括后期修改维护贯穿ISO9001和CMM的规范，使用国家标准码，提供齐全的项目管理、设计和开发、操作说明书面文档和电子版。</w:t>
      </w:r>
    </w:p>
    <w:p w14:paraId="69D2A0D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23" w:name="_Toc448934261"/>
      <w:bookmarkEnd w:id="323"/>
      <w:bookmarkStart w:id="324" w:name="_Toc14723229"/>
      <w:r>
        <w:rPr>
          <w:rFonts w:hint="eastAsia" w:ascii="宋体" w:hAnsi="宋体" w:eastAsia="宋体" w:cs="宋体"/>
          <w:b w:val="0"/>
          <w:bCs w:val="0"/>
          <w:color w:val="auto"/>
          <w:sz w:val="21"/>
          <w:szCs w:val="21"/>
          <w:highlight w:val="none"/>
          <w:lang w:val="en-US" w:eastAsia="zh-CN"/>
        </w:rPr>
        <w:t>11.培训要求</w:t>
      </w:r>
      <w:bookmarkEnd w:id="324"/>
    </w:p>
    <w:p w14:paraId="5070762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为保障医院信息系统提升改造工作顺利落地、驻场运维服务规范高效开展，确保全院医护、行政及医技相关人员熟练掌握系统操作、运维流程及应急处置能力，要求投标人提供对应技术培训。</w:t>
      </w:r>
    </w:p>
    <w:p w14:paraId="057266A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培训对象：临床医护人员、收费窗口人员、药房及药库人员、病案及行政管理人员、医技科室操作人员、信息管理人员等。</w:t>
      </w:r>
    </w:p>
    <w:p w14:paraId="10D9DBE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培训方式：包括并不限于现场培训、远程培训等，培训次数不少于3次，也可根据用户使用情况开展单独针对性培训。方式可采用集中授课、现场演示、上机实操、分组演练相结合的方式开展。</w:t>
      </w:r>
    </w:p>
    <w:p w14:paraId="10D5293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提供相关的操作说明书、用户手册、操作视频等。并由中标人自行完成培训文档的编制及记录。</w:t>
      </w:r>
    </w:p>
    <w:p w14:paraId="5C9A309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与培训相关的费用，投标人应当一并计算在投标报价中，在实施完成结束前，将不为此支付此类费用。</w:t>
      </w:r>
    </w:p>
    <w:p w14:paraId="2245F681">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bookmarkStart w:id="325" w:name="_Toc14723230"/>
      <w:r>
        <w:rPr>
          <w:rFonts w:hint="eastAsia" w:ascii="宋体" w:hAnsi="宋体" w:eastAsia="宋体" w:cs="宋体"/>
          <w:b w:val="0"/>
          <w:bCs w:val="0"/>
          <w:color w:val="auto"/>
          <w:sz w:val="21"/>
          <w:szCs w:val="21"/>
          <w:highlight w:val="none"/>
          <w:lang w:val="en-US" w:eastAsia="zh-CN"/>
        </w:rPr>
        <w:t>12.技术支持和服务要求</w:t>
      </w:r>
      <w:bookmarkEnd w:id="325"/>
    </w:p>
    <w:p w14:paraId="710E85CE">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投标人应该提供各类技术人员的职责，方便用户与相关人员的沟通，协助制定相关子系统的操作规章制度。</w:t>
      </w:r>
    </w:p>
    <w:p w14:paraId="553032F6">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投标人应该在项目的实施过程中提供软件支持的服务，这些服务应该包括：</w:t>
      </w:r>
    </w:p>
    <w:p w14:paraId="351FDC6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对影响到应用系统平稳作业的问题解答与分析，并提出解决方案；</w:t>
      </w:r>
    </w:p>
    <w:p w14:paraId="22578834">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定期进行程序错误的修改、维护、实施；</w:t>
      </w:r>
    </w:p>
    <w:p w14:paraId="1311077D">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信息系统的服务关联到软硬件的各个方面，因此必须对所有相关的变化进行实时的更新；</w:t>
      </w:r>
    </w:p>
    <w:p w14:paraId="0F58FCA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对所有的维护活动进行记录，并形成规范的文档，例如记录时间、地点、原因，最后还要注明完成的时间和人员；</w:t>
      </w:r>
    </w:p>
    <w:p w14:paraId="63E1A65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提供7*24小时的现场维护和故障解决；</w:t>
      </w:r>
    </w:p>
    <w:p w14:paraId="62B7A5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投标人应提供系统的维护服务，维护服务包含但不局限于以下几点：</w:t>
      </w:r>
    </w:p>
    <w:p w14:paraId="3A440C8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管理、维护系统以及与其他系统的接口；</w:t>
      </w:r>
    </w:p>
    <w:p w14:paraId="5FA1C6A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问题解答、问题分析、与其他合作方的协作；</w:t>
      </w:r>
    </w:p>
    <w:p w14:paraId="5C4FABB2">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修正应用软件的错误；</w:t>
      </w:r>
    </w:p>
    <w:p w14:paraId="777AA520">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维护和执行的服务必须满足系统的操作；</w:t>
      </w:r>
    </w:p>
    <w:p w14:paraId="371DB82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信息系统的服务是与整个系统相关的，维护服务必须保证系统的一致性与稳定性；</w:t>
      </w:r>
    </w:p>
    <w:p w14:paraId="0A2FAAC9">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对系统的每一次改变或是升级都必须对需求进行检查；</w:t>
      </w:r>
    </w:p>
    <w:p w14:paraId="61B78DF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评估并保证建议的解决方案是完全符合目前的操作模式，并对系统的正常运作没有影响，所有的调优或修改建议不能够降低系统操作性能。</w:t>
      </w:r>
      <w:bookmarkEnd w:id="153"/>
    </w:p>
    <w:p w14:paraId="59CE890F">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lang w:val="en-US" w:eastAsia="zh-CN"/>
        </w:rPr>
        <w:t>【商务要求】售后及运维服务要求（投标人须提供符合下列所有要求的承诺书）</w:t>
      </w:r>
    </w:p>
    <w:p w14:paraId="636CEB19">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支持医院后期管理需求，提供售后服务方案、售后服务承诺、保障措施、故障排除速度及维护期内外的后续技术支持和维护能力。</w:t>
      </w:r>
    </w:p>
    <w:p w14:paraId="64841870">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提供产品涉及第三方软件或系统的，中标后须提供第三方原厂授权函及维保服务承诺。</w:t>
      </w:r>
    </w:p>
    <w:p w14:paraId="3AAA7248">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投标人提供产品可根据医院业务的集成需求，提供三种不同的接入方式供选择：API接入、B/S接入、C/S接入，基于不用的接入方式可提供相应的接口文档。</w:t>
      </w:r>
    </w:p>
    <w:p w14:paraId="37EEF5B8">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项目系统必须符合国家、国际标准的未来发展方向、结构化、模块化、稳定可靠。</w:t>
      </w:r>
    </w:p>
    <w:p w14:paraId="65556B35">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可针对国家电子病历系统应用水平分级评级(智慧医疗分级评级）5-7级、智慧服务分级评估3-5级、智慧管理分级评估3-5级、互联互通成熟度评价四乙以上等分级评价的相关要求进行适应性功能改造。</w:t>
      </w:r>
    </w:p>
    <w:p w14:paraId="18FEC884">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项目系统必须根据医院使用部门要求，持续完善功能模块改造，支持个性化定制。</w:t>
      </w:r>
    </w:p>
    <w:p w14:paraId="015F37E3">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项目系统必须实现与医院现有信息系统，包括但不限于：HIS、EMR、病历质控系统、手麻系统、集成平台、数据中心、无纸化、OA、人力资源OES、上级主管部门要求的系统等的按需无缝对接，实现数据的自动传输。</w:t>
      </w:r>
    </w:p>
    <w:p w14:paraId="3CEFC154">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免费开放软件相关信息，如接口、视图、数据字典等内容，供第三方应用实现连接。</w:t>
      </w:r>
    </w:p>
    <w:p w14:paraId="54D88064">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提供支撑本项目应用服务所需的所有的软件、操作系统、数据库、驱动程序和各类辅助软件。</w:t>
      </w:r>
    </w:p>
    <w:p w14:paraId="10C26F92">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须提供与医院运营相适应的应急预案。</w:t>
      </w:r>
    </w:p>
    <w:p w14:paraId="58779E9B">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系统有良好的操作界面，与用户常规操作习惯相符。系统可根据不断增长的业务需求进行快速、灵活的扩容。</w:t>
      </w:r>
    </w:p>
    <w:p w14:paraId="64C9B72D">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项目涉及建设系统验收后提供1年的免费维保服务及技术支持。免费维保期满后，年度维护费不超过项目相应模块合同金额的10%。</w:t>
      </w:r>
    </w:p>
    <w:p w14:paraId="298526E5">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服务期内提供本地化驻场服务，7*24小时服务响应，有专业维修工程师及技术人员，能提供及时的技术支持及售后服务。7*24小时技术支持，专业维修工程师及技术人员在15分钟内到达现场维护。</w:t>
      </w:r>
    </w:p>
    <w:p w14:paraId="7431E818">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必须按照医院管理要求定期进行巡检并生成巡检记录。</w:t>
      </w:r>
    </w:p>
    <w:p w14:paraId="39A1D6CE">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所提供相关软件必须有正版授权或具有自主知识产权。</w:t>
      </w:r>
    </w:p>
    <w:p w14:paraId="10BA80DE">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须承诺本次所投产品均为厂家原包装，符合国家质量认证标准要求，提供产品技术资料(使用说明书、合格证等)。</w:t>
      </w:r>
    </w:p>
    <w:p w14:paraId="5DEE8AEE">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产品到货3个月内若有质量问题，免费更换全新的相同产品。</w:t>
      </w:r>
    </w:p>
    <w:p w14:paraId="2354B4D7">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质保期内，一般常规类故障保证在3天内修复，复杂疑难故障保证在7天内修复。</w:t>
      </w:r>
    </w:p>
    <w:p w14:paraId="1C0FDC66">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运维服务验收前接受医院的服务考核。</w:t>
      </w:r>
    </w:p>
    <w:p w14:paraId="4EEBA1B8">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对所投产品的技术性能、参数、程序、结构、使用说明和其它技术资料，以及采购人的任何业务架构、业务数据等信息严格保密，不得泄露，与采购方签署保密协议，未经采购方书面批准，不得对设备内的任何数据进行拷贝、提取或统计。</w:t>
      </w:r>
    </w:p>
    <w:p w14:paraId="51F4725B">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具有与甲方医院信息系统联接进行信息交换功能的软件系统、仪器设备及附带的软件系统、软件改造技术服务等，必须免费提供数据接口和相关的联接附件，并协助完成安装调试。可满足标准化的数据（含音频、视频、图像等各类数据）传输要求和医院数据采集需求，承担与第三方对接产生的所有费用。</w:t>
      </w:r>
    </w:p>
    <w:p w14:paraId="308DA40C">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根据医院信息化项目建设规划及上级部门要求，适时配合医院完成信创改造、网络安全等级保护测评、密评密改相关工作。</w:t>
      </w:r>
    </w:p>
    <w:p w14:paraId="41472392">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本地化改造及运维服务须提供惩罚措施并接受采购人的服务考核，考核内容详见附件。</w:t>
      </w:r>
    </w:p>
    <w:p w14:paraId="394A54C9">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每次系统软件故障、卡顿等问题出现，要求分级处理并给出故障处理和分析报告，由院方认可签字；同类故障出现2次及以上仍未解决的，要求在现有运维技术团队基础上增派更高一级技术团队现场限期处理，并提供故障分析和处置报告。</w:t>
      </w:r>
    </w:p>
    <w:p w14:paraId="32B11B9F">
      <w:pPr>
        <w:pStyle w:val="436"/>
        <w:widowControl w:val="0"/>
        <w:numPr>
          <w:ilvl w:val="0"/>
          <w:numId w:val="82"/>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提供支持医院对特殊人群、VIP患者的业务开发，支持干部保健涉及PACS、LIS、HIS、无纸化病历等系统的隐私保护。</w:t>
      </w:r>
    </w:p>
    <w:p w14:paraId="03AAAA8C">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w:t>
      </w:r>
      <w:r>
        <w:rPr>
          <w:rFonts w:hint="eastAsia" w:ascii="宋体" w:hAnsi="宋体" w:eastAsia="宋体" w:cs="宋体"/>
          <w:color w:val="auto"/>
          <w:sz w:val="21"/>
          <w:szCs w:val="21"/>
          <w:highlight w:val="none"/>
        </w:rPr>
        <w:t>■</w:t>
      </w:r>
      <w:r>
        <w:rPr>
          <w:rFonts w:hint="eastAsia" w:ascii="宋体" w:hAnsi="宋体" w:eastAsia="宋体" w:cs="宋体"/>
          <w:b w:val="0"/>
          <w:bCs w:val="0"/>
          <w:color w:val="auto"/>
          <w:sz w:val="21"/>
          <w:szCs w:val="21"/>
          <w:highlight w:val="none"/>
          <w:lang w:val="en-US" w:eastAsia="zh-CN"/>
        </w:rPr>
        <w:t>【商务要求】网络信息与数据安全要求（投标人须提供符合下列所有要求的承诺书）</w:t>
      </w:r>
    </w:p>
    <w:p w14:paraId="455D6AB7">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系统的规划、建设、运行必须符合《中华人民共和国网络安全法》《中华人民共和国密码法》《中华人民共和国数据保护法》《中华人民共和国个人信息保护法》《信息安全技术 网络安全等级保护基本要求》《医疗卫生机构网络安全管理办法》《昆明医科大学第一附属医院网络信息与数据安全保护办法》《昆明医科大学第一附属医院第三方网络信息与数据安全管理办法》等网络安全相关法律法规和规章制度；</w:t>
      </w:r>
    </w:p>
    <w:p w14:paraId="2BD3CE9D">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项目采用的产品禁止使用未通过网络安全审查的公司产品；</w:t>
      </w:r>
    </w:p>
    <w:p w14:paraId="77AA3898">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使用的云计算服务（云平台）应根据《中央网络安全和信息化领导小组办公室关于加强党政部门云计算服务网络安全管理意见》（中网办发文[2014]14号）和《关于党政机关采购使用通过安全评估的云计算服务的通知》等有关规定要求，通过云计算服务安全评估专业技术机构的评估；</w:t>
      </w:r>
    </w:p>
    <w:p w14:paraId="584A1E12">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项目采用的生成式人工智能技术应符合《生成式人工智能服务管理暂行办法》的相关要求；</w:t>
      </w:r>
    </w:p>
    <w:p w14:paraId="2E70864F">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项目采用的生成式人工智能服务如具备舆论属性或者社会动员能力的，应按照国家有关规定开展安全评估，并按照《互联网信息服务算法推荐管理规定》履行算法备案和变更、注销备案手续；</w:t>
      </w:r>
    </w:p>
    <w:p w14:paraId="2DDD6283">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项目如采用人脸识别技术应用，应符合《人脸识别技术应用安全管理办法》的要求；</w:t>
      </w:r>
    </w:p>
    <w:p w14:paraId="2118FEF4">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供应商需承诺配合甲方及使用方开展相关网络产品和服务的网络安全审查工作，根据甲方要求提交相关材料，配合做好现场评估、整改等工作；</w:t>
      </w:r>
    </w:p>
    <w:p w14:paraId="56F9956E">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应做好源代码及配置文件安全保护，并保证其交付的软件源代码不外泄，当供应商源代码托管到第三方代码托管平台管理时，须采取严格的安全管控措施，并向甲方及使用方报批，经甲方及使用方书面批准后方可实施，后续若由于托管导致甲方及使用方利益受损，供应商应承担全部责任；</w:t>
      </w:r>
    </w:p>
    <w:p w14:paraId="3FE67F0B">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供应商应加强业务连续性资源建设，提升应急处置能力，制定产品和服务应急响应预案，预案应包括安全漏洞处置、源代码泄露、产品服务不可用等场景；</w:t>
      </w:r>
    </w:p>
    <w:p w14:paraId="08A499EC">
      <w:pPr>
        <w:pStyle w:val="436"/>
        <w:widowControl w:val="0"/>
        <w:numPr>
          <w:ilvl w:val="0"/>
          <w:numId w:val="83"/>
        </w:numPr>
        <w:spacing w:line="360" w:lineRule="auto"/>
        <w:ind w:left="1045" w:leftChars="0" w:firstLine="15"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供应商应加强自身网络安全防护体系的建设，严格落实互联网访问控制，加强网络安全管理。</w:t>
      </w:r>
    </w:p>
    <w:p w14:paraId="7ACAC6B6">
      <w:pPr>
        <w:numPr>
          <w:ilvl w:val="-1"/>
          <w:numId w:val="0"/>
        </w:numPr>
        <w:ind w:left="0" w:leftChars="0" w:firstLine="0" w:firstLineChars="0"/>
        <w:rPr>
          <w:rFonts w:hint="eastAsia" w:ascii="宋体" w:hAnsi="宋体" w:eastAsia="宋体"/>
          <w:color w:val="auto"/>
          <w:highlight w:val="none"/>
        </w:rPr>
      </w:pPr>
    </w:p>
    <w:p w14:paraId="2DB1ACCE">
      <w:pPr>
        <w:numPr>
          <w:ilvl w:val="-1"/>
          <w:numId w:val="0"/>
        </w:numPr>
        <w:ind w:firstLine="0" w:firstLineChars="0"/>
        <w:rPr>
          <w:rFonts w:hint="eastAsia" w:ascii="宋体" w:hAnsi="宋体" w:eastAsia="宋体"/>
          <w:color w:val="auto"/>
          <w:highlight w:val="none"/>
        </w:rPr>
      </w:pPr>
      <w:r>
        <w:rPr>
          <w:rFonts w:hint="eastAsia" w:ascii="宋体" w:hAnsi="宋体" w:eastAsia="宋体"/>
          <w:color w:val="auto"/>
          <w:highlight w:val="none"/>
        </w:rPr>
        <w:br w:type="page"/>
      </w:r>
    </w:p>
    <w:p w14:paraId="6CC8BF2A">
      <w:pPr>
        <w:pStyle w:val="436"/>
        <w:widowControl w:val="0"/>
        <w:numPr>
          <w:ilvl w:val="0"/>
          <w:numId w:val="0"/>
        </w:numPr>
        <w:spacing w:line="360" w:lineRule="auto"/>
        <w:ind w:left="1060" w:left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15.附件：考核表（参考如下）</w:t>
      </w:r>
    </w:p>
    <w:tbl>
      <w:tblPr>
        <w:tblStyle w:val="4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2799"/>
        <w:gridCol w:w="1170"/>
        <w:gridCol w:w="1095"/>
        <w:gridCol w:w="1565"/>
        <w:gridCol w:w="833"/>
        <w:gridCol w:w="1207"/>
      </w:tblGrid>
      <w:tr w14:paraId="6F4F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107" w:type="dxa"/>
            <w:vAlign w:val="center"/>
          </w:tcPr>
          <w:p w14:paraId="54EAC6A4">
            <w:pPr>
              <w:ind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项目名称</w:t>
            </w:r>
          </w:p>
        </w:tc>
        <w:tc>
          <w:tcPr>
            <w:tcW w:w="5064" w:type="dxa"/>
            <w:gridSpan w:val="3"/>
            <w:vAlign w:val="center"/>
          </w:tcPr>
          <w:p w14:paraId="315EDC17">
            <w:pPr>
              <w:ind w:firstLine="360"/>
              <w:rPr>
                <w:rFonts w:hint="eastAsia" w:ascii="宋体" w:hAnsi="宋体" w:eastAsia="宋体" w:cs="宋体"/>
                <w:color w:val="auto"/>
                <w:sz w:val="21"/>
                <w:szCs w:val="21"/>
                <w:highlight w:val="none"/>
              </w:rPr>
            </w:pPr>
          </w:p>
        </w:tc>
        <w:tc>
          <w:tcPr>
            <w:tcW w:w="1565" w:type="dxa"/>
            <w:vAlign w:val="center"/>
          </w:tcPr>
          <w:p w14:paraId="4BD9B166">
            <w:pPr>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服务考核内容</w:t>
            </w:r>
          </w:p>
        </w:tc>
        <w:tc>
          <w:tcPr>
            <w:tcW w:w="2040" w:type="dxa"/>
            <w:gridSpan w:val="2"/>
            <w:vAlign w:val="center"/>
          </w:tcPr>
          <w:p w14:paraId="3FB71A66">
            <w:pPr>
              <w:ind w:firstLine="360"/>
              <w:rPr>
                <w:rFonts w:hint="eastAsia" w:ascii="宋体" w:hAnsi="宋体" w:eastAsia="宋体" w:cs="宋体"/>
                <w:color w:val="auto"/>
                <w:sz w:val="21"/>
                <w:szCs w:val="21"/>
                <w:highlight w:val="none"/>
              </w:rPr>
            </w:pPr>
          </w:p>
        </w:tc>
      </w:tr>
      <w:tr w14:paraId="46EB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107" w:type="dxa"/>
            <w:vAlign w:val="center"/>
          </w:tcPr>
          <w:p w14:paraId="37871406">
            <w:pPr>
              <w:ind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服务单位</w:t>
            </w:r>
          </w:p>
        </w:tc>
        <w:tc>
          <w:tcPr>
            <w:tcW w:w="2799" w:type="dxa"/>
            <w:vAlign w:val="center"/>
          </w:tcPr>
          <w:p w14:paraId="55C2B74A">
            <w:pPr>
              <w:ind w:firstLine="360"/>
              <w:rPr>
                <w:rFonts w:hint="eastAsia" w:ascii="宋体" w:hAnsi="宋体" w:eastAsia="宋体" w:cs="宋体"/>
                <w:color w:val="auto"/>
                <w:sz w:val="21"/>
                <w:szCs w:val="21"/>
                <w:highlight w:val="none"/>
              </w:rPr>
            </w:pPr>
          </w:p>
        </w:tc>
        <w:tc>
          <w:tcPr>
            <w:tcW w:w="1170" w:type="dxa"/>
            <w:vAlign w:val="center"/>
          </w:tcPr>
          <w:p w14:paraId="3A98816B">
            <w:pPr>
              <w:ind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项目经理</w:t>
            </w:r>
          </w:p>
        </w:tc>
        <w:tc>
          <w:tcPr>
            <w:tcW w:w="1095" w:type="dxa"/>
            <w:vAlign w:val="center"/>
          </w:tcPr>
          <w:p w14:paraId="4F549826">
            <w:pPr>
              <w:ind w:firstLine="360"/>
              <w:rPr>
                <w:rFonts w:hint="eastAsia" w:ascii="宋体" w:hAnsi="宋体" w:eastAsia="宋体" w:cs="宋体"/>
                <w:color w:val="auto"/>
                <w:sz w:val="21"/>
                <w:szCs w:val="21"/>
                <w:highlight w:val="none"/>
              </w:rPr>
            </w:pPr>
          </w:p>
        </w:tc>
        <w:tc>
          <w:tcPr>
            <w:tcW w:w="1565" w:type="dxa"/>
            <w:vAlign w:val="center"/>
          </w:tcPr>
          <w:p w14:paraId="5DFA9A5C">
            <w:pPr>
              <w:ind w:firstLine="36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考核周期</w:t>
            </w:r>
          </w:p>
        </w:tc>
        <w:tc>
          <w:tcPr>
            <w:tcW w:w="2040" w:type="dxa"/>
            <w:gridSpan w:val="2"/>
            <w:vAlign w:val="center"/>
          </w:tcPr>
          <w:p w14:paraId="4F53237C">
            <w:pPr>
              <w:ind w:firstLine="360"/>
              <w:rPr>
                <w:rFonts w:hint="eastAsia" w:ascii="宋体" w:hAnsi="宋体" w:eastAsia="宋体" w:cs="宋体"/>
                <w:color w:val="auto"/>
                <w:sz w:val="21"/>
                <w:szCs w:val="21"/>
                <w:highlight w:val="none"/>
              </w:rPr>
            </w:pPr>
          </w:p>
        </w:tc>
      </w:tr>
      <w:tr w14:paraId="723F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7" w:type="dxa"/>
            <w:vAlign w:val="center"/>
          </w:tcPr>
          <w:p w14:paraId="10CA6547">
            <w:pPr>
              <w:ind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服务内容</w:t>
            </w:r>
          </w:p>
        </w:tc>
        <w:tc>
          <w:tcPr>
            <w:tcW w:w="8669" w:type="dxa"/>
            <w:gridSpan w:val="6"/>
            <w:vAlign w:val="center"/>
          </w:tcPr>
          <w:p w14:paraId="4B9EFB2A">
            <w:pPr>
              <w:ind w:firstLine="360"/>
              <w:rPr>
                <w:rFonts w:hint="eastAsia" w:ascii="宋体" w:hAnsi="宋体" w:eastAsia="宋体" w:cs="宋体"/>
                <w:color w:val="auto"/>
                <w:sz w:val="21"/>
                <w:szCs w:val="21"/>
                <w:highlight w:val="none"/>
              </w:rPr>
            </w:pPr>
          </w:p>
        </w:tc>
      </w:tr>
      <w:tr w14:paraId="74158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736" w:type="dxa"/>
            <w:gridSpan w:val="5"/>
            <w:vAlign w:val="center"/>
          </w:tcPr>
          <w:p w14:paraId="190063B5">
            <w:pPr>
              <w:ind w:firstLine="42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服务考核内容</w:t>
            </w:r>
          </w:p>
        </w:tc>
        <w:tc>
          <w:tcPr>
            <w:tcW w:w="833" w:type="dxa"/>
            <w:vAlign w:val="center"/>
          </w:tcPr>
          <w:p w14:paraId="5D02D235">
            <w:pPr>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 值</w:t>
            </w:r>
          </w:p>
        </w:tc>
        <w:tc>
          <w:tcPr>
            <w:tcW w:w="1207" w:type="dxa"/>
            <w:vAlign w:val="center"/>
          </w:tcPr>
          <w:p w14:paraId="2BE3186B">
            <w:pPr>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考核评分</w:t>
            </w:r>
          </w:p>
        </w:tc>
      </w:tr>
      <w:tr w14:paraId="0AF93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736" w:type="dxa"/>
            <w:gridSpan w:val="5"/>
            <w:vAlign w:val="center"/>
          </w:tcPr>
          <w:p w14:paraId="0BDC8D91">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软件系统应稳定运行，无重大异常及重大问题出现，如因维护巡检不到位、软件程序问题造成大面积系统故障导致业务停滞（包括并不限于数据库、软件系统、数据接口、程序宕机等），一次扣3分。超过1小时未解决，每超1小时再扣5分，扣完为止。</w:t>
            </w:r>
          </w:p>
        </w:tc>
        <w:tc>
          <w:tcPr>
            <w:tcW w:w="833" w:type="dxa"/>
            <w:vAlign w:val="center"/>
          </w:tcPr>
          <w:p w14:paraId="2B10EB78">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207" w:type="dxa"/>
            <w:vAlign w:val="center"/>
          </w:tcPr>
          <w:p w14:paraId="23D83E0F">
            <w:pPr>
              <w:spacing w:line="240" w:lineRule="auto"/>
              <w:ind w:firstLine="360"/>
              <w:jc w:val="center"/>
              <w:rPr>
                <w:rFonts w:hint="eastAsia" w:ascii="宋体" w:hAnsi="宋体" w:eastAsia="宋体" w:cs="宋体"/>
                <w:color w:val="auto"/>
                <w:sz w:val="21"/>
                <w:szCs w:val="21"/>
                <w:highlight w:val="none"/>
              </w:rPr>
            </w:pPr>
          </w:p>
        </w:tc>
      </w:tr>
      <w:tr w14:paraId="6374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736" w:type="dxa"/>
            <w:gridSpan w:val="5"/>
            <w:vAlign w:val="center"/>
          </w:tcPr>
          <w:p w14:paraId="204BBFDB">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2、软件系统出现局部故障时，应15分钟内响应并积极协调相关技术人员在2小时内解决。响应不及时，1次扣1分；问题超时解决，1次扣3分；问题未解决1次扣7分。</w:t>
            </w:r>
          </w:p>
        </w:tc>
        <w:tc>
          <w:tcPr>
            <w:tcW w:w="833" w:type="dxa"/>
            <w:vAlign w:val="center"/>
          </w:tcPr>
          <w:p w14:paraId="4941C8E4">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207" w:type="dxa"/>
            <w:vAlign w:val="center"/>
          </w:tcPr>
          <w:p w14:paraId="0E87C8FB">
            <w:pPr>
              <w:spacing w:line="240" w:lineRule="auto"/>
              <w:ind w:firstLine="360"/>
              <w:jc w:val="center"/>
              <w:rPr>
                <w:rFonts w:hint="eastAsia" w:ascii="宋体" w:hAnsi="宋体" w:eastAsia="宋体" w:cs="宋体"/>
                <w:color w:val="auto"/>
                <w:sz w:val="21"/>
                <w:szCs w:val="21"/>
                <w:highlight w:val="none"/>
              </w:rPr>
            </w:pPr>
          </w:p>
        </w:tc>
      </w:tr>
      <w:tr w14:paraId="6251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736" w:type="dxa"/>
            <w:gridSpan w:val="5"/>
            <w:vAlign w:val="center"/>
          </w:tcPr>
          <w:p w14:paraId="13247878">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3、定期开展一次临床巡查和满意度提升专项活动，提供专项报告。超时完成，扣5分，未进行该专项工作或未提交专项报告，本项不得分。</w:t>
            </w:r>
          </w:p>
        </w:tc>
        <w:tc>
          <w:tcPr>
            <w:tcW w:w="833" w:type="dxa"/>
            <w:vAlign w:val="center"/>
          </w:tcPr>
          <w:p w14:paraId="4EC0AB47">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12E5B7EF">
            <w:pPr>
              <w:spacing w:line="240" w:lineRule="auto"/>
              <w:ind w:firstLine="360"/>
              <w:jc w:val="center"/>
              <w:rPr>
                <w:rFonts w:hint="eastAsia" w:ascii="宋体" w:hAnsi="宋体" w:eastAsia="宋体" w:cs="宋体"/>
                <w:color w:val="auto"/>
                <w:sz w:val="21"/>
                <w:szCs w:val="21"/>
                <w:highlight w:val="none"/>
              </w:rPr>
            </w:pPr>
          </w:p>
        </w:tc>
      </w:tr>
      <w:tr w14:paraId="79BB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736" w:type="dxa"/>
            <w:gridSpan w:val="5"/>
            <w:vAlign w:val="center"/>
          </w:tcPr>
          <w:p w14:paraId="1162181D">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期开展一次系统集成（包括但不限于相关服务器、数据库、中间件、接口的状态、服务等）巡检服务，并进行软件层面优化提升（包括但不限于系统软件代码、数据库、应用服务优化等）并提供详细的巡检、分析和优化报告，超时完成，扣5分，未进行该项工作或未提交专项巡检报告，本项不得分。</w:t>
            </w:r>
          </w:p>
        </w:tc>
        <w:tc>
          <w:tcPr>
            <w:tcW w:w="833" w:type="dxa"/>
            <w:vAlign w:val="center"/>
          </w:tcPr>
          <w:p w14:paraId="67A68AFE">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7D288245">
            <w:pPr>
              <w:spacing w:line="240" w:lineRule="auto"/>
              <w:ind w:firstLine="360"/>
              <w:jc w:val="center"/>
              <w:rPr>
                <w:rFonts w:hint="eastAsia" w:ascii="宋体" w:hAnsi="宋体" w:eastAsia="宋体" w:cs="宋体"/>
                <w:color w:val="auto"/>
                <w:sz w:val="21"/>
                <w:szCs w:val="21"/>
                <w:highlight w:val="none"/>
              </w:rPr>
            </w:pPr>
          </w:p>
        </w:tc>
      </w:tr>
      <w:tr w14:paraId="1362B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736" w:type="dxa"/>
            <w:gridSpan w:val="5"/>
            <w:vAlign w:val="center"/>
          </w:tcPr>
          <w:p w14:paraId="35737A4C">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针对核心业务系统（其它系统根据需要安排）因需求产生的新功能，应安排专人及时制作、更新操作说明文档，并在发布更新前进行使用人员培训（包括但不限于信息中心人员、使用科室人员、信息专员等）；未培训，扣2分，未提供操作说明文档或文档描述不清，1次扣1分；</w:t>
            </w:r>
          </w:p>
        </w:tc>
        <w:tc>
          <w:tcPr>
            <w:tcW w:w="833" w:type="dxa"/>
            <w:vAlign w:val="center"/>
          </w:tcPr>
          <w:p w14:paraId="45208062">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4C2F9E17">
            <w:pPr>
              <w:spacing w:line="240" w:lineRule="auto"/>
              <w:ind w:firstLine="360"/>
              <w:jc w:val="center"/>
              <w:rPr>
                <w:rFonts w:hint="eastAsia" w:ascii="宋体" w:hAnsi="宋体" w:eastAsia="宋体" w:cs="宋体"/>
                <w:color w:val="auto"/>
                <w:sz w:val="21"/>
                <w:szCs w:val="21"/>
                <w:highlight w:val="none"/>
              </w:rPr>
            </w:pPr>
          </w:p>
        </w:tc>
      </w:tr>
      <w:tr w14:paraId="1DD8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736" w:type="dxa"/>
            <w:gridSpan w:val="5"/>
            <w:vAlign w:val="center"/>
          </w:tcPr>
          <w:p w14:paraId="17656F06">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6、针对医院提出的重要需求，应积极响应和充分的技术评估，并提供解决方法和建议，协助制定技术实现方案。不参与技术评估，一次扣1分，评估不认真导致软件质量不佳，一次扣1分。</w:t>
            </w:r>
          </w:p>
        </w:tc>
        <w:tc>
          <w:tcPr>
            <w:tcW w:w="833" w:type="dxa"/>
            <w:vAlign w:val="center"/>
          </w:tcPr>
          <w:p w14:paraId="530ED650">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07" w:type="dxa"/>
            <w:vAlign w:val="center"/>
          </w:tcPr>
          <w:p w14:paraId="0CB1C7EB">
            <w:pPr>
              <w:spacing w:line="240" w:lineRule="auto"/>
              <w:ind w:firstLine="360"/>
              <w:jc w:val="center"/>
              <w:rPr>
                <w:rFonts w:hint="eastAsia" w:ascii="宋体" w:hAnsi="宋体" w:eastAsia="宋体" w:cs="宋体"/>
                <w:color w:val="auto"/>
                <w:sz w:val="21"/>
                <w:szCs w:val="21"/>
                <w:highlight w:val="none"/>
              </w:rPr>
            </w:pPr>
          </w:p>
        </w:tc>
      </w:tr>
      <w:tr w14:paraId="05FC9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736" w:type="dxa"/>
            <w:gridSpan w:val="5"/>
            <w:vAlign w:val="center"/>
          </w:tcPr>
          <w:p w14:paraId="4BF6DCE3">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提供不少于10人的驻场服务，驻场团队至少配置1名管理项目经理，1名软件项目经理，由信息中心不定期考勤和监管，如驻场人员不足10人，每发现1次扣2分，发现驻场人员处理非本医院业务的，每发现一次扣1分。</w:t>
            </w:r>
          </w:p>
        </w:tc>
        <w:tc>
          <w:tcPr>
            <w:tcW w:w="833" w:type="dxa"/>
            <w:vAlign w:val="center"/>
          </w:tcPr>
          <w:p w14:paraId="46F3D971">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59A5C8D5">
            <w:pPr>
              <w:spacing w:line="240" w:lineRule="auto"/>
              <w:ind w:firstLine="360"/>
              <w:jc w:val="center"/>
              <w:rPr>
                <w:rFonts w:hint="eastAsia" w:ascii="宋体" w:hAnsi="宋体" w:eastAsia="宋体" w:cs="宋体"/>
                <w:color w:val="auto"/>
                <w:sz w:val="21"/>
                <w:szCs w:val="21"/>
                <w:highlight w:val="none"/>
              </w:rPr>
            </w:pPr>
          </w:p>
        </w:tc>
      </w:tr>
      <w:tr w14:paraId="20BA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736" w:type="dxa"/>
            <w:gridSpan w:val="5"/>
            <w:vAlign w:val="center"/>
          </w:tcPr>
          <w:p w14:paraId="1A8C79AB">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专职驻场服务，工作时间与医院相同，保持7X24小时联络通畅，节假日及夜间，需安排人员值班，及时响应和处理问题。如遇政策性、院内重大管理紧急需求及临时性支持，需根据实际情况安排专人加班。值班人员电话未接通，1次扣1分，值班期间30分钟不处理问题或不反馈处理结果，一次扣1分；未安排值班人员，本项不得分；</w:t>
            </w:r>
          </w:p>
        </w:tc>
        <w:tc>
          <w:tcPr>
            <w:tcW w:w="833" w:type="dxa"/>
            <w:vAlign w:val="center"/>
          </w:tcPr>
          <w:p w14:paraId="65A1E14F">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1C0ACFA0">
            <w:pPr>
              <w:spacing w:line="240" w:lineRule="auto"/>
              <w:ind w:firstLine="360"/>
              <w:jc w:val="center"/>
              <w:rPr>
                <w:rFonts w:hint="eastAsia" w:ascii="宋体" w:hAnsi="宋体" w:eastAsia="宋体" w:cs="宋体"/>
                <w:color w:val="auto"/>
                <w:sz w:val="21"/>
                <w:szCs w:val="21"/>
                <w:highlight w:val="none"/>
              </w:rPr>
            </w:pPr>
          </w:p>
        </w:tc>
      </w:tr>
      <w:tr w14:paraId="67D5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736" w:type="dxa"/>
            <w:gridSpan w:val="5"/>
            <w:vAlign w:val="center"/>
          </w:tcPr>
          <w:p w14:paraId="19C38F02">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9、建立和及时更新、维护医院信息化建设、功能变更管理等工作要求的相关文档（包括但不限于维护记录、变更记录、测试记录、需求确认记录等），不建立、不及时更新或档案有错误，发现1次扣2分。</w:t>
            </w:r>
          </w:p>
        </w:tc>
        <w:tc>
          <w:tcPr>
            <w:tcW w:w="833" w:type="dxa"/>
            <w:vAlign w:val="center"/>
          </w:tcPr>
          <w:p w14:paraId="03E04144">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1D68DF3C">
            <w:pPr>
              <w:spacing w:line="240" w:lineRule="auto"/>
              <w:ind w:firstLine="360"/>
              <w:jc w:val="center"/>
              <w:rPr>
                <w:rFonts w:hint="eastAsia" w:ascii="宋体" w:hAnsi="宋体" w:eastAsia="宋体" w:cs="宋体"/>
                <w:color w:val="auto"/>
                <w:sz w:val="21"/>
                <w:szCs w:val="21"/>
                <w:highlight w:val="none"/>
              </w:rPr>
            </w:pPr>
          </w:p>
        </w:tc>
      </w:tr>
      <w:tr w14:paraId="0724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736" w:type="dxa"/>
            <w:gridSpan w:val="5"/>
            <w:vAlign w:val="center"/>
          </w:tcPr>
          <w:p w14:paraId="3B3F722C">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10、每周提供整体服务情况周报，未按时提交周报或周报不完整，发现一次扣1分。</w:t>
            </w:r>
          </w:p>
        </w:tc>
        <w:tc>
          <w:tcPr>
            <w:tcW w:w="833" w:type="dxa"/>
            <w:vAlign w:val="center"/>
          </w:tcPr>
          <w:p w14:paraId="7C0A85E0">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07" w:type="dxa"/>
            <w:vAlign w:val="center"/>
          </w:tcPr>
          <w:p w14:paraId="6EDEC5E0">
            <w:pPr>
              <w:spacing w:line="240" w:lineRule="auto"/>
              <w:ind w:firstLine="360"/>
              <w:jc w:val="center"/>
              <w:rPr>
                <w:rFonts w:hint="eastAsia" w:ascii="宋体" w:hAnsi="宋体" w:eastAsia="宋体" w:cs="宋体"/>
                <w:color w:val="auto"/>
                <w:sz w:val="21"/>
                <w:szCs w:val="21"/>
                <w:highlight w:val="none"/>
              </w:rPr>
            </w:pPr>
          </w:p>
        </w:tc>
      </w:tr>
      <w:tr w14:paraId="0B561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736" w:type="dxa"/>
            <w:gridSpan w:val="5"/>
            <w:vAlign w:val="center"/>
          </w:tcPr>
          <w:p w14:paraId="7466BDD9">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违反保密协议，泄露数据库、软件、硬件信息的，出现危害网络及信息安全行为，根据情节严重情况扣除相应分值。范围较小且已纠正的，扣10分，范围较大未造成严重后果的，每次扣20分；造成严重影响的，一次扣50分。</w:t>
            </w:r>
          </w:p>
        </w:tc>
        <w:tc>
          <w:tcPr>
            <w:tcW w:w="833" w:type="dxa"/>
            <w:vAlign w:val="center"/>
          </w:tcPr>
          <w:p w14:paraId="31F4C699">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1207" w:type="dxa"/>
            <w:vAlign w:val="center"/>
          </w:tcPr>
          <w:p w14:paraId="06E5AE17">
            <w:pPr>
              <w:spacing w:line="240" w:lineRule="auto"/>
              <w:ind w:firstLine="360"/>
              <w:jc w:val="center"/>
              <w:rPr>
                <w:rFonts w:hint="eastAsia" w:ascii="宋体" w:hAnsi="宋体" w:eastAsia="宋体" w:cs="宋体"/>
                <w:color w:val="auto"/>
                <w:sz w:val="21"/>
                <w:szCs w:val="21"/>
                <w:highlight w:val="none"/>
              </w:rPr>
            </w:pPr>
          </w:p>
        </w:tc>
      </w:tr>
      <w:tr w14:paraId="0E02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736" w:type="dxa"/>
            <w:gridSpan w:val="5"/>
            <w:vAlign w:val="center"/>
          </w:tcPr>
          <w:p w14:paraId="0B702290">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12、服务范围内系统出现网络信息与数据安全风险时，应在第一时间进行响应并按要求进行整改，未及时响应的，一次扣5分，未按时完成整改，一次扣5分，未完成整改的每项扣5分，扣完为止。</w:t>
            </w:r>
          </w:p>
        </w:tc>
        <w:tc>
          <w:tcPr>
            <w:tcW w:w="833" w:type="dxa"/>
            <w:vAlign w:val="center"/>
          </w:tcPr>
          <w:p w14:paraId="1A36F87D">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1207" w:type="dxa"/>
            <w:vAlign w:val="center"/>
          </w:tcPr>
          <w:p w14:paraId="027675C8">
            <w:pPr>
              <w:spacing w:line="240" w:lineRule="auto"/>
              <w:ind w:firstLine="360"/>
              <w:jc w:val="center"/>
              <w:rPr>
                <w:rFonts w:hint="eastAsia" w:ascii="宋体" w:hAnsi="宋体" w:eastAsia="宋体" w:cs="宋体"/>
                <w:color w:val="auto"/>
                <w:sz w:val="21"/>
                <w:szCs w:val="21"/>
                <w:highlight w:val="none"/>
              </w:rPr>
            </w:pPr>
          </w:p>
        </w:tc>
      </w:tr>
      <w:tr w14:paraId="777D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736" w:type="dxa"/>
            <w:gridSpan w:val="5"/>
            <w:vAlign w:val="center"/>
          </w:tcPr>
          <w:p w14:paraId="0D9D3E81">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13、部署所有服务、功能前，需向信息中心申请/报告部署位置、运行机制、影响范围、关联或依存的其他服务等内容。部署服务或应用功能未上报部署位置的，一经发现，每次扣2分。</w:t>
            </w:r>
          </w:p>
        </w:tc>
        <w:tc>
          <w:tcPr>
            <w:tcW w:w="833" w:type="dxa"/>
            <w:vAlign w:val="center"/>
          </w:tcPr>
          <w:p w14:paraId="57275F4D">
            <w:pPr>
              <w:spacing w:line="240" w:lineRule="auto"/>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07" w:type="dxa"/>
            <w:vAlign w:val="center"/>
          </w:tcPr>
          <w:p w14:paraId="64018D71">
            <w:pPr>
              <w:spacing w:line="240" w:lineRule="auto"/>
              <w:ind w:firstLine="360"/>
              <w:jc w:val="center"/>
              <w:rPr>
                <w:rFonts w:hint="eastAsia" w:ascii="宋体" w:hAnsi="宋体" w:eastAsia="宋体" w:cs="宋体"/>
                <w:color w:val="auto"/>
                <w:sz w:val="21"/>
                <w:szCs w:val="21"/>
                <w:highlight w:val="none"/>
              </w:rPr>
            </w:pPr>
          </w:p>
        </w:tc>
      </w:tr>
      <w:tr w14:paraId="0696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72D4F80E">
            <w:pPr>
              <w:spacing w:line="240" w:lineRule="auto"/>
              <w:ind w:firstLine="36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扣款内容</w:t>
            </w:r>
          </w:p>
        </w:tc>
        <w:tc>
          <w:tcPr>
            <w:tcW w:w="833" w:type="dxa"/>
            <w:vAlign w:val="center"/>
          </w:tcPr>
          <w:p w14:paraId="2B7902D8">
            <w:pPr>
              <w:spacing w:line="240" w:lineRule="auto"/>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金额</w:t>
            </w:r>
          </w:p>
        </w:tc>
        <w:tc>
          <w:tcPr>
            <w:tcW w:w="1207" w:type="dxa"/>
            <w:vAlign w:val="center"/>
          </w:tcPr>
          <w:p w14:paraId="268F89A5">
            <w:pPr>
              <w:spacing w:line="240" w:lineRule="auto"/>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考核扣款</w:t>
            </w:r>
          </w:p>
        </w:tc>
      </w:tr>
      <w:tr w14:paraId="1267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1019EC48">
            <w:pPr>
              <w:spacing w:line="24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软件系统应稳定运行，无重大异常及重大问题出现，如因维护巡检不到位、软件程序问题造成大面积系统故障导致业务停滞（包括并不限于数据库、软件系统、数据接口、程序宕机等），如业务停滞时间超过1小时，扣合同款5万元，业务停滞时间超2小时以后，每超出半小时，扣5万元，直至问题修复，合同款扣完为止，甲方可终止合同并保留进一步追究的权利。</w:t>
            </w:r>
          </w:p>
        </w:tc>
        <w:tc>
          <w:tcPr>
            <w:tcW w:w="833" w:type="dxa"/>
            <w:vAlign w:val="center"/>
          </w:tcPr>
          <w:p w14:paraId="0DFA121E">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7CBA8696">
            <w:pPr>
              <w:spacing w:line="240" w:lineRule="auto"/>
              <w:ind w:firstLine="360"/>
              <w:jc w:val="center"/>
              <w:rPr>
                <w:rFonts w:hint="eastAsia" w:ascii="宋体" w:hAnsi="宋体" w:eastAsia="宋体" w:cs="宋体"/>
                <w:color w:val="auto"/>
                <w:sz w:val="21"/>
                <w:szCs w:val="21"/>
                <w:highlight w:val="none"/>
              </w:rPr>
            </w:pPr>
          </w:p>
        </w:tc>
      </w:tr>
      <w:tr w14:paraId="0873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29F9A26C">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2.因测试不充分，导致更新的程序出现大面积报错，应在15分钟内解决。超出15分钟后，每超出半小时扣除合同款1万元，直至问题修复，合同款扣完为止。</w:t>
            </w:r>
          </w:p>
        </w:tc>
        <w:tc>
          <w:tcPr>
            <w:tcW w:w="833" w:type="dxa"/>
            <w:vAlign w:val="center"/>
          </w:tcPr>
          <w:p w14:paraId="0C3735E3">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7EE9D851">
            <w:pPr>
              <w:spacing w:line="240" w:lineRule="auto"/>
              <w:ind w:firstLine="360"/>
              <w:jc w:val="center"/>
              <w:rPr>
                <w:rFonts w:hint="eastAsia" w:ascii="宋体" w:hAnsi="宋体" w:eastAsia="宋体" w:cs="宋体"/>
                <w:color w:val="auto"/>
                <w:sz w:val="21"/>
                <w:szCs w:val="21"/>
                <w:highlight w:val="none"/>
              </w:rPr>
            </w:pPr>
          </w:p>
        </w:tc>
      </w:tr>
      <w:tr w14:paraId="4C3D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5CF5BFA3">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3.服务期内因服务响应、服务态度、问题处理时效造成科室患者投诉，或因推诿扯皮造成不良影响，每发现一次扣2000元。</w:t>
            </w:r>
          </w:p>
        </w:tc>
        <w:tc>
          <w:tcPr>
            <w:tcW w:w="833" w:type="dxa"/>
            <w:vAlign w:val="center"/>
          </w:tcPr>
          <w:p w14:paraId="57B302A6">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4C203B42">
            <w:pPr>
              <w:spacing w:line="240" w:lineRule="auto"/>
              <w:ind w:firstLine="360"/>
              <w:jc w:val="center"/>
              <w:rPr>
                <w:rFonts w:hint="eastAsia" w:ascii="宋体" w:hAnsi="宋体" w:eastAsia="宋体" w:cs="宋体"/>
                <w:color w:val="auto"/>
                <w:sz w:val="21"/>
                <w:szCs w:val="21"/>
                <w:highlight w:val="none"/>
              </w:rPr>
            </w:pPr>
          </w:p>
        </w:tc>
      </w:tr>
      <w:tr w14:paraId="1BCF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68E7CA44">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4.已经过评估可行的软件功能变更或指令性任务，应在约定的时间内完成，未经医院同意延期，每超期1周，扣合同款2000元。</w:t>
            </w:r>
          </w:p>
        </w:tc>
        <w:tc>
          <w:tcPr>
            <w:tcW w:w="833" w:type="dxa"/>
            <w:vAlign w:val="center"/>
          </w:tcPr>
          <w:p w14:paraId="55851F83">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51B671E9">
            <w:pPr>
              <w:spacing w:line="240" w:lineRule="auto"/>
              <w:ind w:firstLine="360"/>
              <w:jc w:val="center"/>
              <w:rPr>
                <w:rFonts w:hint="eastAsia" w:ascii="宋体" w:hAnsi="宋体" w:eastAsia="宋体" w:cs="宋体"/>
                <w:color w:val="auto"/>
                <w:sz w:val="21"/>
                <w:szCs w:val="21"/>
                <w:highlight w:val="none"/>
              </w:rPr>
            </w:pPr>
          </w:p>
        </w:tc>
      </w:tr>
      <w:tr w14:paraId="76C8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17D1F452">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5.未向信息中心申请，私自建立数据库用户、授权数据库权限、调整表空间、抽取或者补传数据、改变服务器用途等，每发现一次扣合同款2000元。</w:t>
            </w:r>
          </w:p>
        </w:tc>
        <w:tc>
          <w:tcPr>
            <w:tcW w:w="833" w:type="dxa"/>
            <w:vAlign w:val="center"/>
          </w:tcPr>
          <w:p w14:paraId="02A8D2FA">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24E4B22F">
            <w:pPr>
              <w:spacing w:line="240" w:lineRule="auto"/>
              <w:ind w:firstLine="360"/>
              <w:jc w:val="center"/>
              <w:rPr>
                <w:rFonts w:hint="eastAsia" w:ascii="宋体" w:hAnsi="宋体" w:eastAsia="宋体" w:cs="宋体"/>
                <w:color w:val="auto"/>
                <w:sz w:val="21"/>
                <w:szCs w:val="21"/>
                <w:highlight w:val="none"/>
              </w:rPr>
            </w:pPr>
          </w:p>
        </w:tc>
      </w:tr>
      <w:tr w14:paraId="60FB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354AC494">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6.未按照信息中心要求进行软件程序部署的，每发现一次扣合同款2000元。</w:t>
            </w:r>
          </w:p>
        </w:tc>
        <w:tc>
          <w:tcPr>
            <w:tcW w:w="833" w:type="dxa"/>
            <w:vAlign w:val="center"/>
          </w:tcPr>
          <w:p w14:paraId="37E0C509">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3B5CC3D5">
            <w:pPr>
              <w:spacing w:line="240" w:lineRule="auto"/>
              <w:ind w:firstLine="360"/>
              <w:jc w:val="center"/>
              <w:rPr>
                <w:rFonts w:hint="eastAsia" w:ascii="宋体" w:hAnsi="宋体" w:eastAsia="宋体" w:cs="宋体"/>
                <w:color w:val="auto"/>
                <w:sz w:val="21"/>
                <w:szCs w:val="21"/>
                <w:highlight w:val="none"/>
              </w:rPr>
            </w:pPr>
          </w:p>
        </w:tc>
      </w:tr>
      <w:tr w14:paraId="2659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36AF9B96">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7.未经信息中心同意私自按职能部门、临床科室需求修改程序功能，调整数据内容，发现一次扣合同款2万。</w:t>
            </w:r>
          </w:p>
        </w:tc>
        <w:tc>
          <w:tcPr>
            <w:tcW w:w="833" w:type="dxa"/>
            <w:vAlign w:val="center"/>
          </w:tcPr>
          <w:p w14:paraId="47002F77">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73F05526">
            <w:pPr>
              <w:spacing w:line="240" w:lineRule="auto"/>
              <w:ind w:firstLine="360"/>
              <w:jc w:val="center"/>
              <w:rPr>
                <w:rFonts w:hint="eastAsia" w:ascii="宋体" w:hAnsi="宋体" w:eastAsia="宋体" w:cs="宋体"/>
                <w:color w:val="auto"/>
                <w:sz w:val="21"/>
                <w:szCs w:val="21"/>
                <w:highlight w:val="none"/>
              </w:rPr>
            </w:pPr>
          </w:p>
        </w:tc>
      </w:tr>
      <w:tr w14:paraId="6B00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4786FC08">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8.未按医院信息安全管理要求，私自拷贝、传输医院数据给第三方厂商或他人的，发现一次扣10万。</w:t>
            </w:r>
          </w:p>
        </w:tc>
        <w:tc>
          <w:tcPr>
            <w:tcW w:w="833" w:type="dxa"/>
            <w:vAlign w:val="center"/>
          </w:tcPr>
          <w:p w14:paraId="5E192DED">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01BB3E90">
            <w:pPr>
              <w:spacing w:line="240" w:lineRule="auto"/>
              <w:ind w:firstLine="360"/>
              <w:jc w:val="center"/>
              <w:rPr>
                <w:rFonts w:hint="eastAsia" w:ascii="宋体" w:hAnsi="宋体" w:eastAsia="宋体" w:cs="宋体"/>
                <w:color w:val="auto"/>
                <w:sz w:val="21"/>
                <w:szCs w:val="21"/>
                <w:highlight w:val="none"/>
              </w:rPr>
            </w:pPr>
          </w:p>
        </w:tc>
      </w:tr>
      <w:tr w14:paraId="61DC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736" w:type="dxa"/>
            <w:gridSpan w:val="5"/>
            <w:vAlign w:val="center"/>
          </w:tcPr>
          <w:p w14:paraId="6C0B3534">
            <w:pPr>
              <w:spacing w:line="240" w:lineRule="auto"/>
              <w:ind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9.未经信息中心审核同意，发布、修改程序功能，根据影响范围大小，每次扣款500-20000元。</w:t>
            </w:r>
          </w:p>
        </w:tc>
        <w:tc>
          <w:tcPr>
            <w:tcW w:w="833" w:type="dxa"/>
            <w:vAlign w:val="center"/>
          </w:tcPr>
          <w:p w14:paraId="503D5CCA">
            <w:pPr>
              <w:spacing w:line="240" w:lineRule="auto"/>
              <w:ind w:firstLine="360"/>
              <w:jc w:val="center"/>
              <w:rPr>
                <w:rFonts w:hint="eastAsia" w:ascii="宋体" w:hAnsi="宋体" w:eastAsia="宋体" w:cs="宋体"/>
                <w:color w:val="auto"/>
                <w:sz w:val="21"/>
                <w:szCs w:val="21"/>
                <w:highlight w:val="none"/>
              </w:rPr>
            </w:pPr>
          </w:p>
        </w:tc>
        <w:tc>
          <w:tcPr>
            <w:tcW w:w="1207" w:type="dxa"/>
            <w:vAlign w:val="center"/>
          </w:tcPr>
          <w:p w14:paraId="6A72958E">
            <w:pPr>
              <w:spacing w:line="240" w:lineRule="auto"/>
              <w:ind w:firstLine="360"/>
              <w:jc w:val="center"/>
              <w:rPr>
                <w:rFonts w:hint="eastAsia" w:ascii="宋体" w:hAnsi="宋体" w:eastAsia="宋体" w:cs="宋体"/>
                <w:color w:val="auto"/>
                <w:sz w:val="21"/>
                <w:szCs w:val="21"/>
                <w:highlight w:val="none"/>
              </w:rPr>
            </w:pPr>
          </w:p>
        </w:tc>
      </w:tr>
    </w:tbl>
    <w:p w14:paraId="79F59FA1">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三、投标文件技术部分应包含的内容</w:t>
      </w:r>
    </w:p>
    <w:p w14:paraId="385EBCE6">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对</w:t>
      </w:r>
      <w:r>
        <w:rPr>
          <w:rFonts w:hint="eastAsia" w:ascii="宋体" w:hAnsi="宋体" w:eastAsia="宋体" w:cs="宋体"/>
          <w:b w:val="0"/>
          <w:bCs w:val="0"/>
          <w:color w:val="auto"/>
          <w:kern w:val="2"/>
          <w:sz w:val="21"/>
          <w:szCs w:val="21"/>
          <w:highlight w:val="none"/>
          <w:lang w:val="en-US" w:eastAsia="zh-CN" w:bidi="ar-SA"/>
        </w:rPr>
        <w:t>招标文件第五章第二条采购需求第</w:t>
      </w:r>
      <w:r>
        <w:rPr>
          <w:rFonts w:hint="eastAsia" w:ascii="宋体" w:hAnsi="宋体" w:cs="宋体"/>
          <w:b w:val="0"/>
          <w:bCs w:val="0"/>
          <w:color w:val="auto"/>
          <w:kern w:val="2"/>
          <w:sz w:val="21"/>
          <w:szCs w:val="21"/>
          <w:highlight w:val="none"/>
          <w:lang w:val="en-US" w:eastAsia="zh-CN" w:bidi="ar-SA"/>
        </w:rPr>
        <w:t>二条</w:t>
      </w:r>
      <w:r>
        <w:rPr>
          <w:rFonts w:hint="eastAsia" w:ascii="宋体" w:hAnsi="宋体" w:eastAsia="宋体" w:cs="宋体"/>
          <w:b w:val="0"/>
          <w:bCs w:val="0"/>
          <w:color w:val="auto"/>
          <w:kern w:val="2"/>
          <w:sz w:val="21"/>
          <w:szCs w:val="21"/>
          <w:highlight w:val="none"/>
          <w:lang w:val="en-US" w:eastAsia="zh-CN" w:bidi="ar-SA"/>
        </w:rPr>
        <w:t>技术要求的响应程度</w:t>
      </w:r>
    </w:p>
    <w:p w14:paraId="139E78DE">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2、</w:t>
      </w:r>
      <w:r>
        <w:rPr>
          <w:rFonts w:hint="eastAsia" w:ascii="宋体" w:hAnsi="宋体" w:cs="宋体"/>
          <w:color w:val="auto"/>
          <w:sz w:val="21"/>
          <w:szCs w:val="21"/>
          <w:highlight w:val="none"/>
          <w:lang w:val="en-US" w:eastAsia="zh-CN"/>
        </w:rPr>
        <w:t>对</w:t>
      </w:r>
      <w:r>
        <w:rPr>
          <w:rFonts w:hint="eastAsia" w:ascii="宋体" w:hAnsi="宋体" w:eastAsia="宋体" w:cs="宋体"/>
          <w:b w:val="0"/>
          <w:bCs w:val="0"/>
          <w:color w:val="auto"/>
          <w:kern w:val="2"/>
          <w:sz w:val="21"/>
          <w:szCs w:val="21"/>
          <w:highlight w:val="none"/>
          <w:lang w:val="en-US" w:eastAsia="zh-CN" w:bidi="ar-SA"/>
        </w:rPr>
        <w:t>招标文件第五章第二条采购需求第</w:t>
      </w:r>
      <w:r>
        <w:rPr>
          <w:rFonts w:hint="eastAsia" w:ascii="宋体" w:hAnsi="宋体" w:cs="宋体"/>
          <w:b w:val="0"/>
          <w:bCs w:val="0"/>
          <w:color w:val="auto"/>
          <w:kern w:val="2"/>
          <w:sz w:val="21"/>
          <w:szCs w:val="21"/>
          <w:highlight w:val="none"/>
          <w:lang w:val="en-US" w:eastAsia="zh-CN" w:bidi="ar-SA"/>
        </w:rPr>
        <w:t>二条第（九）款第13项、第14项</w:t>
      </w:r>
      <w:r>
        <w:rPr>
          <w:rFonts w:hint="eastAsia" w:ascii="宋体" w:hAnsi="宋体" w:eastAsia="宋体" w:cs="宋体"/>
          <w:b w:val="0"/>
          <w:bCs w:val="0"/>
          <w:color w:val="auto"/>
          <w:kern w:val="2"/>
          <w:sz w:val="21"/>
          <w:szCs w:val="21"/>
          <w:highlight w:val="none"/>
          <w:lang w:val="en-US" w:eastAsia="zh-CN" w:bidi="ar-SA"/>
        </w:rPr>
        <w:t>服务要求的响应程度</w:t>
      </w:r>
    </w:p>
    <w:p w14:paraId="5E1705CD">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投标文件中提供项目需求的理解及总体方案设计</w:t>
      </w:r>
      <w:r>
        <w:rPr>
          <w:rFonts w:hint="eastAsia" w:ascii="宋体" w:hAnsi="宋体" w:eastAsia="宋体" w:cs="宋体"/>
          <w:b w:val="0"/>
          <w:bCs w:val="0"/>
          <w:color w:val="auto"/>
          <w:kern w:val="2"/>
          <w:sz w:val="21"/>
          <w:szCs w:val="21"/>
          <w:highlight w:val="none"/>
          <w:lang w:val="en-US" w:eastAsia="zh-CN"/>
        </w:rPr>
        <w:t>，应包含①对项目背景和需求的理解、②建设内容</w:t>
      </w:r>
      <w:r>
        <w:rPr>
          <w:rFonts w:hint="eastAsia" w:ascii="宋体" w:hAnsi="宋体" w:cs="宋体"/>
          <w:b w:val="0"/>
          <w:bCs w:val="0"/>
          <w:color w:val="auto"/>
          <w:kern w:val="2"/>
          <w:sz w:val="21"/>
          <w:szCs w:val="21"/>
          <w:highlight w:val="none"/>
          <w:lang w:val="en-US" w:eastAsia="zh-CN"/>
        </w:rPr>
        <w:t>及其</w:t>
      </w:r>
      <w:r>
        <w:rPr>
          <w:rFonts w:hint="eastAsia" w:ascii="宋体" w:hAnsi="宋体" w:eastAsia="宋体" w:cs="宋体"/>
          <w:b w:val="0"/>
          <w:bCs w:val="0"/>
          <w:color w:val="auto"/>
          <w:kern w:val="2"/>
          <w:sz w:val="21"/>
          <w:szCs w:val="21"/>
          <w:highlight w:val="none"/>
          <w:lang w:val="en-US" w:eastAsia="zh-CN"/>
        </w:rPr>
        <w:t>重难点分析</w:t>
      </w:r>
      <w:r>
        <w:rPr>
          <w:rFonts w:hint="eastAsia" w:ascii="宋体" w:hAnsi="宋体" w:cs="宋体"/>
          <w:b w:val="0"/>
          <w:bCs w:val="0"/>
          <w:color w:val="auto"/>
          <w:kern w:val="2"/>
          <w:sz w:val="21"/>
          <w:szCs w:val="21"/>
          <w:highlight w:val="none"/>
          <w:lang w:val="en-US" w:eastAsia="zh-CN"/>
        </w:rPr>
        <w:t>和</w:t>
      </w:r>
      <w:r>
        <w:rPr>
          <w:rFonts w:hint="eastAsia" w:ascii="宋体" w:hAnsi="宋体" w:eastAsia="宋体" w:cs="宋体"/>
          <w:b w:val="0"/>
          <w:bCs w:val="0"/>
          <w:color w:val="auto"/>
          <w:kern w:val="2"/>
          <w:sz w:val="21"/>
          <w:szCs w:val="21"/>
          <w:highlight w:val="none"/>
          <w:lang w:val="en-US" w:eastAsia="zh-CN"/>
        </w:rPr>
        <w:t>解决措施（建设内容应涵盖第五章采购需求（八）建设内容中的所有</w:t>
      </w:r>
      <w:r>
        <w:rPr>
          <w:rFonts w:hint="eastAsia" w:ascii="宋体" w:hAnsi="宋体" w:cs="宋体"/>
          <w:b w:val="0"/>
          <w:bCs w:val="0"/>
          <w:color w:val="auto"/>
          <w:kern w:val="2"/>
          <w:sz w:val="21"/>
          <w:szCs w:val="21"/>
          <w:highlight w:val="none"/>
          <w:lang w:val="en-US" w:eastAsia="zh-CN"/>
        </w:rPr>
        <w:t>建设内容</w:t>
      </w:r>
      <w:r>
        <w:rPr>
          <w:rFonts w:hint="eastAsia" w:ascii="宋体" w:hAnsi="宋体" w:eastAsia="宋体" w:cs="宋体"/>
          <w:b w:val="0"/>
          <w:bCs w:val="0"/>
          <w:color w:val="auto"/>
          <w:kern w:val="2"/>
          <w:sz w:val="21"/>
          <w:szCs w:val="21"/>
          <w:highlight w:val="none"/>
          <w:lang w:val="en-US" w:eastAsia="zh-CN"/>
        </w:rPr>
        <w:t>）、③总体框架设计、④功能设计、⑤对国产化软硬件环境的兼容与适配能力</w:t>
      </w:r>
      <w:r>
        <w:rPr>
          <w:rFonts w:hint="eastAsia" w:ascii="宋体" w:hAnsi="宋体" w:cs="宋体"/>
          <w:color w:val="auto"/>
          <w:sz w:val="21"/>
          <w:szCs w:val="21"/>
          <w:highlight w:val="none"/>
          <w:lang w:val="en-US" w:eastAsia="zh-CN"/>
        </w:rPr>
        <w:t>。</w:t>
      </w:r>
    </w:p>
    <w:p w14:paraId="7975A346">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4、投标文件中提供项目实施方案，应包含①项目实施计划、②培训方案、③专项提升升级方案</w:t>
      </w:r>
      <w:r>
        <w:rPr>
          <w:rFonts w:hint="eastAsia" w:ascii="宋体" w:hAnsi="宋体" w:cs="宋体"/>
          <w:color w:val="auto"/>
          <w:sz w:val="21"/>
          <w:szCs w:val="21"/>
          <w:highlight w:val="none"/>
          <w:lang w:val="en-US" w:eastAsia="zh-CN"/>
        </w:rPr>
        <w:t>。</w:t>
      </w:r>
    </w:p>
    <w:p w14:paraId="4E4EAB5D">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5、投标人需提供质量保证及承诺方案，应包含①研发及售后服务能力、②针对本项目下预防性、日常性、应急性的措施保障、③售后服务方案。</w:t>
      </w:r>
      <w:r>
        <w:rPr>
          <w:rFonts w:hint="eastAsia" w:ascii="宋体" w:hAnsi="宋体" w:cs="宋体"/>
          <w:color w:val="auto"/>
          <w:sz w:val="21"/>
          <w:szCs w:val="21"/>
          <w:highlight w:val="none"/>
          <w:lang w:val="en-US" w:eastAsia="zh-CN"/>
        </w:rPr>
        <w:t>所有内容应根据项目实际情况编制。</w:t>
      </w:r>
    </w:p>
    <w:p w14:paraId="264E990F">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6、项目团队人员保障方案，应包含①人员结构与‌核心成员专业性（如项目经理、系统工程师、项目实施运维服务人员、项目管理与上线支持人员等）②‌人员稳定性保障措施③团队岗位设置及专业搭配</w:t>
      </w:r>
    </w:p>
    <w:p w14:paraId="7EF720A9">
      <w:pPr>
        <w:pStyle w:val="5"/>
        <w:rPr>
          <w:rFonts w:hint="eastAsia"/>
          <w:color w:val="auto"/>
          <w:highlight w:val="none"/>
          <w:lang w:val="en-US" w:eastAsia="zh-CN"/>
        </w:rPr>
      </w:pPr>
    </w:p>
    <w:p w14:paraId="0D2418FC">
      <w:pPr>
        <w:shd w:val="clear"/>
        <w:bidi w:val="0"/>
        <w:ind w:left="0" w:leftChars="0" w:firstLineChars="0"/>
        <w:jc w:val="center"/>
        <w:rPr>
          <w:rFonts w:hint="eastAsia" w:ascii="宋体" w:hAnsi="宋体" w:eastAsia="宋体" w:cs="宋体"/>
          <w:color w:val="auto"/>
          <w:highlight w:val="none"/>
        </w:rPr>
      </w:pPr>
      <w:bookmarkStart w:id="326" w:name="_Toc27586"/>
      <w:bookmarkStart w:id="327" w:name="_Toc22396"/>
      <w:r>
        <w:rPr>
          <w:rFonts w:hint="eastAsia" w:ascii="宋体" w:hAnsi="宋体" w:eastAsia="宋体" w:cs="宋体"/>
          <w:color w:val="auto"/>
          <w:highlight w:val="none"/>
        </w:rPr>
        <w:br w:type="page"/>
      </w:r>
    </w:p>
    <w:p w14:paraId="41007B8E">
      <w:pPr>
        <w:pStyle w:val="2"/>
        <w:shd w:val="clear"/>
        <w:bidi w:val="0"/>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第六章 投标文件格式</w:t>
      </w:r>
      <w:bookmarkEnd w:id="149"/>
      <w:bookmarkEnd w:id="150"/>
      <w:bookmarkEnd w:id="326"/>
      <w:bookmarkEnd w:id="327"/>
    </w:p>
    <w:p w14:paraId="5BBB46E2">
      <w:pPr>
        <w:shd w:val="clear"/>
        <w:jc w:val="center"/>
        <w:rPr>
          <w:rFonts w:hint="eastAsia" w:ascii="宋体" w:hAnsi="宋体" w:eastAsia="宋体" w:cs="宋体"/>
          <w:b/>
          <w:bCs/>
          <w:color w:val="auto"/>
          <w:sz w:val="40"/>
          <w:szCs w:val="40"/>
          <w:highlight w:val="none"/>
          <w:lang w:val="en-US" w:eastAsia="zh-CN"/>
        </w:rPr>
      </w:pPr>
      <w:bookmarkStart w:id="328" w:name="_A1_投标书"/>
      <w:bookmarkEnd w:id="328"/>
      <w:bookmarkStart w:id="329" w:name="_Toc414445764"/>
      <w:bookmarkStart w:id="330" w:name="_Toc416103814"/>
      <w:bookmarkStart w:id="331" w:name="_Toc410631173"/>
      <w:bookmarkStart w:id="332" w:name="_Toc372807484"/>
      <w:bookmarkStart w:id="333" w:name="_Toc31670"/>
      <w:bookmarkStart w:id="334" w:name="_Toc30875"/>
      <w:bookmarkStart w:id="335" w:name="_Toc181038076"/>
      <w:bookmarkStart w:id="336" w:name="_Toc176663528"/>
      <w:bookmarkStart w:id="337" w:name="_Toc162669084"/>
      <w:bookmarkStart w:id="338" w:name="_Toc128455956"/>
      <w:bookmarkStart w:id="339" w:name="_Toc192127127"/>
      <w:bookmarkStart w:id="340" w:name="_Toc179091096"/>
      <w:bookmarkStart w:id="341" w:name="_Toc192127128"/>
    </w:p>
    <w:p w14:paraId="16F329EE">
      <w:pPr>
        <w:pStyle w:val="5"/>
        <w:spacing w:line="240" w:lineRule="auto"/>
        <w:jc w:val="center"/>
        <w:rPr>
          <w:rFonts w:hint="eastAsia" w:ascii="宋体" w:hAnsi="宋体" w:eastAsia="宋体" w:cs="宋体"/>
          <w:b/>
          <w:bCs/>
          <w:color w:val="auto"/>
          <w:w w:val="80"/>
          <w:sz w:val="48"/>
          <w:szCs w:val="48"/>
          <w:highlight w:val="none"/>
          <w:lang w:val="en-US" w:eastAsia="zh-CN"/>
        </w:rPr>
      </w:pPr>
      <w:r>
        <w:rPr>
          <w:rFonts w:hint="eastAsia" w:ascii="宋体" w:hAnsi="宋体" w:cs="宋体"/>
          <w:b/>
          <w:bCs/>
          <w:color w:val="auto"/>
          <w:w w:val="80"/>
          <w:sz w:val="48"/>
          <w:szCs w:val="48"/>
          <w:highlight w:val="none"/>
          <w:lang w:val="en-US" w:eastAsia="zh-CN"/>
        </w:rPr>
        <w:t>昆明医科大学第一附属医院临床专科能力提升信息化整体建设项目——智慧医疗与智慧服务系统提升应用专项建设项目</w:t>
      </w:r>
    </w:p>
    <w:p w14:paraId="76DC549C">
      <w:pPr>
        <w:shd w:val="clear"/>
        <w:jc w:val="center"/>
        <w:rPr>
          <w:rFonts w:hint="eastAsia" w:ascii="宋体" w:hAnsi="宋体" w:eastAsia="宋体" w:cs="宋体"/>
          <w:b/>
          <w:bCs/>
          <w:color w:val="auto"/>
          <w:sz w:val="40"/>
          <w:szCs w:val="40"/>
          <w:highlight w:val="none"/>
          <w:lang w:val="en-US" w:eastAsia="zh-CN"/>
        </w:rPr>
      </w:pPr>
    </w:p>
    <w:p w14:paraId="220070CA">
      <w:pPr>
        <w:shd w:val="clear"/>
        <w:jc w:val="center"/>
        <w:rPr>
          <w:rFonts w:hint="eastAsia" w:ascii="宋体" w:hAnsi="宋体" w:eastAsia="宋体" w:cs="宋体"/>
          <w:b/>
          <w:bCs/>
          <w:color w:val="auto"/>
          <w:sz w:val="40"/>
          <w:szCs w:val="40"/>
          <w:highlight w:val="none"/>
          <w:lang w:val="en-US" w:eastAsia="zh-CN"/>
        </w:rPr>
      </w:pPr>
    </w:p>
    <w:p w14:paraId="39F80DFB">
      <w:pPr>
        <w:shd w:val="clear"/>
        <w:jc w:val="center"/>
        <w:rPr>
          <w:rFonts w:hint="eastAsia" w:ascii="宋体" w:hAnsi="宋体" w:eastAsia="宋体" w:cs="宋体"/>
          <w:b/>
          <w:bCs/>
          <w:color w:val="auto"/>
          <w:sz w:val="40"/>
          <w:szCs w:val="40"/>
          <w:highlight w:val="none"/>
          <w:lang w:val="en-US" w:eastAsia="zh-CN"/>
        </w:rPr>
      </w:pPr>
    </w:p>
    <w:p w14:paraId="1AB3BD5F">
      <w:pPr>
        <w:shd w:val="clear"/>
        <w:jc w:val="center"/>
        <w:rPr>
          <w:rFonts w:hint="eastAsia" w:ascii="宋体" w:hAnsi="宋体" w:eastAsia="宋体" w:cs="宋体"/>
          <w:b/>
          <w:bCs/>
          <w:color w:val="auto"/>
          <w:sz w:val="40"/>
          <w:szCs w:val="40"/>
          <w:highlight w:val="none"/>
          <w:lang w:val="en-US" w:eastAsia="zh-CN"/>
        </w:rPr>
      </w:pPr>
    </w:p>
    <w:p w14:paraId="467F8FED">
      <w:pPr>
        <w:keepNext w:val="0"/>
        <w:keepLines w:val="0"/>
        <w:pageBreakBefore w:val="0"/>
        <w:widowControl w:val="0"/>
        <w:shd w:val="clear"/>
        <w:kinsoku/>
        <w:wordWrap/>
        <w:overflowPunct/>
        <w:topLinePunct w:val="0"/>
        <w:autoSpaceDE/>
        <w:autoSpaceDN/>
        <w:bidi w:val="0"/>
        <w:adjustRightInd/>
        <w:snapToGrid/>
        <w:spacing w:line="1300" w:lineRule="exact"/>
        <w:ind w:left="0"/>
        <w:jc w:val="center"/>
        <w:textAlignment w:val="auto"/>
        <w:rPr>
          <w:rFonts w:hint="eastAsia" w:ascii="宋体" w:hAnsi="宋体" w:eastAsia="宋体" w:cs="宋体"/>
          <w:b/>
          <w:color w:val="auto"/>
          <w:w w:val="80"/>
          <w:sz w:val="110"/>
          <w:szCs w:val="110"/>
          <w:highlight w:val="none"/>
          <w:lang w:eastAsia="zh-CN"/>
        </w:rPr>
      </w:pPr>
      <w:r>
        <w:rPr>
          <w:rFonts w:hint="eastAsia" w:ascii="宋体" w:hAnsi="宋体" w:eastAsia="宋体" w:cs="宋体"/>
          <w:b/>
          <w:color w:val="auto"/>
          <w:w w:val="80"/>
          <w:sz w:val="110"/>
          <w:szCs w:val="110"/>
          <w:highlight w:val="none"/>
          <w:lang w:eastAsia="zh-CN"/>
        </w:rPr>
        <w:t>投</w:t>
      </w:r>
      <w:r>
        <w:rPr>
          <w:rFonts w:hint="eastAsia" w:ascii="宋体" w:hAnsi="宋体" w:eastAsia="宋体" w:cs="宋体"/>
          <w:b/>
          <w:color w:val="auto"/>
          <w:w w:val="80"/>
          <w:sz w:val="110"/>
          <w:szCs w:val="110"/>
          <w:highlight w:val="none"/>
          <w:lang w:val="en-US" w:eastAsia="zh-CN"/>
        </w:rPr>
        <w:t xml:space="preserve"> </w:t>
      </w:r>
      <w:r>
        <w:rPr>
          <w:rFonts w:hint="eastAsia" w:ascii="宋体" w:hAnsi="宋体" w:eastAsia="宋体" w:cs="宋体"/>
          <w:b/>
          <w:color w:val="auto"/>
          <w:w w:val="80"/>
          <w:sz w:val="110"/>
          <w:szCs w:val="110"/>
          <w:highlight w:val="none"/>
          <w:lang w:eastAsia="zh-CN"/>
        </w:rPr>
        <w:t>标</w:t>
      </w:r>
      <w:r>
        <w:rPr>
          <w:rFonts w:hint="eastAsia" w:ascii="宋体" w:hAnsi="宋体" w:eastAsia="宋体" w:cs="宋体"/>
          <w:b/>
          <w:color w:val="auto"/>
          <w:w w:val="80"/>
          <w:sz w:val="110"/>
          <w:szCs w:val="110"/>
          <w:highlight w:val="none"/>
          <w:lang w:val="en-US" w:eastAsia="zh-CN"/>
        </w:rPr>
        <w:t xml:space="preserve"> </w:t>
      </w:r>
      <w:r>
        <w:rPr>
          <w:rFonts w:hint="eastAsia" w:ascii="宋体" w:hAnsi="宋体" w:eastAsia="宋体" w:cs="宋体"/>
          <w:b/>
          <w:color w:val="auto"/>
          <w:w w:val="80"/>
          <w:sz w:val="110"/>
          <w:szCs w:val="110"/>
          <w:highlight w:val="none"/>
          <w:lang w:eastAsia="zh-CN"/>
        </w:rPr>
        <w:t>文</w:t>
      </w:r>
      <w:r>
        <w:rPr>
          <w:rFonts w:hint="eastAsia" w:ascii="宋体" w:hAnsi="宋体" w:eastAsia="宋体" w:cs="宋体"/>
          <w:b/>
          <w:color w:val="auto"/>
          <w:w w:val="80"/>
          <w:sz w:val="110"/>
          <w:szCs w:val="110"/>
          <w:highlight w:val="none"/>
          <w:lang w:val="en-US" w:eastAsia="zh-CN"/>
        </w:rPr>
        <w:t xml:space="preserve"> </w:t>
      </w:r>
      <w:r>
        <w:rPr>
          <w:rFonts w:hint="eastAsia" w:ascii="宋体" w:hAnsi="宋体" w:eastAsia="宋体" w:cs="宋体"/>
          <w:b/>
          <w:color w:val="auto"/>
          <w:w w:val="80"/>
          <w:sz w:val="110"/>
          <w:szCs w:val="110"/>
          <w:highlight w:val="none"/>
          <w:lang w:eastAsia="zh-CN"/>
        </w:rPr>
        <w:t>件</w:t>
      </w:r>
    </w:p>
    <w:p w14:paraId="23FA55FF">
      <w:pPr>
        <w:shd w:val="clear"/>
        <w:jc w:val="center"/>
        <w:rPr>
          <w:rFonts w:hint="eastAsia" w:ascii="宋体" w:hAnsi="宋体" w:eastAsia="宋体" w:cs="宋体"/>
          <w:b/>
          <w:bCs/>
          <w:color w:val="auto"/>
          <w:sz w:val="40"/>
          <w:szCs w:val="40"/>
          <w:highlight w:val="none"/>
          <w:lang w:val="en-US" w:eastAsia="zh-CN"/>
        </w:rPr>
      </w:pPr>
    </w:p>
    <w:p w14:paraId="5DE21BBC">
      <w:pPr>
        <w:shd w:val="clear"/>
        <w:jc w:val="center"/>
        <w:rPr>
          <w:rFonts w:hint="eastAsia" w:ascii="宋体" w:hAnsi="宋体" w:eastAsia="宋体" w:cs="宋体"/>
          <w:b/>
          <w:bCs/>
          <w:color w:val="auto"/>
          <w:sz w:val="40"/>
          <w:szCs w:val="40"/>
          <w:highlight w:val="none"/>
          <w:lang w:val="en-US" w:eastAsia="zh-CN"/>
        </w:rPr>
      </w:pPr>
    </w:p>
    <w:p w14:paraId="64408773">
      <w:pPr>
        <w:shd w:val="clear"/>
        <w:jc w:val="center"/>
        <w:rPr>
          <w:rFonts w:hint="eastAsia" w:ascii="宋体" w:hAnsi="宋体" w:eastAsia="宋体" w:cs="宋体"/>
          <w:b/>
          <w:bCs/>
          <w:color w:val="auto"/>
          <w:sz w:val="40"/>
          <w:szCs w:val="40"/>
          <w:highlight w:val="none"/>
          <w:lang w:val="en-US" w:eastAsia="zh-CN"/>
        </w:rPr>
      </w:pPr>
    </w:p>
    <w:p w14:paraId="6002431B">
      <w:pPr>
        <w:shd w:val="clear"/>
        <w:jc w:val="center"/>
        <w:rPr>
          <w:rFonts w:hint="eastAsia" w:ascii="宋体" w:hAnsi="宋体" w:eastAsia="宋体" w:cs="宋体"/>
          <w:b/>
          <w:bCs/>
          <w:color w:val="auto"/>
          <w:sz w:val="40"/>
          <w:szCs w:val="40"/>
          <w:highlight w:val="none"/>
          <w:lang w:val="en-US" w:eastAsia="zh-CN"/>
        </w:rPr>
      </w:pPr>
    </w:p>
    <w:p w14:paraId="1CE0C838">
      <w:pPr>
        <w:keepNext w:val="0"/>
        <w:keepLines w:val="0"/>
        <w:pageBreakBefore w:val="0"/>
        <w:widowControl w:val="0"/>
        <w:shd w:val="clear"/>
        <w:tabs>
          <w:tab w:val="left" w:pos="6942"/>
          <w:tab w:val="left" w:pos="7535"/>
        </w:tabs>
        <w:kinsoku/>
        <w:wordWrap/>
        <w:overflowPunct/>
        <w:topLinePunct w:val="0"/>
        <w:autoSpaceDE/>
        <w:autoSpaceDN/>
        <w:bidi w:val="0"/>
        <w:adjustRightInd/>
        <w:snapToGrid/>
        <w:spacing w:line="360" w:lineRule="auto"/>
        <w:ind w:firstLine="675" w:firstLineChars="300"/>
        <w:textAlignment w:val="auto"/>
        <w:rPr>
          <w:rFonts w:hint="eastAsia" w:ascii="宋体" w:hAnsi="宋体" w:eastAsia="宋体" w:cs="宋体"/>
          <w:b/>
          <w:color w:val="auto"/>
          <w:w w:val="80"/>
          <w:sz w:val="28"/>
          <w:highlight w:val="none"/>
          <w:lang w:val="en-US" w:eastAsia="zh-CN"/>
        </w:rPr>
      </w:pPr>
      <w:r>
        <w:rPr>
          <w:rFonts w:hint="eastAsia" w:ascii="宋体" w:hAnsi="宋体" w:eastAsia="宋体" w:cs="宋体"/>
          <w:b/>
          <w:color w:val="auto"/>
          <w:w w:val="80"/>
          <w:sz w:val="28"/>
          <w:highlight w:val="none"/>
          <w:lang w:val="en-US" w:eastAsia="zh-CN"/>
        </w:rPr>
        <w:t>政采云平台编号：</w:t>
      </w:r>
    </w:p>
    <w:p w14:paraId="13B8A67D">
      <w:pPr>
        <w:keepNext w:val="0"/>
        <w:keepLines w:val="0"/>
        <w:pageBreakBefore w:val="0"/>
        <w:widowControl w:val="0"/>
        <w:shd w:val="clear"/>
        <w:tabs>
          <w:tab w:val="left" w:pos="6942"/>
          <w:tab w:val="left" w:pos="7535"/>
        </w:tabs>
        <w:kinsoku/>
        <w:wordWrap/>
        <w:overflowPunct/>
        <w:topLinePunct w:val="0"/>
        <w:autoSpaceDE/>
        <w:autoSpaceDN/>
        <w:bidi w:val="0"/>
        <w:adjustRightInd/>
        <w:snapToGrid/>
        <w:spacing w:line="360" w:lineRule="auto"/>
        <w:ind w:firstLine="675" w:firstLineChars="300"/>
        <w:textAlignment w:val="auto"/>
        <w:rPr>
          <w:rFonts w:hint="eastAsia" w:ascii="宋体" w:hAnsi="宋体" w:eastAsia="宋体" w:cs="宋体"/>
          <w:b/>
          <w:color w:val="auto"/>
          <w:w w:val="80"/>
          <w:sz w:val="28"/>
          <w:highlight w:val="none"/>
          <w:lang w:val="en-US" w:eastAsia="zh-CN"/>
        </w:rPr>
      </w:pPr>
      <w:r>
        <w:rPr>
          <w:rFonts w:hint="eastAsia" w:ascii="宋体" w:hAnsi="宋体" w:eastAsia="宋体" w:cs="宋体"/>
          <w:b/>
          <w:color w:val="auto"/>
          <w:w w:val="80"/>
          <w:sz w:val="28"/>
          <w:highlight w:val="none"/>
          <w:lang w:val="en-US" w:eastAsia="zh-CN"/>
        </w:rPr>
        <w:t>招标编号：</w:t>
      </w:r>
    </w:p>
    <w:p w14:paraId="54CB1A5C">
      <w:pPr>
        <w:keepNext w:val="0"/>
        <w:keepLines w:val="0"/>
        <w:pageBreakBefore w:val="0"/>
        <w:widowControl w:val="0"/>
        <w:shd w:val="clear"/>
        <w:tabs>
          <w:tab w:val="left" w:pos="6942"/>
          <w:tab w:val="left" w:pos="7535"/>
        </w:tabs>
        <w:kinsoku/>
        <w:wordWrap/>
        <w:overflowPunct/>
        <w:topLinePunct w:val="0"/>
        <w:autoSpaceDE/>
        <w:autoSpaceDN/>
        <w:bidi w:val="0"/>
        <w:adjustRightInd/>
        <w:snapToGrid/>
        <w:spacing w:line="360" w:lineRule="auto"/>
        <w:ind w:firstLine="675" w:firstLineChars="300"/>
        <w:textAlignment w:val="auto"/>
        <w:rPr>
          <w:rFonts w:hint="eastAsia" w:ascii="宋体" w:hAnsi="宋体" w:eastAsia="宋体" w:cs="宋体"/>
          <w:b/>
          <w:color w:val="auto"/>
          <w:w w:val="80"/>
          <w:sz w:val="28"/>
          <w:highlight w:val="none"/>
          <w:lang w:eastAsia="zh-CN"/>
        </w:rPr>
      </w:pPr>
      <w:r>
        <w:rPr>
          <w:rFonts w:hint="eastAsia" w:ascii="宋体" w:hAnsi="宋体" w:eastAsia="宋体" w:cs="宋体"/>
          <w:b/>
          <w:color w:val="auto"/>
          <w:w w:val="80"/>
          <w:sz w:val="28"/>
          <w:highlight w:val="none"/>
          <w:lang w:eastAsia="zh-CN"/>
        </w:rPr>
        <w:t>投标人：</w:t>
      </w:r>
      <w:r>
        <w:rPr>
          <w:rFonts w:hint="eastAsia" w:ascii="宋体" w:hAnsi="宋体" w:eastAsia="宋体" w:cs="宋体"/>
          <w:b/>
          <w:color w:val="auto"/>
          <w:w w:val="80"/>
          <w:sz w:val="28"/>
          <w:highlight w:val="none"/>
          <w:u w:val="single"/>
          <w:lang w:val="en-US" w:eastAsia="zh-CN"/>
        </w:rPr>
        <w:t xml:space="preserve">                </w:t>
      </w:r>
      <w:r>
        <w:rPr>
          <w:rFonts w:hint="eastAsia" w:ascii="宋体" w:hAnsi="宋体" w:eastAsia="宋体" w:cs="宋体"/>
          <w:b/>
          <w:color w:val="auto"/>
          <w:w w:val="80"/>
          <w:sz w:val="28"/>
          <w:highlight w:val="none"/>
          <w:lang w:eastAsia="zh-CN"/>
        </w:rPr>
        <w:t>（</w:t>
      </w:r>
      <w:r>
        <w:rPr>
          <w:rFonts w:hint="eastAsia" w:ascii="宋体" w:hAnsi="宋体" w:eastAsia="宋体" w:cs="宋体"/>
          <w:b/>
          <w:color w:val="auto"/>
          <w:w w:val="80"/>
          <w:sz w:val="28"/>
          <w:highlight w:val="none"/>
          <w:lang w:val="en-US" w:eastAsia="zh-CN"/>
        </w:rPr>
        <w:t>电子公章</w:t>
      </w:r>
      <w:r>
        <w:rPr>
          <w:rFonts w:hint="eastAsia" w:ascii="宋体" w:hAnsi="宋体" w:eastAsia="宋体" w:cs="宋体"/>
          <w:b/>
          <w:color w:val="auto"/>
          <w:w w:val="80"/>
          <w:sz w:val="28"/>
          <w:highlight w:val="none"/>
          <w:lang w:eastAsia="zh-CN"/>
        </w:rPr>
        <w:t>）</w:t>
      </w:r>
    </w:p>
    <w:p w14:paraId="6437740F">
      <w:pPr>
        <w:keepNext w:val="0"/>
        <w:keepLines w:val="0"/>
        <w:pageBreakBefore w:val="0"/>
        <w:widowControl w:val="0"/>
        <w:shd w:val="clear"/>
        <w:tabs>
          <w:tab w:val="left" w:pos="6942"/>
          <w:tab w:val="left" w:pos="7535"/>
        </w:tabs>
        <w:kinsoku/>
        <w:wordWrap/>
        <w:overflowPunct/>
        <w:topLinePunct w:val="0"/>
        <w:autoSpaceDE/>
        <w:autoSpaceDN/>
        <w:bidi w:val="0"/>
        <w:adjustRightInd/>
        <w:snapToGrid/>
        <w:spacing w:line="360" w:lineRule="auto"/>
        <w:ind w:firstLine="675" w:firstLineChars="300"/>
        <w:textAlignment w:val="auto"/>
        <w:rPr>
          <w:rFonts w:hint="eastAsia" w:ascii="宋体" w:hAnsi="宋体" w:eastAsia="宋体" w:cs="宋体"/>
          <w:b/>
          <w:color w:val="auto"/>
          <w:spacing w:val="-1"/>
          <w:w w:val="80"/>
          <w:sz w:val="28"/>
          <w:highlight w:val="none"/>
          <w:lang w:eastAsia="zh-CN"/>
        </w:rPr>
      </w:pPr>
      <w:r>
        <w:rPr>
          <w:rFonts w:hint="eastAsia" w:ascii="宋体" w:hAnsi="宋体" w:eastAsia="宋体" w:cs="宋体"/>
          <w:b/>
          <w:color w:val="auto"/>
          <w:w w:val="80"/>
          <w:sz w:val="28"/>
          <w:highlight w:val="none"/>
          <w:lang w:eastAsia="zh-CN"/>
        </w:rPr>
        <w:t>法定代表人（单位负责人）或其委托代理人：</w:t>
      </w:r>
      <w:r>
        <w:rPr>
          <w:rFonts w:hint="eastAsia" w:ascii="宋体" w:hAnsi="宋体" w:eastAsia="宋体" w:cs="宋体"/>
          <w:b/>
          <w:color w:val="auto"/>
          <w:w w:val="80"/>
          <w:sz w:val="28"/>
          <w:highlight w:val="none"/>
          <w:u w:val="single"/>
          <w:lang w:val="en-US" w:eastAsia="zh-CN"/>
        </w:rPr>
        <w:t xml:space="preserve">                </w:t>
      </w:r>
      <w:r>
        <w:rPr>
          <w:rFonts w:hint="eastAsia" w:ascii="宋体" w:hAnsi="宋体" w:eastAsia="宋体" w:cs="宋体"/>
          <w:b/>
          <w:color w:val="auto"/>
          <w:spacing w:val="-1"/>
          <w:w w:val="80"/>
          <w:sz w:val="28"/>
          <w:highlight w:val="none"/>
          <w:lang w:eastAsia="zh-CN"/>
        </w:rPr>
        <w:t>（</w:t>
      </w:r>
      <w:r>
        <w:rPr>
          <w:rFonts w:hint="eastAsia" w:ascii="宋体" w:hAnsi="宋体" w:eastAsia="宋体" w:cs="宋体"/>
          <w:b/>
          <w:color w:val="auto"/>
          <w:spacing w:val="-1"/>
          <w:w w:val="80"/>
          <w:sz w:val="28"/>
          <w:highlight w:val="none"/>
          <w:lang w:val="en-US" w:eastAsia="zh-CN"/>
        </w:rPr>
        <w:t>电子签名</w:t>
      </w:r>
      <w:r>
        <w:rPr>
          <w:rFonts w:hint="eastAsia" w:ascii="宋体" w:hAnsi="宋体" w:eastAsia="宋体" w:cs="宋体"/>
          <w:b/>
          <w:color w:val="auto"/>
          <w:spacing w:val="-1"/>
          <w:w w:val="80"/>
          <w:sz w:val="28"/>
          <w:highlight w:val="none"/>
          <w:lang w:eastAsia="zh-CN"/>
        </w:rPr>
        <w:t>）</w:t>
      </w:r>
    </w:p>
    <w:p w14:paraId="794EC3B4">
      <w:pPr>
        <w:keepNext w:val="0"/>
        <w:keepLines w:val="0"/>
        <w:pageBreakBefore w:val="0"/>
        <w:widowControl w:val="0"/>
        <w:shd w:val="clear"/>
        <w:tabs>
          <w:tab w:val="left" w:pos="6942"/>
          <w:tab w:val="left" w:pos="7535"/>
        </w:tabs>
        <w:kinsoku/>
        <w:wordWrap/>
        <w:overflowPunct/>
        <w:topLinePunct w:val="0"/>
        <w:autoSpaceDE/>
        <w:autoSpaceDN/>
        <w:bidi w:val="0"/>
        <w:adjustRightInd/>
        <w:snapToGrid/>
        <w:spacing w:line="360" w:lineRule="auto"/>
        <w:ind w:firstLine="675" w:firstLineChars="300"/>
        <w:textAlignment w:val="auto"/>
        <w:rPr>
          <w:rFonts w:hint="eastAsia" w:ascii="宋体" w:hAnsi="宋体" w:eastAsia="宋体" w:cs="宋体"/>
          <w:b/>
          <w:color w:val="auto"/>
          <w:w w:val="80"/>
          <w:sz w:val="28"/>
          <w:highlight w:val="none"/>
          <w:lang w:eastAsia="zh-CN"/>
        </w:rPr>
      </w:pPr>
      <w:r>
        <w:rPr>
          <w:rFonts w:hint="eastAsia" w:ascii="宋体" w:hAnsi="宋体" w:eastAsia="宋体" w:cs="宋体"/>
          <w:b/>
          <w:color w:val="auto"/>
          <w:w w:val="80"/>
          <w:sz w:val="28"/>
          <w:highlight w:val="none"/>
          <w:lang w:eastAsia="zh-CN"/>
        </w:rPr>
        <w:t>日期：</w:t>
      </w:r>
      <w:r>
        <w:rPr>
          <w:rFonts w:hint="eastAsia" w:ascii="宋体" w:hAnsi="宋体" w:eastAsia="宋体" w:cs="宋体"/>
          <w:b/>
          <w:color w:val="auto"/>
          <w:w w:val="80"/>
          <w:sz w:val="28"/>
          <w:highlight w:val="none"/>
          <w:u w:val="single"/>
          <w:lang w:eastAsia="zh-CN"/>
        </w:rPr>
        <w:t xml:space="preserve">  </w:t>
      </w:r>
      <w:r>
        <w:rPr>
          <w:rFonts w:hint="eastAsia" w:ascii="宋体" w:hAnsi="宋体" w:eastAsia="宋体" w:cs="宋体"/>
          <w:b/>
          <w:color w:val="auto"/>
          <w:w w:val="80"/>
          <w:sz w:val="28"/>
          <w:highlight w:val="none"/>
          <w:u w:val="single"/>
          <w:lang w:val="en-US" w:eastAsia="zh-CN"/>
        </w:rPr>
        <w:t xml:space="preserve">  </w:t>
      </w:r>
      <w:r>
        <w:rPr>
          <w:rFonts w:hint="eastAsia" w:ascii="宋体" w:hAnsi="宋体" w:eastAsia="宋体" w:cs="宋体"/>
          <w:b/>
          <w:color w:val="auto"/>
          <w:w w:val="80"/>
          <w:sz w:val="28"/>
          <w:highlight w:val="none"/>
          <w:u w:val="single"/>
          <w:lang w:eastAsia="zh-CN"/>
        </w:rPr>
        <w:t xml:space="preserve">   </w:t>
      </w:r>
      <w:r>
        <w:rPr>
          <w:rFonts w:hint="eastAsia" w:ascii="宋体" w:hAnsi="宋体" w:eastAsia="宋体" w:cs="宋体"/>
          <w:b/>
          <w:color w:val="auto"/>
          <w:w w:val="80"/>
          <w:sz w:val="28"/>
          <w:highlight w:val="none"/>
          <w:lang w:eastAsia="zh-CN"/>
        </w:rPr>
        <w:t>年</w:t>
      </w:r>
      <w:r>
        <w:rPr>
          <w:rFonts w:hint="eastAsia" w:ascii="宋体" w:hAnsi="宋体" w:eastAsia="宋体" w:cs="宋体"/>
          <w:b/>
          <w:color w:val="auto"/>
          <w:w w:val="80"/>
          <w:sz w:val="28"/>
          <w:highlight w:val="none"/>
          <w:u w:val="single"/>
          <w:lang w:eastAsia="zh-CN"/>
        </w:rPr>
        <w:t xml:space="preserve">   </w:t>
      </w:r>
      <w:r>
        <w:rPr>
          <w:rFonts w:hint="eastAsia" w:ascii="宋体" w:hAnsi="宋体" w:eastAsia="宋体" w:cs="宋体"/>
          <w:b/>
          <w:color w:val="auto"/>
          <w:w w:val="80"/>
          <w:sz w:val="28"/>
          <w:highlight w:val="none"/>
          <w:u w:val="single"/>
          <w:lang w:val="en-US" w:eastAsia="zh-CN"/>
        </w:rPr>
        <w:t xml:space="preserve">  </w:t>
      </w:r>
      <w:r>
        <w:rPr>
          <w:rFonts w:hint="eastAsia" w:ascii="宋体" w:hAnsi="宋体" w:eastAsia="宋体" w:cs="宋体"/>
          <w:b/>
          <w:color w:val="auto"/>
          <w:w w:val="80"/>
          <w:sz w:val="28"/>
          <w:highlight w:val="none"/>
          <w:u w:val="single"/>
          <w:lang w:eastAsia="zh-CN"/>
        </w:rPr>
        <w:t xml:space="preserve"> </w:t>
      </w:r>
      <w:r>
        <w:rPr>
          <w:rFonts w:hint="eastAsia" w:ascii="宋体" w:hAnsi="宋体" w:eastAsia="宋体" w:cs="宋体"/>
          <w:b/>
          <w:color w:val="auto"/>
          <w:w w:val="80"/>
          <w:sz w:val="28"/>
          <w:highlight w:val="none"/>
          <w:lang w:eastAsia="zh-CN"/>
        </w:rPr>
        <w:t>月</w:t>
      </w:r>
      <w:r>
        <w:rPr>
          <w:rFonts w:hint="eastAsia" w:ascii="宋体" w:hAnsi="宋体" w:eastAsia="宋体" w:cs="宋体"/>
          <w:color w:val="auto"/>
          <w:w w:val="80"/>
          <w:sz w:val="28"/>
          <w:highlight w:val="none"/>
          <w:u w:val="single"/>
          <w:lang w:eastAsia="zh-CN"/>
        </w:rPr>
        <w:t xml:space="preserve">  </w:t>
      </w:r>
      <w:r>
        <w:rPr>
          <w:rFonts w:hint="eastAsia" w:ascii="宋体" w:hAnsi="宋体" w:eastAsia="宋体" w:cs="宋体"/>
          <w:color w:val="auto"/>
          <w:w w:val="80"/>
          <w:sz w:val="28"/>
          <w:highlight w:val="none"/>
          <w:u w:val="single"/>
          <w:lang w:val="en-US" w:eastAsia="zh-CN"/>
        </w:rPr>
        <w:t xml:space="preserve">  </w:t>
      </w:r>
      <w:r>
        <w:rPr>
          <w:rFonts w:hint="eastAsia" w:ascii="宋体" w:hAnsi="宋体" w:eastAsia="宋体" w:cs="宋体"/>
          <w:color w:val="auto"/>
          <w:w w:val="80"/>
          <w:sz w:val="28"/>
          <w:highlight w:val="none"/>
          <w:u w:val="single"/>
          <w:lang w:eastAsia="zh-CN"/>
        </w:rPr>
        <w:t xml:space="preserve">  </w:t>
      </w:r>
      <w:r>
        <w:rPr>
          <w:rFonts w:hint="eastAsia" w:ascii="宋体" w:hAnsi="宋体" w:eastAsia="宋体" w:cs="宋体"/>
          <w:b/>
          <w:color w:val="auto"/>
          <w:w w:val="80"/>
          <w:sz w:val="28"/>
          <w:highlight w:val="none"/>
          <w:lang w:eastAsia="zh-CN"/>
        </w:rPr>
        <w:t>日</w:t>
      </w:r>
    </w:p>
    <w:p w14:paraId="3C5E006B">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8E8EC16">
      <w:pPr>
        <w:pStyle w:val="4"/>
        <w:bidi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附件1  </w:t>
      </w:r>
      <w:bookmarkEnd w:id="329"/>
      <w:bookmarkEnd w:id="330"/>
      <w:bookmarkEnd w:id="331"/>
      <w:bookmarkEnd w:id="332"/>
      <w:r>
        <w:rPr>
          <w:rFonts w:hint="eastAsia" w:ascii="宋体" w:hAnsi="宋体" w:eastAsia="宋体" w:cs="宋体"/>
          <w:color w:val="auto"/>
          <w:sz w:val="28"/>
          <w:szCs w:val="28"/>
          <w:highlight w:val="none"/>
        </w:rPr>
        <w:t>投标书</w:t>
      </w:r>
      <w:bookmarkEnd w:id="333"/>
      <w:bookmarkEnd w:id="334"/>
      <w:bookmarkEnd w:id="335"/>
      <w:bookmarkEnd w:id="336"/>
      <w:bookmarkEnd w:id="337"/>
      <w:bookmarkEnd w:id="338"/>
      <w:bookmarkEnd w:id="339"/>
      <w:bookmarkEnd w:id="340"/>
    </w:p>
    <w:p w14:paraId="0A47283B">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投标书</w:t>
      </w:r>
    </w:p>
    <w:p w14:paraId="14834F7E">
      <w:pPr>
        <w:keepNext w:val="0"/>
        <w:keepLines w:val="0"/>
        <w:pageBreakBefore w:val="0"/>
        <w:widowControl w:val="0"/>
        <w:shd w:val="clear"/>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u w:val="single"/>
        </w:rPr>
        <w:t xml:space="preserve">                </w:t>
      </w:r>
      <w:r>
        <w:rPr>
          <w:rFonts w:hint="eastAsia" w:ascii="宋体" w:hAnsi="宋体" w:eastAsia="宋体" w:cs="宋体"/>
          <w:b/>
          <w:bCs/>
          <w:color w:val="auto"/>
          <w:kern w:val="0"/>
          <w:sz w:val="21"/>
          <w:szCs w:val="21"/>
          <w:highlight w:val="none"/>
        </w:rPr>
        <w:t>（采购人名称）：</w:t>
      </w:r>
    </w:p>
    <w:p w14:paraId="1709FF2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1.你方组织的“</w:t>
      </w:r>
      <w:r>
        <w:rPr>
          <w:rFonts w:hint="eastAsia" w:ascii="宋体" w:hAnsi="宋体" w:eastAsia="宋体" w:cs="宋体"/>
          <w:color w:val="auto"/>
          <w:kern w:val="0"/>
          <w:sz w:val="21"/>
          <w:szCs w:val="21"/>
          <w:highlight w:val="none"/>
          <w:u w:val="single"/>
        </w:rPr>
        <w:t xml:space="preserve"> （项目名称）   </w:t>
      </w:r>
      <w:r>
        <w:rPr>
          <w:rFonts w:hint="eastAsia" w:ascii="宋体" w:hAnsi="宋体" w:eastAsia="宋体" w:cs="宋体"/>
          <w:color w:val="auto"/>
          <w:kern w:val="0"/>
          <w:sz w:val="21"/>
          <w:szCs w:val="21"/>
          <w:highlight w:val="none"/>
        </w:rPr>
        <w:t>”的招标[</w:t>
      </w:r>
      <w:r>
        <w:rPr>
          <w:rFonts w:hint="eastAsia" w:ascii="宋体" w:hAnsi="宋体" w:eastAsia="宋体" w:cs="宋体"/>
          <w:color w:val="auto"/>
          <w:kern w:val="0"/>
          <w:sz w:val="21"/>
          <w:szCs w:val="21"/>
          <w:highlight w:val="none"/>
          <w:lang w:val="en-US" w:eastAsia="zh-CN"/>
        </w:rPr>
        <w:t>政采云平台</w:t>
      </w:r>
      <w:r>
        <w:rPr>
          <w:rFonts w:hint="eastAsia" w:ascii="宋体" w:hAnsi="宋体" w:eastAsia="宋体" w:cs="宋体"/>
          <w:color w:val="auto"/>
          <w:kern w:val="0"/>
          <w:sz w:val="21"/>
          <w:szCs w:val="21"/>
          <w:highlight w:val="none"/>
        </w:rPr>
        <w:t>编号：</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]，我方愿参与投标。我方确认收到贵方提供的“</w:t>
      </w:r>
      <w:r>
        <w:rPr>
          <w:rFonts w:hint="eastAsia" w:ascii="宋体" w:hAnsi="宋体" w:eastAsia="宋体" w:cs="宋体"/>
          <w:color w:val="auto"/>
          <w:kern w:val="0"/>
          <w:sz w:val="21"/>
          <w:szCs w:val="21"/>
          <w:highlight w:val="none"/>
          <w:u w:val="single"/>
        </w:rPr>
        <w:t xml:space="preserve"> （项目名称）   </w:t>
      </w:r>
      <w:r>
        <w:rPr>
          <w:rFonts w:hint="eastAsia" w:ascii="宋体" w:hAnsi="宋体" w:eastAsia="宋体" w:cs="宋体"/>
          <w:color w:val="auto"/>
          <w:kern w:val="0"/>
          <w:sz w:val="21"/>
          <w:szCs w:val="21"/>
          <w:highlight w:val="none"/>
        </w:rPr>
        <w:t>”的招标文件的全部内容。我方已仔细研究了</w:t>
      </w:r>
      <w:r>
        <w:rPr>
          <w:rFonts w:hint="eastAsia" w:ascii="宋体" w:hAnsi="宋体" w:eastAsia="宋体" w:cs="宋体"/>
          <w:color w:val="auto"/>
          <w:kern w:val="0"/>
          <w:sz w:val="21"/>
          <w:szCs w:val="21"/>
          <w:highlight w:val="none"/>
          <w:u w:val="single"/>
        </w:rPr>
        <w:t xml:space="preserve">  （项目名称）   </w:t>
      </w:r>
      <w:r>
        <w:rPr>
          <w:rFonts w:hint="eastAsia" w:ascii="宋体" w:hAnsi="宋体" w:eastAsia="宋体" w:cs="宋体"/>
          <w:color w:val="auto"/>
          <w:kern w:val="0"/>
          <w:sz w:val="21"/>
          <w:szCs w:val="21"/>
          <w:highlight w:val="none"/>
        </w:rPr>
        <w:t>招标文件（包括修改、澄清文件）的全部内容，和所有已提供的参考资料以及有关附件，我方完全明白并认为此招标文件没有倾向性，也不存在排斥潜在投标人的内容，我方同意招标文件的相关条款，放弃对招标文件提出误解和质疑的一切权利。</w:t>
      </w:r>
      <w:r>
        <w:rPr>
          <w:rFonts w:hint="eastAsia" w:ascii="宋体" w:hAnsi="宋体" w:eastAsia="宋体" w:cs="宋体"/>
          <w:color w:val="auto"/>
          <w:kern w:val="0"/>
          <w:sz w:val="21"/>
          <w:szCs w:val="21"/>
          <w:highlight w:val="none"/>
          <w:lang w:val="en-US" w:eastAsia="zh-CN"/>
        </w:rPr>
        <w:t>我方</w:t>
      </w:r>
      <w:r>
        <w:rPr>
          <w:rFonts w:hint="eastAsia" w:ascii="宋体" w:hAnsi="宋体" w:eastAsia="宋体" w:cs="宋体"/>
          <w:color w:val="auto"/>
          <w:kern w:val="0"/>
          <w:sz w:val="21"/>
          <w:szCs w:val="21"/>
          <w:highlight w:val="none"/>
        </w:rPr>
        <w:t>对招标文件无任何异议，并愿意以“报价表”所填写的</w:t>
      </w:r>
      <w:r>
        <w:rPr>
          <w:rFonts w:hint="eastAsia" w:ascii="宋体" w:hAnsi="宋体" w:eastAsia="宋体" w:cs="宋体"/>
          <w:color w:val="auto"/>
          <w:kern w:val="0"/>
          <w:sz w:val="21"/>
          <w:szCs w:val="21"/>
          <w:highlight w:val="none"/>
          <w:lang w:val="en-US" w:eastAsia="zh-CN"/>
        </w:rPr>
        <w:t>投标报价</w:t>
      </w:r>
      <w:r>
        <w:rPr>
          <w:rFonts w:hint="eastAsia" w:ascii="宋体" w:hAnsi="宋体" w:eastAsia="宋体" w:cs="宋体"/>
          <w:color w:val="auto"/>
          <w:kern w:val="0"/>
          <w:sz w:val="21"/>
          <w:szCs w:val="21"/>
          <w:highlight w:val="none"/>
        </w:rPr>
        <w:t>、交货期及交货地点，向你方</w:t>
      </w:r>
      <w:r>
        <w:rPr>
          <w:rFonts w:hint="eastAsia" w:ascii="宋体" w:hAnsi="宋体" w:eastAsia="宋体" w:cs="宋体"/>
          <w:color w:val="auto"/>
          <w:sz w:val="21"/>
          <w:szCs w:val="21"/>
          <w:highlight w:val="none"/>
        </w:rPr>
        <w:t>提供招标文件要求的货物和服务</w:t>
      </w:r>
      <w:r>
        <w:rPr>
          <w:rFonts w:hint="eastAsia" w:ascii="宋体" w:hAnsi="宋体" w:eastAsia="宋体" w:cs="宋体"/>
          <w:color w:val="auto"/>
          <w:kern w:val="0"/>
          <w:sz w:val="21"/>
          <w:szCs w:val="21"/>
          <w:highlight w:val="none"/>
        </w:rPr>
        <w:t>。</w:t>
      </w:r>
    </w:p>
    <w:p w14:paraId="5963EE4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none"/>
          <w:lang w:val="en-US" w:eastAsia="zh-CN"/>
        </w:rPr>
        <w:t>2.</w:t>
      </w:r>
      <w:r>
        <w:rPr>
          <w:rFonts w:hint="eastAsia" w:ascii="宋体" w:hAnsi="宋体" w:eastAsia="宋体" w:cs="宋体"/>
          <w:color w:val="auto"/>
          <w:kern w:val="0"/>
          <w:sz w:val="21"/>
          <w:szCs w:val="21"/>
          <w:highlight w:val="none"/>
          <w:u w:val="single"/>
        </w:rPr>
        <w:t>(投标人名称)</w:t>
      </w:r>
      <w:r>
        <w:rPr>
          <w:rFonts w:hint="eastAsia" w:ascii="宋体" w:hAnsi="宋体" w:eastAsia="宋体" w:cs="宋体"/>
          <w:color w:val="auto"/>
          <w:kern w:val="0"/>
          <w:sz w:val="21"/>
          <w:szCs w:val="21"/>
          <w:highlight w:val="none"/>
        </w:rPr>
        <w:t>作为投标人正式授权</w:t>
      </w:r>
      <w:r>
        <w:rPr>
          <w:rFonts w:hint="eastAsia" w:ascii="宋体" w:hAnsi="宋体" w:eastAsia="宋体" w:cs="宋体"/>
          <w:color w:val="auto"/>
          <w:kern w:val="0"/>
          <w:sz w:val="21"/>
          <w:szCs w:val="21"/>
          <w:highlight w:val="none"/>
          <w:u w:val="single"/>
        </w:rPr>
        <w:t>(授权代表全名,职务)</w:t>
      </w:r>
      <w:r>
        <w:rPr>
          <w:rFonts w:hint="eastAsia" w:ascii="宋体" w:hAnsi="宋体" w:eastAsia="宋体" w:cs="宋体"/>
          <w:color w:val="auto"/>
          <w:kern w:val="0"/>
          <w:sz w:val="21"/>
          <w:szCs w:val="21"/>
          <w:highlight w:val="none"/>
        </w:rPr>
        <w:t>代表我方全权处理有关本投标的一切事宜。</w:t>
      </w:r>
    </w:p>
    <w:p w14:paraId="63AAC4D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我方已完全明白招标文件的所有条款要求，并申明如下：</w:t>
      </w:r>
    </w:p>
    <w:p w14:paraId="00208C4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）按招标文件提供的全部货物与相关服务的投标总价详见《开标一览表》。</w:t>
      </w:r>
    </w:p>
    <w:p w14:paraId="7005E3C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本投标文件的有效期为从提交投标文件的截止之日起90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2F9A681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）我方愿意向贵方提供任何与本项报价有关的数据、情况和技术资料。若贵方需要，我方愿意提供我方作出的一切承诺的证明材料。</w:t>
      </w:r>
    </w:p>
    <w:p w14:paraId="6E44AF5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）我方理解贵方不一定接受最低投标价或任何贵方可能收到的投标。</w:t>
      </w:r>
    </w:p>
    <w:p w14:paraId="0E452AB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）我方如果中标，将保证履行招标文件及其澄清、修改文件（如果有）中的全部责任和义务，按质、按量、按期完成《采购需求》及《合同书》中的全部任务。</w:t>
      </w:r>
    </w:p>
    <w:p w14:paraId="0031606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）我方作为法律、财务和运作上独立于采购人、采购代理机构的投标人，在此保证所提交的所有文件和全部说明是真实的和正确的。</w:t>
      </w:r>
    </w:p>
    <w:p w14:paraId="7BDC090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）我方投标报价已包含应向知识产权所有权人支付的所有相关税费，并保证采购人在中国使用我方提供的货物或服务时，如有第三方提出侵犯其知识产权主张的，责任由我方承担。</w:t>
      </w:r>
    </w:p>
    <w:p w14:paraId="59021AE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）我方接受采购人委托向贵方支付代理服务费，项目总报价已包含代理服务费，如果被确定为中标供应商，承诺向贵方足额支付。（若采购人支付代理服务费，则此条不适用）</w:t>
      </w:r>
    </w:p>
    <w:p w14:paraId="082C4C0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）我方与其他投标人不存在法定代表人或单位负责人为同一人或者存在直接控股、管理关系。</w:t>
      </w:r>
    </w:p>
    <w:p w14:paraId="3427DAF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）我方承诺未为本项目提供整体设计、规范编制或者项目管理、监理、检测等服务。</w:t>
      </w:r>
    </w:p>
    <w:p w14:paraId="4C197D6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）我方未被列入法院失信被执行人名单中。</w:t>
      </w:r>
    </w:p>
    <w:p w14:paraId="78689F9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12</w:t>
      </w:r>
      <w:r>
        <w:rPr>
          <w:rFonts w:hint="eastAsia" w:ascii="宋体" w:hAnsi="宋体" w:eastAsia="宋体" w:cs="宋体"/>
          <w:color w:val="auto"/>
          <w:kern w:val="0"/>
          <w:sz w:val="21"/>
          <w:szCs w:val="21"/>
          <w:highlight w:val="none"/>
        </w:rPr>
        <w:t>）我方承诺遵守《中华人民共和国民法典》有关规定和《中华人民共和国妇女权益保障法》中关于“劳动和社会保障权益”的有关要求。</w:t>
      </w:r>
    </w:p>
    <w:p w14:paraId="725F2B7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rPr>
        <w:t>）我方具备《中华人民共和国政府采购法》第二十二条规定的条件，承诺如下：</w:t>
      </w:r>
    </w:p>
    <w:p w14:paraId="31C73AF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①</w:t>
      </w:r>
      <w:r>
        <w:rPr>
          <w:rFonts w:hint="eastAsia" w:ascii="宋体" w:hAnsi="宋体" w:eastAsia="宋体" w:cs="宋体"/>
          <w:color w:val="auto"/>
          <w:kern w:val="0"/>
          <w:sz w:val="21"/>
          <w:szCs w:val="21"/>
          <w:highlight w:val="none"/>
        </w:rPr>
        <w:t>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3052E6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②</w:t>
      </w:r>
      <w:r>
        <w:rPr>
          <w:rFonts w:hint="eastAsia" w:ascii="宋体" w:hAnsi="宋体" w:eastAsia="宋体" w:cs="宋体"/>
          <w:color w:val="auto"/>
          <w:kern w:val="0"/>
          <w:sz w:val="21"/>
          <w:szCs w:val="21"/>
          <w:highlight w:val="none"/>
        </w:rPr>
        <w:t>我方符合法律、行政法规规定的其他条件。</w:t>
      </w:r>
    </w:p>
    <w:p w14:paraId="4544670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以上内容如有虚假或与事实不符的，评标委员会可将我方做无效投标处理，我方愿意承担相应的法律责任。</w:t>
      </w:r>
    </w:p>
    <w:p w14:paraId="3A0C5F8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14</w:t>
      </w:r>
      <w:r>
        <w:rPr>
          <w:rFonts w:hint="eastAsia" w:ascii="宋体" w:hAnsi="宋体" w:eastAsia="宋体" w:cs="宋体"/>
          <w:color w:val="auto"/>
          <w:kern w:val="0"/>
          <w:sz w:val="21"/>
          <w:szCs w:val="21"/>
          <w:highlight w:val="none"/>
        </w:rPr>
        <w:t>）我方对在本函及投标文件中所作的所有承诺承担法律责任。</w:t>
      </w:r>
    </w:p>
    <w:p w14:paraId="38F3213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.随同本投标函提交投标保证金一份，金额见“报价表”。我方承诺在投标有效期内不修改或撤销投标文件。否则，你方可不予退还我方的投标保证金。</w:t>
      </w:r>
    </w:p>
    <w:p w14:paraId="76D40FA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p>
    <w:p w14:paraId="6CC775D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6．如我方中标：</w:t>
      </w:r>
    </w:p>
    <w:p w14:paraId="60A8F4E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（1）我方承诺在收到中标通知书后，在中标通知书规定的期限内与你方签订合同。</w:t>
      </w:r>
    </w:p>
    <w:p w14:paraId="17860DE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（2）我方承诺按照招标文件规定向你方递交履约保证金。</w:t>
      </w:r>
    </w:p>
    <w:p w14:paraId="727392A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（3）我方承诺按合同约定的期限和地点，提供符合招标文件要求的全部的招标货物（或服务）。</w:t>
      </w:r>
    </w:p>
    <w:p w14:paraId="177153E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（4）我方将按招标文件规定提交履约保证金，作为履行合同的担保。</w:t>
      </w:r>
    </w:p>
    <w:p w14:paraId="2FE0678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p>
    <w:p w14:paraId="653C487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59" w:leftChars="17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highlight w:val="none"/>
        </w:rPr>
        <w:t>所有与本招标有关的函件请发往下列地址：</w:t>
      </w:r>
    </w:p>
    <w:p w14:paraId="193D18D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b/>
          <w:bCs/>
          <w:color w:val="auto"/>
          <w:kern w:val="0"/>
          <w:sz w:val="21"/>
          <w:szCs w:val="21"/>
          <w:highlight w:val="none"/>
        </w:rPr>
        <w:t>地 址：__________________邮政编码：__________________</w:t>
      </w:r>
    </w:p>
    <w:p w14:paraId="535C326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电 话：__________________</w:t>
      </w:r>
    </w:p>
    <w:p w14:paraId="53C96A9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传 真：__________________</w:t>
      </w:r>
    </w:p>
    <w:p w14:paraId="607D8F1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代表姓名：__________________职 务：__________________</w:t>
      </w:r>
    </w:p>
    <w:p w14:paraId="33AFFBB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w:t>
      </w:r>
    </w:p>
    <w:p w14:paraId="5C6846F3">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16C470C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1C8B075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10168E8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7935BED9">
      <w:pPr>
        <w:pStyle w:val="5"/>
        <w:rPr>
          <w:rFonts w:hint="eastAsia" w:ascii="宋体" w:hAnsi="宋体" w:eastAsia="宋体" w:cs="宋体"/>
          <w:b/>
          <w:bCs/>
          <w:color w:val="auto"/>
          <w:kern w:val="0"/>
          <w:sz w:val="21"/>
          <w:szCs w:val="21"/>
          <w:highlight w:val="none"/>
        </w:rPr>
      </w:pPr>
    </w:p>
    <w:p w14:paraId="094D98E8">
      <w:pPr>
        <w:pStyle w:val="5"/>
        <w:rPr>
          <w:rFonts w:hint="eastAsia" w:ascii="宋体" w:hAnsi="宋体" w:eastAsia="宋体" w:cs="宋体"/>
          <w:b/>
          <w:bCs/>
          <w:color w:val="auto"/>
          <w:kern w:val="0"/>
          <w:sz w:val="21"/>
          <w:szCs w:val="21"/>
          <w:highlight w:val="none"/>
        </w:rPr>
      </w:pPr>
    </w:p>
    <w:bookmarkEnd w:id="341"/>
    <w:p w14:paraId="3F89138E">
      <w:pPr>
        <w:pStyle w:val="4"/>
        <w:bidi w:val="0"/>
        <w:rPr>
          <w:rFonts w:hint="eastAsia" w:ascii="宋体" w:hAnsi="宋体" w:eastAsia="宋体" w:cs="宋体"/>
          <w:color w:val="auto"/>
          <w:sz w:val="28"/>
          <w:szCs w:val="28"/>
          <w:highlight w:val="none"/>
          <w:lang w:val="en-US" w:eastAsia="zh-CN"/>
        </w:rPr>
      </w:pPr>
      <w:bookmarkStart w:id="342" w:name="_Toc28349"/>
      <w:bookmarkStart w:id="343" w:name="_Toc3327"/>
      <w:bookmarkStart w:id="344" w:name="_Toc192127131"/>
      <w:bookmarkStart w:id="345" w:name="_Toc195922057"/>
      <w:r>
        <w:rPr>
          <w:rFonts w:hint="eastAsia" w:ascii="宋体" w:hAnsi="宋体" w:eastAsia="宋体" w:cs="宋体"/>
          <w:color w:val="auto"/>
          <w:sz w:val="28"/>
          <w:szCs w:val="28"/>
          <w:highlight w:val="none"/>
        </w:rPr>
        <w:t>附件2　报价表</w:t>
      </w:r>
      <w:bookmarkEnd w:id="342"/>
      <w:bookmarkEnd w:id="343"/>
      <w:r>
        <w:rPr>
          <w:rFonts w:hint="eastAsia" w:ascii="宋体" w:hAnsi="宋体" w:eastAsia="宋体" w:cs="宋体"/>
          <w:color w:val="auto"/>
          <w:sz w:val="28"/>
          <w:szCs w:val="28"/>
          <w:highlight w:val="none"/>
          <w:lang w:val="en-US" w:eastAsia="zh-CN"/>
        </w:rPr>
        <w:t>及分项报价表</w:t>
      </w:r>
    </w:p>
    <w:p w14:paraId="571B6F2C">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w:t>
      </w:r>
    </w:p>
    <w:p w14:paraId="691B6C43">
      <w:pPr>
        <w:pStyle w:val="485"/>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rPr>
      </w:pPr>
    </w:p>
    <w:p w14:paraId="21BF7FB3">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开标一览表</w:t>
      </w:r>
    </w:p>
    <w:p w14:paraId="0B40DB44">
      <w:pPr>
        <w:pStyle w:val="485"/>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政采云</w:t>
      </w:r>
      <w:r>
        <w:rPr>
          <w:rFonts w:hint="eastAsia" w:ascii="宋体" w:hAnsi="宋体" w:eastAsia="宋体" w:cs="宋体"/>
          <w:color w:val="auto"/>
          <w:sz w:val="21"/>
          <w:szCs w:val="21"/>
          <w:highlight w:val="none"/>
        </w:rPr>
        <w:t>项目编号：</w:t>
      </w:r>
    </w:p>
    <w:p w14:paraId="5D387A6D">
      <w:pPr>
        <w:pStyle w:val="485"/>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p w14:paraId="5EFBAB61">
      <w:pPr>
        <w:pStyle w:val="485"/>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bl>
      <w:tblPr>
        <w:tblStyle w:val="48"/>
        <w:tblW w:w="959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0"/>
        <w:gridCol w:w="2385"/>
        <w:gridCol w:w="1634"/>
        <w:gridCol w:w="1592"/>
        <w:gridCol w:w="1593"/>
        <w:gridCol w:w="1593"/>
      </w:tblGrid>
      <w:tr w14:paraId="0CECC1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84" w:hRule="atLeast"/>
          <w:jc w:val="center"/>
        </w:trPr>
        <w:tc>
          <w:tcPr>
            <w:tcW w:w="800" w:type="dxa"/>
            <w:vAlign w:val="center"/>
          </w:tcPr>
          <w:p w14:paraId="4ACF63B1">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385" w:type="dxa"/>
            <w:vAlign w:val="center"/>
          </w:tcPr>
          <w:p w14:paraId="3068487F">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采购项目名称/采购</w:t>
            </w:r>
            <w:r>
              <w:rPr>
                <w:rFonts w:hint="eastAsia" w:ascii="宋体" w:hAnsi="宋体" w:eastAsia="宋体" w:cs="宋体"/>
                <w:b/>
                <w:bCs/>
                <w:color w:val="auto"/>
                <w:sz w:val="21"/>
                <w:szCs w:val="21"/>
                <w:highlight w:val="none"/>
                <w:lang w:val="en-US" w:eastAsia="zh-CN"/>
              </w:rPr>
              <w:t>标项</w:t>
            </w:r>
            <w:r>
              <w:rPr>
                <w:rFonts w:hint="eastAsia" w:ascii="宋体" w:hAnsi="宋体" w:eastAsia="宋体" w:cs="宋体"/>
                <w:b/>
                <w:bCs/>
                <w:color w:val="auto"/>
                <w:sz w:val="21"/>
                <w:szCs w:val="21"/>
                <w:highlight w:val="none"/>
              </w:rPr>
              <w:t>名称</w:t>
            </w:r>
          </w:p>
        </w:tc>
        <w:tc>
          <w:tcPr>
            <w:tcW w:w="1634" w:type="dxa"/>
            <w:vAlign w:val="center"/>
          </w:tcPr>
          <w:p w14:paraId="65DD75F0">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w:t>
            </w:r>
            <w:r>
              <w:rPr>
                <w:rFonts w:hint="eastAsia" w:ascii="宋体" w:hAnsi="宋体" w:eastAsia="宋体" w:cs="宋体"/>
                <w:b/>
                <w:bCs/>
                <w:color w:val="auto"/>
                <w:sz w:val="21"/>
                <w:szCs w:val="21"/>
                <w:highlight w:val="none"/>
                <w:lang w:val="en-US" w:eastAsia="zh-CN"/>
              </w:rPr>
              <w:t>总</w:t>
            </w:r>
            <w:r>
              <w:rPr>
                <w:rFonts w:hint="eastAsia" w:ascii="宋体" w:hAnsi="宋体" w:eastAsia="宋体" w:cs="宋体"/>
                <w:b/>
                <w:bCs/>
                <w:color w:val="auto"/>
                <w:sz w:val="21"/>
                <w:szCs w:val="21"/>
                <w:highlight w:val="none"/>
              </w:rPr>
              <w:t>报价（元）</w:t>
            </w:r>
          </w:p>
        </w:tc>
        <w:tc>
          <w:tcPr>
            <w:tcW w:w="1592" w:type="dxa"/>
            <w:vAlign w:val="center"/>
          </w:tcPr>
          <w:p w14:paraId="73A296CD">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合同履行期限</w:t>
            </w:r>
          </w:p>
        </w:tc>
        <w:tc>
          <w:tcPr>
            <w:tcW w:w="1593" w:type="dxa"/>
            <w:vAlign w:val="center"/>
          </w:tcPr>
          <w:p w14:paraId="43625251">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项目</w:t>
            </w:r>
            <w:r>
              <w:rPr>
                <w:rFonts w:hint="eastAsia" w:ascii="宋体" w:hAnsi="宋体" w:eastAsia="宋体" w:cs="宋体"/>
                <w:b/>
                <w:bCs/>
                <w:color w:val="auto"/>
                <w:sz w:val="21"/>
                <w:szCs w:val="21"/>
                <w:highlight w:val="none"/>
              </w:rPr>
              <w:t>地点</w:t>
            </w:r>
          </w:p>
        </w:tc>
        <w:tc>
          <w:tcPr>
            <w:tcW w:w="1593" w:type="dxa"/>
            <w:vAlign w:val="center"/>
          </w:tcPr>
          <w:p w14:paraId="168C2794">
            <w:pPr>
              <w:pStyle w:val="485"/>
              <w:shd w:val="clea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质保期/保修期</w:t>
            </w:r>
          </w:p>
        </w:tc>
      </w:tr>
      <w:tr w14:paraId="78DEB6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2" w:hRule="atLeast"/>
          <w:jc w:val="center"/>
        </w:trPr>
        <w:tc>
          <w:tcPr>
            <w:tcW w:w="800" w:type="dxa"/>
            <w:vAlign w:val="center"/>
          </w:tcPr>
          <w:p w14:paraId="68F84BB1">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385" w:type="dxa"/>
            <w:vAlign w:val="center"/>
          </w:tcPr>
          <w:p w14:paraId="1371C4FF">
            <w:pPr>
              <w:shd w:val="clear"/>
              <w:jc w:val="center"/>
              <w:rPr>
                <w:rFonts w:hint="eastAsia" w:ascii="宋体" w:hAnsi="宋体" w:eastAsia="宋体" w:cs="宋体"/>
                <w:color w:val="auto"/>
                <w:sz w:val="21"/>
                <w:szCs w:val="21"/>
                <w:highlight w:val="none"/>
              </w:rPr>
            </w:pPr>
          </w:p>
        </w:tc>
        <w:tc>
          <w:tcPr>
            <w:tcW w:w="1634" w:type="dxa"/>
            <w:vAlign w:val="center"/>
          </w:tcPr>
          <w:p w14:paraId="2820EE9C">
            <w:pPr>
              <w:shd w:val="clea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小写：</w:t>
            </w:r>
          </w:p>
          <w:p w14:paraId="7C2FEFC9">
            <w:pPr>
              <w:shd w:val="clea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大写：</w:t>
            </w:r>
          </w:p>
        </w:tc>
        <w:tc>
          <w:tcPr>
            <w:tcW w:w="1592" w:type="dxa"/>
            <w:vAlign w:val="center"/>
          </w:tcPr>
          <w:p w14:paraId="612D04EF">
            <w:pPr>
              <w:shd w:val="clear"/>
              <w:jc w:val="center"/>
              <w:rPr>
                <w:rFonts w:hint="eastAsia" w:ascii="宋体" w:hAnsi="宋体" w:eastAsia="宋体" w:cs="宋体"/>
                <w:color w:val="auto"/>
                <w:sz w:val="21"/>
                <w:szCs w:val="21"/>
                <w:highlight w:val="none"/>
              </w:rPr>
            </w:pPr>
          </w:p>
        </w:tc>
        <w:tc>
          <w:tcPr>
            <w:tcW w:w="1593" w:type="dxa"/>
            <w:vAlign w:val="center"/>
          </w:tcPr>
          <w:p w14:paraId="1D7A1213">
            <w:pPr>
              <w:shd w:val="clear"/>
              <w:jc w:val="center"/>
              <w:rPr>
                <w:rFonts w:hint="eastAsia" w:ascii="宋体" w:hAnsi="宋体" w:eastAsia="宋体" w:cs="宋体"/>
                <w:color w:val="auto"/>
                <w:sz w:val="21"/>
                <w:szCs w:val="21"/>
                <w:highlight w:val="none"/>
              </w:rPr>
            </w:pPr>
          </w:p>
        </w:tc>
        <w:tc>
          <w:tcPr>
            <w:tcW w:w="1593" w:type="dxa"/>
            <w:vAlign w:val="center"/>
          </w:tcPr>
          <w:p w14:paraId="050B2749">
            <w:pPr>
              <w:shd w:val="clear"/>
              <w:jc w:val="center"/>
              <w:rPr>
                <w:rFonts w:hint="eastAsia" w:ascii="宋体" w:hAnsi="宋体" w:eastAsia="宋体" w:cs="宋体"/>
                <w:color w:val="auto"/>
                <w:sz w:val="21"/>
                <w:szCs w:val="21"/>
                <w:highlight w:val="none"/>
              </w:rPr>
            </w:pPr>
          </w:p>
        </w:tc>
      </w:tr>
    </w:tbl>
    <w:p w14:paraId="39B8676F">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6CE0B5E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0425895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37261CC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5D38875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66D3589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7C7086E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4B91C049">
      <w:pPr>
        <w:pStyle w:val="94"/>
        <w:shd w:val="clear"/>
        <w:tabs>
          <w:tab w:val="left" w:pos="5580"/>
        </w:tabs>
        <w:spacing w:before="1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此表在投标文件正文中必须上传</w:t>
      </w:r>
    </w:p>
    <w:p w14:paraId="35FC94C1">
      <w:pPr>
        <w:pStyle w:val="94"/>
        <w:shd w:val="clear"/>
        <w:tabs>
          <w:tab w:val="left" w:pos="5580"/>
        </w:tabs>
        <w:spacing w:before="120"/>
        <w:ind w:firstLine="840" w:firstLineChars="300"/>
        <w:rPr>
          <w:rFonts w:hint="eastAsia" w:ascii="宋体" w:hAnsi="宋体" w:eastAsia="宋体" w:cs="宋体"/>
          <w:color w:val="auto"/>
          <w:sz w:val="28"/>
          <w:szCs w:val="28"/>
          <w:highlight w:val="none"/>
          <w:lang w:val="en-US" w:eastAsia="zh-CN"/>
        </w:rPr>
      </w:pPr>
    </w:p>
    <w:p w14:paraId="16224DEE">
      <w:pPr>
        <w:rPr>
          <w:rFonts w:hint="eastAsia" w:ascii="宋体" w:hAnsi="宋体" w:eastAsia="宋体" w:cs="宋体"/>
          <w:color w:val="auto"/>
          <w:sz w:val="28"/>
          <w:szCs w:val="28"/>
          <w:highlight w:val="none"/>
          <w:lang w:val="en-US" w:eastAsia="zh-CN"/>
        </w:rPr>
        <w:sectPr>
          <w:footerReference r:id="rId7" w:type="default"/>
          <w:pgSz w:w="11906" w:h="16838"/>
          <w:pgMar w:top="1417" w:right="1417" w:bottom="1417" w:left="1417" w:header="851" w:footer="992" w:gutter="0"/>
          <w:pgNumType w:fmt="decimal"/>
          <w:cols w:space="0" w:num="1"/>
          <w:rtlGutter w:val="0"/>
          <w:docGrid w:type="lines" w:linePitch="318" w:charSpace="0"/>
        </w:sectPr>
      </w:pPr>
      <w:r>
        <w:rPr>
          <w:rFonts w:hint="eastAsia" w:ascii="宋体" w:hAnsi="宋体" w:eastAsia="宋体" w:cs="宋体"/>
          <w:color w:val="auto"/>
          <w:sz w:val="28"/>
          <w:szCs w:val="28"/>
          <w:highlight w:val="none"/>
          <w:lang w:val="en-US" w:eastAsia="zh-CN"/>
        </w:rPr>
        <w:br w:type="page"/>
      </w:r>
    </w:p>
    <w:p w14:paraId="2AC03B96">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附件2-1分项报价表</w:t>
      </w:r>
    </w:p>
    <w:p w14:paraId="55EB377D">
      <w:pPr>
        <w:pStyle w:val="485"/>
        <w:keepNext w:val="0"/>
        <w:keepLines w:val="0"/>
        <w:pageBreakBefore w:val="0"/>
        <w:widowControl/>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color w:val="auto"/>
          <w:sz w:val="21"/>
          <w:szCs w:val="21"/>
          <w:highlight w:val="none"/>
        </w:rPr>
        <w:t>注：投标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kern w:val="0"/>
          <w:sz w:val="32"/>
          <w:szCs w:val="32"/>
          <w:highlight w:val="none"/>
          <w:lang w:val="en-US" w:eastAsia="zh-CN"/>
        </w:rPr>
        <w:t>分项报价表</w:t>
      </w:r>
    </w:p>
    <w:p w14:paraId="5BCCA10D">
      <w:pPr>
        <w:pStyle w:val="485"/>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政采云</w:t>
      </w:r>
      <w:r>
        <w:rPr>
          <w:rFonts w:hint="eastAsia" w:ascii="宋体" w:hAnsi="宋体" w:eastAsia="宋体" w:cs="宋体"/>
          <w:color w:val="auto"/>
          <w:sz w:val="21"/>
          <w:szCs w:val="21"/>
          <w:highlight w:val="none"/>
        </w:rPr>
        <w:t>项目编号：</w:t>
      </w:r>
    </w:p>
    <w:p w14:paraId="336DA7E9">
      <w:pPr>
        <w:pStyle w:val="485"/>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p w14:paraId="4CBAA9D3">
      <w:pPr>
        <w:pStyle w:val="485"/>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货币及单位：人民币/元</w:t>
      </w:r>
    </w:p>
    <w:tbl>
      <w:tblPr>
        <w:tblStyle w:val="48"/>
        <w:tblW w:w="1533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6"/>
        <w:gridCol w:w="1934"/>
        <w:gridCol w:w="2532"/>
        <w:gridCol w:w="906"/>
        <w:gridCol w:w="906"/>
        <w:gridCol w:w="906"/>
        <w:gridCol w:w="906"/>
        <w:gridCol w:w="906"/>
        <w:gridCol w:w="906"/>
        <w:gridCol w:w="906"/>
        <w:gridCol w:w="906"/>
        <w:gridCol w:w="906"/>
        <w:gridCol w:w="906"/>
        <w:gridCol w:w="906"/>
      </w:tblGrid>
      <w:tr w14:paraId="7D896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9" w:hRule="atLeast"/>
          <w:jc w:val="center"/>
        </w:trPr>
        <w:tc>
          <w:tcPr>
            <w:tcW w:w="906" w:type="dxa"/>
            <w:vAlign w:val="center"/>
          </w:tcPr>
          <w:p w14:paraId="3F743A54">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4466" w:type="dxa"/>
            <w:gridSpan w:val="2"/>
            <w:vAlign w:val="center"/>
          </w:tcPr>
          <w:p w14:paraId="1297C3BE">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w:t>
            </w:r>
            <w:r>
              <w:rPr>
                <w:rFonts w:hint="eastAsia" w:ascii="宋体" w:hAnsi="宋体" w:eastAsia="宋体" w:cs="宋体"/>
                <w:b/>
                <w:bCs/>
                <w:color w:val="auto"/>
                <w:sz w:val="21"/>
                <w:szCs w:val="21"/>
                <w:highlight w:val="none"/>
                <w:lang w:val="en-US" w:eastAsia="zh-CN"/>
              </w:rPr>
              <w:t>/产品</w:t>
            </w:r>
            <w:r>
              <w:rPr>
                <w:rFonts w:hint="eastAsia" w:ascii="宋体" w:hAnsi="宋体" w:eastAsia="宋体" w:cs="宋体"/>
                <w:b/>
                <w:bCs/>
                <w:color w:val="auto"/>
                <w:sz w:val="21"/>
                <w:szCs w:val="21"/>
                <w:highlight w:val="none"/>
              </w:rPr>
              <w:t>名称</w:t>
            </w:r>
          </w:p>
        </w:tc>
        <w:tc>
          <w:tcPr>
            <w:tcW w:w="906" w:type="dxa"/>
            <w:vAlign w:val="center"/>
          </w:tcPr>
          <w:p w14:paraId="2EE4D92B">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tc>
        <w:tc>
          <w:tcPr>
            <w:tcW w:w="906" w:type="dxa"/>
            <w:vAlign w:val="center"/>
          </w:tcPr>
          <w:p w14:paraId="385EE0E8">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906" w:type="dxa"/>
            <w:vAlign w:val="center"/>
          </w:tcPr>
          <w:p w14:paraId="2ABFF532">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906" w:type="dxa"/>
            <w:vAlign w:val="center"/>
          </w:tcPr>
          <w:p w14:paraId="4DF04FD8">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制造商名称</w:t>
            </w:r>
          </w:p>
        </w:tc>
        <w:tc>
          <w:tcPr>
            <w:tcW w:w="906" w:type="dxa"/>
            <w:vAlign w:val="center"/>
          </w:tcPr>
          <w:p w14:paraId="67C0B73E">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tc>
        <w:tc>
          <w:tcPr>
            <w:tcW w:w="906" w:type="dxa"/>
            <w:vAlign w:val="center"/>
          </w:tcPr>
          <w:p w14:paraId="4A9A00D8">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06" w:type="dxa"/>
            <w:vAlign w:val="center"/>
          </w:tcPr>
          <w:p w14:paraId="4DFC1459">
            <w:pPr>
              <w:pStyle w:val="485"/>
              <w:shd w:val="clear"/>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合价</w:t>
            </w:r>
          </w:p>
        </w:tc>
        <w:tc>
          <w:tcPr>
            <w:tcW w:w="906" w:type="dxa"/>
            <w:vAlign w:val="center"/>
          </w:tcPr>
          <w:p w14:paraId="0D1E749E">
            <w:pPr>
              <w:pStyle w:val="485"/>
              <w:shd w:val="clea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专项合</w:t>
            </w:r>
            <w:r>
              <w:rPr>
                <w:rFonts w:hint="eastAsia" w:ascii="宋体" w:hAnsi="宋体" w:eastAsia="宋体" w:cs="宋体"/>
                <w:b/>
                <w:bCs/>
                <w:color w:val="auto"/>
                <w:sz w:val="21"/>
                <w:szCs w:val="21"/>
                <w:highlight w:val="none"/>
              </w:rPr>
              <w:t>价</w:t>
            </w:r>
          </w:p>
        </w:tc>
        <w:tc>
          <w:tcPr>
            <w:tcW w:w="906" w:type="dxa"/>
            <w:vAlign w:val="center"/>
          </w:tcPr>
          <w:p w14:paraId="32BD9270">
            <w:pPr>
              <w:pStyle w:val="485"/>
              <w:shd w:val="clea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质保期</w:t>
            </w:r>
          </w:p>
        </w:tc>
        <w:tc>
          <w:tcPr>
            <w:tcW w:w="906" w:type="dxa"/>
            <w:vAlign w:val="center"/>
          </w:tcPr>
          <w:p w14:paraId="4184E996">
            <w:pPr>
              <w:pStyle w:val="485"/>
              <w:shd w:val="clea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是否环境标志产品</w:t>
            </w:r>
          </w:p>
        </w:tc>
        <w:tc>
          <w:tcPr>
            <w:tcW w:w="906" w:type="dxa"/>
            <w:vAlign w:val="center"/>
          </w:tcPr>
          <w:p w14:paraId="5AA530A7">
            <w:pPr>
              <w:pStyle w:val="485"/>
              <w:shd w:val="clea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是否节能产品</w:t>
            </w:r>
          </w:p>
        </w:tc>
      </w:tr>
      <w:tr w14:paraId="4D5ED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restart"/>
            <w:vAlign w:val="center"/>
          </w:tcPr>
          <w:p w14:paraId="11D209E4">
            <w:pPr>
              <w:shd w:val="clea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934" w:type="dxa"/>
            <w:vMerge w:val="restart"/>
            <w:vAlign w:val="center"/>
          </w:tcPr>
          <w:p w14:paraId="7A9E10A2">
            <w:pPr>
              <w:shd w:val="clea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临床专科能力提升</w:t>
            </w:r>
            <w:r>
              <w:rPr>
                <w:rFonts w:hint="eastAsia" w:ascii="宋体" w:hAnsi="宋体" w:cs="宋体"/>
                <w:color w:val="auto"/>
                <w:sz w:val="21"/>
                <w:szCs w:val="21"/>
                <w:highlight w:val="none"/>
                <w:lang w:val="en-US" w:eastAsia="zh-CN"/>
              </w:rPr>
              <w:t>专项</w:t>
            </w:r>
          </w:p>
        </w:tc>
        <w:tc>
          <w:tcPr>
            <w:tcW w:w="2532" w:type="dxa"/>
            <w:shd w:val="clear" w:color="auto" w:fill="auto"/>
            <w:vAlign w:val="center"/>
          </w:tcPr>
          <w:p w14:paraId="2912757B">
            <w:pPr>
              <w:pStyle w:val="491"/>
              <w:rPr>
                <w:rFonts w:hint="eastAsia" w:ascii="宋体" w:hAnsi="宋体" w:eastAsia="宋体" w:cs="Times New Roman"/>
                <w:color w:val="auto"/>
                <w:kern w:val="2"/>
                <w:sz w:val="21"/>
                <w:szCs w:val="24"/>
                <w:highlight w:val="none"/>
                <w:lang w:val="en-US" w:eastAsia="zh-CN" w:bidi="ar-SA"/>
              </w:rPr>
            </w:pPr>
            <w:r>
              <w:rPr>
                <w:rFonts w:hint="eastAsia"/>
                <w:color w:val="auto"/>
                <w:highlight w:val="none"/>
              </w:rPr>
              <w:t>PACS系统</w:t>
            </w:r>
          </w:p>
        </w:tc>
        <w:tc>
          <w:tcPr>
            <w:tcW w:w="906" w:type="dxa"/>
            <w:vAlign w:val="center"/>
          </w:tcPr>
          <w:p w14:paraId="4036B4AC">
            <w:pPr>
              <w:shd w:val="clear"/>
              <w:jc w:val="center"/>
              <w:rPr>
                <w:rFonts w:hint="eastAsia" w:ascii="宋体" w:hAnsi="宋体" w:eastAsia="宋体" w:cs="宋体"/>
                <w:color w:val="auto"/>
                <w:sz w:val="21"/>
                <w:szCs w:val="21"/>
                <w:highlight w:val="none"/>
              </w:rPr>
            </w:pPr>
          </w:p>
        </w:tc>
        <w:tc>
          <w:tcPr>
            <w:tcW w:w="906" w:type="dxa"/>
            <w:vAlign w:val="center"/>
          </w:tcPr>
          <w:p w14:paraId="1715459C">
            <w:pPr>
              <w:shd w:val="clear"/>
              <w:jc w:val="center"/>
              <w:rPr>
                <w:rFonts w:hint="eastAsia" w:ascii="宋体" w:hAnsi="宋体" w:eastAsia="宋体" w:cs="宋体"/>
                <w:color w:val="auto"/>
                <w:sz w:val="21"/>
                <w:szCs w:val="21"/>
                <w:highlight w:val="none"/>
              </w:rPr>
            </w:pPr>
          </w:p>
        </w:tc>
        <w:tc>
          <w:tcPr>
            <w:tcW w:w="906" w:type="dxa"/>
            <w:vAlign w:val="center"/>
          </w:tcPr>
          <w:p w14:paraId="297398C2">
            <w:pPr>
              <w:shd w:val="clear"/>
              <w:jc w:val="center"/>
              <w:rPr>
                <w:rFonts w:hint="eastAsia" w:ascii="宋体" w:hAnsi="宋体" w:eastAsia="宋体" w:cs="宋体"/>
                <w:color w:val="auto"/>
                <w:sz w:val="21"/>
                <w:szCs w:val="21"/>
                <w:highlight w:val="none"/>
              </w:rPr>
            </w:pPr>
          </w:p>
        </w:tc>
        <w:tc>
          <w:tcPr>
            <w:tcW w:w="906" w:type="dxa"/>
            <w:vAlign w:val="center"/>
          </w:tcPr>
          <w:p w14:paraId="39745E87">
            <w:pPr>
              <w:shd w:val="clear"/>
              <w:jc w:val="center"/>
              <w:rPr>
                <w:rFonts w:hint="eastAsia" w:ascii="宋体" w:hAnsi="宋体" w:eastAsia="宋体" w:cs="宋体"/>
                <w:color w:val="auto"/>
                <w:sz w:val="21"/>
                <w:szCs w:val="21"/>
                <w:highlight w:val="none"/>
              </w:rPr>
            </w:pPr>
          </w:p>
        </w:tc>
        <w:tc>
          <w:tcPr>
            <w:tcW w:w="906" w:type="dxa"/>
            <w:vAlign w:val="center"/>
          </w:tcPr>
          <w:p w14:paraId="34405458">
            <w:pPr>
              <w:shd w:val="clear"/>
              <w:jc w:val="center"/>
              <w:rPr>
                <w:rFonts w:hint="eastAsia" w:ascii="宋体" w:hAnsi="宋体" w:eastAsia="宋体" w:cs="宋体"/>
                <w:color w:val="auto"/>
                <w:sz w:val="21"/>
                <w:szCs w:val="21"/>
                <w:highlight w:val="none"/>
              </w:rPr>
            </w:pPr>
          </w:p>
        </w:tc>
        <w:tc>
          <w:tcPr>
            <w:tcW w:w="906" w:type="dxa"/>
            <w:vAlign w:val="center"/>
          </w:tcPr>
          <w:p w14:paraId="2B67D213">
            <w:pPr>
              <w:shd w:val="clea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B8AB171">
            <w:pPr>
              <w:shd w:val="clear"/>
              <w:jc w:val="center"/>
              <w:rPr>
                <w:rFonts w:hint="eastAsia" w:ascii="宋体" w:hAnsi="宋体" w:eastAsia="宋体" w:cs="宋体"/>
                <w:color w:val="auto"/>
                <w:sz w:val="21"/>
                <w:szCs w:val="21"/>
                <w:highlight w:val="none"/>
              </w:rPr>
            </w:pPr>
          </w:p>
        </w:tc>
        <w:tc>
          <w:tcPr>
            <w:tcW w:w="906" w:type="dxa"/>
            <w:vMerge w:val="restart"/>
            <w:vAlign w:val="center"/>
          </w:tcPr>
          <w:p w14:paraId="3F1069C4">
            <w:pPr>
              <w:shd w:val="clear"/>
              <w:jc w:val="center"/>
              <w:rPr>
                <w:rFonts w:hint="eastAsia" w:ascii="宋体" w:hAnsi="宋体" w:eastAsia="宋体" w:cs="宋体"/>
                <w:color w:val="auto"/>
                <w:sz w:val="21"/>
                <w:szCs w:val="21"/>
                <w:highlight w:val="none"/>
              </w:rPr>
            </w:pPr>
          </w:p>
        </w:tc>
        <w:tc>
          <w:tcPr>
            <w:tcW w:w="906" w:type="dxa"/>
            <w:vAlign w:val="center"/>
          </w:tcPr>
          <w:p w14:paraId="443BE17E">
            <w:pPr>
              <w:shd w:val="clear"/>
              <w:jc w:val="center"/>
              <w:rPr>
                <w:rFonts w:hint="eastAsia" w:ascii="宋体" w:hAnsi="宋体" w:eastAsia="宋体" w:cs="宋体"/>
                <w:color w:val="auto"/>
                <w:sz w:val="21"/>
                <w:szCs w:val="21"/>
                <w:highlight w:val="none"/>
              </w:rPr>
            </w:pPr>
          </w:p>
        </w:tc>
        <w:tc>
          <w:tcPr>
            <w:tcW w:w="906" w:type="dxa"/>
            <w:vAlign w:val="center"/>
          </w:tcPr>
          <w:p w14:paraId="2204EAC0">
            <w:pPr>
              <w:shd w:val="clear"/>
              <w:jc w:val="center"/>
              <w:rPr>
                <w:rFonts w:hint="eastAsia" w:ascii="宋体" w:hAnsi="宋体" w:eastAsia="宋体" w:cs="宋体"/>
                <w:color w:val="auto"/>
                <w:sz w:val="21"/>
                <w:szCs w:val="21"/>
                <w:highlight w:val="none"/>
              </w:rPr>
            </w:pPr>
          </w:p>
        </w:tc>
        <w:tc>
          <w:tcPr>
            <w:tcW w:w="906" w:type="dxa"/>
            <w:vAlign w:val="center"/>
          </w:tcPr>
          <w:p w14:paraId="3B29B078">
            <w:pPr>
              <w:shd w:val="clear"/>
              <w:jc w:val="center"/>
              <w:rPr>
                <w:rFonts w:hint="eastAsia" w:ascii="宋体" w:hAnsi="宋体" w:eastAsia="宋体" w:cs="宋体"/>
                <w:color w:val="auto"/>
                <w:sz w:val="21"/>
                <w:szCs w:val="21"/>
                <w:highlight w:val="none"/>
              </w:rPr>
            </w:pPr>
          </w:p>
        </w:tc>
      </w:tr>
      <w:tr w14:paraId="4527B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0C2A12B5">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0C5CB8F2">
            <w:pPr>
              <w:shd w:val="clear"/>
              <w:jc w:val="center"/>
              <w:rPr>
                <w:rFonts w:hint="eastAsia" w:ascii="宋体" w:hAnsi="宋体" w:eastAsia="宋体" w:cs="宋体"/>
                <w:color w:val="auto"/>
                <w:sz w:val="21"/>
                <w:szCs w:val="21"/>
                <w:highlight w:val="none"/>
              </w:rPr>
            </w:pPr>
          </w:p>
        </w:tc>
        <w:tc>
          <w:tcPr>
            <w:tcW w:w="2532" w:type="dxa"/>
            <w:shd w:val="clear" w:color="auto" w:fill="auto"/>
            <w:vAlign w:val="center"/>
          </w:tcPr>
          <w:p w14:paraId="1E5CC22B">
            <w:pPr>
              <w:pStyle w:val="491"/>
              <w:rPr>
                <w:rFonts w:hint="eastAsia" w:ascii="宋体" w:hAnsi="宋体" w:eastAsia="宋体" w:cs="Times New Roman"/>
                <w:color w:val="auto"/>
                <w:kern w:val="2"/>
                <w:sz w:val="21"/>
                <w:szCs w:val="24"/>
                <w:highlight w:val="none"/>
                <w:lang w:val="en-US" w:eastAsia="zh-CN" w:bidi="ar-SA"/>
              </w:rPr>
            </w:pPr>
            <w:r>
              <w:rPr>
                <w:rFonts w:hint="eastAsia"/>
                <w:color w:val="auto"/>
                <w:highlight w:val="none"/>
              </w:rPr>
              <w:t>LIS系统</w:t>
            </w:r>
          </w:p>
        </w:tc>
        <w:tc>
          <w:tcPr>
            <w:tcW w:w="906" w:type="dxa"/>
            <w:vAlign w:val="center"/>
          </w:tcPr>
          <w:p w14:paraId="016EC00F">
            <w:pPr>
              <w:shd w:val="clear"/>
              <w:jc w:val="center"/>
              <w:rPr>
                <w:rFonts w:hint="eastAsia" w:ascii="宋体" w:hAnsi="宋体" w:eastAsia="宋体" w:cs="宋体"/>
                <w:color w:val="auto"/>
                <w:sz w:val="21"/>
                <w:szCs w:val="21"/>
                <w:highlight w:val="none"/>
              </w:rPr>
            </w:pPr>
          </w:p>
        </w:tc>
        <w:tc>
          <w:tcPr>
            <w:tcW w:w="906" w:type="dxa"/>
            <w:vAlign w:val="center"/>
          </w:tcPr>
          <w:p w14:paraId="6B7C6052">
            <w:pPr>
              <w:shd w:val="clear"/>
              <w:jc w:val="center"/>
              <w:rPr>
                <w:rFonts w:hint="eastAsia" w:ascii="宋体" w:hAnsi="宋体" w:eastAsia="宋体" w:cs="宋体"/>
                <w:color w:val="auto"/>
                <w:sz w:val="21"/>
                <w:szCs w:val="21"/>
                <w:highlight w:val="none"/>
              </w:rPr>
            </w:pPr>
          </w:p>
        </w:tc>
        <w:tc>
          <w:tcPr>
            <w:tcW w:w="906" w:type="dxa"/>
            <w:vAlign w:val="center"/>
          </w:tcPr>
          <w:p w14:paraId="659CAFE1">
            <w:pPr>
              <w:shd w:val="clear"/>
              <w:jc w:val="center"/>
              <w:rPr>
                <w:rFonts w:hint="eastAsia" w:ascii="宋体" w:hAnsi="宋体" w:eastAsia="宋体" w:cs="宋体"/>
                <w:color w:val="auto"/>
                <w:sz w:val="21"/>
                <w:szCs w:val="21"/>
                <w:highlight w:val="none"/>
              </w:rPr>
            </w:pPr>
          </w:p>
        </w:tc>
        <w:tc>
          <w:tcPr>
            <w:tcW w:w="906" w:type="dxa"/>
            <w:vAlign w:val="center"/>
          </w:tcPr>
          <w:p w14:paraId="0147D6BD">
            <w:pPr>
              <w:shd w:val="clear"/>
              <w:jc w:val="center"/>
              <w:rPr>
                <w:rFonts w:hint="eastAsia" w:ascii="宋体" w:hAnsi="宋体" w:eastAsia="宋体" w:cs="宋体"/>
                <w:color w:val="auto"/>
                <w:sz w:val="21"/>
                <w:szCs w:val="21"/>
                <w:highlight w:val="none"/>
              </w:rPr>
            </w:pPr>
          </w:p>
        </w:tc>
        <w:tc>
          <w:tcPr>
            <w:tcW w:w="906" w:type="dxa"/>
            <w:vAlign w:val="center"/>
          </w:tcPr>
          <w:p w14:paraId="5C6008E2">
            <w:pPr>
              <w:shd w:val="clear"/>
              <w:jc w:val="center"/>
              <w:rPr>
                <w:rFonts w:hint="eastAsia" w:ascii="宋体" w:hAnsi="宋体" w:eastAsia="宋体" w:cs="宋体"/>
                <w:color w:val="auto"/>
                <w:sz w:val="21"/>
                <w:szCs w:val="21"/>
                <w:highlight w:val="none"/>
              </w:rPr>
            </w:pPr>
          </w:p>
        </w:tc>
        <w:tc>
          <w:tcPr>
            <w:tcW w:w="906" w:type="dxa"/>
            <w:vAlign w:val="center"/>
          </w:tcPr>
          <w:p w14:paraId="1483AB4B">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4D74BAC">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3A57B29E">
            <w:pPr>
              <w:shd w:val="clear"/>
              <w:jc w:val="center"/>
              <w:rPr>
                <w:rFonts w:hint="eastAsia" w:ascii="宋体" w:hAnsi="宋体" w:eastAsia="宋体" w:cs="宋体"/>
                <w:color w:val="auto"/>
                <w:sz w:val="21"/>
                <w:szCs w:val="21"/>
                <w:highlight w:val="none"/>
              </w:rPr>
            </w:pPr>
          </w:p>
        </w:tc>
        <w:tc>
          <w:tcPr>
            <w:tcW w:w="906" w:type="dxa"/>
            <w:vAlign w:val="center"/>
          </w:tcPr>
          <w:p w14:paraId="57EE40B8">
            <w:pPr>
              <w:shd w:val="clear"/>
              <w:jc w:val="center"/>
              <w:rPr>
                <w:rFonts w:hint="eastAsia" w:ascii="宋体" w:hAnsi="宋体" w:eastAsia="宋体" w:cs="宋体"/>
                <w:color w:val="auto"/>
                <w:sz w:val="21"/>
                <w:szCs w:val="21"/>
                <w:highlight w:val="none"/>
              </w:rPr>
            </w:pPr>
          </w:p>
        </w:tc>
        <w:tc>
          <w:tcPr>
            <w:tcW w:w="906" w:type="dxa"/>
            <w:vAlign w:val="center"/>
          </w:tcPr>
          <w:p w14:paraId="1BEFA78F">
            <w:pPr>
              <w:shd w:val="clear"/>
              <w:jc w:val="center"/>
              <w:rPr>
                <w:rFonts w:hint="eastAsia" w:ascii="宋体" w:hAnsi="宋体" w:eastAsia="宋体" w:cs="宋体"/>
                <w:color w:val="auto"/>
                <w:sz w:val="21"/>
                <w:szCs w:val="21"/>
                <w:highlight w:val="none"/>
              </w:rPr>
            </w:pPr>
          </w:p>
        </w:tc>
        <w:tc>
          <w:tcPr>
            <w:tcW w:w="906" w:type="dxa"/>
            <w:vAlign w:val="center"/>
          </w:tcPr>
          <w:p w14:paraId="2DFEC8C8">
            <w:pPr>
              <w:shd w:val="clear"/>
              <w:jc w:val="center"/>
              <w:rPr>
                <w:rFonts w:hint="eastAsia" w:ascii="宋体" w:hAnsi="宋体" w:eastAsia="宋体" w:cs="宋体"/>
                <w:color w:val="auto"/>
                <w:sz w:val="21"/>
                <w:szCs w:val="21"/>
                <w:highlight w:val="none"/>
              </w:rPr>
            </w:pPr>
          </w:p>
        </w:tc>
      </w:tr>
      <w:tr w14:paraId="7D1715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42E4438F">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5DAF6099">
            <w:pPr>
              <w:shd w:val="clear"/>
              <w:jc w:val="center"/>
              <w:rPr>
                <w:rFonts w:hint="eastAsia" w:ascii="宋体" w:hAnsi="宋体" w:eastAsia="宋体" w:cs="宋体"/>
                <w:color w:val="auto"/>
                <w:sz w:val="21"/>
                <w:szCs w:val="21"/>
                <w:highlight w:val="none"/>
              </w:rPr>
            </w:pPr>
          </w:p>
        </w:tc>
        <w:tc>
          <w:tcPr>
            <w:tcW w:w="2532" w:type="dxa"/>
            <w:shd w:val="clear" w:color="auto" w:fill="auto"/>
            <w:vAlign w:val="center"/>
          </w:tcPr>
          <w:p w14:paraId="554A1AD0">
            <w:pPr>
              <w:pStyle w:val="491"/>
              <w:rPr>
                <w:rFonts w:hint="eastAsia" w:ascii="宋体" w:hAnsi="宋体" w:eastAsia="宋体" w:cs="Times New Roman"/>
                <w:color w:val="auto"/>
                <w:kern w:val="2"/>
                <w:sz w:val="21"/>
                <w:szCs w:val="24"/>
                <w:highlight w:val="none"/>
                <w:lang w:val="en-US" w:eastAsia="zh-CN" w:bidi="ar-SA"/>
              </w:rPr>
            </w:pPr>
            <w:r>
              <w:rPr>
                <w:rFonts w:hint="eastAsia"/>
                <w:color w:val="auto"/>
                <w:highlight w:val="none"/>
              </w:rPr>
              <w:t>重症系统</w:t>
            </w:r>
          </w:p>
        </w:tc>
        <w:tc>
          <w:tcPr>
            <w:tcW w:w="906" w:type="dxa"/>
            <w:vAlign w:val="center"/>
          </w:tcPr>
          <w:p w14:paraId="0A67D5C6">
            <w:pPr>
              <w:shd w:val="clear"/>
              <w:jc w:val="center"/>
              <w:rPr>
                <w:rFonts w:hint="eastAsia" w:ascii="宋体" w:hAnsi="宋体" w:eastAsia="宋体" w:cs="宋体"/>
                <w:color w:val="auto"/>
                <w:sz w:val="21"/>
                <w:szCs w:val="21"/>
                <w:highlight w:val="none"/>
              </w:rPr>
            </w:pPr>
          </w:p>
        </w:tc>
        <w:tc>
          <w:tcPr>
            <w:tcW w:w="906" w:type="dxa"/>
            <w:vAlign w:val="center"/>
          </w:tcPr>
          <w:p w14:paraId="00FA45E4">
            <w:pPr>
              <w:shd w:val="clear"/>
              <w:jc w:val="center"/>
              <w:rPr>
                <w:rFonts w:hint="eastAsia" w:ascii="宋体" w:hAnsi="宋体" w:eastAsia="宋体" w:cs="宋体"/>
                <w:color w:val="auto"/>
                <w:sz w:val="21"/>
                <w:szCs w:val="21"/>
                <w:highlight w:val="none"/>
              </w:rPr>
            </w:pPr>
          </w:p>
        </w:tc>
        <w:tc>
          <w:tcPr>
            <w:tcW w:w="906" w:type="dxa"/>
            <w:vAlign w:val="center"/>
          </w:tcPr>
          <w:p w14:paraId="17F3BE60">
            <w:pPr>
              <w:shd w:val="clear"/>
              <w:jc w:val="center"/>
              <w:rPr>
                <w:rFonts w:hint="eastAsia" w:ascii="宋体" w:hAnsi="宋体" w:eastAsia="宋体" w:cs="宋体"/>
                <w:color w:val="auto"/>
                <w:sz w:val="21"/>
                <w:szCs w:val="21"/>
                <w:highlight w:val="none"/>
              </w:rPr>
            </w:pPr>
          </w:p>
        </w:tc>
        <w:tc>
          <w:tcPr>
            <w:tcW w:w="906" w:type="dxa"/>
            <w:vAlign w:val="center"/>
          </w:tcPr>
          <w:p w14:paraId="5B82CE3B">
            <w:pPr>
              <w:shd w:val="clear"/>
              <w:jc w:val="center"/>
              <w:rPr>
                <w:rFonts w:hint="eastAsia" w:ascii="宋体" w:hAnsi="宋体" w:eastAsia="宋体" w:cs="宋体"/>
                <w:color w:val="auto"/>
                <w:sz w:val="21"/>
                <w:szCs w:val="21"/>
                <w:highlight w:val="none"/>
              </w:rPr>
            </w:pPr>
          </w:p>
        </w:tc>
        <w:tc>
          <w:tcPr>
            <w:tcW w:w="906" w:type="dxa"/>
            <w:vAlign w:val="center"/>
          </w:tcPr>
          <w:p w14:paraId="5FF19FCD">
            <w:pPr>
              <w:shd w:val="clear"/>
              <w:jc w:val="center"/>
              <w:rPr>
                <w:rFonts w:hint="eastAsia" w:ascii="宋体" w:hAnsi="宋体" w:eastAsia="宋体" w:cs="宋体"/>
                <w:color w:val="auto"/>
                <w:sz w:val="21"/>
                <w:szCs w:val="21"/>
                <w:highlight w:val="none"/>
              </w:rPr>
            </w:pPr>
          </w:p>
        </w:tc>
        <w:tc>
          <w:tcPr>
            <w:tcW w:w="906" w:type="dxa"/>
            <w:vAlign w:val="center"/>
          </w:tcPr>
          <w:p w14:paraId="0573CBC3">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F48E22F">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4C6678D7">
            <w:pPr>
              <w:shd w:val="clear"/>
              <w:jc w:val="center"/>
              <w:rPr>
                <w:rFonts w:hint="eastAsia" w:ascii="宋体" w:hAnsi="宋体" w:eastAsia="宋体" w:cs="宋体"/>
                <w:color w:val="auto"/>
                <w:sz w:val="21"/>
                <w:szCs w:val="21"/>
                <w:highlight w:val="none"/>
              </w:rPr>
            </w:pPr>
          </w:p>
        </w:tc>
        <w:tc>
          <w:tcPr>
            <w:tcW w:w="906" w:type="dxa"/>
            <w:vAlign w:val="center"/>
          </w:tcPr>
          <w:p w14:paraId="4B9C31B8">
            <w:pPr>
              <w:shd w:val="clear"/>
              <w:jc w:val="center"/>
              <w:rPr>
                <w:rFonts w:hint="eastAsia" w:ascii="宋体" w:hAnsi="宋体" w:eastAsia="宋体" w:cs="宋体"/>
                <w:color w:val="auto"/>
                <w:sz w:val="21"/>
                <w:szCs w:val="21"/>
                <w:highlight w:val="none"/>
              </w:rPr>
            </w:pPr>
          </w:p>
        </w:tc>
        <w:tc>
          <w:tcPr>
            <w:tcW w:w="906" w:type="dxa"/>
            <w:vAlign w:val="center"/>
          </w:tcPr>
          <w:p w14:paraId="07CECDEE">
            <w:pPr>
              <w:shd w:val="clear"/>
              <w:jc w:val="center"/>
              <w:rPr>
                <w:rFonts w:hint="eastAsia" w:ascii="宋体" w:hAnsi="宋体" w:eastAsia="宋体" w:cs="宋体"/>
                <w:color w:val="auto"/>
                <w:sz w:val="21"/>
                <w:szCs w:val="21"/>
                <w:highlight w:val="none"/>
              </w:rPr>
            </w:pPr>
          </w:p>
        </w:tc>
        <w:tc>
          <w:tcPr>
            <w:tcW w:w="906" w:type="dxa"/>
            <w:vAlign w:val="center"/>
          </w:tcPr>
          <w:p w14:paraId="65B4AFFE">
            <w:pPr>
              <w:shd w:val="clear"/>
              <w:jc w:val="center"/>
              <w:rPr>
                <w:rFonts w:hint="eastAsia" w:ascii="宋体" w:hAnsi="宋体" w:eastAsia="宋体" w:cs="宋体"/>
                <w:color w:val="auto"/>
                <w:sz w:val="21"/>
                <w:szCs w:val="21"/>
                <w:highlight w:val="none"/>
              </w:rPr>
            </w:pPr>
          </w:p>
        </w:tc>
      </w:tr>
      <w:tr w14:paraId="0999ED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restart"/>
            <w:vAlign w:val="center"/>
          </w:tcPr>
          <w:p w14:paraId="302B232B">
            <w:pPr>
              <w:shd w:val="clea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934" w:type="dxa"/>
            <w:vMerge w:val="restart"/>
            <w:vAlign w:val="center"/>
          </w:tcPr>
          <w:p w14:paraId="3623FD11">
            <w:pPr>
              <w:shd w:val="clear"/>
              <w:jc w:val="center"/>
              <w:rPr>
                <w:rFonts w:hint="eastAsia" w:ascii="宋体" w:hAnsi="宋体" w:eastAsia="宋体" w:cs="宋体"/>
                <w:color w:val="auto"/>
                <w:sz w:val="21"/>
                <w:szCs w:val="21"/>
                <w:highlight w:val="none"/>
                <w:lang w:val="en-US" w:eastAsia="zh-CN"/>
              </w:rPr>
            </w:pPr>
            <w:r>
              <w:rPr>
                <w:rFonts w:hint="eastAsia"/>
                <w:color w:val="auto"/>
                <w:highlight w:val="none"/>
              </w:rPr>
              <w:t>紧急医学救援能力提升</w:t>
            </w:r>
            <w:r>
              <w:rPr>
                <w:rFonts w:hint="eastAsia"/>
                <w:color w:val="auto"/>
                <w:highlight w:val="none"/>
                <w:lang w:val="en-US" w:eastAsia="zh-CN"/>
              </w:rPr>
              <w:t>专项</w:t>
            </w:r>
          </w:p>
        </w:tc>
        <w:tc>
          <w:tcPr>
            <w:tcW w:w="2532" w:type="dxa"/>
            <w:vAlign w:val="center"/>
          </w:tcPr>
          <w:p w14:paraId="6D736A83">
            <w:pPr>
              <w:pStyle w:val="491"/>
              <w:rPr>
                <w:rFonts w:hint="eastAsia" w:ascii="宋体" w:hAnsi="宋体" w:eastAsia="宋体" w:cs="宋体"/>
                <w:color w:val="auto"/>
                <w:sz w:val="21"/>
                <w:szCs w:val="21"/>
                <w:highlight w:val="none"/>
              </w:rPr>
            </w:pPr>
            <w:r>
              <w:rPr>
                <w:rFonts w:hint="eastAsia"/>
                <w:color w:val="auto"/>
                <w:highlight w:val="none"/>
              </w:rPr>
              <w:t>应急救援数据中心</w:t>
            </w:r>
          </w:p>
        </w:tc>
        <w:tc>
          <w:tcPr>
            <w:tcW w:w="906" w:type="dxa"/>
            <w:vAlign w:val="center"/>
          </w:tcPr>
          <w:p w14:paraId="671F559A">
            <w:pPr>
              <w:shd w:val="clear"/>
              <w:jc w:val="center"/>
              <w:rPr>
                <w:rFonts w:hint="eastAsia" w:ascii="宋体" w:hAnsi="宋体" w:eastAsia="宋体" w:cs="宋体"/>
                <w:color w:val="auto"/>
                <w:sz w:val="21"/>
                <w:szCs w:val="21"/>
                <w:highlight w:val="none"/>
              </w:rPr>
            </w:pPr>
          </w:p>
        </w:tc>
        <w:tc>
          <w:tcPr>
            <w:tcW w:w="906" w:type="dxa"/>
            <w:vAlign w:val="center"/>
          </w:tcPr>
          <w:p w14:paraId="411DC59E">
            <w:pPr>
              <w:shd w:val="clear"/>
              <w:jc w:val="center"/>
              <w:rPr>
                <w:rFonts w:hint="eastAsia" w:ascii="宋体" w:hAnsi="宋体" w:eastAsia="宋体" w:cs="宋体"/>
                <w:color w:val="auto"/>
                <w:sz w:val="21"/>
                <w:szCs w:val="21"/>
                <w:highlight w:val="none"/>
              </w:rPr>
            </w:pPr>
          </w:p>
        </w:tc>
        <w:tc>
          <w:tcPr>
            <w:tcW w:w="906" w:type="dxa"/>
            <w:vAlign w:val="center"/>
          </w:tcPr>
          <w:p w14:paraId="59FCBE22">
            <w:pPr>
              <w:shd w:val="clear"/>
              <w:jc w:val="center"/>
              <w:rPr>
                <w:rFonts w:hint="eastAsia" w:ascii="宋体" w:hAnsi="宋体" w:eastAsia="宋体" w:cs="宋体"/>
                <w:color w:val="auto"/>
                <w:sz w:val="21"/>
                <w:szCs w:val="21"/>
                <w:highlight w:val="none"/>
              </w:rPr>
            </w:pPr>
          </w:p>
        </w:tc>
        <w:tc>
          <w:tcPr>
            <w:tcW w:w="906" w:type="dxa"/>
            <w:vAlign w:val="center"/>
          </w:tcPr>
          <w:p w14:paraId="2347A882">
            <w:pPr>
              <w:shd w:val="clear"/>
              <w:jc w:val="center"/>
              <w:rPr>
                <w:rFonts w:hint="eastAsia" w:ascii="宋体" w:hAnsi="宋体" w:eastAsia="宋体" w:cs="宋体"/>
                <w:color w:val="auto"/>
                <w:sz w:val="21"/>
                <w:szCs w:val="21"/>
                <w:highlight w:val="none"/>
              </w:rPr>
            </w:pPr>
          </w:p>
        </w:tc>
        <w:tc>
          <w:tcPr>
            <w:tcW w:w="906" w:type="dxa"/>
            <w:vAlign w:val="center"/>
          </w:tcPr>
          <w:p w14:paraId="6AF5ABCF">
            <w:pPr>
              <w:shd w:val="clear"/>
              <w:jc w:val="center"/>
              <w:rPr>
                <w:rFonts w:hint="eastAsia" w:ascii="宋体" w:hAnsi="宋体" w:eastAsia="宋体" w:cs="宋体"/>
                <w:color w:val="auto"/>
                <w:sz w:val="21"/>
                <w:szCs w:val="21"/>
                <w:highlight w:val="none"/>
              </w:rPr>
            </w:pPr>
          </w:p>
        </w:tc>
        <w:tc>
          <w:tcPr>
            <w:tcW w:w="906" w:type="dxa"/>
            <w:vAlign w:val="center"/>
          </w:tcPr>
          <w:p w14:paraId="7E77880B">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66769CE5">
            <w:pPr>
              <w:shd w:val="clear"/>
              <w:jc w:val="center"/>
              <w:rPr>
                <w:rFonts w:hint="eastAsia" w:ascii="宋体" w:hAnsi="宋体" w:eastAsia="宋体" w:cs="宋体"/>
                <w:color w:val="auto"/>
                <w:sz w:val="21"/>
                <w:szCs w:val="21"/>
                <w:highlight w:val="none"/>
              </w:rPr>
            </w:pPr>
          </w:p>
        </w:tc>
        <w:tc>
          <w:tcPr>
            <w:tcW w:w="906" w:type="dxa"/>
            <w:vMerge w:val="restart"/>
            <w:vAlign w:val="center"/>
          </w:tcPr>
          <w:p w14:paraId="48D00577">
            <w:pPr>
              <w:shd w:val="clear"/>
              <w:jc w:val="center"/>
              <w:rPr>
                <w:rFonts w:hint="eastAsia" w:ascii="宋体" w:hAnsi="宋体" w:eastAsia="宋体" w:cs="宋体"/>
                <w:color w:val="auto"/>
                <w:sz w:val="21"/>
                <w:szCs w:val="21"/>
                <w:highlight w:val="none"/>
              </w:rPr>
            </w:pPr>
          </w:p>
        </w:tc>
        <w:tc>
          <w:tcPr>
            <w:tcW w:w="906" w:type="dxa"/>
            <w:vAlign w:val="center"/>
          </w:tcPr>
          <w:p w14:paraId="087A6AB1">
            <w:pPr>
              <w:shd w:val="clear"/>
              <w:jc w:val="center"/>
              <w:rPr>
                <w:rFonts w:hint="eastAsia" w:ascii="宋体" w:hAnsi="宋体" w:eastAsia="宋体" w:cs="宋体"/>
                <w:color w:val="auto"/>
                <w:sz w:val="21"/>
                <w:szCs w:val="21"/>
                <w:highlight w:val="none"/>
              </w:rPr>
            </w:pPr>
          </w:p>
        </w:tc>
        <w:tc>
          <w:tcPr>
            <w:tcW w:w="906" w:type="dxa"/>
            <w:vAlign w:val="center"/>
          </w:tcPr>
          <w:p w14:paraId="1623C6A8">
            <w:pPr>
              <w:shd w:val="clear"/>
              <w:jc w:val="center"/>
              <w:rPr>
                <w:rFonts w:hint="eastAsia" w:ascii="宋体" w:hAnsi="宋体" w:eastAsia="宋体" w:cs="宋体"/>
                <w:color w:val="auto"/>
                <w:sz w:val="21"/>
                <w:szCs w:val="21"/>
                <w:highlight w:val="none"/>
              </w:rPr>
            </w:pPr>
          </w:p>
        </w:tc>
        <w:tc>
          <w:tcPr>
            <w:tcW w:w="906" w:type="dxa"/>
            <w:vAlign w:val="center"/>
          </w:tcPr>
          <w:p w14:paraId="45F0F32C">
            <w:pPr>
              <w:shd w:val="clear"/>
              <w:jc w:val="center"/>
              <w:rPr>
                <w:rFonts w:hint="eastAsia" w:ascii="宋体" w:hAnsi="宋体" w:eastAsia="宋体" w:cs="宋体"/>
                <w:color w:val="auto"/>
                <w:sz w:val="21"/>
                <w:szCs w:val="21"/>
                <w:highlight w:val="none"/>
              </w:rPr>
            </w:pPr>
          </w:p>
        </w:tc>
      </w:tr>
      <w:tr w14:paraId="42720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2663C114">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04420DAF">
            <w:pPr>
              <w:shd w:val="clear"/>
              <w:jc w:val="center"/>
              <w:rPr>
                <w:rFonts w:hint="eastAsia" w:ascii="宋体" w:hAnsi="宋体" w:eastAsia="宋体" w:cs="宋体"/>
                <w:color w:val="auto"/>
                <w:sz w:val="21"/>
                <w:szCs w:val="21"/>
                <w:highlight w:val="none"/>
              </w:rPr>
            </w:pPr>
          </w:p>
        </w:tc>
        <w:tc>
          <w:tcPr>
            <w:tcW w:w="2532" w:type="dxa"/>
            <w:vAlign w:val="center"/>
          </w:tcPr>
          <w:p w14:paraId="4A4F993C">
            <w:pPr>
              <w:pStyle w:val="491"/>
              <w:rPr>
                <w:rFonts w:hint="eastAsia" w:ascii="宋体" w:hAnsi="宋体" w:eastAsia="宋体" w:cs="宋体"/>
                <w:color w:val="auto"/>
                <w:sz w:val="21"/>
                <w:szCs w:val="21"/>
                <w:highlight w:val="none"/>
              </w:rPr>
            </w:pPr>
            <w:r>
              <w:rPr>
                <w:rFonts w:hint="eastAsia"/>
                <w:color w:val="auto"/>
                <w:highlight w:val="none"/>
              </w:rPr>
              <w:t>应急指挥驾驶舱</w:t>
            </w:r>
          </w:p>
        </w:tc>
        <w:tc>
          <w:tcPr>
            <w:tcW w:w="906" w:type="dxa"/>
            <w:vAlign w:val="center"/>
          </w:tcPr>
          <w:p w14:paraId="2DF39C85">
            <w:pPr>
              <w:shd w:val="clear"/>
              <w:jc w:val="center"/>
              <w:rPr>
                <w:rFonts w:hint="eastAsia" w:ascii="宋体" w:hAnsi="宋体" w:eastAsia="宋体" w:cs="宋体"/>
                <w:color w:val="auto"/>
                <w:sz w:val="21"/>
                <w:szCs w:val="21"/>
                <w:highlight w:val="none"/>
              </w:rPr>
            </w:pPr>
          </w:p>
        </w:tc>
        <w:tc>
          <w:tcPr>
            <w:tcW w:w="906" w:type="dxa"/>
            <w:vAlign w:val="center"/>
          </w:tcPr>
          <w:p w14:paraId="32EB1AF2">
            <w:pPr>
              <w:shd w:val="clear"/>
              <w:jc w:val="center"/>
              <w:rPr>
                <w:rFonts w:hint="eastAsia" w:ascii="宋体" w:hAnsi="宋体" w:eastAsia="宋体" w:cs="宋体"/>
                <w:color w:val="auto"/>
                <w:sz w:val="21"/>
                <w:szCs w:val="21"/>
                <w:highlight w:val="none"/>
              </w:rPr>
            </w:pPr>
          </w:p>
        </w:tc>
        <w:tc>
          <w:tcPr>
            <w:tcW w:w="906" w:type="dxa"/>
            <w:vAlign w:val="center"/>
          </w:tcPr>
          <w:p w14:paraId="0FF8F95C">
            <w:pPr>
              <w:shd w:val="clear"/>
              <w:jc w:val="center"/>
              <w:rPr>
                <w:rFonts w:hint="eastAsia" w:ascii="宋体" w:hAnsi="宋体" w:eastAsia="宋体" w:cs="宋体"/>
                <w:color w:val="auto"/>
                <w:sz w:val="21"/>
                <w:szCs w:val="21"/>
                <w:highlight w:val="none"/>
              </w:rPr>
            </w:pPr>
          </w:p>
        </w:tc>
        <w:tc>
          <w:tcPr>
            <w:tcW w:w="906" w:type="dxa"/>
            <w:vAlign w:val="center"/>
          </w:tcPr>
          <w:p w14:paraId="435ABCD3">
            <w:pPr>
              <w:shd w:val="clear"/>
              <w:jc w:val="center"/>
              <w:rPr>
                <w:rFonts w:hint="eastAsia" w:ascii="宋体" w:hAnsi="宋体" w:eastAsia="宋体" w:cs="宋体"/>
                <w:color w:val="auto"/>
                <w:sz w:val="21"/>
                <w:szCs w:val="21"/>
                <w:highlight w:val="none"/>
              </w:rPr>
            </w:pPr>
          </w:p>
        </w:tc>
        <w:tc>
          <w:tcPr>
            <w:tcW w:w="906" w:type="dxa"/>
            <w:vAlign w:val="center"/>
          </w:tcPr>
          <w:p w14:paraId="44EAC8A6">
            <w:pPr>
              <w:shd w:val="clear"/>
              <w:jc w:val="center"/>
              <w:rPr>
                <w:rFonts w:hint="eastAsia" w:ascii="宋体" w:hAnsi="宋体" w:eastAsia="宋体" w:cs="宋体"/>
                <w:color w:val="auto"/>
                <w:sz w:val="21"/>
                <w:szCs w:val="21"/>
                <w:highlight w:val="none"/>
              </w:rPr>
            </w:pPr>
          </w:p>
        </w:tc>
        <w:tc>
          <w:tcPr>
            <w:tcW w:w="906" w:type="dxa"/>
            <w:vAlign w:val="center"/>
          </w:tcPr>
          <w:p w14:paraId="49158F71">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5DA79DD2">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763C67FB">
            <w:pPr>
              <w:shd w:val="clear"/>
              <w:jc w:val="center"/>
              <w:rPr>
                <w:rFonts w:hint="eastAsia" w:ascii="宋体" w:hAnsi="宋体" w:eastAsia="宋体" w:cs="宋体"/>
                <w:color w:val="auto"/>
                <w:sz w:val="21"/>
                <w:szCs w:val="21"/>
                <w:highlight w:val="none"/>
              </w:rPr>
            </w:pPr>
          </w:p>
        </w:tc>
        <w:tc>
          <w:tcPr>
            <w:tcW w:w="906" w:type="dxa"/>
            <w:vAlign w:val="center"/>
          </w:tcPr>
          <w:p w14:paraId="63D2B54B">
            <w:pPr>
              <w:shd w:val="clear"/>
              <w:jc w:val="center"/>
              <w:rPr>
                <w:rFonts w:hint="eastAsia" w:ascii="宋体" w:hAnsi="宋体" w:eastAsia="宋体" w:cs="宋体"/>
                <w:color w:val="auto"/>
                <w:sz w:val="21"/>
                <w:szCs w:val="21"/>
                <w:highlight w:val="none"/>
              </w:rPr>
            </w:pPr>
          </w:p>
        </w:tc>
        <w:tc>
          <w:tcPr>
            <w:tcW w:w="906" w:type="dxa"/>
            <w:vAlign w:val="center"/>
          </w:tcPr>
          <w:p w14:paraId="1714EB2D">
            <w:pPr>
              <w:shd w:val="clear"/>
              <w:jc w:val="center"/>
              <w:rPr>
                <w:rFonts w:hint="eastAsia" w:ascii="宋体" w:hAnsi="宋体" w:eastAsia="宋体" w:cs="宋体"/>
                <w:color w:val="auto"/>
                <w:sz w:val="21"/>
                <w:szCs w:val="21"/>
                <w:highlight w:val="none"/>
              </w:rPr>
            </w:pPr>
          </w:p>
        </w:tc>
        <w:tc>
          <w:tcPr>
            <w:tcW w:w="906" w:type="dxa"/>
            <w:vAlign w:val="center"/>
          </w:tcPr>
          <w:p w14:paraId="129FF365">
            <w:pPr>
              <w:shd w:val="clear"/>
              <w:jc w:val="center"/>
              <w:rPr>
                <w:rFonts w:hint="eastAsia" w:ascii="宋体" w:hAnsi="宋体" w:eastAsia="宋体" w:cs="宋体"/>
                <w:color w:val="auto"/>
                <w:sz w:val="21"/>
                <w:szCs w:val="21"/>
                <w:highlight w:val="none"/>
              </w:rPr>
            </w:pPr>
          </w:p>
        </w:tc>
      </w:tr>
      <w:tr w14:paraId="14735D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3937A472">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544233F8">
            <w:pPr>
              <w:shd w:val="clear"/>
              <w:jc w:val="center"/>
              <w:rPr>
                <w:rFonts w:hint="eastAsia" w:ascii="宋体" w:hAnsi="宋体" w:eastAsia="宋体" w:cs="宋体"/>
                <w:color w:val="auto"/>
                <w:sz w:val="21"/>
                <w:szCs w:val="21"/>
                <w:highlight w:val="none"/>
              </w:rPr>
            </w:pPr>
          </w:p>
        </w:tc>
        <w:tc>
          <w:tcPr>
            <w:tcW w:w="2532" w:type="dxa"/>
            <w:vAlign w:val="center"/>
          </w:tcPr>
          <w:p w14:paraId="4044B836">
            <w:pPr>
              <w:pStyle w:val="491"/>
              <w:rPr>
                <w:rFonts w:hint="eastAsia" w:ascii="宋体" w:hAnsi="宋体" w:eastAsia="宋体" w:cs="宋体"/>
                <w:color w:val="auto"/>
                <w:sz w:val="21"/>
                <w:szCs w:val="21"/>
                <w:highlight w:val="none"/>
              </w:rPr>
            </w:pPr>
            <w:r>
              <w:rPr>
                <w:rFonts w:hint="eastAsia"/>
                <w:color w:val="auto"/>
                <w:highlight w:val="none"/>
              </w:rPr>
              <w:t>预警监测平台</w:t>
            </w:r>
          </w:p>
        </w:tc>
        <w:tc>
          <w:tcPr>
            <w:tcW w:w="906" w:type="dxa"/>
            <w:vAlign w:val="center"/>
          </w:tcPr>
          <w:p w14:paraId="33B1526F">
            <w:pPr>
              <w:shd w:val="clear"/>
              <w:jc w:val="center"/>
              <w:rPr>
                <w:rFonts w:hint="eastAsia" w:ascii="宋体" w:hAnsi="宋体" w:eastAsia="宋体" w:cs="宋体"/>
                <w:color w:val="auto"/>
                <w:sz w:val="21"/>
                <w:szCs w:val="21"/>
                <w:highlight w:val="none"/>
              </w:rPr>
            </w:pPr>
          </w:p>
        </w:tc>
        <w:tc>
          <w:tcPr>
            <w:tcW w:w="906" w:type="dxa"/>
            <w:vAlign w:val="center"/>
          </w:tcPr>
          <w:p w14:paraId="40B3FC4B">
            <w:pPr>
              <w:shd w:val="clear"/>
              <w:jc w:val="center"/>
              <w:rPr>
                <w:rFonts w:hint="eastAsia" w:ascii="宋体" w:hAnsi="宋体" w:eastAsia="宋体" w:cs="宋体"/>
                <w:color w:val="auto"/>
                <w:sz w:val="21"/>
                <w:szCs w:val="21"/>
                <w:highlight w:val="none"/>
              </w:rPr>
            </w:pPr>
          </w:p>
        </w:tc>
        <w:tc>
          <w:tcPr>
            <w:tcW w:w="906" w:type="dxa"/>
            <w:vAlign w:val="center"/>
          </w:tcPr>
          <w:p w14:paraId="32776C52">
            <w:pPr>
              <w:shd w:val="clear"/>
              <w:jc w:val="center"/>
              <w:rPr>
                <w:rFonts w:hint="eastAsia" w:ascii="宋体" w:hAnsi="宋体" w:eastAsia="宋体" w:cs="宋体"/>
                <w:color w:val="auto"/>
                <w:sz w:val="21"/>
                <w:szCs w:val="21"/>
                <w:highlight w:val="none"/>
              </w:rPr>
            </w:pPr>
          </w:p>
        </w:tc>
        <w:tc>
          <w:tcPr>
            <w:tcW w:w="906" w:type="dxa"/>
            <w:vAlign w:val="center"/>
          </w:tcPr>
          <w:p w14:paraId="33A9DE25">
            <w:pPr>
              <w:shd w:val="clear"/>
              <w:jc w:val="center"/>
              <w:rPr>
                <w:rFonts w:hint="eastAsia" w:ascii="宋体" w:hAnsi="宋体" w:eastAsia="宋体" w:cs="宋体"/>
                <w:color w:val="auto"/>
                <w:sz w:val="21"/>
                <w:szCs w:val="21"/>
                <w:highlight w:val="none"/>
              </w:rPr>
            </w:pPr>
          </w:p>
        </w:tc>
        <w:tc>
          <w:tcPr>
            <w:tcW w:w="906" w:type="dxa"/>
            <w:vAlign w:val="center"/>
          </w:tcPr>
          <w:p w14:paraId="7EC313E3">
            <w:pPr>
              <w:shd w:val="clear"/>
              <w:jc w:val="center"/>
              <w:rPr>
                <w:rFonts w:hint="eastAsia" w:ascii="宋体" w:hAnsi="宋体" w:eastAsia="宋体" w:cs="宋体"/>
                <w:color w:val="auto"/>
                <w:sz w:val="21"/>
                <w:szCs w:val="21"/>
                <w:highlight w:val="none"/>
              </w:rPr>
            </w:pPr>
          </w:p>
        </w:tc>
        <w:tc>
          <w:tcPr>
            <w:tcW w:w="906" w:type="dxa"/>
            <w:vAlign w:val="center"/>
          </w:tcPr>
          <w:p w14:paraId="6A48E7B3">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28B8D8E2">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1FE320DC">
            <w:pPr>
              <w:shd w:val="clear"/>
              <w:jc w:val="center"/>
              <w:rPr>
                <w:rFonts w:hint="eastAsia" w:ascii="宋体" w:hAnsi="宋体" w:eastAsia="宋体" w:cs="宋体"/>
                <w:color w:val="auto"/>
                <w:sz w:val="21"/>
                <w:szCs w:val="21"/>
                <w:highlight w:val="none"/>
              </w:rPr>
            </w:pPr>
          </w:p>
        </w:tc>
        <w:tc>
          <w:tcPr>
            <w:tcW w:w="906" w:type="dxa"/>
            <w:vAlign w:val="center"/>
          </w:tcPr>
          <w:p w14:paraId="6BCDEE21">
            <w:pPr>
              <w:shd w:val="clear"/>
              <w:jc w:val="center"/>
              <w:rPr>
                <w:rFonts w:hint="eastAsia" w:ascii="宋体" w:hAnsi="宋体" w:eastAsia="宋体" w:cs="宋体"/>
                <w:color w:val="auto"/>
                <w:sz w:val="21"/>
                <w:szCs w:val="21"/>
                <w:highlight w:val="none"/>
              </w:rPr>
            </w:pPr>
          </w:p>
        </w:tc>
        <w:tc>
          <w:tcPr>
            <w:tcW w:w="906" w:type="dxa"/>
            <w:vAlign w:val="center"/>
          </w:tcPr>
          <w:p w14:paraId="23B2A487">
            <w:pPr>
              <w:shd w:val="clear"/>
              <w:jc w:val="center"/>
              <w:rPr>
                <w:rFonts w:hint="eastAsia" w:ascii="宋体" w:hAnsi="宋体" w:eastAsia="宋体" w:cs="宋体"/>
                <w:color w:val="auto"/>
                <w:sz w:val="21"/>
                <w:szCs w:val="21"/>
                <w:highlight w:val="none"/>
              </w:rPr>
            </w:pPr>
          </w:p>
        </w:tc>
        <w:tc>
          <w:tcPr>
            <w:tcW w:w="906" w:type="dxa"/>
            <w:vAlign w:val="center"/>
          </w:tcPr>
          <w:p w14:paraId="76F3DD14">
            <w:pPr>
              <w:shd w:val="clear"/>
              <w:jc w:val="center"/>
              <w:rPr>
                <w:rFonts w:hint="eastAsia" w:ascii="宋体" w:hAnsi="宋体" w:eastAsia="宋体" w:cs="宋体"/>
                <w:color w:val="auto"/>
                <w:sz w:val="21"/>
                <w:szCs w:val="21"/>
                <w:highlight w:val="none"/>
              </w:rPr>
            </w:pPr>
          </w:p>
        </w:tc>
      </w:tr>
      <w:tr w14:paraId="22524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48B80FD1">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1D18E06B">
            <w:pPr>
              <w:shd w:val="clear"/>
              <w:jc w:val="center"/>
              <w:rPr>
                <w:rFonts w:hint="eastAsia" w:ascii="宋体" w:hAnsi="宋体" w:eastAsia="宋体" w:cs="宋体"/>
                <w:color w:val="auto"/>
                <w:sz w:val="21"/>
                <w:szCs w:val="21"/>
                <w:highlight w:val="none"/>
              </w:rPr>
            </w:pPr>
          </w:p>
        </w:tc>
        <w:tc>
          <w:tcPr>
            <w:tcW w:w="2532" w:type="dxa"/>
            <w:vAlign w:val="center"/>
          </w:tcPr>
          <w:p w14:paraId="0169050C">
            <w:pPr>
              <w:pStyle w:val="491"/>
              <w:rPr>
                <w:rFonts w:hint="eastAsia" w:ascii="宋体" w:hAnsi="宋体" w:eastAsia="宋体" w:cs="宋体"/>
                <w:color w:val="auto"/>
                <w:sz w:val="21"/>
                <w:szCs w:val="21"/>
                <w:highlight w:val="none"/>
              </w:rPr>
            </w:pPr>
            <w:r>
              <w:rPr>
                <w:rFonts w:hint="eastAsia"/>
                <w:color w:val="auto"/>
                <w:highlight w:val="none"/>
              </w:rPr>
              <w:t>指挥调度平台</w:t>
            </w:r>
          </w:p>
        </w:tc>
        <w:tc>
          <w:tcPr>
            <w:tcW w:w="906" w:type="dxa"/>
            <w:vAlign w:val="center"/>
          </w:tcPr>
          <w:p w14:paraId="05F1C203">
            <w:pPr>
              <w:shd w:val="clear"/>
              <w:jc w:val="center"/>
              <w:rPr>
                <w:rFonts w:hint="eastAsia" w:ascii="宋体" w:hAnsi="宋体" w:eastAsia="宋体" w:cs="宋体"/>
                <w:color w:val="auto"/>
                <w:sz w:val="21"/>
                <w:szCs w:val="21"/>
                <w:highlight w:val="none"/>
              </w:rPr>
            </w:pPr>
          </w:p>
        </w:tc>
        <w:tc>
          <w:tcPr>
            <w:tcW w:w="906" w:type="dxa"/>
            <w:vAlign w:val="center"/>
          </w:tcPr>
          <w:p w14:paraId="5F88A0BE">
            <w:pPr>
              <w:shd w:val="clear"/>
              <w:jc w:val="center"/>
              <w:rPr>
                <w:rFonts w:hint="eastAsia" w:ascii="宋体" w:hAnsi="宋体" w:eastAsia="宋体" w:cs="宋体"/>
                <w:color w:val="auto"/>
                <w:sz w:val="21"/>
                <w:szCs w:val="21"/>
                <w:highlight w:val="none"/>
              </w:rPr>
            </w:pPr>
          </w:p>
        </w:tc>
        <w:tc>
          <w:tcPr>
            <w:tcW w:w="906" w:type="dxa"/>
            <w:vAlign w:val="center"/>
          </w:tcPr>
          <w:p w14:paraId="7903631A">
            <w:pPr>
              <w:shd w:val="clear"/>
              <w:jc w:val="center"/>
              <w:rPr>
                <w:rFonts w:hint="eastAsia" w:ascii="宋体" w:hAnsi="宋体" w:eastAsia="宋体" w:cs="宋体"/>
                <w:color w:val="auto"/>
                <w:sz w:val="21"/>
                <w:szCs w:val="21"/>
                <w:highlight w:val="none"/>
              </w:rPr>
            </w:pPr>
          </w:p>
        </w:tc>
        <w:tc>
          <w:tcPr>
            <w:tcW w:w="906" w:type="dxa"/>
            <w:vAlign w:val="center"/>
          </w:tcPr>
          <w:p w14:paraId="49965BA9">
            <w:pPr>
              <w:shd w:val="clear"/>
              <w:jc w:val="center"/>
              <w:rPr>
                <w:rFonts w:hint="eastAsia" w:ascii="宋体" w:hAnsi="宋体" w:eastAsia="宋体" w:cs="宋体"/>
                <w:color w:val="auto"/>
                <w:sz w:val="21"/>
                <w:szCs w:val="21"/>
                <w:highlight w:val="none"/>
              </w:rPr>
            </w:pPr>
          </w:p>
        </w:tc>
        <w:tc>
          <w:tcPr>
            <w:tcW w:w="906" w:type="dxa"/>
            <w:vAlign w:val="center"/>
          </w:tcPr>
          <w:p w14:paraId="1B1E28A8">
            <w:pPr>
              <w:shd w:val="clear"/>
              <w:jc w:val="center"/>
              <w:rPr>
                <w:rFonts w:hint="eastAsia" w:ascii="宋体" w:hAnsi="宋体" w:eastAsia="宋体" w:cs="宋体"/>
                <w:color w:val="auto"/>
                <w:sz w:val="21"/>
                <w:szCs w:val="21"/>
                <w:highlight w:val="none"/>
              </w:rPr>
            </w:pPr>
          </w:p>
        </w:tc>
        <w:tc>
          <w:tcPr>
            <w:tcW w:w="906" w:type="dxa"/>
            <w:vAlign w:val="center"/>
          </w:tcPr>
          <w:p w14:paraId="712D5037">
            <w:pPr>
              <w:shd w:val="clea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1344B8A0">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6D1AAC47">
            <w:pPr>
              <w:shd w:val="clear"/>
              <w:jc w:val="center"/>
              <w:rPr>
                <w:rFonts w:hint="eastAsia" w:ascii="宋体" w:hAnsi="宋体" w:eastAsia="宋体" w:cs="宋体"/>
                <w:color w:val="auto"/>
                <w:sz w:val="21"/>
                <w:szCs w:val="21"/>
                <w:highlight w:val="none"/>
              </w:rPr>
            </w:pPr>
          </w:p>
        </w:tc>
        <w:tc>
          <w:tcPr>
            <w:tcW w:w="906" w:type="dxa"/>
            <w:vAlign w:val="center"/>
          </w:tcPr>
          <w:p w14:paraId="0C26D802">
            <w:pPr>
              <w:shd w:val="clear"/>
              <w:jc w:val="center"/>
              <w:rPr>
                <w:rFonts w:hint="eastAsia" w:ascii="宋体" w:hAnsi="宋体" w:eastAsia="宋体" w:cs="宋体"/>
                <w:color w:val="auto"/>
                <w:sz w:val="21"/>
                <w:szCs w:val="21"/>
                <w:highlight w:val="none"/>
              </w:rPr>
            </w:pPr>
          </w:p>
        </w:tc>
        <w:tc>
          <w:tcPr>
            <w:tcW w:w="906" w:type="dxa"/>
            <w:vAlign w:val="center"/>
          </w:tcPr>
          <w:p w14:paraId="4201727C">
            <w:pPr>
              <w:shd w:val="clear"/>
              <w:jc w:val="center"/>
              <w:rPr>
                <w:rFonts w:hint="eastAsia" w:ascii="宋体" w:hAnsi="宋体" w:eastAsia="宋体" w:cs="宋体"/>
                <w:color w:val="auto"/>
                <w:sz w:val="21"/>
                <w:szCs w:val="21"/>
                <w:highlight w:val="none"/>
              </w:rPr>
            </w:pPr>
          </w:p>
        </w:tc>
        <w:tc>
          <w:tcPr>
            <w:tcW w:w="906" w:type="dxa"/>
            <w:vAlign w:val="center"/>
          </w:tcPr>
          <w:p w14:paraId="2A2F4CEC">
            <w:pPr>
              <w:shd w:val="clear"/>
              <w:jc w:val="center"/>
              <w:rPr>
                <w:rFonts w:hint="eastAsia" w:ascii="宋体" w:hAnsi="宋体" w:eastAsia="宋体" w:cs="宋体"/>
                <w:color w:val="auto"/>
                <w:sz w:val="21"/>
                <w:szCs w:val="21"/>
                <w:highlight w:val="none"/>
              </w:rPr>
            </w:pPr>
          </w:p>
        </w:tc>
      </w:tr>
      <w:tr w14:paraId="12DD1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458EFC01">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792BF817">
            <w:pPr>
              <w:shd w:val="clear"/>
              <w:jc w:val="center"/>
              <w:rPr>
                <w:rFonts w:hint="eastAsia" w:ascii="宋体" w:hAnsi="宋体" w:eastAsia="宋体" w:cs="宋体"/>
                <w:color w:val="auto"/>
                <w:sz w:val="21"/>
                <w:szCs w:val="21"/>
                <w:highlight w:val="none"/>
              </w:rPr>
            </w:pPr>
          </w:p>
        </w:tc>
        <w:tc>
          <w:tcPr>
            <w:tcW w:w="2532" w:type="dxa"/>
            <w:vAlign w:val="center"/>
          </w:tcPr>
          <w:p w14:paraId="08551CB3">
            <w:pPr>
              <w:pStyle w:val="491"/>
              <w:rPr>
                <w:rFonts w:hint="eastAsia"/>
                <w:color w:val="auto"/>
                <w:highlight w:val="none"/>
              </w:rPr>
            </w:pPr>
            <w:r>
              <w:rPr>
                <w:rFonts w:hint="eastAsia"/>
                <w:color w:val="auto"/>
                <w:highlight w:val="none"/>
              </w:rPr>
              <w:t>医疗救治平台</w:t>
            </w:r>
          </w:p>
        </w:tc>
        <w:tc>
          <w:tcPr>
            <w:tcW w:w="906" w:type="dxa"/>
            <w:vAlign w:val="center"/>
          </w:tcPr>
          <w:p w14:paraId="0A72FA85">
            <w:pPr>
              <w:shd w:val="clear"/>
              <w:jc w:val="center"/>
              <w:rPr>
                <w:rFonts w:hint="eastAsia" w:ascii="宋体" w:hAnsi="宋体" w:eastAsia="宋体" w:cs="宋体"/>
                <w:color w:val="auto"/>
                <w:sz w:val="21"/>
                <w:szCs w:val="21"/>
                <w:highlight w:val="none"/>
              </w:rPr>
            </w:pPr>
          </w:p>
        </w:tc>
        <w:tc>
          <w:tcPr>
            <w:tcW w:w="906" w:type="dxa"/>
            <w:vAlign w:val="center"/>
          </w:tcPr>
          <w:p w14:paraId="0F4181DB">
            <w:pPr>
              <w:shd w:val="clear"/>
              <w:jc w:val="center"/>
              <w:rPr>
                <w:rFonts w:hint="eastAsia" w:ascii="宋体" w:hAnsi="宋体" w:eastAsia="宋体" w:cs="宋体"/>
                <w:color w:val="auto"/>
                <w:sz w:val="21"/>
                <w:szCs w:val="21"/>
                <w:highlight w:val="none"/>
              </w:rPr>
            </w:pPr>
          </w:p>
        </w:tc>
        <w:tc>
          <w:tcPr>
            <w:tcW w:w="906" w:type="dxa"/>
            <w:vAlign w:val="center"/>
          </w:tcPr>
          <w:p w14:paraId="0FCEF180">
            <w:pPr>
              <w:shd w:val="clear"/>
              <w:jc w:val="center"/>
              <w:rPr>
                <w:rFonts w:hint="eastAsia" w:ascii="宋体" w:hAnsi="宋体" w:eastAsia="宋体" w:cs="宋体"/>
                <w:color w:val="auto"/>
                <w:sz w:val="21"/>
                <w:szCs w:val="21"/>
                <w:highlight w:val="none"/>
              </w:rPr>
            </w:pPr>
          </w:p>
        </w:tc>
        <w:tc>
          <w:tcPr>
            <w:tcW w:w="906" w:type="dxa"/>
            <w:vAlign w:val="center"/>
          </w:tcPr>
          <w:p w14:paraId="50FF0320">
            <w:pPr>
              <w:shd w:val="clear"/>
              <w:jc w:val="center"/>
              <w:rPr>
                <w:rFonts w:hint="eastAsia" w:ascii="宋体" w:hAnsi="宋体" w:eastAsia="宋体" w:cs="宋体"/>
                <w:color w:val="auto"/>
                <w:sz w:val="21"/>
                <w:szCs w:val="21"/>
                <w:highlight w:val="none"/>
              </w:rPr>
            </w:pPr>
          </w:p>
        </w:tc>
        <w:tc>
          <w:tcPr>
            <w:tcW w:w="906" w:type="dxa"/>
            <w:vAlign w:val="center"/>
          </w:tcPr>
          <w:p w14:paraId="2CF5E7A6">
            <w:pPr>
              <w:shd w:val="clear"/>
              <w:jc w:val="center"/>
              <w:rPr>
                <w:rFonts w:hint="eastAsia" w:ascii="宋体" w:hAnsi="宋体" w:eastAsia="宋体" w:cs="宋体"/>
                <w:color w:val="auto"/>
                <w:sz w:val="21"/>
                <w:szCs w:val="21"/>
                <w:highlight w:val="none"/>
              </w:rPr>
            </w:pPr>
          </w:p>
        </w:tc>
        <w:tc>
          <w:tcPr>
            <w:tcW w:w="906" w:type="dxa"/>
            <w:vAlign w:val="center"/>
          </w:tcPr>
          <w:p w14:paraId="1D157FD5">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089FA3C3">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7EC65DDD">
            <w:pPr>
              <w:shd w:val="clear"/>
              <w:jc w:val="center"/>
              <w:rPr>
                <w:rFonts w:hint="eastAsia" w:ascii="宋体" w:hAnsi="宋体" w:eastAsia="宋体" w:cs="宋体"/>
                <w:color w:val="auto"/>
                <w:sz w:val="21"/>
                <w:szCs w:val="21"/>
                <w:highlight w:val="none"/>
              </w:rPr>
            </w:pPr>
          </w:p>
        </w:tc>
        <w:tc>
          <w:tcPr>
            <w:tcW w:w="906" w:type="dxa"/>
            <w:vAlign w:val="center"/>
          </w:tcPr>
          <w:p w14:paraId="3D012AEE">
            <w:pPr>
              <w:shd w:val="clear"/>
              <w:jc w:val="center"/>
              <w:rPr>
                <w:rFonts w:hint="eastAsia" w:ascii="宋体" w:hAnsi="宋体" w:eastAsia="宋体" w:cs="宋体"/>
                <w:color w:val="auto"/>
                <w:sz w:val="21"/>
                <w:szCs w:val="21"/>
                <w:highlight w:val="none"/>
              </w:rPr>
            </w:pPr>
          </w:p>
        </w:tc>
        <w:tc>
          <w:tcPr>
            <w:tcW w:w="906" w:type="dxa"/>
            <w:vAlign w:val="center"/>
          </w:tcPr>
          <w:p w14:paraId="590ADFEA">
            <w:pPr>
              <w:shd w:val="clear"/>
              <w:jc w:val="center"/>
              <w:rPr>
                <w:rFonts w:hint="eastAsia" w:ascii="宋体" w:hAnsi="宋体" w:eastAsia="宋体" w:cs="宋体"/>
                <w:color w:val="auto"/>
                <w:sz w:val="21"/>
                <w:szCs w:val="21"/>
                <w:highlight w:val="none"/>
              </w:rPr>
            </w:pPr>
          </w:p>
        </w:tc>
        <w:tc>
          <w:tcPr>
            <w:tcW w:w="906" w:type="dxa"/>
            <w:vAlign w:val="center"/>
          </w:tcPr>
          <w:p w14:paraId="55AA59A8">
            <w:pPr>
              <w:shd w:val="clear"/>
              <w:jc w:val="center"/>
              <w:rPr>
                <w:rFonts w:hint="eastAsia" w:ascii="宋体" w:hAnsi="宋体" w:eastAsia="宋体" w:cs="宋体"/>
                <w:color w:val="auto"/>
                <w:sz w:val="21"/>
                <w:szCs w:val="21"/>
                <w:highlight w:val="none"/>
              </w:rPr>
            </w:pPr>
          </w:p>
        </w:tc>
      </w:tr>
      <w:tr w14:paraId="496C7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restart"/>
            <w:vAlign w:val="center"/>
          </w:tcPr>
          <w:p w14:paraId="57486153">
            <w:pPr>
              <w:shd w:val="clea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934" w:type="dxa"/>
            <w:vMerge w:val="restart"/>
            <w:vAlign w:val="center"/>
          </w:tcPr>
          <w:p w14:paraId="6E1DC84B">
            <w:pPr>
              <w:shd w:val="clear"/>
              <w:jc w:val="center"/>
              <w:rPr>
                <w:rFonts w:hint="eastAsia" w:ascii="宋体" w:hAnsi="宋体" w:eastAsia="宋体" w:cs="宋体"/>
                <w:color w:val="auto"/>
                <w:sz w:val="21"/>
                <w:szCs w:val="21"/>
                <w:highlight w:val="none"/>
                <w:lang w:val="en-US" w:eastAsia="zh-CN"/>
              </w:rPr>
            </w:pPr>
            <w:r>
              <w:rPr>
                <w:rFonts w:hint="eastAsia"/>
                <w:color w:val="auto"/>
                <w:highlight w:val="none"/>
              </w:rPr>
              <w:t>智慧服务能力提升</w:t>
            </w:r>
            <w:r>
              <w:rPr>
                <w:rFonts w:hint="eastAsia"/>
                <w:color w:val="auto"/>
                <w:highlight w:val="none"/>
                <w:lang w:val="en-US" w:eastAsia="zh-CN"/>
              </w:rPr>
              <w:t>专项</w:t>
            </w:r>
          </w:p>
        </w:tc>
        <w:tc>
          <w:tcPr>
            <w:tcW w:w="2532" w:type="dxa"/>
            <w:vAlign w:val="center"/>
          </w:tcPr>
          <w:p w14:paraId="515C238E">
            <w:pPr>
              <w:pStyle w:val="491"/>
              <w:rPr>
                <w:rFonts w:hint="eastAsia"/>
                <w:color w:val="auto"/>
                <w:highlight w:val="none"/>
              </w:rPr>
            </w:pPr>
            <w:r>
              <w:rPr>
                <w:rFonts w:hint="eastAsia"/>
                <w:color w:val="auto"/>
                <w:highlight w:val="none"/>
              </w:rPr>
              <w:t>患者服务平台（微信小程序）</w:t>
            </w:r>
          </w:p>
        </w:tc>
        <w:tc>
          <w:tcPr>
            <w:tcW w:w="906" w:type="dxa"/>
            <w:vAlign w:val="center"/>
          </w:tcPr>
          <w:p w14:paraId="2F0E696B">
            <w:pPr>
              <w:shd w:val="clear"/>
              <w:jc w:val="center"/>
              <w:rPr>
                <w:rFonts w:hint="eastAsia" w:ascii="宋体" w:hAnsi="宋体" w:eastAsia="宋体" w:cs="宋体"/>
                <w:color w:val="auto"/>
                <w:sz w:val="21"/>
                <w:szCs w:val="21"/>
                <w:highlight w:val="none"/>
              </w:rPr>
            </w:pPr>
          </w:p>
        </w:tc>
        <w:tc>
          <w:tcPr>
            <w:tcW w:w="906" w:type="dxa"/>
            <w:vAlign w:val="center"/>
          </w:tcPr>
          <w:p w14:paraId="0613EC63">
            <w:pPr>
              <w:shd w:val="clear"/>
              <w:jc w:val="center"/>
              <w:rPr>
                <w:rFonts w:hint="eastAsia" w:ascii="宋体" w:hAnsi="宋体" w:eastAsia="宋体" w:cs="宋体"/>
                <w:color w:val="auto"/>
                <w:sz w:val="21"/>
                <w:szCs w:val="21"/>
                <w:highlight w:val="none"/>
              </w:rPr>
            </w:pPr>
          </w:p>
        </w:tc>
        <w:tc>
          <w:tcPr>
            <w:tcW w:w="906" w:type="dxa"/>
            <w:vAlign w:val="center"/>
          </w:tcPr>
          <w:p w14:paraId="65F44A55">
            <w:pPr>
              <w:shd w:val="clear"/>
              <w:jc w:val="center"/>
              <w:rPr>
                <w:rFonts w:hint="eastAsia" w:ascii="宋体" w:hAnsi="宋体" w:eastAsia="宋体" w:cs="宋体"/>
                <w:color w:val="auto"/>
                <w:sz w:val="21"/>
                <w:szCs w:val="21"/>
                <w:highlight w:val="none"/>
              </w:rPr>
            </w:pPr>
          </w:p>
        </w:tc>
        <w:tc>
          <w:tcPr>
            <w:tcW w:w="906" w:type="dxa"/>
            <w:vAlign w:val="center"/>
          </w:tcPr>
          <w:p w14:paraId="554C88E0">
            <w:pPr>
              <w:shd w:val="clear"/>
              <w:jc w:val="center"/>
              <w:rPr>
                <w:rFonts w:hint="eastAsia" w:ascii="宋体" w:hAnsi="宋体" w:eastAsia="宋体" w:cs="宋体"/>
                <w:color w:val="auto"/>
                <w:sz w:val="21"/>
                <w:szCs w:val="21"/>
                <w:highlight w:val="none"/>
              </w:rPr>
            </w:pPr>
          </w:p>
        </w:tc>
        <w:tc>
          <w:tcPr>
            <w:tcW w:w="906" w:type="dxa"/>
            <w:vAlign w:val="center"/>
          </w:tcPr>
          <w:p w14:paraId="1A8AEE7B">
            <w:pPr>
              <w:shd w:val="clear"/>
              <w:jc w:val="center"/>
              <w:rPr>
                <w:rFonts w:hint="eastAsia" w:ascii="宋体" w:hAnsi="宋体" w:eastAsia="宋体" w:cs="宋体"/>
                <w:color w:val="auto"/>
                <w:sz w:val="21"/>
                <w:szCs w:val="21"/>
                <w:highlight w:val="none"/>
              </w:rPr>
            </w:pPr>
          </w:p>
        </w:tc>
        <w:tc>
          <w:tcPr>
            <w:tcW w:w="906" w:type="dxa"/>
            <w:vAlign w:val="center"/>
          </w:tcPr>
          <w:p w14:paraId="1855CD17">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0FEF43A6">
            <w:pPr>
              <w:shd w:val="clear"/>
              <w:jc w:val="center"/>
              <w:rPr>
                <w:rFonts w:hint="eastAsia" w:ascii="宋体" w:hAnsi="宋体" w:eastAsia="宋体" w:cs="宋体"/>
                <w:color w:val="auto"/>
                <w:sz w:val="21"/>
                <w:szCs w:val="21"/>
                <w:highlight w:val="none"/>
              </w:rPr>
            </w:pPr>
          </w:p>
        </w:tc>
        <w:tc>
          <w:tcPr>
            <w:tcW w:w="906" w:type="dxa"/>
            <w:vMerge w:val="restart"/>
            <w:vAlign w:val="center"/>
          </w:tcPr>
          <w:p w14:paraId="2A3AE348">
            <w:pPr>
              <w:shd w:val="clear"/>
              <w:jc w:val="center"/>
              <w:rPr>
                <w:rFonts w:hint="eastAsia" w:ascii="宋体" w:hAnsi="宋体" w:eastAsia="宋体" w:cs="宋体"/>
                <w:color w:val="auto"/>
                <w:sz w:val="21"/>
                <w:szCs w:val="21"/>
                <w:highlight w:val="none"/>
              </w:rPr>
            </w:pPr>
          </w:p>
        </w:tc>
        <w:tc>
          <w:tcPr>
            <w:tcW w:w="906" w:type="dxa"/>
            <w:vAlign w:val="center"/>
          </w:tcPr>
          <w:p w14:paraId="4C3BA958">
            <w:pPr>
              <w:shd w:val="clear"/>
              <w:jc w:val="center"/>
              <w:rPr>
                <w:rFonts w:hint="eastAsia" w:ascii="宋体" w:hAnsi="宋体" w:eastAsia="宋体" w:cs="宋体"/>
                <w:color w:val="auto"/>
                <w:sz w:val="21"/>
                <w:szCs w:val="21"/>
                <w:highlight w:val="none"/>
              </w:rPr>
            </w:pPr>
          </w:p>
        </w:tc>
        <w:tc>
          <w:tcPr>
            <w:tcW w:w="906" w:type="dxa"/>
            <w:vAlign w:val="center"/>
          </w:tcPr>
          <w:p w14:paraId="62CC1262">
            <w:pPr>
              <w:shd w:val="clear"/>
              <w:jc w:val="center"/>
              <w:rPr>
                <w:rFonts w:hint="eastAsia" w:ascii="宋体" w:hAnsi="宋体" w:eastAsia="宋体" w:cs="宋体"/>
                <w:color w:val="auto"/>
                <w:sz w:val="21"/>
                <w:szCs w:val="21"/>
                <w:highlight w:val="none"/>
              </w:rPr>
            </w:pPr>
          </w:p>
        </w:tc>
        <w:tc>
          <w:tcPr>
            <w:tcW w:w="906" w:type="dxa"/>
            <w:vAlign w:val="center"/>
          </w:tcPr>
          <w:p w14:paraId="5EBC8566">
            <w:pPr>
              <w:shd w:val="clear"/>
              <w:jc w:val="center"/>
              <w:rPr>
                <w:rFonts w:hint="eastAsia" w:ascii="宋体" w:hAnsi="宋体" w:eastAsia="宋体" w:cs="宋体"/>
                <w:color w:val="auto"/>
                <w:sz w:val="21"/>
                <w:szCs w:val="21"/>
                <w:highlight w:val="none"/>
              </w:rPr>
            </w:pPr>
          </w:p>
        </w:tc>
      </w:tr>
      <w:tr w14:paraId="5642EB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484C2F9C">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0A466FCB">
            <w:pPr>
              <w:shd w:val="clear"/>
              <w:jc w:val="center"/>
              <w:rPr>
                <w:rFonts w:hint="eastAsia" w:ascii="宋体" w:hAnsi="宋体" w:eastAsia="宋体" w:cs="宋体"/>
                <w:color w:val="auto"/>
                <w:sz w:val="21"/>
                <w:szCs w:val="21"/>
                <w:highlight w:val="none"/>
              </w:rPr>
            </w:pPr>
          </w:p>
        </w:tc>
        <w:tc>
          <w:tcPr>
            <w:tcW w:w="2532" w:type="dxa"/>
            <w:vAlign w:val="center"/>
          </w:tcPr>
          <w:p w14:paraId="72A5C5B8">
            <w:pPr>
              <w:shd w:val="clear"/>
              <w:jc w:val="center"/>
              <w:rPr>
                <w:rFonts w:hint="eastAsia" w:ascii="宋体" w:hAnsi="宋体" w:eastAsia="宋体" w:cs="宋体"/>
                <w:color w:val="auto"/>
                <w:sz w:val="21"/>
                <w:szCs w:val="21"/>
                <w:highlight w:val="none"/>
              </w:rPr>
            </w:pPr>
            <w:r>
              <w:rPr>
                <w:rFonts w:hint="eastAsia"/>
                <w:color w:val="auto"/>
                <w:highlight w:val="none"/>
              </w:rPr>
              <w:t>互联网诊疗服务平台（APP版）</w:t>
            </w:r>
          </w:p>
        </w:tc>
        <w:tc>
          <w:tcPr>
            <w:tcW w:w="906" w:type="dxa"/>
            <w:vAlign w:val="center"/>
          </w:tcPr>
          <w:p w14:paraId="4EFB2DFE">
            <w:pPr>
              <w:shd w:val="clear"/>
              <w:jc w:val="center"/>
              <w:rPr>
                <w:rFonts w:hint="eastAsia" w:ascii="宋体" w:hAnsi="宋体" w:eastAsia="宋体" w:cs="宋体"/>
                <w:color w:val="auto"/>
                <w:sz w:val="21"/>
                <w:szCs w:val="21"/>
                <w:highlight w:val="none"/>
              </w:rPr>
            </w:pPr>
          </w:p>
        </w:tc>
        <w:tc>
          <w:tcPr>
            <w:tcW w:w="906" w:type="dxa"/>
            <w:vAlign w:val="center"/>
          </w:tcPr>
          <w:p w14:paraId="065D399B">
            <w:pPr>
              <w:shd w:val="clear"/>
              <w:jc w:val="center"/>
              <w:rPr>
                <w:rFonts w:hint="eastAsia" w:ascii="宋体" w:hAnsi="宋体" w:eastAsia="宋体" w:cs="宋体"/>
                <w:color w:val="auto"/>
                <w:sz w:val="21"/>
                <w:szCs w:val="21"/>
                <w:highlight w:val="none"/>
              </w:rPr>
            </w:pPr>
          </w:p>
        </w:tc>
        <w:tc>
          <w:tcPr>
            <w:tcW w:w="906" w:type="dxa"/>
            <w:vAlign w:val="center"/>
          </w:tcPr>
          <w:p w14:paraId="036420AC">
            <w:pPr>
              <w:shd w:val="clear"/>
              <w:jc w:val="center"/>
              <w:rPr>
                <w:rFonts w:hint="eastAsia" w:ascii="宋体" w:hAnsi="宋体" w:eastAsia="宋体" w:cs="宋体"/>
                <w:color w:val="auto"/>
                <w:sz w:val="21"/>
                <w:szCs w:val="21"/>
                <w:highlight w:val="none"/>
              </w:rPr>
            </w:pPr>
          </w:p>
        </w:tc>
        <w:tc>
          <w:tcPr>
            <w:tcW w:w="906" w:type="dxa"/>
            <w:vAlign w:val="center"/>
          </w:tcPr>
          <w:p w14:paraId="5627B81B">
            <w:pPr>
              <w:shd w:val="clear"/>
              <w:jc w:val="center"/>
              <w:rPr>
                <w:rFonts w:hint="eastAsia" w:ascii="宋体" w:hAnsi="宋体" w:eastAsia="宋体" w:cs="宋体"/>
                <w:color w:val="auto"/>
                <w:sz w:val="21"/>
                <w:szCs w:val="21"/>
                <w:highlight w:val="none"/>
              </w:rPr>
            </w:pPr>
          </w:p>
        </w:tc>
        <w:tc>
          <w:tcPr>
            <w:tcW w:w="906" w:type="dxa"/>
            <w:vAlign w:val="center"/>
          </w:tcPr>
          <w:p w14:paraId="0DA616B2">
            <w:pPr>
              <w:shd w:val="clear"/>
              <w:jc w:val="center"/>
              <w:rPr>
                <w:rFonts w:hint="eastAsia" w:ascii="宋体" w:hAnsi="宋体" w:eastAsia="宋体" w:cs="宋体"/>
                <w:color w:val="auto"/>
                <w:sz w:val="21"/>
                <w:szCs w:val="21"/>
                <w:highlight w:val="none"/>
              </w:rPr>
            </w:pPr>
          </w:p>
        </w:tc>
        <w:tc>
          <w:tcPr>
            <w:tcW w:w="906" w:type="dxa"/>
            <w:vAlign w:val="center"/>
          </w:tcPr>
          <w:p w14:paraId="5B057118">
            <w:pPr>
              <w:shd w:val="clea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6E500A7F">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7C9E9F9A">
            <w:pPr>
              <w:shd w:val="clear"/>
              <w:jc w:val="center"/>
              <w:rPr>
                <w:rFonts w:hint="eastAsia" w:ascii="宋体" w:hAnsi="宋体" w:eastAsia="宋体" w:cs="宋体"/>
                <w:color w:val="auto"/>
                <w:sz w:val="21"/>
                <w:szCs w:val="21"/>
                <w:highlight w:val="none"/>
              </w:rPr>
            </w:pPr>
          </w:p>
        </w:tc>
        <w:tc>
          <w:tcPr>
            <w:tcW w:w="906" w:type="dxa"/>
            <w:vAlign w:val="center"/>
          </w:tcPr>
          <w:p w14:paraId="7DE32B41">
            <w:pPr>
              <w:shd w:val="clear"/>
              <w:jc w:val="center"/>
              <w:rPr>
                <w:rFonts w:hint="eastAsia" w:ascii="宋体" w:hAnsi="宋体" w:eastAsia="宋体" w:cs="宋体"/>
                <w:color w:val="auto"/>
                <w:sz w:val="21"/>
                <w:szCs w:val="21"/>
                <w:highlight w:val="none"/>
              </w:rPr>
            </w:pPr>
          </w:p>
        </w:tc>
        <w:tc>
          <w:tcPr>
            <w:tcW w:w="906" w:type="dxa"/>
            <w:vAlign w:val="center"/>
          </w:tcPr>
          <w:p w14:paraId="6CD2DE59">
            <w:pPr>
              <w:shd w:val="clear"/>
              <w:jc w:val="center"/>
              <w:rPr>
                <w:rFonts w:hint="eastAsia" w:ascii="宋体" w:hAnsi="宋体" w:eastAsia="宋体" w:cs="宋体"/>
                <w:color w:val="auto"/>
                <w:sz w:val="21"/>
                <w:szCs w:val="21"/>
                <w:highlight w:val="none"/>
              </w:rPr>
            </w:pPr>
          </w:p>
        </w:tc>
        <w:tc>
          <w:tcPr>
            <w:tcW w:w="906" w:type="dxa"/>
            <w:vAlign w:val="center"/>
          </w:tcPr>
          <w:p w14:paraId="40E93398">
            <w:pPr>
              <w:shd w:val="clear"/>
              <w:jc w:val="center"/>
              <w:rPr>
                <w:rFonts w:hint="eastAsia" w:ascii="宋体" w:hAnsi="宋体" w:eastAsia="宋体" w:cs="宋体"/>
                <w:color w:val="auto"/>
                <w:sz w:val="21"/>
                <w:szCs w:val="21"/>
                <w:highlight w:val="none"/>
              </w:rPr>
            </w:pPr>
          </w:p>
        </w:tc>
      </w:tr>
      <w:tr w14:paraId="6E9E10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2DDF100D">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0C9FC798">
            <w:pPr>
              <w:shd w:val="clear"/>
              <w:jc w:val="center"/>
              <w:rPr>
                <w:rFonts w:hint="eastAsia"/>
                <w:color w:val="auto"/>
                <w:highlight w:val="none"/>
              </w:rPr>
            </w:pPr>
          </w:p>
        </w:tc>
        <w:tc>
          <w:tcPr>
            <w:tcW w:w="2532" w:type="dxa"/>
            <w:vAlign w:val="center"/>
          </w:tcPr>
          <w:p w14:paraId="174B6BFB">
            <w:pPr>
              <w:shd w:val="clear"/>
              <w:jc w:val="center"/>
              <w:rPr>
                <w:rFonts w:hint="eastAsia" w:ascii="宋体" w:hAnsi="宋体" w:eastAsia="宋体" w:cs="宋体"/>
                <w:color w:val="auto"/>
                <w:sz w:val="21"/>
                <w:szCs w:val="21"/>
                <w:highlight w:val="none"/>
              </w:rPr>
            </w:pPr>
            <w:r>
              <w:rPr>
                <w:rFonts w:hint="eastAsia"/>
                <w:color w:val="auto"/>
                <w:highlight w:val="none"/>
              </w:rPr>
              <w:t>远程诊疗平台</w:t>
            </w:r>
          </w:p>
        </w:tc>
        <w:tc>
          <w:tcPr>
            <w:tcW w:w="906" w:type="dxa"/>
            <w:vAlign w:val="center"/>
          </w:tcPr>
          <w:p w14:paraId="5BCA34CB">
            <w:pPr>
              <w:shd w:val="clear"/>
              <w:jc w:val="center"/>
              <w:rPr>
                <w:rFonts w:hint="eastAsia" w:ascii="宋体" w:hAnsi="宋体" w:eastAsia="宋体" w:cs="宋体"/>
                <w:color w:val="auto"/>
                <w:sz w:val="21"/>
                <w:szCs w:val="21"/>
                <w:highlight w:val="none"/>
              </w:rPr>
            </w:pPr>
          </w:p>
        </w:tc>
        <w:tc>
          <w:tcPr>
            <w:tcW w:w="906" w:type="dxa"/>
            <w:vAlign w:val="center"/>
          </w:tcPr>
          <w:p w14:paraId="7276CBE4">
            <w:pPr>
              <w:shd w:val="clear"/>
              <w:jc w:val="center"/>
              <w:rPr>
                <w:rFonts w:hint="eastAsia" w:ascii="宋体" w:hAnsi="宋体" w:eastAsia="宋体" w:cs="宋体"/>
                <w:color w:val="auto"/>
                <w:sz w:val="21"/>
                <w:szCs w:val="21"/>
                <w:highlight w:val="none"/>
              </w:rPr>
            </w:pPr>
          </w:p>
        </w:tc>
        <w:tc>
          <w:tcPr>
            <w:tcW w:w="906" w:type="dxa"/>
            <w:vAlign w:val="center"/>
          </w:tcPr>
          <w:p w14:paraId="241F0950">
            <w:pPr>
              <w:shd w:val="clear"/>
              <w:jc w:val="center"/>
              <w:rPr>
                <w:rFonts w:hint="eastAsia" w:ascii="宋体" w:hAnsi="宋体" w:eastAsia="宋体" w:cs="宋体"/>
                <w:color w:val="auto"/>
                <w:sz w:val="21"/>
                <w:szCs w:val="21"/>
                <w:highlight w:val="none"/>
              </w:rPr>
            </w:pPr>
          </w:p>
        </w:tc>
        <w:tc>
          <w:tcPr>
            <w:tcW w:w="906" w:type="dxa"/>
            <w:vAlign w:val="center"/>
          </w:tcPr>
          <w:p w14:paraId="5E65580B">
            <w:pPr>
              <w:shd w:val="clear"/>
              <w:jc w:val="center"/>
              <w:rPr>
                <w:rFonts w:hint="eastAsia" w:ascii="宋体" w:hAnsi="宋体" w:eastAsia="宋体" w:cs="宋体"/>
                <w:color w:val="auto"/>
                <w:sz w:val="21"/>
                <w:szCs w:val="21"/>
                <w:highlight w:val="none"/>
              </w:rPr>
            </w:pPr>
          </w:p>
        </w:tc>
        <w:tc>
          <w:tcPr>
            <w:tcW w:w="906" w:type="dxa"/>
            <w:vAlign w:val="center"/>
          </w:tcPr>
          <w:p w14:paraId="28AAD8AE">
            <w:pPr>
              <w:shd w:val="clear"/>
              <w:jc w:val="center"/>
              <w:rPr>
                <w:rFonts w:hint="eastAsia" w:ascii="宋体" w:hAnsi="宋体" w:eastAsia="宋体" w:cs="宋体"/>
                <w:color w:val="auto"/>
                <w:sz w:val="21"/>
                <w:szCs w:val="21"/>
                <w:highlight w:val="none"/>
              </w:rPr>
            </w:pPr>
          </w:p>
        </w:tc>
        <w:tc>
          <w:tcPr>
            <w:tcW w:w="906" w:type="dxa"/>
            <w:vAlign w:val="center"/>
          </w:tcPr>
          <w:p w14:paraId="04A5563B">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6DDCF70D">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3960C708">
            <w:pPr>
              <w:shd w:val="clear"/>
              <w:jc w:val="center"/>
              <w:rPr>
                <w:rFonts w:hint="eastAsia" w:ascii="宋体" w:hAnsi="宋体" w:eastAsia="宋体" w:cs="宋体"/>
                <w:color w:val="auto"/>
                <w:sz w:val="21"/>
                <w:szCs w:val="21"/>
                <w:highlight w:val="none"/>
              </w:rPr>
            </w:pPr>
          </w:p>
        </w:tc>
        <w:tc>
          <w:tcPr>
            <w:tcW w:w="906" w:type="dxa"/>
            <w:vAlign w:val="center"/>
          </w:tcPr>
          <w:p w14:paraId="4F8F964C">
            <w:pPr>
              <w:shd w:val="clear"/>
              <w:jc w:val="center"/>
              <w:rPr>
                <w:rFonts w:hint="eastAsia" w:ascii="宋体" w:hAnsi="宋体" w:eastAsia="宋体" w:cs="宋体"/>
                <w:color w:val="auto"/>
                <w:sz w:val="21"/>
                <w:szCs w:val="21"/>
                <w:highlight w:val="none"/>
              </w:rPr>
            </w:pPr>
          </w:p>
        </w:tc>
        <w:tc>
          <w:tcPr>
            <w:tcW w:w="906" w:type="dxa"/>
            <w:vAlign w:val="center"/>
          </w:tcPr>
          <w:p w14:paraId="265EE728">
            <w:pPr>
              <w:shd w:val="clear"/>
              <w:jc w:val="center"/>
              <w:rPr>
                <w:rFonts w:hint="eastAsia" w:ascii="宋体" w:hAnsi="宋体" w:eastAsia="宋体" w:cs="宋体"/>
                <w:color w:val="auto"/>
                <w:sz w:val="21"/>
                <w:szCs w:val="21"/>
                <w:highlight w:val="none"/>
              </w:rPr>
            </w:pPr>
          </w:p>
        </w:tc>
        <w:tc>
          <w:tcPr>
            <w:tcW w:w="906" w:type="dxa"/>
            <w:vAlign w:val="center"/>
          </w:tcPr>
          <w:p w14:paraId="5AB0BC8F">
            <w:pPr>
              <w:shd w:val="clear"/>
              <w:jc w:val="center"/>
              <w:rPr>
                <w:rFonts w:hint="eastAsia" w:ascii="宋体" w:hAnsi="宋体" w:eastAsia="宋体" w:cs="宋体"/>
                <w:color w:val="auto"/>
                <w:sz w:val="21"/>
                <w:szCs w:val="21"/>
                <w:highlight w:val="none"/>
              </w:rPr>
            </w:pPr>
          </w:p>
        </w:tc>
      </w:tr>
      <w:tr w14:paraId="6766A8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677912A3">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73407784">
            <w:pPr>
              <w:shd w:val="clear"/>
              <w:jc w:val="center"/>
              <w:rPr>
                <w:rFonts w:hint="eastAsia"/>
                <w:color w:val="auto"/>
                <w:highlight w:val="none"/>
              </w:rPr>
            </w:pPr>
          </w:p>
        </w:tc>
        <w:tc>
          <w:tcPr>
            <w:tcW w:w="2532" w:type="dxa"/>
            <w:vAlign w:val="center"/>
          </w:tcPr>
          <w:p w14:paraId="295DB798">
            <w:pPr>
              <w:shd w:val="clear"/>
              <w:jc w:val="center"/>
              <w:rPr>
                <w:rFonts w:hint="eastAsia"/>
                <w:color w:val="auto"/>
                <w:highlight w:val="none"/>
              </w:rPr>
            </w:pPr>
            <w:r>
              <w:rPr>
                <w:rFonts w:hint="eastAsia"/>
                <w:color w:val="auto"/>
                <w:highlight w:val="none"/>
              </w:rPr>
              <w:t>随访系统</w:t>
            </w:r>
          </w:p>
        </w:tc>
        <w:tc>
          <w:tcPr>
            <w:tcW w:w="906" w:type="dxa"/>
            <w:vAlign w:val="center"/>
          </w:tcPr>
          <w:p w14:paraId="2C48F9DE">
            <w:pPr>
              <w:shd w:val="clear"/>
              <w:jc w:val="center"/>
              <w:rPr>
                <w:rFonts w:hint="eastAsia" w:ascii="宋体" w:hAnsi="宋体" w:eastAsia="宋体" w:cs="宋体"/>
                <w:color w:val="auto"/>
                <w:sz w:val="21"/>
                <w:szCs w:val="21"/>
                <w:highlight w:val="none"/>
              </w:rPr>
            </w:pPr>
          </w:p>
        </w:tc>
        <w:tc>
          <w:tcPr>
            <w:tcW w:w="906" w:type="dxa"/>
            <w:vAlign w:val="center"/>
          </w:tcPr>
          <w:p w14:paraId="7F5001D7">
            <w:pPr>
              <w:shd w:val="clear"/>
              <w:jc w:val="center"/>
              <w:rPr>
                <w:rFonts w:hint="eastAsia" w:ascii="宋体" w:hAnsi="宋体" w:eastAsia="宋体" w:cs="宋体"/>
                <w:color w:val="auto"/>
                <w:sz w:val="21"/>
                <w:szCs w:val="21"/>
                <w:highlight w:val="none"/>
              </w:rPr>
            </w:pPr>
          </w:p>
        </w:tc>
        <w:tc>
          <w:tcPr>
            <w:tcW w:w="906" w:type="dxa"/>
            <w:vAlign w:val="center"/>
          </w:tcPr>
          <w:p w14:paraId="4FC78662">
            <w:pPr>
              <w:shd w:val="clear"/>
              <w:jc w:val="center"/>
              <w:rPr>
                <w:rFonts w:hint="eastAsia" w:ascii="宋体" w:hAnsi="宋体" w:eastAsia="宋体" w:cs="宋体"/>
                <w:color w:val="auto"/>
                <w:sz w:val="21"/>
                <w:szCs w:val="21"/>
                <w:highlight w:val="none"/>
              </w:rPr>
            </w:pPr>
          </w:p>
        </w:tc>
        <w:tc>
          <w:tcPr>
            <w:tcW w:w="906" w:type="dxa"/>
            <w:vAlign w:val="center"/>
          </w:tcPr>
          <w:p w14:paraId="36E35BDC">
            <w:pPr>
              <w:shd w:val="clear"/>
              <w:jc w:val="center"/>
              <w:rPr>
                <w:rFonts w:hint="eastAsia" w:ascii="宋体" w:hAnsi="宋体" w:eastAsia="宋体" w:cs="宋体"/>
                <w:color w:val="auto"/>
                <w:sz w:val="21"/>
                <w:szCs w:val="21"/>
                <w:highlight w:val="none"/>
              </w:rPr>
            </w:pPr>
          </w:p>
        </w:tc>
        <w:tc>
          <w:tcPr>
            <w:tcW w:w="906" w:type="dxa"/>
            <w:vAlign w:val="center"/>
          </w:tcPr>
          <w:p w14:paraId="5997065E">
            <w:pPr>
              <w:shd w:val="clear"/>
              <w:jc w:val="center"/>
              <w:rPr>
                <w:rFonts w:hint="eastAsia" w:ascii="宋体" w:hAnsi="宋体" w:eastAsia="宋体" w:cs="宋体"/>
                <w:color w:val="auto"/>
                <w:sz w:val="21"/>
                <w:szCs w:val="21"/>
                <w:highlight w:val="none"/>
              </w:rPr>
            </w:pPr>
          </w:p>
        </w:tc>
        <w:tc>
          <w:tcPr>
            <w:tcW w:w="906" w:type="dxa"/>
            <w:vAlign w:val="center"/>
          </w:tcPr>
          <w:p w14:paraId="54328021">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4D7C67F3">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0A221B00">
            <w:pPr>
              <w:shd w:val="clear"/>
              <w:jc w:val="center"/>
              <w:rPr>
                <w:rFonts w:hint="eastAsia" w:ascii="宋体" w:hAnsi="宋体" w:eastAsia="宋体" w:cs="宋体"/>
                <w:color w:val="auto"/>
                <w:sz w:val="21"/>
                <w:szCs w:val="21"/>
                <w:highlight w:val="none"/>
              </w:rPr>
            </w:pPr>
          </w:p>
        </w:tc>
        <w:tc>
          <w:tcPr>
            <w:tcW w:w="906" w:type="dxa"/>
            <w:vAlign w:val="center"/>
          </w:tcPr>
          <w:p w14:paraId="64089F6A">
            <w:pPr>
              <w:shd w:val="clear"/>
              <w:jc w:val="center"/>
              <w:rPr>
                <w:rFonts w:hint="eastAsia" w:ascii="宋体" w:hAnsi="宋体" w:eastAsia="宋体" w:cs="宋体"/>
                <w:color w:val="auto"/>
                <w:sz w:val="21"/>
                <w:szCs w:val="21"/>
                <w:highlight w:val="none"/>
              </w:rPr>
            </w:pPr>
          </w:p>
        </w:tc>
        <w:tc>
          <w:tcPr>
            <w:tcW w:w="906" w:type="dxa"/>
            <w:vAlign w:val="center"/>
          </w:tcPr>
          <w:p w14:paraId="1A988689">
            <w:pPr>
              <w:shd w:val="clear"/>
              <w:jc w:val="center"/>
              <w:rPr>
                <w:rFonts w:hint="eastAsia" w:ascii="宋体" w:hAnsi="宋体" w:eastAsia="宋体" w:cs="宋体"/>
                <w:color w:val="auto"/>
                <w:sz w:val="21"/>
                <w:szCs w:val="21"/>
                <w:highlight w:val="none"/>
              </w:rPr>
            </w:pPr>
          </w:p>
        </w:tc>
        <w:tc>
          <w:tcPr>
            <w:tcW w:w="906" w:type="dxa"/>
            <w:vAlign w:val="center"/>
          </w:tcPr>
          <w:p w14:paraId="30B60F4D">
            <w:pPr>
              <w:shd w:val="clear"/>
              <w:jc w:val="center"/>
              <w:rPr>
                <w:rFonts w:hint="eastAsia" w:ascii="宋体" w:hAnsi="宋体" w:eastAsia="宋体" w:cs="宋体"/>
                <w:color w:val="auto"/>
                <w:sz w:val="21"/>
                <w:szCs w:val="21"/>
                <w:highlight w:val="none"/>
              </w:rPr>
            </w:pPr>
          </w:p>
        </w:tc>
      </w:tr>
      <w:tr w14:paraId="1EDD5F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6CD6E8E5">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26B329B4">
            <w:pPr>
              <w:shd w:val="clear"/>
              <w:jc w:val="center"/>
              <w:rPr>
                <w:rFonts w:hint="eastAsia"/>
                <w:color w:val="auto"/>
                <w:highlight w:val="none"/>
              </w:rPr>
            </w:pPr>
          </w:p>
        </w:tc>
        <w:tc>
          <w:tcPr>
            <w:tcW w:w="2532" w:type="dxa"/>
            <w:vAlign w:val="center"/>
          </w:tcPr>
          <w:p w14:paraId="667901AE">
            <w:pPr>
              <w:shd w:val="clear"/>
              <w:jc w:val="center"/>
              <w:rPr>
                <w:rFonts w:hint="eastAsia"/>
                <w:color w:val="auto"/>
                <w:highlight w:val="none"/>
              </w:rPr>
            </w:pPr>
            <w:r>
              <w:rPr>
                <w:rFonts w:hint="eastAsia"/>
                <w:color w:val="auto"/>
                <w:highlight w:val="none"/>
              </w:rPr>
              <w:t>穿戴设备</w:t>
            </w:r>
          </w:p>
        </w:tc>
        <w:tc>
          <w:tcPr>
            <w:tcW w:w="906" w:type="dxa"/>
            <w:vAlign w:val="center"/>
          </w:tcPr>
          <w:p w14:paraId="278EBD3A">
            <w:pPr>
              <w:shd w:val="clear"/>
              <w:jc w:val="center"/>
              <w:rPr>
                <w:rFonts w:hint="eastAsia" w:ascii="宋体" w:hAnsi="宋体" w:eastAsia="宋体" w:cs="宋体"/>
                <w:color w:val="auto"/>
                <w:sz w:val="21"/>
                <w:szCs w:val="21"/>
                <w:highlight w:val="none"/>
              </w:rPr>
            </w:pPr>
          </w:p>
        </w:tc>
        <w:tc>
          <w:tcPr>
            <w:tcW w:w="906" w:type="dxa"/>
            <w:vAlign w:val="center"/>
          </w:tcPr>
          <w:p w14:paraId="26513F15">
            <w:pPr>
              <w:shd w:val="clear"/>
              <w:jc w:val="center"/>
              <w:rPr>
                <w:rFonts w:hint="eastAsia" w:ascii="宋体" w:hAnsi="宋体" w:eastAsia="宋体" w:cs="宋体"/>
                <w:color w:val="auto"/>
                <w:sz w:val="21"/>
                <w:szCs w:val="21"/>
                <w:highlight w:val="none"/>
              </w:rPr>
            </w:pPr>
          </w:p>
        </w:tc>
        <w:tc>
          <w:tcPr>
            <w:tcW w:w="906" w:type="dxa"/>
            <w:vAlign w:val="center"/>
          </w:tcPr>
          <w:p w14:paraId="14317669">
            <w:pPr>
              <w:shd w:val="clear"/>
              <w:jc w:val="center"/>
              <w:rPr>
                <w:rFonts w:hint="eastAsia" w:ascii="宋体" w:hAnsi="宋体" w:eastAsia="宋体" w:cs="宋体"/>
                <w:color w:val="auto"/>
                <w:sz w:val="21"/>
                <w:szCs w:val="21"/>
                <w:highlight w:val="none"/>
              </w:rPr>
            </w:pPr>
          </w:p>
        </w:tc>
        <w:tc>
          <w:tcPr>
            <w:tcW w:w="906" w:type="dxa"/>
            <w:vAlign w:val="center"/>
          </w:tcPr>
          <w:p w14:paraId="4B616F60">
            <w:pPr>
              <w:shd w:val="clear"/>
              <w:jc w:val="center"/>
              <w:rPr>
                <w:rFonts w:hint="eastAsia" w:ascii="宋体" w:hAnsi="宋体" w:eastAsia="宋体" w:cs="宋体"/>
                <w:color w:val="auto"/>
                <w:sz w:val="21"/>
                <w:szCs w:val="21"/>
                <w:highlight w:val="none"/>
              </w:rPr>
            </w:pPr>
          </w:p>
        </w:tc>
        <w:tc>
          <w:tcPr>
            <w:tcW w:w="906" w:type="dxa"/>
            <w:vAlign w:val="center"/>
          </w:tcPr>
          <w:p w14:paraId="1364CBE6">
            <w:pPr>
              <w:shd w:val="clear"/>
              <w:jc w:val="center"/>
              <w:rPr>
                <w:rFonts w:hint="eastAsia" w:ascii="宋体" w:hAnsi="宋体" w:eastAsia="宋体" w:cs="宋体"/>
                <w:color w:val="auto"/>
                <w:sz w:val="21"/>
                <w:szCs w:val="21"/>
                <w:highlight w:val="none"/>
              </w:rPr>
            </w:pPr>
          </w:p>
        </w:tc>
        <w:tc>
          <w:tcPr>
            <w:tcW w:w="906" w:type="dxa"/>
            <w:vAlign w:val="center"/>
          </w:tcPr>
          <w:p w14:paraId="67E81C83">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11D9CC16">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741ACC88">
            <w:pPr>
              <w:shd w:val="clear"/>
              <w:jc w:val="center"/>
              <w:rPr>
                <w:rFonts w:hint="eastAsia" w:ascii="宋体" w:hAnsi="宋体" w:eastAsia="宋体" w:cs="宋体"/>
                <w:color w:val="auto"/>
                <w:sz w:val="21"/>
                <w:szCs w:val="21"/>
                <w:highlight w:val="none"/>
              </w:rPr>
            </w:pPr>
          </w:p>
        </w:tc>
        <w:tc>
          <w:tcPr>
            <w:tcW w:w="906" w:type="dxa"/>
            <w:vAlign w:val="center"/>
          </w:tcPr>
          <w:p w14:paraId="78D893E2">
            <w:pPr>
              <w:shd w:val="clear"/>
              <w:jc w:val="center"/>
              <w:rPr>
                <w:rFonts w:hint="eastAsia" w:ascii="宋体" w:hAnsi="宋体" w:eastAsia="宋体" w:cs="宋体"/>
                <w:color w:val="auto"/>
                <w:sz w:val="21"/>
                <w:szCs w:val="21"/>
                <w:highlight w:val="none"/>
              </w:rPr>
            </w:pPr>
          </w:p>
        </w:tc>
        <w:tc>
          <w:tcPr>
            <w:tcW w:w="906" w:type="dxa"/>
            <w:vAlign w:val="center"/>
          </w:tcPr>
          <w:p w14:paraId="33485266">
            <w:pPr>
              <w:shd w:val="clear"/>
              <w:jc w:val="center"/>
              <w:rPr>
                <w:rFonts w:hint="eastAsia" w:ascii="宋体" w:hAnsi="宋体" w:eastAsia="宋体" w:cs="宋体"/>
                <w:color w:val="auto"/>
                <w:sz w:val="21"/>
                <w:szCs w:val="21"/>
                <w:highlight w:val="none"/>
              </w:rPr>
            </w:pPr>
          </w:p>
        </w:tc>
        <w:tc>
          <w:tcPr>
            <w:tcW w:w="906" w:type="dxa"/>
            <w:vAlign w:val="center"/>
          </w:tcPr>
          <w:p w14:paraId="1ABBCF3A">
            <w:pPr>
              <w:shd w:val="clear"/>
              <w:jc w:val="center"/>
              <w:rPr>
                <w:rFonts w:hint="eastAsia" w:ascii="宋体" w:hAnsi="宋体" w:eastAsia="宋体" w:cs="宋体"/>
                <w:color w:val="auto"/>
                <w:sz w:val="21"/>
                <w:szCs w:val="21"/>
                <w:highlight w:val="none"/>
              </w:rPr>
            </w:pPr>
          </w:p>
        </w:tc>
      </w:tr>
      <w:tr w14:paraId="681BB2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1F3DFF40">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75DDAAAE">
            <w:pPr>
              <w:shd w:val="clear"/>
              <w:jc w:val="center"/>
              <w:rPr>
                <w:rFonts w:hint="eastAsia"/>
                <w:color w:val="auto"/>
                <w:highlight w:val="none"/>
              </w:rPr>
            </w:pPr>
          </w:p>
        </w:tc>
        <w:tc>
          <w:tcPr>
            <w:tcW w:w="2532" w:type="dxa"/>
            <w:vAlign w:val="center"/>
          </w:tcPr>
          <w:p w14:paraId="165FED51">
            <w:pPr>
              <w:shd w:val="clear"/>
              <w:jc w:val="center"/>
              <w:rPr>
                <w:rFonts w:hint="eastAsia"/>
                <w:color w:val="auto"/>
                <w:highlight w:val="none"/>
              </w:rPr>
            </w:pPr>
            <w:r>
              <w:rPr>
                <w:rFonts w:hint="eastAsia"/>
                <w:color w:val="auto"/>
                <w:highlight w:val="none"/>
              </w:rPr>
              <w:t>运营管理</w:t>
            </w:r>
          </w:p>
        </w:tc>
        <w:tc>
          <w:tcPr>
            <w:tcW w:w="906" w:type="dxa"/>
            <w:vAlign w:val="center"/>
          </w:tcPr>
          <w:p w14:paraId="34001083">
            <w:pPr>
              <w:shd w:val="clear"/>
              <w:jc w:val="center"/>
              <w:rPr>
                <w:rFonts w:hint="eastAsia" w:ascii="宋体" w:hAnsi="宋体" w:eastAsia="宋体" w:cs="宋体"/>
                <w:color w:val="auto"/>
                <w:sz w:val="21"/>
                <w:szCs w:val="21"/>
                <w:highlight w:val="none"/>
              </w:rPr>
            </w:pPr>
          </w:p>
        </w:tc>
        <w:tc>
          <w:tcPr>
            <w:tcW w:w="906" w:type="dxa"/>
            <w:vAlign w:val="center"/>
          </w:tcPr>
          <w:p w14:paraId="339F1153">
            <w:pPr>
              <w:shd w:val="clear"/>
              <w:jc w:val="center"/>
              <w:rPr>
                <w:rFonts w:hint="eastAsia" w:ascii="宋体" w:hAnsi="宋体" w:eastAsia="宋体" w:cs="宋体"/>
                <w:color w:val="auto"/>
                <w:sz w:val="21"/>
                <w:szCs w:val="21"/>
                <w:highlight w:val="none"/>
              </w:rPr>
            </w:pPr>
          </w:p>
        </w:tc>
        <w:tc>
          <w:tcPr>
            <w:tcW w:w="906" w:type="dxa"/>
            <w:vAlign w:val="center"/>
          </w:tcPr>
          <w:p w14:paraId="6C398B0D">
            <w:pPr>
              <w:shd w:val="clear"/>
              <w:jc w:val="center"/>
              <w:rPr>
                <w:rFonts w:hint="eastAsia" w:ascii="宋体" w:hAnsi="宋体" w:eastAsia="宋体" w:cs="宋体"/>
                <w:color w:val="auto"/>
                <w:sz w:val="21"/>
                <w:szCs w:val="21"/>
                <w:highlight w:val="none"/>
              </w:rPr>
            </w:pPr>
          </w:p>
        </w:tc>
        <w:tc>
          <w:tcPr>
            <w:tcW w:w="906" w:type="dxa"/>
            <w:vAlign w:val="center"/>
          </w:tcPr>
          <w:p w14:paraId="48FA08FB">
            <w:pPr>
              <w:shd w:val="clear"/>
              <w:jc w:val="center"/>
              <w:rPr>
                <w:rFonts w:hint="eastAsia" w:ascii="宋体" w:hAnsi="宋体" w:eastAsia="宋体" w:cs="宋体"/>
                <w:color w:val="auto"/>
                <w:sz w:val="21"/>
                <w:szCs w:val="21"/>
                <w:highlight w:val="none"/>
              </w:rPr>
            </w:pPr>
          </w:p>
        </w:tc>
        <w:tc>
          <w:tcPr>
            <w:tcW w:w="906" w:type="dxa"/>
            <w:vAlign w:val="center"/>
          </w:tcPr>
          <w:p w14:paraId="29FD9E1A">
            <w:pPr>
              <w:shd w:val="clear"/>
              <w:jc w:val="center"/>
              <w:rPr>
                <w:rFonts w:hint="eastAsia" w:ascii="宋体" w:hAnsi="宋体" w:eastAsia="宋体" w:cs="宋体"/>
                <w:color w:val="auto"/>
                <w:sz w:val="21"/>
                <w:szCs w:val="21"/>
                <w:highlight w:val="none"/>
              </w:rPr>
            </w:pPr>
          </w:p>
        </w:tc>
        <w:tc>
          <w:tcPr>
            <w:tcW w:w="906" w:type="dxa"/>
            <w:vAlign w:val="center"/>
          </w:tcPr>
          <w:p w14:paraId="1BB63913">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0BA86890">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4375A9DC">
            <w:pPr>
              <w:shd w:val="clear"/>
              <w:jc w:val="center"/>
              <w:rPr>
                <w:rFonts w:hint="eastAsia" w:ascii="宋体" w:hAnsi="宋体" w:eastAsia="宋体" w:cs="宋体"/>
                <w:color w:val="auto"/>
                <w:sz w:val="21"/>
                <w:szCs w:val="21"/>
                <w:highlight w:val="none"/>
              </w:rPr>
            </w:pPr>
          </w:p>
        </w:tc>
        <w:tc>
          <w:tcPr>
            <w:tcW w:w="906" w:type="dxa"/>
            <w:vAlign w:val="center"/>
          </w:tcPr>
          <w:p w14:paraId="176E8DD0">
            <w:pPr>
              <w:shd w:val="clear"/>
              <w:jc w:val="center"/>
              <w:rPr>
                <w:rFonts w:hint="eastAsia" w:ascii="宋体" w:hAnsi="宋体" w:eastAsia="宋体" w:cs="宋体"/>
                <w:color w:val="auto"/>
                <w:sz w:val="21"/>
                <w:szCs w:val="21"/>
                <w:highlight w:val="none"/>
              </w:rPr>
            </w:pPr>
          </w:p>
        </w:tc>
        <w:tc>
          <w:tcPr>
            <w:tcW w:w="906" w:type="dxa"/>
            <w:vAlign w:val="center"/>
          </w:tcPr>
          <w:p w14:paraId="79351B0A">
            <w:pPr>
              <w:shd w:val="clear"/>
              <w:jc w:val="center"/>
              <w:rPr>
                <w:rFonts w:hint="eastAsia" w:ascii="宋体" w:hAnsi="宋体" w:eastAsia="宋体" w:cs="宋体"/>
                <w:color w:val="auto"/>
                <w:sz w:val="21"/>
                <w:szCs w:val="21"/>
                <w:highlight w:val="none"/>
              </w:rPr>
            </w:pPr>
          </w:p>
        </w:tc>
        <w:tc>
          <w:tcPr>
            <w:tcW w:w="906" w:type="dxa"/>
            <w:vAlign w:val="center"/>
          </w:tcPr>
          <w:p w14:paraId="557AF27D">
            <w:pPr>
              <w:shd w:val="clear"/>
              <w:jc w:val="center"/>
              <w:rPr>
                <w:rFonts w:hint="eastAsia" w:ascii="宋体" w:hAnsi="宋体" w:eastAsia="宋体" w:cs="宋体"/>
                <w:color w:val="auto"/>
                <w:sz w:val="21"/>
                <w:szCs w:val="21"/>
                <w:highlight w:val="none"/>
              </w:rPr>
            </w:pPr>
          </w:p>
        </w:tc>
      </w:tr>
      <w:tr w14:paraId="3C64D2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jc w:val="center"/>
        </w:trPr>
        <w:tc>
          <w:tcPr>
            <w:tcW w:w="906" w:type="dxa"/>
            <w:vMerge w:val="continue"/>
            <w:vAlign w:val="center"/>
          </w:tcPr>
          <w:p w14:paraId="1D5D7C2B">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6971EC09">
            <w:pPr>
              <w:shd w:val="clear"/>
              <w:jc w:val="center"/>
              <w:rPr>
                <w:rFonts w:hint="eastAsia"/>
                <w:color w:val="auto"/>
                <w:highlight w:val="none"/>
              </w:rPr>
            </w:pPr>
          </w:p>
        </w:tc>
        <w:tc>
          <w:tcPr>
            <w:tcW w:w="2532" w:type="dxa"/>
            <w:vAlign w:val="center"/>
          </w:tcPr>
          <w:p w14:paraId="3CDB55A5">
            <w:pPr>
              <w:shd w:val="clear"/>
              <w:jc w:val="center"/>
              <w:rPr>
                <w:rFonts w:hint="eastAsia"/>
                <w:color w:val="auto"/>
                <w:highlight w:val="none"/>
              </w:rPr>
            </w:pPr>
            <w:r>
              <w:rPr>
                <w:rFonts w:hint="eastAsia"/>
                <w:color w:val="auto"/>
                <w:highlight w:val="none"/>
              </w:rPr>
              <w:t>云服务</w:t>
            </w:r>
          </w:p>
        </w:tc>
        <w:tc>
          <w:tcPr>
            <w:tcW w:w="906" w:type="dxa"/>
            <w:vAlign w:val="center"/>
          </w:tcPr>
          <w:p w14:paraId="7B192B0F">
            <w:pPr>
              <w:shd w:val="clear"/>
              <w:jc w:val="center"/>
              <w:rPr>
                <w:rFonts w:hint="eastAsia" w:ascii="宋体" w:hAnsi="宋体" w:eastAsia="宋体" w:cs="宋体"/>
                <w:color w:val="auto"/>
                <w:sz w:val="21"/>
                <w:szCs w:val="21"/>
                <w:highlight w:val="none"/>
              </w:rPr>
            </w:pPr>
          </w:p>
        </w:tc>
        <w:tc>
          <w:tcPr>
            <w:tcW w:w="906" w:type="dxa"/>
            <w:vAlign w:val="center"/>
          </w:tcPr>
          <w:p w14:paraId="1E22E16F">
            <w:pPr>
              <w:shd w:val="clear"/>
              <w:jc w:val="center"/>
              <w:rPr>
                <w:rFonts w:hint="eastAsia" w:ascii="宋体" w:hAnsi="宋体" w:eastAsia="宋体" w:cs="宋体"/>
                <w:color w:val="auto"/>
                <w:sz w:val="21"/>
                <w:szCs w:val="21"/>
                <w:highlight w:val="none"/>
              </w:rPr>
            </w:pPr>
          </w:p>
        </w:tc>
        <w:tc>
          <w:tcPr>
            <w:tcW w:w="906" w:type="dxa"/>
            <w:vAlign w:val="center"/>
          </w:tcPr>
          <w:p w14:paraId="43528ACE">
            <w:pPr>
              <w:shd w:val="clear"/>
              <w:jc w:val="center"/>
              <w:rPr>
                <w:rFonts w:hint="eastAsia" w:ascii="宋体" w:hAnsi="宋体" w:eastAsia="宋体" w:cs="宋体"/>
                <w:color w:val="auto"/>
                <w:sz w:val="21"/>
                <w:szCs w:val="21"/>
                <w:highlight w:val="none"/>
              </w:rPr>
            </w:pPr>
          </w:p>
        </w:tc>
        <w:tc>
          <w:tcPr>
            <w:tcW w:w="906" w:type="dxa"/>
            <w:vAlign w:val="center"/>
          </w:tcPr>
          <w:p w14:paraId="3ED57EBB">
            <w:pPr>
              <w:shd w:val="clear"/>
              <w:jc w:val="center"/>
              <w:rPr>
                <w:rFonts w:hint="eastAsia" w:ascii="宋体" w:hAnsi="宋体" w:eastAsia="宋体" w:cs="宋体"/>
                <w:color w:val="auto"/>
                <w:sz w:val="21"/>
                <w:szCs w:val="21"/>
                <w:highlight w:val="none"/>
              </w:rPr>
            </w:pPr>
          </w:p>
        </w:tc>
        <w:tc>
          <w:tcPr>
            <w:tcW w:w="906" w:type="dxa"/>
            <w:vAlign w:val="center"/>
          </w:tcPr>
          <w:p w14:paraId="709CC107">
            <w:pPr>
              <w:shd w:val="clear"/>
              <w:jc w:val="center"/>
              <w:rPr>
                <w:rFonts w:hint="eastAsia" w:ascii="宋体" w:hAnsi="宋体" w:eastAsia="宋体" w:cs="宋体"/>
                <w:color w:val="auto"/>
                <w:sz w:val="21"/>
                <w:szCs w:val="21"/>
                <w:highlight w:val="none"/>
              </w:rPr>
            </w:pPr>
          </w:p>
        </w:tc>
        <w:tc>
          <w:tcPr>
            <w:tcW w:w="906" w:type="dxa"/>
            <w:vAlign w:val="center"/>
          </w:tcPr>
          <w:p w14:paraId="7AA9A391">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307AC59F">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2FA7E5D5">
            <w:pPr>
              <w:shd w:val="clear"/>
              <w:jc w:val="center"/>
              <w:rPr>
                <w:rFonts w:hint="eastAsia" w:ascii="宋体" w:hAnsi="宋体" w:eastAsia="宋体" w:cs="宋体"/>
                <w:color w:val="auto"/>
                <w:sz w:val="21"/>
                <w:szCs w:val="21"/>
                <w:highlight w:val="none"/>
              </w:rPr>
            </w:pPr>
          </w:p>
        </w:tc>
        <w:tc>
          <w:tcPr>
            <w:tcW w:w="906" w:type="dxa"/>
            <w:vAlign w:val="center"/>
          </w:tcPr>
          <w:p w14:paraId="3FCE95AD">
            <w:pPr>
              <w:shd w:val="clear"/>
              <w:jc w:val="center"/>
              <w:rPr>
                <w:rFonts w:hint="eastAsia" w:ascii="宋体" w:hAnsi="宋体" w:eastAsia="宋体" w:cs="宋体"/>
                <w:color w:val="auto"/>
                <w:sz w:val="21"/>
                <w:szCs w:val="21"/>
                <w:highlight w:val="none"/>
              </w:rPr>
            </w:pPr>
          </w:p>
        </w:tc>
        <w:tc>
          <w:tcPr>
            <w:tcW w:w="906" w:type="dxa"/>
            <w:vAlign w:val="center"/>
          </w:tcPr>
          <w:p w14:paraId="26668662">
            <w:pPr>
              <w:shd w:val="clear"/>
              <w:jc w:val="center"/>
              <w:rPr>
                <w:rFonts w:hint="eastAsia" w:ascii="宋体" w:hAnsi="宋体" w:eastAsia="宋体" w:cs="宋体"/>
                <w:color w:val="auto"/>
                <w:sz w:val="21"/>
                <w:szCs w:val="21"/>
                <w:highlight w:val="none"/>
              </w:rPr>
            </w:pPr>
          </w:p>
        </w:tc>
        <w:tc>
          <w:tcPr>
            <w:tcW w:w="906" w:type="dxa"/>
            <w:vAlign w:val="center"/>
          </w:tcPr>
          <w:p w14:paraId="6D2B39B5">
            <w:pPr>
              <w:shd w:val="clear"/>
              <w:jc w:val="center"/>
              <w:rPr>
                <w:rFonts w:hint="eastAsia" w:ascii="宋体" w:hAnsi="宋体" w:eastAsia="宋体" w:cs="宋体"/>
                <w:color w:val="auto"/>
                <w:sz w:val="21"/>
                <w:szCs w:val="21"/>
                <w:highlight w:val="none"/>
              </w:rPr>
            </w:pPr>
          </w:p>
        </w:tc>
      </w:tr>
      <w:tr w14:paraId="4E2675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8" w:hRule="atLeast"/>
          <w:jc w:val="center"/>
        </w:trPr>
        <w:tc>
          <w:tcPr>
            <w:tcW w:w="906" w:type="dxa"/>
            <w:vMerge w:val="continue"/>
            <w:vAlign w:val="center"/>
          </w:tcPr>
          <w:p w14:paraId="2B546316">
            <w:pPr>
              <w:shd w:val="clear"/>
              <w:jc w:val="center"/>
              <w:rPr>
                <w:rFonts w:hint="eastAsia" w:ascii="宋体" w:hAnsi="宋体" w:eastAsia="宋体" w:cs="宋体"/>
                <w:color w:val="auto"/>
                <w:sz w:val="21"/>
                <w:szCs w:val="21"/>
                <w:highlight w:val="none"/>
                <w:lang w:val="en-US" w:eastAsia="zh-CN"/>
              </w:rPr>
            </w:pPr>
          </w:p>
        </w:tc>
        <w:tc>
          <w:tcPr>
            <w:tcW w:w="1934" w:type="dxa"/>
            <w:vMerge w:val="continue"/>
            <w:vAlign w:val="center"/>
          </w:tcPr>
          <w:p w14:paraId="7A3F9747">
            <w:pPr>
              <w:shd w:val="clear"/>
              <w:jc w:val="center"/>
              <w:rPr>
                <w:rFonts w:hint="eastAsia"/>
                <w:color w:val="auto"/>
                <w:highlight w:val="none"/>
              </w:rPr>
            </w:pPr>
          </w:p>
        </w:tc>
        <w:tc>
          <w:tcPr>
            <w:tcW w:w="2532" w:type="dxa"/>
            <w:vAlign w:val="center"/>
          </w:tcPr>
          <w:p w14:paraId="184EF444">
            <w:pPr>
              <w:shd w:val="clear"/>
              <w:jc w:val="center"/>
              <w:rPr>
                <w:rFonts w:hint="eastAsia"/>
                <w:color w:val="auto"/>
                <w:highlight w:val="none"/>
              </w:rPr>
            </w:pPr>
            <w:r>
              <w:rPr>
                <w:rFonts w:hint="eastAsia"/>
                <w:color w:val="auto"/>
                <w:highlight w:val="none"/>
              </w:rPr>
              <w:t>智能体</w:t>
            </w:r>
          </w:p>
        </w:tc>
        <w:tc>
          <w:tcPr>
            <w:tcW w:w="906" w:type="dxa"/>
            <w:vAlign w:val="center"/>
          </w:tcPr>
          <w:p w14:paraId="4DED8F54">
            <w:pPr>
              <w:shd w:val="clear"/>
              <w:jc w:val="center"/>
              <w:rPr>
                <w:rFonts w:hint="eastAsia" w:ascii="宋体" w:hAnsi="宋体" w:eastAsia="宋体" w:cs="宋体"/>
                <w:color w:val="auto"/>
                <w:sz w:val="21"/>
                <w:szCs w:val="21"/>
                <w:highlight w:val="none"/>
              </w:rPr>
            </w:pPr>
          </w:p>
        </w:tc>
        <w:tc>
          <w:tcPr>
            <w:tcW w:w="906" w:type="dxa"/>
            <w:vAlign w:val="center"/>
          </w:tcPr>
          <w:p w14:paraId="276B6653">
            <w:pPr>
              <w:shd w:val="clear"/>
              <w:jc w:val="center"/>
              <w:rPr>
                <w:rFonts w:hint="eastAsia" w:ascii="宋体" w:hAnsi="宋体" w:eastAsia="宋体" w:cs="宋体"/>
                <w:color w:val="auto"/>
                <w:sz w:val="21"/>
                <w:szCs w:val="21"/>
                <w:highlight w:val="none"/>
              </w:rPr>
            </w:pPr>
          </w:p>
        </w:tc>
        <w:tc>
          <w:tcPr>
            <w:tcW w:w="906" w:type="dxa"/>
            <w:vAlign w:val="center"/>
          </w:tcPr>
          <w:p w14:paraId="5E56D49B">
            <w:pPr>
              <w:shd w:val="clear"/>
              <w:jc w:val="center"/>
              <w:rPr>
                <w:rFonts w:hint="eastAsia" w:ascii="宋体" w:hAnsi="宋体" w:eastAsia="宋体" w:cs="宋体"/>
                <w:color w:val="auto"/>
                <w:sz w:val="21"/>
                <w:szCs w:val="21"/>
                <w:highlight w:val="none"/>
              </w:rPr>
            </w:pPr>
          </w:p>
        </w:tc>
        <w:tc>
          <w:tcPr>
            <w:tcW w:w="906" w:type="dxa"/>
            <w:vAlign w:val="center"/>
          </w:tcPr>
          <w:p w14:paraId="4C52CC96">
            <w:pPr>
              <w:shd w:val="clear"/>
              <w:jc w:val="center"/>
              <w:rPr>
                <w:rFonts w:hint="eastAsia" w:ascii="宋体" w:hAnsi="宋体" w:eastAsia="宋体" w:cs="宋体"/>
                <w:color w:val="auto"/>
                <w:sz w:val="21"/>
                <w:szCs w:val="21"/>
                <w:highlight w:val="none"/>
              </w:rPr>
            </w:pPr>
          </w:p>
        </w:tc>
        <w:tc>
          <w:tcPr>
            <w:tcW w:w="906" w:type="dxa"/>
            <w:vAlign w:val="center"/>
          </w:tcPr>
          <w:p w14:paraId="20E635FF">
            <w:pPr>
              <w:shd w:val="clear"/>
              <w:jc w:val="center"/>
              <w:rPr>
                <w:rFonts w:hint="eastAsia" w:ascii="宋体" w:hAnsi="宋体" w:eastAsia="宋体" w:cs="宋体"/>
                <w:color w:val="auto"/>
                <w:sz w:val="21"/>
                <w:szCs w:val="21"/>
                <w:highlight w:val="none"/>
              </w:rPr>
            </w:pPr>
          </w:p>
        </w:tc>
        <w:tc>
          <w:tcPr>
            <w:tcW w:w="906" w:type="dxa"/>
            <w:vAlign w:val="center"/>
          </w:tcPr>
          <w:p w14:paraId="5B4A798B">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AB84771">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2479B27E">
            <w:pPr>
              <w:shd w:val="clear"/>
              <w:jc w:val="center"/>
              <w:rPr>
                <w:rFonts w:hint="eastAsia" w:ascii="宋体" w:hAnsi="宋体" w:eastAsia="宋体" w:cs="宋体"/>
                <w:color w:val="auto"/>
                <w:sz w:val="21"/>
                <w:szCs w:val="21"/>
                <w:highlight w:val="none"/>
              </w:rPr>
            </w:pPr>
          </w:p>
        </w:tc>
        <w:tc>
          <w:tcPr>
            <w:tcW w:w="906" w:type="dxa"/>
            <w:vAlign w:val="center"/>
          </w:tcPr>
          <w:p w14:paraId="0B42EB26">
            <w:pPr>
              <w:shd w:val="clear"/>
              <w:jc w:val="center"/>
              <w:rPr>
                <w:rFonts w:hint="eastAsia" w:ascii="宋体" w:hAnsi="宋体" w:eastAsia="宋体" w:cs="宋体"/>
                <w:color w:val="auto"/>
                <w:sz w:val="21"/>
                <w:szCs w:val="21"/>
                <w:highlight w:val="none"/>
              </w:rPr>
            </w:pPr>
          </w:p>
        </w:tc>
        <w:tc>
          <w:tcPr>
            <w:tcW w:w="906" w:type="dxa"/>
            <w:vAlign w:val="center"/>
          </w:tcPr>
          <w:p w14:paraId="14BDF765">
            <w:pPr>
              <w:shd w:val="clear"/>
              <w:jc w:val="center"/>
              <w:rPr>
                <w:rFonts w:hint="eastAsia" w:ascii="宋体" w:hAnsi="宋体" w:eastAsia="宋体" w:cs="宋体"/>
                <w:color w:val="auto"/>
                <w:sz w:val="21"/>
                <w:szCs w:val="21"/>
                <w:highlight w:val="none"/>
              </w:rPr>
            </w:pPr>
          </w:p>
        </w:tc>
        <w:tc>
          <w:tcPr>
            <w:tcW w:w="906" w:type="dxa"/>
            <w:vAlign w:val="center"/>
          </w:tcPr>
          <w:p w14:paraId="6ED2E742">
            <w:pPr>
              <w:shd w:val="clear"/>
              <w:jc w:val="center"/>
              <w:rPr>
                <w:rFonts w:hint="eastAsia" w:ascii="宋体" w:hAnsi="宋体" w:eastAsia="宋体" w:cs="宋体"/>
                <w:color w:val="auto"/>
                <w:sz w:val="21"/>
                <w:szCs w:val="21"/>
                <w:highlight w:val="none"/>
              </w:rPr>
            </w:pPr>
          </w:p>
        </w:tc>
      </w:tr>
      <w:tr w14:paraId="3D7F11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restart"/>
            <w:vAlign w:val="center"/>
          </w:tcPr>
          <w:p w14:paraId="4AFBB351">
            <w:pPr>
              <w:shd w:val="clea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934" w:type="dxa"/>
            <w:vMerge w:val="restart"/>
            <w:vAlign w:val="center"/>
          </w:tcPr>
          <w:p w14:paraId="068E212D">
            <w:pPr>
              <w:shd w:val="clear"/>
              <w:jc w:val="center"/>
              <w:rPr>
                <w:rFonts w:hint="eastAsia" w:eastAsia="宋体"/>
                <w:color w:val="auto"/>
                <w:highlight w:val="none"/>
                <w:lang w:val="en-US" w:eastAsia="zh-CN"/>
              </w:rPr>
            </w:pPr>
            <w:r>
              <w:rPr>
                <w:rFonts w:hint="eastAsia"/>
                <w:color w:val="auto"/>
                <w:highlight w:val="none"/>
              </w:rPr>
              <w:t>本地化改造及运维服务能力提升</w:t>
            </w:r>
            <w:r>
              <w:rPr>
                <w:rFonts w:hint="eastAsia"/>
                <w:color w:val="auto"/>
                <w:highlight w:val="none"/>
                <w:lang w:val="en-US" w:eastAsia="zh-CN"/>
              </w:rPr>
              <w:t>专项</w:t>
            </w:r>
          </w:p>
        </w:tc>
        <w:tc>
          <w:tcPr>
            <w:tcW w:w="2532" w:type="dxa"/>
            <w:vAlign w:val="center"/>
          </w:tcPr>
          <w:p w14:paraId="5825EEE3">
            <w:pPr>
              <w:pStyle w:val="491"/>
              <w:rPr>
                <w:rFonts w:hint="eastAsia" w:ascii="宋体" w:hAnsi="宋体" w:eastAsia="宋体" w:cs="宋体"/>
                <w:color w:val="auto"/>
                <w:sz w:val="21"/>
                <w:szCs w:val="21"/>
                <w:highlight w:val="none"/>
              </w:rPr>
            </w:pPr>
            <w:r>
              <w:rPr>
                <w:rFonts w:hint="eastAsia"/>
                <w:color w:val="auto"/>
                <w:highlight w:val="none"/>
              </w:rPr>
              <w:t>系统日常运维</w:t>
            </w:r>
          </w:p>
        </w:tc>
        <w:tc>
          <w:tcPr>
            <w:tcW w:w="906" w:type="dxa"/>
            <w:vAlign w:val="center"/>
          </w:tcPr>
          <w:p w14:paraId="6FD4ABE2">
            <w:pPr>
              <w:shd w:val="clear"/>
              <w:jc w:val="center"/>
              <w:rPr>
                <w:rFonts w:hint="eastAsia" w:ascii="宋体" w:hAnsi="宋体" w:eastAsia="宋体" w:cs="宋体"/>
                <w:color w:val="auto"/>
                <w:sz w:val="21"/>
                <w:szCs w:val="21"/>
                <w:highlight w:val="none"/>
              </w:rPr>
            </w:pPr>
          </w:p>
        </w:tc>
        <w:tc>
          <w:tcPr>
            <w:tcW w:w="906" w:type="dxa"/>
            <w:vAlign w:val="center"/>
          </w:tcPr>
          <w:p w14:paraId="058262A7">
            <w:pPr>
              <w:shd w:val="clear"/>
              <w:jc w:val="center"/>
              <w:rPr>
                <w:rFonts w:hint="eastAsia" w:ascii="宋体" w:hAnsi="宋体" w:eastAsia="宋体" w:cs="宋体"/>
                <w:color w:val="auto"/>
                <w:sz w:val="21"/>
                <w:szCs w:val="21"/>
                <w:highlight w:val="none"/>
              </w:rPr>
            </w:pPr>
          </w:p>
        </w:tc>
        <w:tc>
          <w:tcPr>
            <w:tcW w:w="906" w:type="dxa"/>
            <w:vAlign w:val="center"/>
          </w:tcPr>
          <w:p w14:paraId="0A5F36F4">
            <w:pPr>
              <w:shd w:val="clear"/>
              <w:jc w:val="center"/>
              <w:rPr>
                <w:rFonts w:hint="eastAsia" w:ascii="宋体" w:hAnsi="宋体" w:eastAsia="宋体" w:cs="宋体"/>
                <w:color w:val="auto"/>
                <w:sz w:val="21"/>
                <w:szCs w:val="21"/>
                <w:highlight w:val="none"/>
              </w:rPr>
            </w:pPr>
          </w:p>
        </w:tc>
        <w:tc>
          <w:tcPr>
            <w:tcW w:w="906" w:type="dxa"/>
            <w:vAlign w:val="center"/>
          </w:tcPr>
          <w:p w14:paraId="4522DF0E">
            <w:pPr>
              <w:shd w:val="clear"/>
              <w:jc w:val="center"/>
              <w:rPr>
                <w:rFonts w:hint="eastAsia" w:ascii="宋体" w:hAnsi="宋体" w:eastAsia="宋体" w:cs="宋体"/>
                <w:color w:val="auto"/>
                <w:sz w:val="21"/>
                <w:szCs w:val="21"/>
                <w:highlight w:val="none"/>
              </w:rPr>
            </w:pPr>
          </w:p>
        </w:tc>
        <w:tc>
          <w:tcPr>
            <w:tcW w:w="906" w:type="dxa"/>
            <w:vAlign w:val="center"/>
          </w:tcPr>
          <w:p w14:paraId="1381B6B1">
            <w:pPr>
              <w:shd w:val="clear"/>
              <w:jc w:val="center"/>
              <w:rPr>
                <w:rFonts w:hint="eastAsia" w:ascii="宋体" w:hAnsi="宋体" w:eastAsia="宋体" w:cs="宋体"/>
                <w:color w:val="auto"/>
                <w:sz w:val="21"/>
                <w:szCs w:val="21"/>
                <w:highlight w:val="none"/>
              </w:rPr>
            </w:pPr>
          </w:p>
        </w:tc>
        <w:tc>
          <w:tcPr>
            <w:tcW w:w="906" w:type="dxa"/>
            <w:vAlign w:val="center"/>
          </w:tcPr>
          <w:p w14:paraId="01840FF4">
            <w:pPr>
              <w:shd w:val="clea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C41ACD7">
            <w:pPr>
              <w:shd w:val="clear"/>
              <w:jc w:val="center"/>
              <w:rPr>
                <w:rFonts w:hint="eastAsia" w:ascii="宋体" w:hAnsi="宋体" w:eastAsia="宋体" w:cs="宋体"/>
                <w:color w:val="auto"/>
                <w:sz w:val="21"/>
                <w:szCs w:val="21"/>
                <w:highlight w:val="none"/>
              </w:rPr>
            </w:pPr>
          </w:p>
        </w:tc>
        <w:tc>
          <w:tcPr>
            <w:tcW w:w="906" w:type="dxa"/>
            <w:vMerge w:val="restart"/>
            <w:vAlign w:val="center"/>
          </w:tcPr>
          <w:p w14:paraId="116E6718">
            <w:pPr>
              <w:shd w:val="clear"/>
              <w:jc w:val="center"/>
              <w:rPr>
                <w:rFonts w:hint="eastAsia" w:ascii="宋体" w:hAnsi="宋体" w:eastAsia="宋体" w:cs="宋体"/>
                <w:color w:val="auto"/>
                <w:sz w:val="21"/>
                <w:szCs w:val="21"/>
                <w:highlight w:val="none"/>
              </w:rPr>
            </w:pPr>
          </w:p>
        </w:tc>
        <w:tc>
          <w:tcPr>
            <w:tcW w:w="906" w:type="dxa"/>
            <w:vAlign w:val="center"/>
          </w:tcPr>
          <w:p w14:paraId="4104643C">
            <w:pPr>
              <w:shd w:val="clear"/>
              <w:jc w:val="center"/>
              <w:rPr>
                <w:rFonts w:hint="eastAsia" w:ascii="宋体" w:hAnsi="宋体" w:eastAsia="宋体" w:cs="宋体"/>
                <w:color w:val="auto"/>
                <w:sz w:val="21"/>
                <w:szCs w:val="21"/>
                <w:highlight w:val="none"/>
              </w:rPr>
            </w:pPr>
          </w:p>
        </w:tc>
        <w:tc>
          <w:tcPr>
            <w:tcW w:w="906" w:type="dxa"/>
            <w:vAlign w:val="center"/>
          </w:tcPr>
          <w:p w14:paraId="5E4F42B7">
            <w:pPr>
              <w:shd w:val="clear"/>
              <w:jc w:val="center"/>
              <w:rPr>
                <w:rFonts w:hint="eastAsia" w:ascii="宋体" w:hAnsi="宋体" w:eastAsia="宋体" w:cs="宋体"/>
                <w:color w:val="auto"/>
                <w:sz w:val="21"/>
                <w:szCs w:val="21"/>
                <w:highlight w:val="none"/>
              </w:rPr>
            </w:pPr>
          </w:p>
        </w:tc>
        <w:tc>
          <w:tcPr>
            <w:tcW w:w="906" w:type="dxa"/>
            <w:vAlign w:val="center"/>
          </w:tcPr>
          <w:p w14:paraId="74E488A4">
            <w:pPr>
              <w:shd w:val="clear"/>
              <w:jc w:val="center"/>
              <w:rPr>
                <w:rFonts w:hint="eastAsia" w:ascii="宋体" w:hAnsi="宋体" w:eastAsia="宋体" w:cs="宋体"/>
                <w:color w:val="auto"/>
                <w:sz w:val="21"/>
                <w:szCs w:val="21"/>
                <w:highlight w:val="none"/>
              </w:rPr>
            </w:pPr>
          </w:p>
        </w:tc>
      </w:tr>
      <w:tr w14:paraId="40FE9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3E5AC78D">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143FF1A1">
            <w:pPr>
              <w:shd w:val="clear"/>
              <w:jc w:val="center"/>
              <w:rPr>
                <w:rFonts w:hint="eastAsia"/>
                <w:color w:val="auto"/>
                <w:highlight w:val="none"/>
              </w:rPr>
            </w:pPr>
          </w:p>
        </w:tc>
        <w:tc>
          <w:tcPr>
            <w:tcW w:w="2532" w:type="dxa"/>
            <w:vAlign w:val="center"/>
          </w:tcPr>
          <w:p w14:paraId="411F0035">
            <w:pPr>
              <w:pStyle w:val="491"/>
              <w:rPr>
                <w:rFonts w:hint="eastAsia" w:ascii="宋体" w:hAnsi="宋体" w:eastAsia="宋体" w:cs="宋体"/>
                <w:color w:val="auto"/>
                <w:sz w:val="21"/>
                <w:szCs w:val="21"/>
                <w:highlight w:val="none"/>
              </w:rPr>
            </w:pPr>
            <w:r>
              <w:rPr>
                <w:rFonts w:hint="eastAsia"/>
                <w:color w:val="auto"/>
                <w:highlight w:val="none"/>
              </w:rPr>
              <w:t>服务器数据库日常运维</w:t>
            </w:r>
          </w:p>
        </w:tc>
        <w:tc>
          <w:tcPr>
            <w:tcW w:w="906" w:type="dxa"/>
            <w:vAlign w:val="center"/>
          </w:tcPr>
          <w:p w14:paraId="3A08054B">
            <w:pPr>
              <w:shd w:val="clear"/>
              <w:jc w:val="center"/>
              <w:rPr>
                <w:rFonts w:hint="eastAsia" w:ascii="宋体" w:hAnsi="宋体" w:eastAsia="宋体" w:cs="宋体"/>
                <w:color w:val="auto"/>
                <w:sz w:val="21"/>
                <w:szCs w:val="21"/>
                <w:highlight w:val="none"/>
              </w:rPr>
            </w:pPr>
          </w:p>
        </w:tc>
        <w:tc>
          <w:tcPr>
            <w:tcW w:w="906" w:type="dxa"/>
            <w:vAlign w:val="center"/>
          </w:tcPr>
          <w:p w14:paraId="6FD2A88D">
            <w:pPr>
              <w:shd w:val="clear"/>
              <w:jc w:val="center"/>
              <w:rPr>
                <w:rFonts w:hint="eastAsia" w:ascii="宋体" w:hAnsi="宋体" w:eastAsia="宋体" w:cs="宋体"/>
                <w:color w:val="auto"/>
                <w:sz w:val="21"/>
                <w:szCs w:val="21"/>
                <w:highlight w:val="none"/>
              </w:rPr>
            </w:pPr>
          </w:p>
        </w:tc>
        <w:tc>
          <w:tcPr>
            <w:tcW w:w="906" w:type="dxa"/>
            <w:vAlign w:val="center"/>
          </w:tcPr>
          <w:p w14:paraId="3989919A">
            <w:pPr>
              <w:shd w:val="clear"/>
              <w:jc w:val="center"/>
              <w:rPr>
                <w:rFonts w:hint="eastAsia" w:ascii="宋体" w:hAnsi="宋体" w:eastAsia="宋体" w:cs="宋体"/>
                <w:color w:val="auto"/>
                <w:sz w:val="21"/>
                <w:szCs w:val="21"/>
                <w:highlight w:val="none"/>
              </w:rPr>
            </w:pPr>
          </w:p>
        </w:tc>
        <w:tc>
          <w:tcPr>
            <w:tcW w:w="906" w:type="dxa"/>
            <w:vAlign w:val="center"/>
          </w:tcPr>
          <w:p w14:paraId="36347C78">
            <w:pPr>
              <w:shd w:val="clear"/>
              <w:jc w:val="center"/>
              <w:rPr>
                <w:rFonts w:hint="eastAsia" w:ascii="宋体" w:hAnsi="宋体" w:eastAsia="宋体" w:cs="宋体"/>
                <w:color w:val="auto"/>
                <w:sz w:val="21"/>
                <w:szCs w:val="21"/>
                <w:highlight w:val="none"/>
              </w:rPr>
            </w:pPr>
          </w:p>
        </w:tc>
        <w:tc>
          <w:tcPr>
            <w:tcW w:w="906" w:type="dxa"/>
            <w:vAlign w:val="center"/>
          </w:tcPr>
          <w:p w14:paraId="16D7C622">
            <w:pPr>
              <w:shd w:val="clear"/>
              <w:jc w:val="center"/>
              <w:rPr>
                <w:rFonts w:hint="eastAsia" w:ascii="宋体" w:hAnsi="宋体" w:eastAsia="宋体" w:cs="宋体"/>
                <w:color w:val="auto"/>
                <w:sz w:val="21"/>
                <w:szCs w:val="21"/>
                <w:highlight w:val="none"/>
              </w:rPr>
            </w:pPr>
          </w:p>
        </w:tc>
        <w:tc>
          <w:tcPr>
            <w:tcW w:w="906" w:type="dxa"/>
            <w:vAlign w:val="center"/>
          </w:tcPr>
          <w:p w14:paraId="7198D8DD">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6EF8CB83">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1411A93C">
            <w:pPr>
              <w:shd w:val="clear"/>
              <w:jc w:val="center"/>
              <w:rPr>
                <w:rFonts w:hint="eastAsia" w:ascii="宋体" w:hAnsi="宋体" w:eastAsia="宋体" w:cs="宋体"/>
                <w:color w:val="auto"/>
                <w:sz w:val="21"/>
                <w:szCs w:val="21"/>
                <w:highlight w:val="none"/>
              </w:rPr>
            </w:pPr>
          </w:p>
        </w:tc>
        <w:tc>
          <w:tcPr>
            <w:tcW w:w="906" w:type="dxa"/>
            <w:vAlign w:val="center"/>
          </w:tcPr>
          <w:p w14:paraId="3F9952AE">
            <w:pPr>
              <w:shd w:val="clear"/>
              <w:jc w:val="center"/>
              <w:rPr>
                <w:rFonts w:hint="eastAsia" w:ascii="宋体" w:hAnsi="宋体" w:eastAsia="宋体" w:cs="宋体"/>
                <w:color w:val="auto"/>
                <w:sz w:val="21"/>
                <w:szCs w:val="21"/>
                <w:highlight w:val="none"/>
              </w:rPr>
            </w:pPr>
          </w:p>
        </w:tc>
        <w:tc>
          <w:tcPr>
            <w:tcW w:w="906" w:type="dxa"/>
            <w:vAlign w:val="center"/>
          </w:tcPr>
          <w:p w14:paraId="38BF064E">
            <w:pPr>
              <w:shd w:val="clear"/>
              <w:jc w:val="center"/>
              <w:rPr>
                <w:rFonts w:hint="eastAsia" w:ascii="宋体" w:hAnsi="宋体" w:eastAsia="宋体" w:cs="宋体"/>
                <w:color w:val="auto"/>
                <w:sz w:val="21"/>
                <w:szCs w:val="21"/>
                <w:highlight w:val="none"/>
              </w:rPr>
            </w:pPr>
          </w:p>
        </w:tc>
        <w:tc>
          <w:tcPr>
            <w:tcW w:w="906" w:type="dxa"/>
            <w:vAlign w:val="center"/>
          </w:tcPr>
          <w:p w14:paraId="4AB7BBF8">
            <w:pPr>
              <w:shd w:val="clear"/>
              <w:jc w:val="center"/>
              <w:rPr>
                <w:rFonts w:hint="eastAsia" w:ascii="宋体" w:hAnsi="宋体" w:eastAsia="宋体" w:cs="宋体"/>
                <w:color w:val="auto"/>
                <w:sz w:val="21"/>
                <w:szCs w:val="21"/>
                <w:highlight w:val="none"/>
              </w:rPr>
            </w:pPr>
          </w:p>
        </w:tc>
      </w:tr>
      <w:tr w14:paraId="0424E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7DBB268B">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7EAD8F51">
            <w:pPr>
              <w:shd w:val="clear"/>
              <w:jc w:val="center"/>
              <w:rPr>
                <w:rFonts w:hint="eastAsia"/>
                <w:color w:val="auto"/>
                <w:highlight w:val="none"/>
              </w:rPr>
            </w:pPr>
          </w:p>
        </w:tc>
        <w:tc>
          <w:tcPr>
            <w:tcW w:w="2532" w:type="dxa"/>
            <w:vAlign w:val="center"/>
          </w:tcPr>
          <w:p w14:paraId="5A1A58D7">
            <w:pPr>
              <w:pStyle w:val="491"/>
              <w:rPr>
                <w:rFonts w:hint="eastAsia" w:ascii="宋体" w:hAnsi="宋体" w:eastAsia="宋体" w:cs="宋体"/>
                <w:color w:val="auto"/>
                <w:sz w:val="21"/>
                <w:szCs w:val="21"/>
                <w:highlight w:val="none"/>
              </w:rPr>
            </w:pPr>
            <w:r>
              <w:rPr>
                <w:rFonts w:hint="eastAsia"/>
                <w:color w:val="auto"/>
                <w:highlight w:val="none"/>
              </w:rPr>
              <w:t>政策性接口</w:t>
            </w:r>
          </w:p>
        </w:tc>
        <w:tc>
          <w:tcPr>
            <w:tcW w:w="906" w:type="dxa"/>
            <w:vAlign w:val="center"/>
          </w:tcPr>
          <w:p w14:paraId="654CE6EA">
            <w:pPr>
              <w:shd w:val="clear"/>
              <w:jc w:val="center"/>
              <w:rPr>
                <w:rFonts w:hint="eastAsia" w:ascii="宋体" w:hAnsi="宋体" w:eastAsia="宋体" w:cs="宋体"/>
                <w:color w:val="auto"/>
                <w:sz w:val="21"/>
                <w:szCs w:val="21"/>
                <w:highlight w:val="none"/>
              </w:rPr>
            </w:pPr>
          </w:p>
        </w:tc>
        <w:tc>
          <w:tcPr>
            <w:tcW w:w="906" w:type="dxa"/>
            <w:vAlign w:val="center"/>
          </w:tcPr>
          <w:p w14:paraId="70B4BC12">
            <w:pPr>
              <w:shd w:val="clear"/>
              <w:jc w:val="center"/>
              <w:rPr>
                <w:rFonts w:hint="eastAsia" w:ascii="宋体" w:hAnsi="宋体" w:eastAsia="宋体" w:cs="宋体"/>
                <w:color w:val="auto"/>
                <w:sz w:val="21"/>
                <w:szCs w:val="21"/>
                <w:highlight w:val="none"/>
              </w:rPr>
            </w:pPr>
          </w:p>
        </w:tc>
        <w:tc>
          <w:tcPr>
            <w:tcW w:w="906" w:type="dxa"/>
            <w:vAlign w:val="center"/>
          </w:tcPr>
          <w:p w14:paraId="0195ABBF">
            <w:pPr>
              <w:shd w:val="clear"/>
              <w:jc w:val="center"/>
              <w:rPr>
                <w:rFonts w:hint="eastAsia" w:ascii="宋体" w:hAnsi="宋体" w:eastAsia="宋体" w:cs="宋体"/>
                <w:color w:val="auto"/>
                <w:sz w:val="21"/>
                <w:szCs w:val="21"/>
                <w:highlight w:val="none"/>
              </w:rPr>
            </w:pPr>
          </w:p>
        </w:tc>
        <w:tc>
          <w:tcPr>
            <w:tcW w:w="906" w:type="dxa"/>
            <w:vAlign w:val="center"/>
          </w:tcPr>
          <w:p w14:paraId="3444A8FE">
            <w:pPr>
              <w:shd w:val="clear"/>
              <w:jc w:val="center"/>
              <w:rPr>
                <w:rFonts w:hint="eastAsia" w:ascii="宋体" w:hAnsi="宋体" w:eastAsia="宋体" w:cs="宋体"/>
                <w:color w:val="auto"/>
                <w:sz w:val="21"/>
                <w:szCs w:val="21"/>
                <w:highlight w:val="none"/>
              </w:rPr>
            </w:pPr>
          </w:p>
        </w:tc>
        <w:tc>
          <w:tcPr>
            <w:tcW w:w="906" w:type="dxa"/>
            <w:vAlign w:val="center"/>
          </w:tcPr>
          <w:p w14:paraId="7738E97B">
            <w:pPr>
              <w:shd w:val="clear"/>
              <w:jc w:val="center"/>
              <w:rPr>
                <w:rFonts w:hint="eastAsia" w:ascii="宋体" w:hAnsi="宋体" w:eastAsia="宋体" w:cs="宋体"/>
                <w:color w:val="auto"/>
                <w:sz w:val="21"/>
                <w:szCs w:val="21"/>
                <w:highlight w:val="none"/>
              </w:rPr>
            </w:pPr>
          </w:p>
        </w:tc>
        <w:tc>
          <w:tcPr>
            <w:tcW w:w="906" w:type="dxa"/>
            <w:vAlign w:val="center"/>
          </w:tcPr>
          <w:p w14:paraId="1F468D64">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C4A633B">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57C01627">
            <w:pPr>
              <w:shd w:val="clear"/>
              <w:jc w:val="center"/>
              <w:rPr>
                <w:rFonts w:hint="eastAsia" w:ascii="宋体" w:hAnsi="宋体" w:eastAsia="宋体" w:cs="宋体"/>
                <w:color w:val="auto"/>
                <w:sz w:val="21"/>
                <w:szCs w:val="21"/>
                <w:highlight w:val="none"/>
              </w:rPr>
            </w:pPr>
          </w:p>
        </w:tc>
        <w:tc>
          <w:tcPr>
            <w:tcW w:w="906" w:type="dxa"/>
            <w:vAlign w:val="center"/>
          </w:tcPr>
          <w:p w14:paraId="594A2442">
            <w:pPr>
              <w:shd w:val="clear"/>
              <w:jc w:val="center"/>
              <w:rPr>
                <w:rFonts w:hint="eastAsia" w:ascii="宋体" w:hAnsi="宋体" w:eastAsia="宋体" w:cs="宋体"/>
                <w:color w:val="auto"/>
                <w:sz w:val="21"/>
                <w:szCs w:val="21"/>
                <w:highlight w:val="none"/>
              </w:rPr>
            </w:pPr>
          </w:p>
        </w:tc>
        <w:tc>
          <w:tcPr>
            <w:tcW w:w="906" w:type="dxa"/>
            <w:vAlign w:val="center"/>
          </w:tcPr>
          <w:p w14:paraId="184A39D3">
            <w:pPr>
              <w:shd w:val="clear"/>
              <w:jc w:val="center"/>
              <w:rPr>
                <w:rFonts w:hint="eastAsia" w:ascii="宋体" w:hAnsi="宋体" w:eastAsia="宋体" w:cs="宋体"/>
                <w:color w:val="auto"/>
                <w:sz w:val="21"/>
                <w:szCs w:val="21"/>
                <w:highlight w:val="none"/>
              </w:rPr>
            </w:pPr>
          </w:p>
        </w:tc>
        <w:tc>
          <w:tcPr>
            <w:tcW w:w="906" w:type="dxa"/>
            <w:vAlign w:val="center"/>
          </w:tcPr>
          <w:p w14:paraId="445FE1F6">
            <w:pPr>
              <w:shd w:val="clear"/>
              <w:jc w:val="center"/>
              <w:rPr>
                <w:rFonts w:hint="eastAsia" w:ascii="宋体" w:hAnsi="宋体" w:eastAsia="宋体" w:cs="宋体"/>
                <w:color w:val="auto"/>
                <w:sz w:val="21"/>
                <w:szCs w:val="21"/>
                <w:highlight w:val="none"/>
              </w:rPr>
            </w:pPr>
          </w:p>
        </w:tc>
      </w:tr>
      <w:tr w14:paraId="5B641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5E64DDF1">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60694075">
            <w:pPr>
              <w:shd w:val="clear"/>
              <w:jc w:val="center"/>
              <w:rPr>
                <w:rFonts w:hint="eastAsia"/>
                <w:color w:val="auto"/>
                <w:highlight w:val="none"/>
              </w:rPr>
            </w:pPr>
          </w:p>
        </w:tc>
        <w:tc>
          <w:tcPr>
            <w:tcW w:w="2532" w:type="dxa"/>
            <w:vAlign w:val="center"/>
          </w:tcPr>
          <w:p w14:paraId="2A37E08E">
            <w:pPr>
              <w:pStyle w:val="491"/>
              <w:rPr>
                <w:rFonts w:hint="eastAsia" w:ascii="宋体" w:hAnsi="宋体" w:eastAsia="宋体" w:cs="宋体"/>
                <w:color w:val="auto"/>
                <w:sz w:val="21"/>
                <w:szCs w:val="21"/>
                <w:highlight w:val="none"/>
              </w:rPr>
            </w:pPr>
            <w:r>
              <w:rPr>
                <w:rFonts w:hint="eastAsia"/>
                <w:color w:val="auto"/>
                <w:highlight w:val="none"/>
              </w:rPr>
              <w:t>业务系统功能需求改造</w:t>
            </w:r>
          </w:p>
        </w:tc>
        <w:tc>
          <w:tcPr>
            <w:tcW w:w="906" w:type="dxa"/>
            <w:vAlign w:val="center"/>
          </w:tcPr>
          <w:p w14:paraId="2207818A">
            <w:pPr>
              <w:shd w:val="clear"/>
              <w:jc w:val="center"/>
              <w:rPr>
                <w:rFonts w:hint="eastAsia" w:ascii="宋体" w:hAnsi="宋体" w:eastAsia="宋体" w:cs="宋体"/>
                <w:color w:val="auto"/>
                <w:sz w:val="21"/>
                <w:szCs w:val="21"/>
                <w:highlight w:val="none"/>
              </w:rPr>
            </w:pPr>
          </w:p>
        </w:tc>
        <w:tc>
          <w:tcPr>
            <w:tcW w:w="906" w:type="dxa"/>
            <w:vAlign w:val="center"/>
          </w:tcPr>
          <w:p w14:paraId="7C2877B3">
            <w:pPr>
              <w:shd w:val="clear"/>
              <w:jc w:val="center"/>
              <w:rPr>
                <w:rFonts w:hint="eastAsia" w:ascii="宋体" w:hAnsi="宋体" w:eastAsia="宋体" w:cs="宋体"/>
                <w:color w:val="auto"/>
                <w:sz w:val="21"/>
                <w:szCs w:val="21"/>
                <w:highlight w:val="none"/>
              </w:rPr>
            </w:pPr>
          </w:p>
        </w:tc>
        <w:tc>
          <w:tcPr>
            <w:tcW w:w="906" w:type="dxa"/>
            <w:vAlign w:val="center"/>
          </w:tcPr>
          <w:p w14:paraId="24680FEF">
            <w:pPr>
              <w:shd w:val="clear"/>
              <w:jc w:val="center"/>
              <w:rPr>
                <w:rFonts w:hint="eastAsia" w:ascii="宋体" w:hAnsi="宋体" w:eastAsia="宋体" w:cs="宋体"/>
                <w:color w:val="auto"/>
                <w:sz w:val="21"/>
                <w:szCs w:val="21"/>
                <w:highlight w:val="none"/>
              </w:rPr>
            </w:pPr>
          </w:p>
        </w:tc>
        <w:tc>
          <w:tcPr>
            <w:tcW w:w="906" w:type="dxa"/>
            <w:vAlign w:val="center"/>
          </w:tcPr>
          <w:p w14:paraId="7FCD3C19">
            <w:pPr>
              <w:shd w:val="clear"/>
              <w:jc w:val="center"/>
              <w:rPr>
                <w:rFonts w:hint="eastAsia" w:ascii="宋体" w:hAnsi="宋体" w:eastAsia="宋体" w:cs="宋体"/>
                <w:color w:val="auto"/>
                <w:sz w:val="21"/>
                <w:szCs w:val="21"/>
                <w:highlight w:val="none"/>
              </w:rPr>
            </w:pPr>
          </w:p>
        </w:tc>
        <w:tc>
          <w:tcPr>
            <w:tcW w:w="906" w:type="dxa"/>
            <w:vAlign w:val="center"/>
          </w:tcPr>
          <w:p w14:paraId="3820A1F6">
            <w:pPr>
              <w:shd w:val="clear"/>
              <w:jc w:val="center"/>
              <w:rPr>
                <w:rFonts w:hint="eastAsia" w:ascii="宋体" w:hAnsi="宋体" w:eastAsia="宋体" w:cs="宋体"/>
                <w:color w:val="auto"/>
                <w:sz w:val="21"/>
                <w:szCs w:val="21"/>
                <w:highlight w:val="none"/>
              </w:rPr>
            </w:pPr>
          </w:p>
        </w:tc>
        <w:tc>
          <w:tcPr>
            <w:tcW w:w="906" w:type="dxa"/>
            <w:vAlign w:val="center"/>
          </w:tcPr>
          <w:p w14:paraId="0329D447">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4141104">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25B9E96D">
            <w:pPr>
              <w:shd w:val="clear"/>
              <w:jc w:val="center"/>
              <w:rPr>
                <w:rFonts w:hint="eastAsia" w:ascii="宋体" w:hAnsi="宋体" w:eastAsia="宋体" w:cs="宋体"/>
                <w:color w:val="auto"/>
                <w:sz w:val="21"/>
                <w:szCs w:val="21"/>
                <w:highlight w:val="none"/>
              </w:rPr>
            </w:pPr>
          </w:p>
        </w:tc>
        <w:tc>
          <w:tcPr>
            <w:tcW w:w="906" w:type="dxa"/>
            <w:vAlign w:val="center"/>
          </w:tcPr>
          <w:p w14:paraId="305E62E5">
            <w:pPr>
              <w:shd w:val="clear"/>
              <w:jc w:val="center"/>
              <w:rPr>
                <w:rFonts w:hint="eastAsia" w:ascii="宋体" w:hAnsi="宋体" w:eastAsia="宋体" w:cs="宋体"/>
                <w:color w:val="auto"/>
                <w:sz w:val="21"/>
                <w:szCs w:val="21"/>
                <w:highlight w:val="none"/>
              </w:rPr>
            </w:pPr>
          </w:p>
        </w:tc>
        <w:tc>
          <w:tcPr>
            <w:tcW w:w="906" w:type="dxa"/>
            <w:vAlign w:val="center"/>
          </w:tcPr>
          <w:p w14:paraId="296D929B">
            <w:pPr>
              <w:shd w:val="clear"/>
              <w:jc w:val="center"/>
              <w:rPr>
                <w:rFonts w:hint="eastAsia" w:ascii="宋体" w:hAnsi="宋体" w:eastAsia="宋体" w:cs="宋体"/>
                <w:color w:val="auto"/>
                <w:sz w:val="21"/>
                <w:szCs w:val="21"/>
                <w:highlight w:val="none"/>
              </w:rPr>
            </w:pPr>
          </w:p>
        </w:tc>
        <w:tc>
          <w:tcPr>
            <w:tcW w:w="906" w:type="dxa"/>
            <w:vAlign w:val="center"/>
          </w:tcPr>
          <w:p w14:paraId="76B470FF">
            <w:pPr>
              <w:shd w:val="clear"/>
              <w:jc w:val="center"/>
              <w:rPr>
                <w:rFonts w:hint="eastAsia" w:ascii="宋体" w:hAnsi="宋体" w:eastAsia="宋体" w:cs="宋体"/>
                <w:color w:val="auto"/>
                <w:sz w:val="21"/>
                <w:szCs w:val="21"/>
                <w:highlight w:val="none"/>
              </w:rPr>
            </w:pPr>
          </w:p>
        </w:tc>
      </w:tr>
      <w:tr w14:paraId="775AAC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6FCCC12F">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3ECE2D8C">
            <w:pPr>
              <w:shd w:val="clear"/>
              <w:jc w:val="center"/>
              <w:rPr>
                <w:rFonts w:hint="eastAsia"/>
                <w:color w:val="auto"/>
                <w:highlight w:val="none"/>
              </w:rPr>
            </w:pPr>
          </w:p>
        </w:tc>
        <w:tc>
          <w:tcPr>
            <w:tcW w:w="2532" w:type="dxa"/>
            <w:vAlign w:val="center"/>
          </w:tcPr>
          <w:p w14:paraId="5B3F7795">
            <w:pPr>
              <w:pStyle w:val="491"/>
              <w:rPr>
                <w:rFonts w:hint="eastAsia" w:ascii="宋体" w:hAnsi="宋体" w:eastAsia="宋体" w:cs="宋体"/>
                <w:color w:val="auto"/>
                <w:sz w:val="21"/>
                <w:szCs w:val="21"/>
                <w:highlight w:val="none"/>
              </w:rPr>
            </w:pPr>
            <w:r>
              <w:rPr>
                <w:rFonts w:hint="eastAsia"/>
                <w:color w:val="auto"/>
                <w:highlight w:val="none"/>
              </w:rPr>
              <w:t>日常报表、数据统计服务</w:t>
            </w:r>
          </w:p>
        </w:tc>
        <w:tc>
          <w:tcPr>
            <w:tcW w:w="906" w:type="dxa"/>
            <w:vAlign w:val="center"/>
          </w:tcPr>
          <w:p w14:paraId="6D26DD07">
            <w:pPr>
              <w:shd w:val="clear"/>
              <w:jc w:val="center"/>
              <w:rPr>
                <w:rFonts w:hint="eastAsia" w:ascii="宋体" w:hAnsi="宋体" w:eastAsia="宋体" w:cs="宋体"/>
                <w:color w:val="auto"/>
                <w:sz w:val="21"/>
                <w:szCs w:val="21"/>
                <w:highlight w:val="none"/>
              </w:rPr>
            </w:pPr>
          </w:p>
        </w:tc>
        <w:tc>
          <w:tcPr>
            <w:tcW w:w="906" w:type="dxa"/>
            <w:vAlign w:val="center"/>
          </w:tcPr>
          <w:p w14:paraId="5EE68CDD">
            <w:pPr>
              <w:shd w:val="clear"/>
              <w:jc w:val="center"/>
              <w:rPr>
                <w:rFonts w:hint="eastAsia" w:ascii="宋体" w:hAnsi="宋体" w:eastAsia="宋体" w:cs="宋体"/>
                <w:color w:val="auto"/>
                <w:sz w:val="21"/>
                <w:szCs w:val="21"/>
                <w:highlight w:val="none"/>
              </w:rPr>
            </w:pPr>
          </w:p>
        </w:tc>
        <w:tc>
          <w:tcPr>
            <w:tcW w:w="906" w:type="dxa"/>
            <w:vAlign w:val="center"/>
          </w:tcPr>
          <w:p w14:paraId="019DAF9E">
            <w:pPr>
              <w:shd w:val="clear"/>
              <w:jc w:val="center"/>
              <w:rPr>
                <w:rFonts w:hint="eastAsia" w:ascii="宋体" w:hAnsi="宋体" w:eastAsia="宋体" w:cs="宋体"/>
                <w:color w:val="auto"/>
                <w:sz w:val="21"/>
                <w:szCs w:val="21"/>
                <w:highlight w:val="none"/>
              </w:rPr>
            </w:pPr>
          </w:p>
        </w:tc>
        <w:tc>
          <w:tcPr>
            <w:tcW w:w="906" w:type="dxa"/>
            <w:vAlign w:val="center"/>
          </w:tcPr>
          <w:p w14:paraId="46CDD84D">
            <w:pPr>
              <w:shd w:val="clear"/>
              <w:jc w:val="center"/>
              <w:rPr>
                <w:rFonts w:hint="eastAsia" w:ascii="宋体" w:hAnsi="宋体" w:eastAsia="宋体" w:cs="宋体"/>
                <w:color w:val="auto"/>
                <w:sz w:val="21"/>
                <w:szCs w:val="21"/>
                <w:highlight w:val="none"/>
              </w:rPr>
            </w:pPr>
          </w:p>
        </w:tc>
        <w:tc>
          <w:tcPr>
            <w:tcW w:w="906" w:type="dxa"/>
            <w:vAlign w:val="center"/>
          </w:tcPr>
          <w:p w14:paraId="2980DB0C">
            <w:pPr>
              <w:shd w:val="clear"/>
              <w:jc w:val="center"/>
              <w:rPr>
                <w:rFonts w:hint="eastAsia" w:ascii="宋体" w:hAnsi="宋体" w:eastAsia="宋体" w:cs="宋体"/>
                <w:color w:val="auto"/>
                <w:sz w:val="21"/>
                <w:szCs w:val="21"/>
                <w:highlight w:val="none"/>
              </w:rPr>
            </w:pPr>
          </w:p>
        </w:tc>
        <w:tc>
          <w:tcPr>
            <w:tcW w:w="906" w:type="dxa"/>
            <w:vAlign w:val="center"/>
          </w:tcPr>
          <w:p w14:paraId="445B1132">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69F71A05">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04D5B701">
            <w:pPr>
              <w:shd w:val="clear"/>
              <w:jc w:val="center"/>
              <w:rPr>
                <w:rFonts w:hint="eastAsia" w:ascii="宋体" w:hAnsi="宋体" w:eastAsia="宋体" w:cs="宋体"/>
                <w:color w:val="auto"/>
                <w:sz w:val="21"/>
                <w:szCs w:val="21"/>
                <w:highlight w:val="none"/>
              </w:rPr>
            </w:pPr>
          </w:p>
        </w:tc>
        <w:tc>
          <w:tcPr>
            <w:tcW w:w="906" w:type="dxa"/>
            <w:vAlign w:val="center"/>
          </w:tcPr>
          <w:p w14:paraId="315A934C">
            <w:pPr>
              <w:shd w:val="clear"/>
              <w:jc w:val="center"/>
              <w:rPr>
                <w:rFonts w:hint="eastAsia" w:ascii="宋体" w:hAnsi="宋体" w:eastAsia="宋体" w:cs="宋体"/>
                <w:color w:val="auto"/>
                <w:sz w:val="21"/>
                <w:szCs w:val="21"/>
                <w:highlight w:val="none"/>
              </w:rPr>
            </w:pPr>
          </w:p>
        </w:tc>
        <w:tc>
          <w:tcPr>
            <w:tcW w:w="906" w:type="dxa"/>
            <w:vAlign w:val="center"/>
          </w:tcPr>
          <w:p w14:paraId="6FD2072D">
            <w:pPr>
              <w:shd w:val="clear"/>
              <w:jc w:val="center"/>
              <w:rPr>
                <w:rFonts w:hint="eastAsia" w:ascii="宋体" w:hAnsi="宋体" w:eastAsia="宋体" w:cs="宋体"/>
                <w:color w:val="auto"/>
                <w:sz w:val="21"/>
                <w:szCs w:val="21"/>
                <w:highlight w:val="none"/>
              </w:rPr>
            </w:pPr>
          </w:p>
        </w:tc>
        <w:tc>
          <w:tcPr>
            <w:tcW w:w="906" w:type="dxa"/>
            <w:vAlign w:val="center"/>
          </w:tcPr>
          <w:p w14:paraId="25241CB0">
            <w:pPr>
              <w:shd w:val="clear"/>
              <w:jc w:val="center"/>
              <w:rPr>
                <w:rFonts w:hint="eastAsia" w:ascii="宋体" w:hAnsi="宋体" w:eastAsia="宋体" w:cs="宋体"/>
                <w:color w:val="auto"/>
                <w:sz w:val="21"/>
                <w:szCs w:val="21"/>
                <w:highlight w:val="none"/>
              </w:rPr>
            </w:pPr>
          </w:p>
        </w:tc>
      </w:tr>
      <w:tr w14:paraId="6F7F11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74B2EAAB">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73B1B3E1">
            <w:pPr>
              <w:shd w:val="clear"/>
              <w:jc w:val="center"/>
              <w:rPr>
                <w:rFonts w:hint="eastAsia"/>
                <w:color w:val="auto"/>
                <w:highlight w:val="none"/>
              </w:rPr>
            </w:pPr>
          </w:p>
        </w:tc>
        <w:tc>
          <w:tcPr>
            <w:tcW w:w="2532" w:type="dxa"/>
            <w:vAlign w:val="center"/>
          </w:tcPr>
          <w:p w14:paraId="3BDCA8CA">
            <w:pPr>
              <w:pStyle w:val="491"/>
              <w:rPr>
                <w:rFonts w:hint="eastAsia" w:ascii="宋体" w:hAnsi="宋体" w:eastAsia="宋体" w:cs="宋体"/>
                <w:color w:val="auto"/>
                <w:sz w:val="21"/>
                <w:szCs w:val="21"/>
                <w:highlight w:val="none"/>
              </w:rPr>
            </w:pPr>
            <w:r>
              <w:rPr>
                <w:rFonts w:hint="eastAsia"/>
                <w:color w:val="auto"/>
                <w:highlight w:val="none"/>
              </w:rPr>
              <w:t>数据治理与合规改进服务</w:t>
            </w:r>
          </w:p>
        </w:tc>
        <w:tc>
          <w:tcPr>
            <w:tcW w:w="906" w:type="dxa"/>
            <w:vAlign w:val="center"/>
          </w:tcPr>
          <w:p w14:paraId="330145D6">
            <w:pPr>
              <w:shd w:val="clear"/>
              <w:jc w:val="center"/>
              <w:rPr>
                <w:rFonts w:hint="eastAsia" w:ascii="宋体" w:hAnsi="宋体" w:eastAsia="宋体" w:cs="宋体"/>
                <w:color w:val="auto"/>
                <w:sz w:val="21"/>
                <w:szCs w:val="21"/>
                <w:highlight w:val="none"/>
              </w:rPr>
            </w:pPr>
          </w:p>
        </w:tc>
        <w:tc>
          <w:tcPr>
            <w:tcW w:w="906" w:type="dxa"/>
            <w:vAlign w:val="center"/>
          </w:tcPr>
          <w:p w14:paraId="0BACCEDA">
            <w:pPr>
              <w:shd w:val="clear"/>
              <w:jc w:val="center"/>
              <w:rPr>
                <w:rFonts w:hint="eastAsia" w:ascii="宋体" w:hAnsi="宋体" w:eastAsia="宋体" w:cs="宋体"/>
                <w:color w:val="auto"/>
                <w:sz w:val="21"/>
                <w:szCs w:val="21"/>
                <w:highlight w:val="none"/>
              </w:rPr>
            </w:pPr>
          </w:p>
        </w:tc>
        <w:tc>
          <w:tcPr>
            <w:tcW w:w="906" w:type="dxa"/>
            <w:vAlign w:val="center"/>
          </w:tcPr>
          <w:p w14:paraId="71EDEB88">
            <w:pPr>
              <w:shd w:val="clear"/>
              <w:jc w:val="center"/>
              <w:rPr>
                <w:rFonts w:hint="eastAsia" w:ascii="宋体" w:hAnsi="宋体" w:eastAsia="宋体" w:cs="宋体"/>
                <w:color w:val="auto"/>
                <w:sz w:val="21"/>
                <w:szCs w:val="21"/>
                <w:highlight w:val="none"/>
              </w:rPr>
            </w:pPr>
          </w:p>
        </w:tc>
        <w:tc>
          <w:tcPr>
            <w:tcW w:w="906" w:type="dxa"/>
            <w:vAlign w:val="center"/>
          </w:tcPr>
          <w:p w14:paraId="3A3CD72D">
            <w:pPr>
              <w:shd w:val="clear"/>
              <w:jc w:val="center"/>
              <w:rPr>
                <w:rFonts w:hint="eastAsia" w:ascii="宋体" w:hAnsi="宋体" w:eastAsia="宋体" w:cs="宋体"/>
                <w:color w:val="auto"/>
                <w:sz w:val="21"/>
                <w:szCs w:val="21"/>
                <w:highlight w:val="none"/>
              </w:rPr>
            </w:pPr>
          </w:p>
        </w:tc>
        <w:tc>
          <w:tcPr>
            <w:tcW w:w="906" w:type="dxa"/>
            <w:vAlign w:val="center"/>
          </w:tcPr>
          <w:p w14:paraId="3B6BD69B">
            <w:pPr>
              <w:shd w:val="clear"/>
              <w:jc w:val="center"/>
              <w:rPr>
                <w:rFonts w:hint="eastAsia" w:ascii="宋体" w:hAnsi="宋体" w:eastAsia="宋体" w:cs="宋体"/>
                <w:color w:val="auto"/>
                <w:sz w:val="21"/>
                <w:szCs w:val="21"/>
                <w:highlight w:val="none"/>
              </w:rPr>
            </w:pPr>
          </w:p>
        </w:tc>
        <w:tc>
          <w:tcPr>
            <w:tcW w:w="906" w:type="dxa"/>
            <w:vAlign w:val="center"/>
          </w:tcPr>
          <w:p w14:paraId="08688557">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16CDE58F">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35815795">
            <w:pPr>
              <w:shd w:val="clear"/>
              <w:jc w:val="center"/>
              <w:rPr>
                <w:rFonts w:hint="eastAsia" w:ascii="宋体" w:hAnsi="宋体" w:eastAsia="宋体" w:cs="宋体"/>
                <w:color w:val="auto"/>
                <w:sz w:val="21"/>
                <w:szCs w:val="21"/>
                <w:highlight w:val="none"/>
              </w:rPr>
            </w:pPr>
          </w:p>
        </w:tc>
        <w:tc>
          <w:tcPr>
            <w:tcW w:w="906" w:type="dxa"/>
            <w:vAlign w:val="center"/>
          </w:tcPr>
          <w:p w14:paraId="24F15CD6">
            <w:pPr>
              <w:shd w:val="clear"/>
              <w:jc w:val="center"/>
              <w:rPr>
                <w:rFonts w:hint="eastAsia" w:ascii="宋体" w:hAnsi="宋体" w:eastAsia="宋体" w:cs="宋体"/>
                <w:color w:val="auto"/>
                <w:sz w:val="21"/>
                <w:szCs w:val="21"/>
                <w:highlight w:val="none"/>
              </w:rPr>
            </w:pPr>
          </w:p>
        </w:tc>
        <w:tc>
          <w:tcPr>
            <w:tcW w:w="906" w:type="dxa"/>
            <w:vAlign w:val="center"/>
          </w:tcPr>
          <w:p w14:paraId="25DEF202">
            <w:pPr>
              <w:shd w:val="clear"/>
              <w:jc w:val="center"/>
              <w:rPr>
                <w:rFonts w:hint="eastAsia" w:ascii="宋体" w:hAnsi="宋体" w:eastAsia="宋体" w:cs="宋体"/>
                <w:color w:val="auto"/>
                <w:sz w:val="21"/>
                <w:szCs w:val="21"/>
                <w:highlight w:val="none"/>
              </w:rPr>
            </w:pPr>
          </w:p>
        </w:tc>
        <w:tc>
          <w:tcPr>
            <w:tcW w:w="906" w:type="dxa"/>
            <w:vAlign w:val="center"/>
          </w:tcPr>
          <w:p w14:paraId="7B21C884">
            <w:pPr>
              <w:shd w:val="clear"/>
              <w:jc w:val="center"/>
              <w:rPr>
                <w:rFonts w:hint="eastAsia" w:ascii="宋体" w:hAnsi="宋体" w:eastAsia="宋体" w:cs="宋体"/>
                <w:color w:val="auto"/>
                <w:sz w:val="21"/>
                <w:szCs w:val="21"/>
                <w:highlight w:val="none"/>
              </w:rPr>
            </w:pPr>
          </w:p>
        </w:tc>
      </w:tr>
      <w:tr w14:paraId="75724E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2B957C83">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61560C7C">
            <w:pPr>
              <w:shd w:val="clear"/>
              <w:jc w:val="center"/>
              <w:rPr>
                <w:rFonts w:hint="eastAsia"/>
                <w:color w:val="auto"/>
                <w:highlight w:val="none"/>
              </w:rPr>
            </w:pPr>
          </w:p>
        </w:tc>
        <w:tc>
          <w:tcPr>
            <w:tcW w:w="2532" w:type="dxa"/>
            <w:vAlign w:val="center"/>
          </w:tcPr>
          <w:p w14:paraId="0AE40354">
            <w:pPr>
              <w:pStyle w:val="491"/>
              <w:rPr>
                <w:rFonts w:hint="eastAsia" w:ascii="宋体" w:hAnsi="宋体" w:eastAsia="宋体" w:cs="宋体"/>
                <w:color w:val="auto"/>
                <w:sz w:val="21"/>
                <w:szCs w:val="21"/>
                <w:highlight w:val="none"/>
              </w:rPr>
            </w:pPr>
            <w:r>
              <w:rPr>
                <w:rFonts w:hint="eastAsia"/>
                <w:color w:val="auto"/>
                <w:highlight w:val="none"/>
              </w:rPr>
              <w:t>临床满意度提升巡检服务</w:t>
            </w:r>
          </w:p>
        </w:tc>
        <w:tc>
          <w:tcPr>
            <w:tcW w:w="906" w:type="dxa"/>
            <w:vAlign w:val="center"/>
          </w:tcPr>
          <w:p w14:paraId="3F091DA3">
            <w:pPr>
              <w:shd w:val="clear"/>
              <w:jc w:val="center"/>
              <w:rPr>
                <w:rFonts w:hint="eastAsia" w:ascii="宋体" w:hAnsi="宋体" w:eastAsia="宋体" w:cs="宋体"/>
                <w:color w:val="auto"/>
                <w:sz w:val="21"/>
                <w:szCs w:val="21"/>
                <w:highlight w:val="none"/>
              </w:rPr>
            </w:pPr>
          </w:p>
        </w:tc>
        <w:tc>
          <w:tcPr>
            <w:tcW w:w="906" w:type="dxa"/>
            <w:vAlign w:val="center"/>
          </w:tcPr>
          <w:p w14:paraId="09C0FC03">
            <w:pPr>
              <w:shd w:val="clear"/>
              <w:jc w:val="center"/>
              <w:rPr>
                <w:rFonts w:hint="eastAsia" w:ascii="宋体" w:hAnsi="宋体" w:eastAsia="宋体" w:cs="宋体"/>
                <w:color w:val="auto"/>
                <w:sz w:val="21"/>
                <w:szCs w:val="21"/>
                <w:highlight w:val="none"/>
              </w:rPr>
            </w:pPr>
          </w:p>
        </w:tc>
        <w:tc>
          <w:tcPr>
            <w:tcW w:w="906" w:type="dxa"/>
            <w:vAlign w:val="center"/>
          </w:tcPr>
          <w:p w14:paraId="4BF01F39">
            <w:pPr>
              <w:shd w:val="clear"/>
              <w:jc w:val="center"/>
              <w:rPr>
                <w:rFonts w:hint="eastAsia" w:ascii="宋体" w:hAnsi="宋体" w:eastAsia="宋体" w:cs="宋体"/>
                <w:color w:val="auto"/>
                <w:sz w:val="21"/>
                <w:szCs w:val="21"/>
                <w:highlight w:val="none"/>
              </w:rPr>
            </w:pPr>
          </w:p>
        </w:tc>
        <w:tc>
          <w:tcPr>
            <w:tcW w:w="906" w:type="dxa"/>
            <w:vAlign w:val="center"/>
          </w:tcPr>
          <w:p w14:paraId="37D7CD79">
            <w:pPr>
              <w:shd w:val="clear"/>
              <w:jc w:val="center"/>
              <w:rPr>
                <w:rFonts w:hint="eastAsia" w:ascii="宋体" w:hAnsi="宋体" w:eastAsia="宋体" w:cs="宋体"/>
                <w:color w:val="auto"/>
                <w:sz w:val="21"/>
                <w:szCs w:val="21"/>
                <w:highlight w:val="none"/>
              </w:rPr>
            </w:pPr>
          </w:p>
        </w:tc>
        <w:tc>
          <w:tcPr>
            <w:tcW w:w="906" w:type="dxa"/>
            <w:vAlign w:val="center"/>
          </w:tcPr>
          <w:p w14:paraId="22FB247C">
            <w:pPr>
              <w:shd w:val="clear"/>
              <w:jc w:val="center"/>
              <w:rPr>
                <w:rFonts w:hint="eastAsia" w:ascii="宋体" w:hAnsi="宋体" w:eastAsia="宋体" w:cs="宋体"/>
                <w:color w:val="auto"/>
                <w:sz w:val="21"/>
                <w:szCs w:val="21"/>
                <w:highlight w:val="none"/>
              </w:rPr>
            </w:pPr>
          </w:p>
        </w:tc>
        <w:tc>
          <w:tcPr>
            <w:tcW w:w="906" w:type="dxa"/>
            <w:vAlign w:val="center"/>
          </w:tcPr>
          <w:p w14:paraId="316EB2EA">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743157D3">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17124BAB">
            <w:pPr>
              <w:shd w:val="clear"/>
              <w:jc w:val="center"/>
              <w:rPr>
                <w:rFonts w:hint="eastAsia" w:ascii="宋体" w:hAnsi="宋体" w:eastAsia="宋体" w:cs="宋体"/>
                <w:color w:val="auto"/>
                <w:sz w:val="21"/>
                <w:szCs w:val="21"/>
                <w:highlight w:val="none"/>
              </w:rPr>
            </w:pPr>
          </w:p>
        </w:tc>
        <w:tc>
          <w:tcPr>
            <w:tcW w:w="906" w:type="dxa"/>
            <w:vAlign w:val="center"/>
          </w:tcPr>
          <w:p w14:paraId="10402239">
            <w:pPr>
              <w:shd w:val="clear"/>
              <w:jc w:val="center"/>
              <w:rPr>
                <w:rFonts w:hint="eastAsia" w:ascii="宋体" w:hAnsi="宋体" w:eastAsia="宋体" w:cs="宋体"/>
                <w:color w:val="auto"/>
                <w:sz w:val="21"/>
                <w:szCs w:val="21"/>
                <w:highlight w:val="none"/>
              </w:rPr>
            </w:pPr>
          </w:p>
        </w:tc>
        <w:tc>
          <w:tcPr>
            <w:tcW w:w="906" w:type="dxa"/>
            <w:vAlign w:val="center"/>
          </w:tcPr>
          <w:p w14:paraId="415949F3">
            <w:pPr>
              <w:shd w:val="clear"/>
              <w:jc w:val="center"/>
              <w:rPr>
                <w:rFonts w:hint="eastAsia" w:ascii="宋体" w:hAnsi="宋体" w:eastAsia="宋体" w:cs="宋体"/>
                <w:color w:val="auto"/>
                <w:sz w:val="21"/>
                <w:szCs w:val="21"/>
                <w:highlight w:val="none"/>
              </w:rPr>
            </w:pPr>
          </w:p>
        </w:tc>
        <w:tc>
          <w:tcPr>
            <w:tcW w:w="906" w:type="dxa"/>
            <w:vAlign w:val="center"/>
          </w:tcPr>
          <w:p w14:paraId="574D6AA6">
            <w:pPr>
              <w:shd w:val="clear"/>
              <w:jc w:val="center"/>
              <w:rPr>
                <w:rFonts w:hint="eastAsia" w:ascii="宋体" w:hAnsi="宋体" w:eastAsia="宋体" w:cs="宋体"/>
                <w:color w:val="auto"/>
                <w:sz w:val="21"/>
                <w:szCs w:val="21"/>
                <w:highlight w:val="none"/>
              </w:rPr>
            </w:pPr>
          </w:p>
        </w:tc>
      </w:tr>
      <w:tr w14:paraId="5EC4EB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906" w:type="dxa"/>
            <w:vMerge w:val="continue"/>
            <w:vAlign w:val="center"/>
          </w:tcPr>
          <w:p w14:paraId="35126E3A">
            <w:pPr>
              <w:shd w:val="clear"/>
              <w:jc w:val="center"/>
              <w:rPr>
                <w:rFonts w:hint="eastAsia" w:ascii="宋体" w:hAnsi="宋体" w:cs="宋体"/>
                <w:color w:val="auto"/>
                <w:sz w:val="21"/>
                <w:szCs w:val="21"/>
                <w:highlight w:val="none"/>
                <w:lang w:val="en-US" w:eastAsia="zh-CN"/>
              </w:rPr>
            </w:pPr>
          </w:p>
        </w:tc>
        <w:tc>
          <w:tcPr>
            <w:tcW w:w="1934" w:type="dxa"/>
            <w:vMerge w:val="continue"/>
            <w:vAlign w:val="center"/>
          </w:tcPr>
          <w:p w14:paraId="2115AADE">
            <w:pPr>
              <w:shd w:val="clear"/>
              <w:jc w:val="center"/>
              <w:rPr>
                <w:rFonts w:hint="eastAsia"/>
                <w:color w:val="auto"/>
                <w:highlight w:val="none"/>
              </w:rPr>
            </w:pPr>
          </w:p>
        </w:tc>
        <w:tc>
          <w:tcPr>
            <w:tcW w:w="2532" w:type="dxa"/>
            <w:vAlign w:val="center"/>
          </w:tcPr>
          <w:p w14:paraId="5062FDC2">
            <w:pPr>
              <w:pStyle w:val="491"/>
              <w:rPr>
                <w:rFonts w:hint="eastAsia" w:ascii="宋体" w:hAnsi="宋体" w:eastAsia="宋体" w:cs="宋体"/>
                <w:color w:val="auto"/>
                <w:sz w:val="21"/>
                <w:szCs w:val="21"/>
                <w:highlight w:val="none"/>
              </w:rPr>
            </w:pPr>
            <w:r>
              <w:rPr>
                <w:rFonts w:hint="eastAsia"/>
                <w:color w:val="auto"/>
                <w:highlight w:val="none"/>
              </w:rPr>
              <w:t>系统性能季度改善</w:t>
            </w:r>
          </w:p>
        </w:tc>
        <w:tc>
          <w:tcPr>
            <w:tcW w:w="906" w:type="dxa"/>
            <w:vAlign w:val="center"/>
          </w:tcPr>
          <w:p w14:paraId="1B856B82">
            <w:pPr>
              <w:shd w:val="clear"/>
              <w:jc w:val="center"/>
              <w:rPr>
                <w:rFonts w:hint="eastAsia" w:ascii="宋体" w:hAnsi="宋体" w:eastAsia="宋体" w:cs="宋体"/>
                <w:color w:val="auto"/>
                <w:sz w:val="21"/>
                <w:szCs w:val="21"/>
                <w:highlight w:val="none"/>
              </w:rPr>
            </w:pPr>
          </w:p>
        </w:tc>
        <w:tc>
          <w:tcPr>
            <w:tcW w:w="906" w:type="dxa"/>
            <w:vAlign w:val="center"/>
          </w:tcPr>
          <w:p w14:paraId="7868F661">
            <w:pPr>
              <w:shd w:val="clear"/>
              <w:jc w:val="center"/>
              <w:rPr>
                <w:rFonts w:hint="eastAsia" w:ascii="宋体" w:hAnsi="宋体" w:eastAsia="宋体" w:cs="宋体"/>
                <w:color w:val="auto"/>
                <w:sz w:val="21"/>
                <w:szCs w:val="21"/>
                <w:highlight w:val="none"/>
              </w:rPr>
            </w:pPr>
          </w:p>
        </w:tc>
        <w:tc>
          <w:tcPr>
            <w:tcW w:w="906" w:type="dxa"/>
            <w:vAlign w:val="center"/>
          </w:tcPr>
          <w:p w14:paraId="376B5CA9">
            <w:pPr>
              <w:shd w:val="clear"/>
              <w:jc w:val="center"/>
              <w:rPr>
                <w:rFonts w:hint="eastAsia" w:ascii="宋体" w:hAnsi="宋体" w:eastAsia="宋体" w:cs="宋体"/>
                <w:color w:val="auto"/>
                <w:sz w:val="21"/>
                <w:szCs w:val="21"/>
                <w:highlight w:val="none"/>
              </w:rPr>
            </w:pPr>
          </w:p>
        </w:tc>
        <w:tc>
          <w:tcPr>
            <w:tcW w:w="906" w:type="dxa"/>
            <w:vAlign w:val="center"/>
          </w:tcPr>
          <w:p w14:paraId="4B6766CE">
            <w:pPr>
              <w:shd w:val="clear"/>
              <w:jc w:val="center"/>
              <w:rPr>
                <w:rFonts w:hint="eastAsia" w:ascii="宋体" w:hAnsi="宋体" w:eastAsia="宋体" w:cs="宋体"/>
                <w:color w:val="auto"/>
                <w:sz w:val="21"/>
                <w:szCs w:val="21"/>
                <w:highlight w:val="none"/>
              </w:rPr>
            </w:pPr>
          </w:p>
        </w:tc>
        <w:tc>
          <w:tcPr>
            <w:tcW w:w="906" w:type="dxa"/>
            <w:vAlign w:val="center"/>
          </w:tcPr>
          <w:p w14:paraId="37F1E8B8">
            <w:pPr>
              <w:shd w:val="clear"/>
              <w:jc w:val="center"/>
              <w:rPr>
                <w:rFonts w:hint="eastAsia" w:ascii="宋体" w:hAnsi="宋体" w:eastAsia="宋体" w:cs="宋体"/>
                <w:color w:val="auto"/>
                <w:sz w:val="21"/>
                <w:szCs w:val="21"/>
                <w:highlight w:val="none"/>
              </w:rPr>
            </w:pPr>
          </w:p>
        </w:tc>
        <w:tc>
          <w:tcPr>
            <w:tcW w:w="906" w:type="dxa"/>
            <w:vAlign w:val="center"/>
          </w:tcPr>
          <w:p w14:paraId="4630559D">
            <w:pPr>
              <w:shd w:val="clea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906" w:type="dxa"/>
            <w:vAlign w:val="center"/>
          </w:tcPr>
          <w:p w14:paraId="3C5487A6">
            <w:pPr>
              <w:shd w:val="clear"/>
              <w:jc w:val="center"/>
              <w:rPr>
                <w:rFonts w:hint="eastAsia" w:ascii="宋体" w:hAnsi="宋体" w:eastAsia="宋体" w:cs="宋体"/>
                <w:color w:val="auto"/>
                <w:sz w:val="21"/>
                <w:szCs w:val="21"/>
                <w:highlight w:val="none"/>
              </w:rPr>
            </w:pPr>
          </w:p>
        </w:tc>
        <w:tc>
          <w:tcPr>
            <w:tcW w:w="906" w:type="dxa"/>
            <w:vMerge w:val="continue"/>
            <w:vAlign w:val="center"/>
          </w:tcPr>
          <w:p w14:paraId="64640AA3">
            <w:pPr>
              <w:shd w:val="clear"/>
              <w:jc w:val="center"/>
              <w:rPr>
                <w:rFonts w:hint="eastAsia" w:ascii="宋体" w:hAnsi="宋体" w:eastAsia="宋体" w:cs="宋体"/>
                <w:color w:val="auto"/>
                <w:sz w:val="21"/>
                <w:szCs w:val="21"/>
                <w:highlight w:val="none"/>
              </w:rPr>
            </w:pPr>
          </w:p>
        </w:tc>
        <w:tc>
          <w:tcPr>
            <w:tcW w:w="906" w:type="dxa"/>
            <w:vAlign w:val="center"/>
          </w:tcPr>
          <w:p w14:paraId="744E5D0D">
            <w:pPr>
              <w:shd w:val="clear"/>
              <w:jc w:val="center"/>
              <w:rPr>
                <w:rFonts w:hint="eastAsia" w:ascii="宋体" w:hAnsi="宋体" w:eastAsia="宋体" w:cs="宋体"/>
                <w:color w:val="auto"/>
                <w:sz w:val="21"/>
                <w:szCs w:val="21"/>
                <w:highlight w:val="none"/>
              </w:rPr>
            </w:pPr>
          </w:p>
        </w:tc>
        <w:tc>
          <w:tcPr>
            <w:tcW w:w="906" w:type="dxa"/>
            <w:vAlign w:val="center"/>
          </w:tcPr>
          <w:p w14:paraId="214F07DC">
            <w:pPr>
              <w:shd w:val="clear"/>
              <w:jc w:val="center"/>
              <w:rPr>
                <w:rFonts w:hint="eastAsia" w:ascii="宋体" w:hAnsi="宋体" w:eastAsia="宋体" w:cs="宋体"/>
                <w:color w:val="auto"/>
                <w:sz w:val="21"/>
                <w:szCs w:val="21"/>
                <w:highlight w:val="none"/>
              </w:rPr>
            </w:pPr>
          </w:p>
        </w:tc>
        <w:tc>
          <w:tcPr>
            <w:tcW w:w="906" w:type="dxa"/>
            <w:vAlign w:val="center"/>
          </w:tcPr>
          <w:p w14:paraId="5F7FC8D8">
            <w:pPr>
              <w:shd w:val="clear"/>
              <w:jc w:val="center"/>
              <w:rPr>
                <w:rFonts w:hint="eastAsia" w:ascii="宋体" w:hAnsi="宋体" w:eastAsia="宋体" w:cs="宋体"/>
                <w:color w:val="auto"/>
                <w:sz w:val="21"/>
                <w:szCs w:val="21"/>
                <w:highlight w:val="none"/>
              </w:rPr>
            </w:pPr>
          </w:p>
        </w:tc>
      </w:tr>
      <w:tr w14:paraId="77778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77" w:hRule="atLeast"/>
          <w:jc w:val="center"/>
        </w:trPr>
        <w:tc>
          <w:tcPr>
            <w:tcW w:w="15338" w:type="dxa"/>
            <w:gridSpan w:val="14"/>
            <w:vAlign w:val="center"/>
          </w:tcPr>
          <w:p w14:paraId="16F06D70">
            <w:pPr>
              <w:shd w:val="clea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w:t>
            </w:r>
            <w:r>
              <w:rPr>
                <w:rFonts w:hint="eastAsia" w:ascii="宋体" w:hAnsi="宋体" w:cs="宋体"/>
                <w:color w:val="auto"/>
                <w:sz w:val="21"/>
                <w:szCs w:val="21"/>
                <w:highlight w:val="none"/>
                <w:lang w:val="en-US" w:eastAsia="zh-CN"/>
              </w:rPr>
              <w:t>（与开标一览表的投标总价一致）</w:t>
            </w:r>
            <w:r>
              <w:rPr>
                <w:rFonts w:hint="eastAsia" w:ascii="宋体" w:hAnsi="宋体" w:eastAsia="宋体" w:cs="宋体"/>
                <w:color w:val="auto"/>
                <w:sz w:val="21"/>
                <w:szCs w:val="21"/>
                <w:highlight w:val="none"/>
                <w:lang w:val="en-US" w:eastAsia="zh-CN"/>
              </w:rPr>
              <w:t>：小写：                      大写：</w:t>
            </w:r>
          </w:p>
        </w:tc>
      </w:tr>
    </w:tbl>
    <w:p w14:paraId="64C2B1DE">
      <w:pPr>
        <w:pStyle w:val="485"/>
        <w:shd w:val="clear"/>
        <w:rPr>
          <w:rFonts w:hint="eastAsia" w:ascii="宋体" w:hAnsi="宋体" w:eastAsia="宋体" w:cs="宋体"/>
          <w:color w:val="auto"/>
          <w:highlight w:val="none"/>
        </w:rPr>
      </w:pPr>
    </w:p>
    <w:p w14:paraId="51B4AF6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0C85DA6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6F5891F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5F632BE7">
      <w:pPr>
        <w:pStyle w:val="94"/>
        <w:shd w:val="clear"/>
        <w:tabs>
          <w:tab w:val="left" w:pos="5580"/>
        </w:tabs>
        <w:spacing w:before="120"/>
        <w:jc w:val="both"/>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■此表在投标文件正文中必须上传。此表为报价表之货物分项报价表，此表中投标总价应与附件2中的投标总报价相一致。</w:t>
      </w:r>
    </w:p>
    <w:p w14:paraId="438F31FE">
      <w:pPr>
        <w:rPr>
          <w:rFonts w:hint="eastAsia"/>
          <w:b w:val="0"/>
          <w:bCs w:val="0"/>
          <w:color w:val="auto"/>
          <w:sz w:val="18"/>
          <w:szCs w:val="18"/>
          <w:highlight w:val="none"/>
        </w:rPr>
        <w:sectPr>
          <w:pgSz w:w="16838" w:h="11906" w:orient="landscape"/>
          <w:pgMar w:top="1417" w:right="1417" w:bottom="1417" w:left="1417" w:header="851" w:footer="992" w:gutter="0"/>
          <w:pgNumType w:fmt="decimal"/>
          <w:cols w:space="0" w:num="1"/>
          <w:rtlGutter w:val="0"/>
          <w:docGrid w:type="lines" w:linePitch="324" w:charSpace="0"/>
        </w:sectPr>
      </w:pPr>
    </w:p>
    <w:p w14:paraId="67376157">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附件2-2 政策适用性说明</w:t>
      </w:r>
    </w:p>
    <w:p w14:paraId="1B519ED9">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按照政府采购有关政策的要求，在本次的技术方案中，采用符合政策的小型或微型企业产品、节能产品、环境标志产品，主要产品与核心技术介绍说明如下：</w:t>
      </w:r>
    </w:p>
    <w:tbl>
      <w:tblPr>
        <w:tblStyle w:val="48"/>
        <w:tblW w:w="955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96"/>
        <w:gridCol w:w="1207"/>
        <w:gridCol w:w="1196"/>
        <w:gridCol w:w="1185"/>
        <w:gridCol w:w="1185"/>
        <w:gridCol w:w="1185"/>
        <w:gridCol w:w="1185"/>
        <w:gridCol w:w="1217"/>
      </w:tblGrid>
      <w:tr w14:paraId="586CD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48" w:hRule="atLeast"/>
          <w:jc w:val="center"/>
        </w:trPr>
        <w:tc>
          <w:tcPr>
            <w:tcW w:w="1196" w:type="dxa"/>
            <w:vAlign w:val="center"/>
          </w:tcPr>
          <w:p w14:paraId="58002DD0">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207" w:type="dxa"/>
            <w:vAlign w:val="center"/>
          </w:tcPr>
          <w:p w14:paraId="73E8FF06">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主要产品/技术名称（规格型号、注册商标）</w:t>
            </w:r>
          </w:p>
        </w:tc>
        <w:tc>
          <w:tcPr>
            <w:tcW w:w="1196" w:type="dxa"/>
            <w:vAlign w:val="center"/>
          </w:tcPr>
          <w:p w14:paraId="1D737A85">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制造商(开发商)</w:t>
            </w:r>
          </w:p>
        </w:tc>
        <w:tc>
          <w:tcPr>
            <w:tcW w:w="1185" w:type="dxa"/>
            <w:vAlign w:val="center"/>
          </w:tcPr>
          <w:p w14:paraId="29FE1E7A">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制造商企业类型</w:t>
            </w:r>
          </w:p>
        </w:tc>
        <w:tc>
          <w:tcPr>
            <w:tcW w:w="1185" w:type="dxa"/>
            <w:vAlign w:val="center"/>
          </w:tcPr>
          <w:p w14:paraId="663D9394">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节能产品</w:t>
            </w:r>
          </w:p>
        </w:tc>
        <w:tc>
          <w:tcPr>
            <w:tcW w:w="1185" w:type="dxa"/>
            <w:vAlign w:val="center"/>
          </w:tcPr>
          <w:p w14:paraId="723B10F3">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环境标志产品</w:t>
            </w:r>
          </w:p>
        </w:tc>
        <w:tc>
          <w:tcPr>
            <w:tcW w:w="1185" w:type="dxa"/>
            <w:vAlign w:val="center"/>
          </w:tcPr>
          <w:p w14:paraId="59FD0697">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认证证书编号</w:t>
            </w:r>
          </w:p>
        </w:tc>
        <w:tc>
          <w:tcPr>
            <w:tcW w:w="1217" w:type="dxa"/>
            <w:vAlign w:val="center"/>
          </w:tcPr>
          <w:p w14:paraId="31811521">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该产品报价在总报价中占比（%）</w:t>
            </w:r>
          </w:p>
        </w:tc>
      </w:tr>
      <w:tr w14:paraId="563B82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9" w:hRule="atLeast"/>
          <w:jc w:val="center"/>
        </w:trPr>
        <w:tc>
          <w:tcPr>
            <w:tcW w:w="1196" w:type="dxa"/>
            <w:vAlign w:val="center"/>
          </w:tcPr>
          <w:p w14:paraId="71E2D503">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07" w:type="dxa"/>
            <w:vAlign w:val="center"/>
          </w:tcPr>
          <w:p w14:paraId="6111AA96">
            <w:pPr>
              <w:shd w:val="clear"/>
              <w:jc w:val="center"/>
              <w:rPr>
                <w:rFonts w:hint="eastAsia" w:ascii="宋体" w:hAnsi="宋体" w:eastAsia="宋体" w:cs="宋体"/>
                <w:color w:val="auto"/>
                <w:sz w:val="21"/>
                <w:szCs w:val="21"/>
                <w:highlight w:val="none"/>
              </w:rPr>
            </w:pPr>
          </w:p>
        </w:tc>
        <w:tc>
          <w:tcPr>
            <w:tcW w:w="1196" w:type="dxa"/>
            <w:vAlign w:val="center"/>
          </w:tcPr>
          <w:p w14:paraId="649D810E">
            <w:pPr>
              <w:shd w:val="clear"/>
              <w:jc w:val="center"/>
              <w:rPr>
                <w:rFonts w:hint="eastAsia" w:ascii="宋体" w:hAnsi="宋体" w:eastAsia="宋体" w:cs="宋体"/>
                <w:color w:val="auto"/>
                <w:sz w:val="21"/>
                <w:szCs w:val="21"/>
                <w:highlight w:val="none"/>
              </w:rPr>
            </w:pPr>
          </w:p>
        </w:tc>
        <w:tc>
          <w:tcPr>
            <w:tcW w:w="1185" w:type="dxa"/>
            <w:vAlign w:val="center"/>
          </w:tcPr>
          <w:p w14:paraId="10A7E4DD">
            <w:pPr>
              <w:shd w:val="clear"/>
              <w:jc w:val="center"/>
              <w:rPr>
                <w:rFonts w:hint="eastAsia" w:ascii="宋体" w:hAnsi="宋体" w:eastAsia="宋体" w:cs="宋体"/>
                <w:color w:val="auto"/>
                <w:sz w:val="21"/>
                <w:szCs w:val="21"/>
                <w:highlight w:val="none"/>
              </w:rPr>
            </w:pPr>
          </w:p>
        </w:tc>
        <w:tc>
          <w:tcPr>
            <w:tcW w:w="1185" w:type="dxa"/>
            <w:vAlign w:val="center"/>
          </w:tcPr>
          <w:p w14:paraId="18FDC953">
            <w:pPr>
              <w:shd w:val="clear"/>
              <w:jc w:val="center"/>
              <w:rPr>
                <w:rFonts w:hint="eastAsia" w:ascii="宋体" w:hAnsi="宋体" w:eastAsia="宋体" w:cs="宋体"/>
                <w:color w:val="auto"/>
                <w:sz w:val="21"/>
                <w:szCs w:val="21"/>
                <w:highlight w:val="none"/>
              </w:rPr>
            </w:pPr>
          </w:p>
        </w:tc>
        <w:tc>
          <w:tcPr>
            <w:tcW w:w="1185" w:type="dxa"/>
            <w:vAlign w:val="center"/>
          </w:tcPr>
          <w:p w14:paraId="6B80ADF1">
            <w:pPr>
              <w:shd w:val="clear"/>
              <w:jc w:val="center"/>
              <w:rPr>
                <w:rFonts w:hint="eastAsia" w:ascii="宋体" w:hAnsi="宋体" w:eastAsia="宋体" w:cs="宋体"/>
                <w:color w:val="auto"/>
                <w:sz w:val="21"/>
                <w:szCs w:val="21"/>
                <w:highlight w:val="none"/>
              </w:rPr>
            </w:pPr>
          </w:p>
        </w:tc>
        <w:tc>
          <w:tcPr>
            <w:tcW w:w="1185" w:type="dxa"/>
            <w:vAlign w:val="center"/>
          </w:tcPr>
          <w:p w14:paraId="2E700EE8">
            <w:pPr>
              <w:shd w:val="clear"/>
              <w:jc w:val="center"/>
              <w:rPr>
                <w:rFonts w:hint="eastAsia" w:ascii="宋体" w:hAnsi="宋体" w:eastAsia="宋体" w:cs="宋体"/>
                <w:color w:val="auto"/>
                <w:sz w:val="21"/>
                <w:szCs w:val="21"/>
                <w:highlight w:val="none"/>
              </w:rPr>
            </w:pPr>
          </w:p>
        </w:tc>
        <w:tc>
          <w:tcPr>
            <w:tcW w:w="1217" w:type="dxa"/>
            <w:vAlign w:val="center"/>
          </w:tcPr>
          <w:p w14:paraId="7A4108E8">
            <w:pPr>
              <w:shd w:val="clear"/>
              <w:jc w:val="center"/>
              <w:rPr>
                <w:rFonts w:hint="eastAsia" w:ascii="宋体" w:hAnsi="宋体" w:eastAsia="宋体" w:cs="宋体"/>
                <w:color w:val="auto"/>
                <w:sz w:val="21"/>
                <w:szCs w:val="21"/>
                <w:highlight w:val="none"/>
              </w:rPr>
            </w:pPr>
          </w:p>
        </w:tc>
      </w:tr>
      <w:tr w14:paraId="2964B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9" w:hRule="atLeast"/>
          <w:jc w:val="center"/>
        </w:trPr>
        <w:tc>
          <w:tcPr>
            <w:tcW w:w="1196" w:type="dxa"/>
            <w:vAlign w:val="center"/>
          </w:tcPr>
          <w:p w14:paraId="28521D27">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07" w:type="dxa"/>
            <w:vAlign w:val="center"/>
          </w:tcPr>
          <w:p w14:paraId="19DB4C0A">
            <w:pPr>
              <w:shd w:val="clear"/>
              <w:jc w:val="center"/>
              <w:rPr>
                <w:rFonts w:hint="eastAsia" w:ascii="宋体" w:hAnsi="宋体" w:eastAsia="宋体" w:cs="宋体"/>
                <w:color w:val="auto"/>
                <w:sz w:val="21"/>
                <w:szCs w:val="21"/>
                <w:highlight w:val="none"/>
              </w:rPr>
            </w:pPr>
          </w:p>
        </w:tc>
        <w:tc>
          <w:tcPr>
            <w:tcW w:w="1196" w:type="dxa"/>
            <w:vAlign w:val="center"/>
          </w:tcPr>
          <w:p w14:paraId="5CDB3D83">
            <w:pPr>
              <w:shd w:val="clear"/>
              <w:jc w:val="center"/>
              <w:rPr>
                <w:rFonts w:hint="eastAsia" w:ascii="宋体" w:hAnsi="宋体" w:eastAsia="宋体" w:cs="宋体"/>
                <w:color w:val="auto"/>
                <w:sz w:val="21"/>
                <w:szCs w:val="21"/>
                <w:highlight w:val="none"/>
              </w:rPr>
            </w:pPr>
          </w:p>
        </w:tc>
        <w:tc>
          <w:tcPr>
            <w:tcW w:w="1185" w:type="dxa"/>
            <w:vAlign w:val="center"/>
          </w:tcPr>
          <w:p w14:paraId="611955CA">
            <w:pPr>
              <w:shd w:val="clear"/>
              <w:jc w:val="center"/>
              <w:rPr>
                <w:rFonts w:hint="eastAsia" w:ascii="宋体" w:hAnsi="宋体" w:eastAsia="宋体" w:cs="宋体"/>
                <w:color w:val="auto"/>
                <w:sz w:val="21"/>
                <w:szCs w:val="21"/>
                <w:highlight w:val="none"/>
              </w:rPr>
            </w:pPr>
          </w:p>
        </w:tc>
        <w:tc>
          <w:tcPr>
            <w:tcW w:w="1185" w:type="dxa"/>
            <w:vAlign w:val="center"/>
          </w:tcPr>
          <w:p w14:paraId="270878F9">
            <w:pPr>
              <w:shd w:val="clear"/>
              <w:jc w:val="center"/>
              <w:rPr>
                <w:rFonts w:hint="eastAsia" w:ascii="宋体" w:hAnsi="宋体" w:eastAsia="宋体" w:cs="宋体"/>
                <w:color w:val="auto"/>
                <w:sz w:val="21"/>
                <w:szCs w:val="21"/>
                <w:highlight w:val="none"/>
              </w:rPr>
            </w:pPr>
          </w:p>
        </w:tc>
        <w:tc>
          <w:tcPr>
            <w:tcW w:w="1185" w:type="dxa"/>
            <w:vAlign w:val="center"/>
          </w:tcPr>
          <w:p w14:paraId="3523A4A2">
            <w:pPr>
              <w:shd w:val="clear"/>
              <w:jc w:val="center"/>
              <w:rPr>
                <w:rFonts w:hint="eastAsia" w:ascii="宋体" w:hAnsi="宋体" w:eastAsia="宋体" w:cs="宋体"/>
                <w:color w:val="auto"/>
                <w:sz w:val="21"/>
                <w:szCs w:val="21"/>
                <w:highlight w:val="none"/>
              </w:rPr>
            </w:pPr>
          </w:p>
        </w:tc>
        <w:tc>
          <w:tcPr>
            <w:tcW w:w="1185" w:type="dxa"/>
            <w:vAlign w:val="center"/>
          </w:tcPr>
          <w:p w14:paraId="46001CF9">
            <w:pPr>
              <w:shd w:val="clear"/>
              <w:jc w:val="center"/>
              <w:rPr>
                <w:rFonts w:hint="eastAsia" w:ascii="宋体" w:hAnsi="宋体" w:eastAsia="宋体" w:cs="宋体"/>
                <w:color w:val="auto"/>
                <w:sz w:val="21"/>
                <w:szCs w:val="21"/>
                <w:highlight w:val="none"/>
              </w:rPr>
            </w:pPr>
          </w:p>
        </w:tc>
        <w:tc>
          <w:tcPr>
            <w:tcW w:w="1217" w:type="dxa"/>
            <w:vAlign w:val="center"/>
          </w:tcPr>
          <w:p w14:paraId="4A618A0E">
            <w:pPr>
              <w:shd w:val="clear"/>
              <w:jc w:val="center"/>
              <w:rPr>
                <w:rFonts w:hint="eastAsia" w:ascii="宋体" w:hAnsi="宋体" w:eastAsia="宋体" w:cs="宋体"/>
                <w:color w:val="auto"/>
                <w:sz w:val="21"/>
                <w:szCs w:val="21"/>
                <w:highlight w:val="none"/>
              </w:rPr>
            </w:pPr>
          </w:p>
        </w:tc>
      </w:tr>
      <w:tr w14:paraId="42252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9" w:hRule="atLeast"/>
          <w:jc w:val="center"/>
        </w:trPr>
        <w:tc>
          <w:tcPr>
            <w:tcW w:w="1196" w:type="dxa"/>
            <w:vAlign w:val="center"/>
          </w:tcPr>
          <w:p w14:paraId="7F07030B">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07" w:type="dxa"/>
            <w:vAlign w:val="center"/>
          </w:tcPr>
          <w:p w14:paraId="7AFA99EE">
            <w:pPr>
              <w:shd w:val="clear"/>
              <w:jc w:val="center"/>
              <w:rPr>
                <w:rFonts w:hint="eastAsia" w:ascii="宋体" w:hAnsi="宋体" w:eastAsia="宋体" w:cs="宋体"/>
                <w:color w:val="auto"/>
                <w:sz w:val="21"/>
                <w:szCs w:val="21"/>
                <w:highlight w:val="none"/>
              </w:rPr>
            </w:pPr>
          </w:p>
        </w:tc>
        <w:tc>
          <w:tcPr>
            <w:tcW w:w="1196" w:type="dxa"/>
            <w:vAlign w:val="center"/>
          </w:tcPr>
          <w:p w14:paraId="3B225023">
            <w:pPr>
              <w:shd w:val="clear"/>
              <w:jc w:val="center"/>
              <w:rPr>
                <w:rFonts w:hint="eastAsia" w:ascii="宋体" w:hAnsi="宋体" w:eastAsia="宋体" w:cs="宋体"/>
                <w:color w:val="auto"/>
                <w:sz w:val="21"/>
                <w:szCs w:val="21"/>
                <w:highlight w:val="none"/>
              </w:rPr>
            </w:pPr>
          </w:p>
        </w:tc>
        <w:tc>
          <w:tcPr>
            <w:tcW w:w="1185" w:type="dxa"/>
            <w:vAlign w:val="center"/>
          </w:tcPr>
          <w:p w14:paraId="639BEC42">
            <w:pPr>
              <w:shd w:val="clear"/>
              <w:jc w:val="center"/>
              <w:rPr>
                <w:rFonts w:hint="eastAsia" w:ascii="宋体" w:hAnsi="宋体" w:eastAsia="宋体" w:cs="宋体"/>
                <w:color w:val="auto"/>
                <w:sz w:val="21"/>
                <w:szCs w:val="21"/>
                <w:highlight w:val="none"/>
              </w:rPr>
            </w:pPr>
          </w:p>
        </w:tc>
        <w:tc>
          <w:tcPr>
            <w:tcW w:w="1185" w:type="dxa"/>
            <w:vAlign w:val="center"/>
          </w:tcPr>
          <w:p w14:paraId="380F4953">
            <w:pPr>
              <w:shd w:val="clear"/>
              <w:jc w:val="center"/>
              <w:rPr>
                <w:rFonts w:hint="eastAsia" w:ascii="宋体" w:hAnsi="宋体" w:eastAsia="宋体" w:cs="宋体"/>
                <w:color w:val="auto"/>
                <w:sz w:val="21"/>
                <w:szCs w:val="21"/>
                <w:highlight w:val="none"/>
              </w:rPr>
            </w:pPr>
          </w:p>
        </w:tc>
        <w:tc>
          <w:tcPr>
            <w:tcW w:w="1185" w:type="dxa"/>
            <w:vAlign w:val="center"/>
          </w:tcPr>
          <w:p w14:paraId="7A003421">
            <w:pPr>
              <w:shd w:val="clear"/>
              <w:jc w:val="center"/>
              <w:rPr>
                <w:rFonts w:hint="eastAsia" w:ascii="宋体" w:hAnsi="宋体" w:eastAsia="宋体" w:cs="宋体"/>
                <w:color w:val="auto"/>
                <w:sz w:val="21"/>
                <w:szCs w:val="21"/>
                <w:highlight w:val="none"/>
              </w:rPr>
            </w:pPr>
          </w:p>
        </w:tc>
        <w:tc>
          <w:tcPr>
            <w:tcW w:w="1185" w:type="dxa"/>
            <w:vAlign w:val="center"/>
          </w:tcPr>
          <w:p w14:paraId="015A7255">
            <w:pPr>
              <w:shd w:val="clear"/>
              <w:jc w:val="center"/>
              <w:rPr>
                <w:rFonts w:hint="eastAsia" w:ascii="宋体" w:hAnsi="宋体" w:eastAsia="宋体" w:cs="宋体"/>
                <w:color w:val="auto"/>
                <w:sz w:val="21"/>
                <w:szCs w:val="21"/>
                <w:highlight w:val="none"/>
              </w:rPr>
            </w:pPr>
          </w:p>
        </w:tc>
        <w:tc>
          <w:tcPr>
            <w:tcW w:w="1217" w:type="dxa"/>
            <w:vAlign w:val="center"/>
          </w:tcPr>
          <w:p w14:paraId="0053160A">
            <w:pPr>
              <w:shd w:val="clear"/>
              <w:jc w:val="center"/>
              <w:rPr>
                <w:rFonts w:hint="eastAsia" w:ascii="宋体" w:hAnsi="宋体" w:eastAsia="宋体" w:cs="宋体"/>
                <w:color w:val="auto"/>
                <w:sz w:val="21"/>
                <w:szCs w:val="21"/>
                <w:highlight w:val="none"/>
              </w:rPr>
            </w:pPr>
          </w:p>
        </w:tc>
      </w:tr>
      <w:tr w14:paraId="7BAF71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9" w:hRule="atLeast"/>
          <w:jc w:val="center"/>
        </w:trPr>
        <w:tc>
          <w:tcPr>
            <w:tcW w:w="1196" w:type="dxa"/>
            <w:vAlign w:val="center"/>
          </w:tcPr>
          <w:p w14:paraId="52C2A813">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07" w:type="dxa"/>
            <w:vAlign w:val="center"/>
          </w:tcPr>
          <w:p w14:paraId="15807D7E">
            <w:pPr>
              <w:shd w:val="clear"/>
              <w:jc w:val="center"/>
              <w:rPr>
                <w:rFonts w:hint="eastAsia" w:ascii="宋体" w:hAnsi="宋体" w:eastAsia="宋体" w:cs="宋体"/>
                <w:color w:val="auto"/>
                <w:sz w:val="21"/>
                <w:szCs w:val="21"/>
                <w:highlight w:val="none"/>
              </w:rPr>
            </w:pPr>
          </w:p>
        </w:tc>
        <w:tc>
          <w:tcPr>
            <w:tcW w:w="1196" w:type="dxa"/>
            <w:vAlign w:val="center"/>
          </w:tcPr>
          <w:p w14:paraId="25293478">
            <w:pPr>
              <w:shd w:val="clear"/>
              <w:jc w:val="center"/>
              <w:rPr>
                <w:rFonts w:hint="eastAsia" w:ascii="宋体" w:hAnsi="宋体" w:eastAsia="宋体" w:cs="宋体"/>
                <w:color w:val="auto"/>
                <w:sz w:val="21"/>
                <w:szCs w:val="21"/>
                <w:highlight w:val="none"/>
              </w:rPr>
            </w:pPr>
          </w:p>
        </w:tc>
        <w:tc>
          <w:tcPr>
            <w:tcW w:w="1185" w:type="dxa"/>
            <w:vAlign w:val="center"/>
          </w:tcPr>
          <w:p w14:paraId="6D84CBF3">
            <w:pPr>
              <w:shd w:val="clear"/>
              <w:jc w:val="center"/>
              <w:rPr>
                <w:rFonts w:hint="eastAsia" w:ascii="宋体" w:hAnsi="宋体" w:eastAsia="宋体" w:cs="宋体"/>
                <w:color w:val="auto"/>
                <w:sz w:val="21"/>
                <w:szCs w:val="21"/>
                <w:highlight w:val="none"/>
              </w:rPr>
            </w:pPr>
          </w:p>
        </w:tc>
        <w:tc>
          <w:tcPr>
            <w:tcW w:w="1185" w:type="dxa"/>
            <w:vAlign w:val="center"/>
          </w:tcPr>
          <w:p w14:paraId="01DE40E9">
            <w:pPr>
              <w:shd w:val="clear"/>
              <w:jc w:val="center"/>
              <w:rPr>
                <w:rFonts w:hint="eastAsia" w:ascii="宋体" w:hAnsi="宋体" w:eastAsia="宋体" w:cs="宋体"/>
                <w:color w:val="auto"/>
                <w:sz w:val="21"/>
                <w:szCs w:val="21"/>
                <w:highlight w:val="none"/>
              </w:rPr>
            </w:pPr>
          </w:p>
        </w:tc>
        <w:tc>
          <w:tcPr>
            <w:tcW w:w="1185" w:type="dxa"/>
            <w:vAlign w:val="center"/>
          </w:tcPr>
          <w:p w14:paraId="1658C0FB">
            <w:pPr>
              <w:shd w:val="clear"/>
              <w:jc w:val="center"/>
              <w:rPr>
                <w:rFonts w:hint="eastAsia" w:ascii="宋体" w:hAnsi="宋体" w:eastAsia="宋体" w:cs="宋体"/>
                <w:color w:val="auto"/>
                <w:sz w:val="21"/>
                <w:szCs w:val="21"/>
                <w:highlight w:val="none"/>
              </w:rPr>
            </w:pPr>
          </w:p>
        </w:tc>
        <w:tc>
          <w:tcPr>
            <w:tcW w:w="1185" w:type="dxa"/>
            <w:vAlign w:val="center"/>
          </w:tcPr>
          <w:p w14:paraId="4979C874">
            <w:pPr>
              <w:shd w:val="clear"/>
              <w:jc w:val="center"/>
              <w:rPr>
                <w:rFonts w:hint="eastAsia" w:ascii="宋体" w:hAnsi="宋体" w:eastAsia="宋体" w:cs="宋体"/>
                <w:color w:val="auto"/>
                <w:sz w:val="21"/>
                <w:szCs w:val="21"/>
                <w:highlight w:val="none"/>
              </w:rPr>
            </w:pPr>
          </w:p>
        </w:tc>
        <w:tc>
          <w:tcPr>
            <w:tcW w:w="1217" w:type="dxa"/>
            <w:vAlign w:val="center"/>
          </w:tcPr>
          <w:p w14:paraId="6EE732D8">
            <w:pPr>
              <w:shd w:val="clear"/>
              <w:jc w:val="center"/>
              <w:rPr>
                <w:rFonts w:hint="eastAsia" w:ascii="宋体" w:hAnsi="宋体" w:eastAsia="宋体" w:cs="宋体"/>
                <w:color w:val="auto"/>
                <w:sz w:val="21"/>
                <w:szCs w:val="21"/>
                <w:highlight w:val="none"/>
              </w:rPr>
            </w:pPr>
          </w:p>
        </w:tc>
      </w:tr>
      <w:tr w14:paraId="2554D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9" w:hRule="atLeast"/>
          <w:jc w:val="center"/>
        </w:trPr>
        <w:tc>
          <w:tcPr>
            <w:tcW w:w="1196" w:type="dxa"/>
            <w:vAlign w:val="center"/>
          </w:tcPr>
          <w:p w14:paraId="11F68A3A">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07" w:type="dxa"/>
            <w:vAlign w:val="center"/>
          </w:tcPr>
          <w:p w14:paraId="4200F81E">
            <w:pPr>
              <w:shd w:val="clear"/>
              <w:jc w:val="center"/>
              <w:rPr>
                <w:rFonts w:hint="eastAsia" w:ascii="宋体" w:hAnsi="宋体" w:eastAsia="宋体" w:cs="宋体"/>
                <w:color w:val="auto"/>
                <w:sz w:val="21"/>
                <w:szCs w:val="21"/>
                <w:highlight w:val="none"/>
              </w:rPr>
            </w:pPr>
          </w:p>
        </w:tc>
        <w:tc>
          <w:tcPr>
            <w:tcW w:w="1196" w:type="dxa"/>
            <w:vAlign w:val="center"/>
          </w:tcPr>
          <w:p w14:paraId="0BFC8CF1">
            <w:pPr>
              <w:shd w:val="clear"/>
              <w:jc w:val="center"/>
              <w:rPr>
                <w:rFonts w:hint="eastAsia" w:ascii="宋体" w:hAnsi="宋体" w:eastAsia="宋体" w:cs="宋体"/>
                <w:color w:val="auto"/>
                <w:sz w:val="21"/>
                <w:szCs w:val="21"/>
                <w:highlight w:val="none"/>
              </w:rPr>
            </w:pPr>
          </w:p>
        </w:tc>
        <w:tc>
          <w:tcPr>
            <w:tcW w:w="1185" w:type="dxa"/>
            <w:vAlign w:val="center"/>
          </w:tcPr>
          <w:p w14:paraId="629E4769">
            <w:pPr>
              <w:shd w:val="clear"/>
              <w:jc w:val="center"/>
              <w:rPr>
                <w:rFonts w:hint="eastAsia" w:ascii="宋体" w:hAnsi="宋体" w:eastAsia="宋体" w:cs="宋体"/>
                <w:color w:val="auto"/>
                <w:sz w:val="21"/>
                <w:szCs w:val="21"/>
                <w:highlight w:val="none"/>
              </w:rPr>
            </w:pPr>
          </w:p>
        </w:tc>
        <w:tc>
          <w:tcPr>
            <w:tcW w:w="1185" w:type="dxa"/>
            <w:vAlign w:val="center"/>
          </w:tcPr>
          <w:p w14:paraId="75998669">
            <w:pPr>
              <w:shd w:val="clear"/>
              <w:jc w:val="center"/>
              <w:rPr>
                <w:rFonts w:hint="eastAsia" w:ascii="宋体" w:hAnsi="宋体" w:eastAsia="宋体" w:cs="宋体"/>
                <w:color w:val="auto"/>
                <w:sz w:val="21"/>
                <w:szCs w:val="21"/>
                <w:highlight w:val="none"/>
              </w:rPr>
            </w:pPr>
          </w:p>
        </w:tc>
        <w:tc>
          <w:tcPr>
            <w:tcW w:w="1185" w:type="dxa"/>
            <w:vAlign w:val="center"/>
          </w:tcPr>
          <w:p w14:paraId="21D0122A">
            <w:pPr>
              <w:shd w:val="clear"/>
              <w:jc w:val="center"/>
              <w:rPr>
                <w:rFonts w:hint="eastAsia" w:ascii="宋体" w:hAnsi="宋体" w:eastAsia="宋体" w:cs="宋体"/>
                <w:color w:val="auto"/>
                <w:sz w:val="21"/>
                <w:szCs w:val="21"/>
                <w:highlight w:val="none"/>
              </w:rPr>
            </w:pPr>
          </w:p>
        </w:tc>
        <w:tc>
          <w:tcPr>
            <w:tcW w:w="1185" w:type="dxa"/>
            <w:vAlign w:val="center"/>
          </w:tcPr>
          <w:p w14:paraId="309F5BF7">
            <w:pPr>
              <w:shd w:val="clear"/>
              <w:jc w:val="center"/>
              <w:rPr>
                <w:rFonts w:hint="eastAsia" w:ascii="宋体" w:hAnsi="宋体" w:eastAsia="宋体" w:cs="宋体"/>
                <w:color w:val="auto"/>
                <w:sz w:val="21"/>
                <w:szCs w:val="21"/>
                <w:highlight w:val="none"/>
              </w:rPr>
            </w:pPr>
          </w:p>
        </w:tc>
        <w:tc>
          <w:tcPr>
            <w:tcW w:w="1217" w:type="dxa"/>
            <w:vAlign w:val="center"/>
          </w:tcPr>
          <w:p w14:paraId="0EBFB19A">
            <w:pPr>
              <w:shd w:val="clear"/>
              <w:jc w:val="center"/>
              <w:rPr>
                <w:rFonts w:hint="eastAsia" w:ascii="宋体" w:hAnsi="宋体" w:eastAsia="宋体" w:cs="宋体"/>
                <w:color w:val="auto"/>
                <w:sz w:val="21"/>
                <w:szCs w:val="21"/>
                <w:highlight w:val="none"/>
              </w:rPr>
            </w:pPr>
          </w:p>
        </w:tc>
      </w:tr>
      <w:tr w14:paraId="2AF762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0" w:hRule="atLeast"/>
          <w:jc w:val="center"/>
        </w:trPr>
        <w:tc>
          <w:tcPr>
            <w:tcW w:w="1196" w:type="dxa"/>
            <w:vAlign w:val="center"/>
          </w:tcPr>
          <w:p w14:paraId="221C4175">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07" w:type="dxa"/>
            <w:vAlign w:val="center"/>
          </w:tcPr>
          <w:p w14:paraId="26ADA7AB">
            <w:pPr>
              <w:shd w:val="clear"/>
              <w:jc w:val="center"/>
              <w:rPr>
                <w:rFonts w:hint="eastAsia" w:ascii="宋体" w:hAnsi="宋体" w:eastAsia="宋体" w:cs="宋体"/>
                <w:color w:val="auto"/>
                <w:sz w:val="21"/>
                <w:szCs w:val="21"/>
                <w:highlight w:val="none"/>
              </w:rPr>
            </w:pPr>
          </w:p>
        </w:tc>
        <w:tc>
          <w:tcPr>
            <w:tcW w:w="1196" w:type="dxa"/>
            <w:vAlign w:val="center"/>
          </w:tcPr>
          <w:p w14:paraId="29FD6803">
            <w:pPr>
              <w:shd w:val="clear"/>
              <w:jc w:val="center"/>
              <w:rPr>
                <w:rFonts w:hint="eastAsia" w:ascii="宋体" w:hAnsi="宋体" w:eastAsia="宋体" w:cs="宋体"/>
                <w:color w:val="auto"/>
                <w:sz w:val="21"/>
                <w:szCs w:val="21"/>
                <w:highlight w:val="none"/>
              </w:rPr>
            </w:pPr>
          </w:p>
        </w:tc>
        <w:tc>
          <w:tcPr>
            <w:tcW w:w="1185" w:type="dxa"/>
            <w:vAlign w:val="center"/>
          </w:tcPr>
          <w:p w14:paraId="28A5C5CD">
            <w:pPr>
              <w:shd w:val="clear"/>
              <w:jc w:val="center"/>
              <w:rPr>
                <w:rFonts w:hint="eastAsia" w:ascii="宋体" w:hAnsi="宋体" w:eastAsia="宋体" w:cs="宋体"/>
                <w:color w:val="auto"/>
                <w:sz w:val="21"/>
                <w:szCs w:val="21"/>
                <w:highlight w:val="none"/>
              </w:rPr>
            </w:pPr>
          </w:p>
        </w:tc>
        <w:tc>
          <w:tcPr>
            <w:tcW w:w="1185" w:type="dxa"/>
            <w:vAlign w:val="center"/>
          </w:tcPr>
          <w:p w14:paraId="284A99A2">
            <w:pPr>
              <w:shd w:val="clear"/>
              <w:jc w:val="center"/>
              <w:rPr>
                <w:rFonts w:hint="eastAsia" w:ascii="宋体" w:hAnsi="宋体" w:eastAsia="宋体" w:cs="宋体"/>
                <w:color w:val="auto"/>
                <w:sz w:val="21"/>
                <w:szCs w:val="21"/>
                <w:highlight w:val="none"/>
              </w:rPr>
            </w:pPr>
          </w:p>
        </w:tc>
        <w:tc>
          <w:tcPr>
            <w:tcW w:w="1185" w:type="dxa"/>
            <w:vAlign w:val="center"/>
          </w:tcPr>
          <w:p w14:paraId="4B9EE97A">
            <w:pPr>
              <w:shd w:val="clear"/>
              <w:jc w:val="center"/>
              <w:rPr>
                <w:rFonts w:hint="eastAsia" w:ascii="宋体" w:hAnsi="宋体" w:eastAsia="宋体" w:cs="宋体"/>
                <w:color w:val="auto"/>
                <w:sz w:val="21"/>
                <w:szCs w:val="21"/>
                <w:highlight w:val="none"/>
              </w:rPr>
            </w:pPr>
          </w:p>
        </w:tc>
        <w:tc>
          <w:tcPr>
            <w:tcW w:w="1185" w:type="dxa"/>
            <w:vAlign w:val="center"/>
          </w:tcPr>
          <w:p w14:paraId="17C93524">
            <w:pPr>
              <w:shd w:val="clear"/>
              <w:jc w:val="center"/>
              <w:rPr>
                <w:rFonts w:hint="eastAsia" w:ascii="宋体" w:hAnsi="宋体" w:eastAsia="宋体" w:cs="宋体"/>
                <w:color w:val="auto"/>
                <w:sz w:val="21"/>
                <w:szCs w:val="21"/>
                <w:highlight w:val="none"/>
              </w:rPr>
            </w:pPr>
          </w:p>
        </w:tc>
        <w:tc>
          <w:tcPr>
            <w:tcW w:w="1217" w:type="dxa"/>
            <w:vAlign w:val="center"/>
          </w:tcPr>
          <w:p w14:paraId="78830984">
            <w:pPr>
              <w:shd w:val="clear"/>
              <w:jc w:val="center"/>
              <w:rPr>
                <w:rFonts w:hint="eastAsia" w:ascii="宋体" w:hAnsi="宋体" w:eastAsia="宋体" w:cs="宋体"/>
                <w:color w:val="auto"/>
                <w:sz w:val="21"/>
                <w:szCs w:val="21"/>
                <w:highlight w:val="none"/>
              </w:rPr>
            </w:pPr>
          </w:p>
        </w:tc>
      </w:tr>
    </w:tbl>
    <w:p w14:paraId="353C0394">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注：</w:t>
      </w:r>
    </w:p>
    <w:p w14:paraId="2D057773">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1.制造商为小型或微型企业时才需要填“制造商企业类型”栏,填写内容为“小型”或“微型”；</w:t>
      </w:r>
    </w:p>
    <w:p w14:paraId="64C33B3D">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rPr>
        <w:t>2.“节能产品、环境标志产品”须填写认证证书编号，并在对应“节能产品”、“环境标志产品”栏中勾选，同时提供有效期内的</w:t>
      </w:r>
      <w:r>
        <w:rPr>
          <w:rFonts w:hint="eastAsia" w:ascii="宋体" w:hAnsi="宋体" w:eastAsia="宋体" w:cs="宋体"/>
          <w:b w:val="0"/>
          <w:bCs w:val="0"/>
          <w:color w:val="auto"/>
          <w:sz w:val="18"/>
          <w:szCs w:val="18"/>
          <w:highlight w:val="none"/>
          <w:lang w:val="en-US" w:eastAsia="zh-CN"/>
        </w:rPr>
        <w:t xml:space="preserve">国家确定的认证机构出具的处于有效期之内的节能产品、环境标志产品认证证书扫描件，并填写证书号（节能产品、环境标志产品相关信息可于中国政府采购网（www.ccgp.gov.cn）查询）； </w:t>
      </w:r>
    </w:p>
    <w:p w14:paraId="534625DB">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3.投标人没有上述适用性说明的产品可以空白不填。盖章签字即可。</w:t>
      </w:r>
    </w:p>
    <w:p w14:paraId="44B3F3C0">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4.最终报价中“该产品报价占总报价比重”视作不变。 </w:t>
      </w:r>
    </w:p>
    <w:p w14:paraId="1A861E2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5816C93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649AF87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410264F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78F7AE8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4B75800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0B69C1A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35A8F5B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6E4CBCE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2C0A733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086DF426">
      <w:pPr>
        <w:rPr>
          <w:rFonts w:hint="eastAsia" w:ascii="宋体" w:hAnsi="宋体" w:eastAsia="宋体" w:cs="宋体"/>
          <w:color w:val="auto"/>
          <w:sz w:val="28"/>
          <w:szCs w:val="28"/>
          <w:highlight w:val="none"/>
          <w:lang w:val="en-US" w:eastAsia="zh-CN"/>
        </w:rPr>
      </w:pPr>
      <w:bookmarkStart w:id="346" w:name="_Toc22819"/>
      <w:bookmarkStart w:id="347" w:name="_Toc23334"/>
      <w:r>
        <w:rPr>
          <w:rFonts w:hint="eastAsia" w:ascii="宋体" w:hAnsi="宋体" w:eastAsia="宋体" w:cs="宋体"/>
          <w:color w:val="auto"/>
          <w:sz w:val="28"/>
          <w:szCs w:val="28"/>
          <w:highlight w:val="none"/>
          <w:lang w:val="en-US" w:eastAsia="zh-CN"/>
        </w:rPr>
        <w:br w:type="page"/>
      </w:r>
    </w:p>
    <w:p w14:paraId="7AD04D27">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附件3  法定代表人身份证明</w:t>
      </w:r>
      <w:bookmarkEnd w:id="346"/>
      <w:bookmarkEnd w:id="347"/>
    </w:p>
    <w:p w14:paraId="7A5F42D8">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法定代表人身份证明</w:t>
      </w:r>
    </w:p>
    <w:p w14:paraId="5B6A57D3">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416FBF45">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27ECFFA5">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单位性质：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640A83CA">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地    址： </w:t>
      </w:r>
      <w:r>
        <w:rPr>
          <w:rFonts w:hint="eastAsia" w:ascii="宋体" w:hAnsi="宋体" w:eastAsia="宋体" w:cs="宋体"/>
          <w:color w:val="auto"/>
          <w:kern w:val="0"/>
          <w:sz w:val="21"/>
          <w:szCs w:val="21"/>
          <w:highlight w:val="none"/>
          <w:u w:val="single"/>
        </w:rPr>
        <w:t xml:space="preserve">                       </w:t>
      </w:r>
    </w:p>
    <w:p w14:paraId="0769FD5B">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成立时间：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14:paraId="380CFFBF">
      <w:pPr>
        <w:shd w:val="clear"/>
        <w:autoSpaceDE w:val="0"/>
        <w:autoSpaceDN w:val="0"/>
        <w:adjustRightInd w:val="0"/>
        <w:spacing w:line="360" w:lineRule="auto"/>
        <w:jc w:val="left"/>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rPr>
        <w:t>经营期限：</w:t>
      </w:r>
      <w:r>
        <w:rPr>
          <w:rFonts w:hint="eastAsia" w:ascii="宋体" w:hAnsi="宋体" w:eastAsia="宋体" w:cs="宋体"/>
          <w:color w:val="auto"/>
          <w:kern w:val="0"/>
          <w:sz w:val="21"/>
          <w:szCs w:val="21"/>
          <w:highlight w:val="none"/>
          <w:u w:val="single"/>
          <w:lang w:val="en-US" w:eastAsia="zh-CN"/>
        </w:rPr>
        <w:t xml:space="preserve">                      </w:t>
      </w:r>
    </w:p>
    <w:p w14:paraId="1A6DB886">
      <w:pPr>
        <w:keepNext w:val="0"/>
        <w:keepLines w:val="0"/>
        <w:pageBreakBefore w:val="0"/>
        <w:widowControl w:val="0"/>
        <w:shd w:val="clear"/>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none"/>
          <w:lang w:val="en-US" w:eastAsia="zh-CN"/>
        </w:rPr>
        <w:t>经营范围：</w:t>
      </w:r>
      <w:r>
        <w:rPr>
          <w:rFonts w:hint="eastAsia" w:ascii="宋体" w:hAnsi="宋体" w:eastAsia="宋体" w:cs="宋体"/>
          <w:color w:val="auto"/>
          <w:kern w:val="0"/>
          <w:sz w:val="21"/>
          <w:szCs w:val="21"/>
          <w:highlight w:val="none"/>
          <w:u w:val="single"/>
          <w:lang w:val="en-US" w:eastAsia="zh-CN"/>
        </w:rPr>
        <w:t xml:space="preserve">                      </w:t>
      </w:r>
    </w:p>
    <w:p w14:paraId="5E88EDD3">
      <w:pPr>
        <w:keepNext w:val="0"/>
        <w:keepLines w:val="0"/>
        <w:pageBreakBefore w:val="0"/>
        <w:widowControl w:val="0"/>
        <w:shd w:val="clear"/>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身份证号码：</w:t>
      </w:r>
    </w:p>
    <w:p w14:paraId="7F1162C0">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姓名：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性别：</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职务：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（投标人名称）的法定代表人。</w:t>
      </w:r>
    </w:p>
    <w:p w14:paraId="51C21C6F">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特此证明。</w:t>
      </w:r>
    </w:p>
    <w:p w14:paraId="18C3BBA3">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33EB2827">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771616A4">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附：法定代表人身份证（双面）扫描件</w:t>
      </w:r>
    </w:p>
    <w:p w14:paraId="57466E89">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6F06BB08">
      <w:pPr>
        <w:shd w:val="clear"/>
        <w:autoSpaceDE w:val="0"/>
        <w:autoSpaceDN w:val="0"/>
        <w:adjustRightInd w:val="0"/>
        <w:spacing w:line="360" w:lineRule="auto"/>
        <w:ind w:left="0" w:leftChars="0" w:firstLine="5903" w:firstLineChars="28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           （电子公章）</w:t>
      </w:r>
    </w:p>
    <w:p w14:paraId="145A772E">
      <w:pPr>
        <w:shd w:val="clear"/>
        <w:autoSpaceDE w:val="0"/>
        <w:autoSpaceDN w:val="0"/>
        <w:adjustRightInd w:val="0"/>
        <w:spacing w:line="360" w:lineRule="auto"/>
        <w:ind w:left="0" w:leftChars="0" w:firstLine="5903" w:firstLineChars="28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年 月 日</w:t>
      </w:r>
    </w:p>
    <w:p w14:paraId="38AEF932">
      <w:pPr>
        <w:shd w:val="clear"/>
        <w:autoSpaceDE w:val="0"/>
        <w:autoSpaceDN w:val="0"/>
        <w:adjustRightInd w:val="0"/>
        <w:spacing w:line="360" w:lineRule="auto"/>
        <w:jc w:val="left"/>
        <w:rPr>
          <w:rFonts w:hint="eastAsia" w:ascii="宋体" w:hAnsi="宋体" w:eastAsia="宋体" w:cs="宋体"/>
          <w:b/>
          <w:bCs/>
          <w:color w:val="auto"/>
          <w:kern w:val="0"/>
          <w:sz w:val="21"/>
          <w:szCs w:val="21"/>
          <w:highlight w:val="none"/>
        </w:rPr>
      </w:pPr>
    </w:p>
    <w:p w14:paraId="4BBD67DC">
      <w:pPr>
        <w:shd w:val="clear"/>
        <w:autoSpaceDE w:val="0"/>
        <w:autoSpaceDN w:val="0"/>
        <w:adjustRightInd w:val="0"/>
        <w:spacing w:line="360" w:lineRule="auto"/>
        <w:jc w:val="left"/>
        <w:rPr>
          <w:rFonts w:hint="eastAsia" w:ascii="宋体" w:hAnsi="宋体" w:eastAsia="宋体" w:cs="宋体"/>
          <w:b/>
          <w:bCs/>
          <w:color w:val="auto"/>
          <w:kern w:val="0"/>
          <w:sz w:val="21"/>
          <w:szCs w:val="21"/>
          <w:highlight w:val="none"/>
        </w:rPr>
      </w:pPr>
    </w:p>
    <w:p w14:paraId="11D3AAC4">
      <w:pPr>
        <w:pStyle w:val="4"/>
        <w:bidi w:val="0"/>
        <w:rPr>
          <w:rFonts w:hint="eastAsia" w:ascii="宋体" w:hAnsi="宋体" w:eastAsia="宋体" w:cs="宋体"/>
          <w:b/>
          <w:color w:val="auto"/>
          <w:sz w:val="28"/>
          <w:szCs w:val="28"/>
          <w:highlight w:val="none"/>
        </w:rPr>
      </w:pPr>
      <w:r>
        <w:rPr>
          <w:rFonts w:hint="eastAsia" w:ascii="宋体" w:hAnsi="宋体" w:eastAsia="宋体" w:cs="宋体"/>
          <w:color w:val="auto"/>
          <w:kern w:val="0"/>
          <w:sz w:val="18"/>
          <w:szCs w:val="18"/>
          <w:highlight w:val="none"/>
        </w:rPr>
        <w:br w:type="page"/>
      </w:r>
      <w:bookmarkStart w:id="348" w:name="_Toc23211"/>
      <w:bookmarkStart w:id="349" w:name="_Toc18928"/>
      <w:bookmarkStart w:id="350" w:name="_Toc195922058"/>
      <w:r>
        <w:rPr>
          <w:rFonts w:hint="eastAsia" w:ascii="宋体" w:hAnsi="宋体" w:eastAsia="宋体" w:cs="宋体"/>
          <w:color w:val="auto"/>
          <w:sz w:val="28"/>
          <w:szCs w:val="28"/>
          <w:highlight w:val="none"/>
          <w:lang w:val="en-US" w:eastAsia="zh-CN"/>
        </w:rPr>
        <w:t>附件4  授权委托书</w:t>
      </w:r>
      <w:bookmarkEnd w:id="348"/>
      <w:bookmarkEnd w:id="349"/>
    </w:p>
    <w:p w14:paraId="5A855AE7">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授权委托书</w:t>
      </w:r>
      <w:bookmarkEnd w:id="350"/>
    </w:p>
    <w:p w14:paraId="407B1504">
      <w:pPr>
        <w:shd w:val="clear"/>
        <w:autoSpaceDE w:val="0"/>
        <w:autoSpaceDN w:val="0"/>
        <w:adjustRightInd w:val="0"/>
        <w:jc w:val="left"/>
        <w:rPr>
          <w:rFonts w:hint="eastAsia" w:ascii="宋体" w:hAnsi="宋体" w:eastAsia="宋体" w:cs="宋体"/>
          <w:color w:val="auto"/>
          <w:kern w:val="0"/>
          <w:sz w:val="21"/>
          <w:szCs w:val="21"/>
          <w:highlight w:val="none"/>
        </w:rPr>
      </w:pPr>
    </w:p>
    <w:p w14:paraId="648CF341">
      <w:pPr>
        <w:shd w:val="clear"/>
        <w:autoSpaceDE w:val="0"/>
        <w:autoSpaceDN w:val="0"/>
        <w:adjustRightInd w:val="0"/>
        <w:jc w:val="left"/>
        <w:rPr>
          <w:rFonts w:hint="eastAsia" w:ascii="宋体" w:hAnsi="宋体" w:eastAsia="宋体" w:cs="宋体"/>
          <w:color w:val="auto"/>
          <w:kern w:val="0"/>
          <w:sz w:val="21"/>
          <w:szCs w:val="21"/>
          <w:highlight w:val="none"/>
        </w:rPr>
      </w:pPr>
    </w:p>
    <w:p w14:paraId="512E40C8">
      <w:pPr>
        <w:shd w:val="clea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（姓名）系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（投标人名称）的法定代表人，现委托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（姓名）为我方代理人。代理人根据授权，以我方名义签署、澄清、说明、补正、递交、撤回、修改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（项目名称）投标文件、签订合同和处理有关事宜，其法律后果由我方承担。</w:t>
      </w:r>
    </w:p>
    <w:p w14:paraId="2D7E0382">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委托期限：</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37964E3F">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5A19F067">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代理人无转委托权。</w:t>
      </w:r>
    </w:p>
    <w:p w14:paraId="2ACDAB38">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46CA11A4">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附：委托代理人身份证（双面）扫描件</w:t>
      </w:r>
    </w:p>
    <w:p w14:paraId="42CD2FA2">
      <w:pPr>
        <w:shd w:val="clear"/>
        <w:autoSpaceDE w:val="0"/>
        <w:autoSpaceDN w:val="0"/>
        <w:adjustRightInd w:val="0"/>
        <w:spacing w:line="360" w:lineRule="auto"/>
        <w:jc w:val="left"/>
        <w:rPr>
          <w:rFonts w:hint="eastAsia" w:ascii="宋体" w:hAnsi="宋体" w:eastAsia="宋体" w:cs="宋体"/>
          <w:color w:val="auto"/>
          <w:kern w:val="0"/>
          <w:sz w:val="21"/>
          <w:szCs w:val="21"/>
          <w:highlight w:val="none"/>
        </w:rPr>
      </w:pPr>
    </w:p>
    <w:p w14:paraId="1FAAF12B">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投标人：            </w:t>
      </w:r>
      <w:r>
        <w:rPr>
          <w:rFonts w:hint="eastAsia" w:ascii="宋体" w:hAnsi="宋体" w:eastAsia="宋体" w:cs="宋体"/>
          <w:b/>
          <w:bCs/>
          <w:color w:val="auto"/>
          <w:kern w:val="0"/>
          <w:sz w:val="21"/>
          <w:szCs w:val="21"/>
          <w:highlight w:val="none"/>
          <w:lang w:val="en-US" w:eastAsia="zh-CN"/>
        </w:rPr>
        <w:t xml:space="preserve">     </w:t>
      </w:r>
      <w:r>
        <w:rPr>
          <w:rFonts w:hint="eastAsia" w:ascii="宋体" w:hAnsi="宋体" w:eastAsia="宋体" w:cs="宋体"/>
          <w:b/>
          <w:bCs/>
          <w:color w:val="auto"/>
          <w:kern w:val="0"/>
          <w:sz w:val="21"/>
          <w:szCs w:val="21"/>
          <w:highlight w:val="none"/>
        </w:rPr>
        <w:t>（电子公章）</w:t>
      </w:r>
    </w:p>
    <w:p w14:paraId="0CD77090">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法定代表人：             （签字或电子签名）</w:t>
      </w:r>
    </w:p>
    <w:p w14:paraId="12303145">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身份证号码：</w:t>
      </w:r>
    </w:p>
    <w:p w14:paraId="1E873DF3">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委托代理人：              （签字或电子签名）</w:t>
      </w:r>
    </w:p>
    <w:p w14:paraId="1E6123EC">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身份证号码：</w:t>
      </w:r>
    </w:p>
    <w:p w14:paraId="1C9CD70F">
      <w:pPr>
        <w:shd w:val="clear"/>
        <w:autoSpaceDE w:val="0"/>
        <w:autoSpaceDN w:val="0"/>
        <w:adjustRightInd w:val="0"/>
        <w:spacing w:line="360" w:lineRule="auto"/>
        <w:ind w:left="3958" w:leftChars="188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年 月 日</w:t>
      </w:r>
    </w:p>
    <w:p w14:paraId="61E26769">
      <w:pPr>
        <w:shd w:val="clear"/>
        <w:autoSpaceDE w:val="0"/>
        <w:autoSpaceDN w:val="0"/>
        <w:adjustRightInd w:val="0"/>
        <w:spacing w:line="360" w:lineRule="auto"/>
        <w:ind w:left="3958" w:leftChars="1885"/>
        <w:jc w:val="left"/>
        <w:rPr>
          <w:rFonts w:hint="eastAsia" w:ascii="宋体" w:hAnsi="宋体" w:eastAsia="宋体" w:cs="宋体"/>
          <w:color w:val="auto"/>
          <w:kern w:val="0"/>
          <w:sz w:val="24"/>
          <w:szCs w:val="24"/>
          <w:highlight w:val="none"/>
        </w:rPr>
      </w:pPr>
    </w:p>
    <w:p w14:paraId="57D850A8">
      <w:pPr>
        <w:pStyle w:val="46"/>
        <w:shd w:val="clear"/>
        <w:rPr>
          <w:rFonts w:hint="eastAsia" w:ascii="宋体" w:hAnsi="宋体" w:eastAsia="宋体" w:cs="宋体"/>
          <w:color w:val="auto"/>
          <w:kern w:val="0"/>
          <w:sz w:val="28"/>
          <w:szCs w:val="28"/>
          <w:highlight w:val="none"/>
        </w:rPr>
      </w:pPr>
    </w:p>
    <w:p w14:paraId="497A980D">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bookmarkStart w:id="351" w:name="_Toc410631175"/>
      <w:bookmarkStart w:id="352" w:name="_Toc414445766"/>
      <w:r>
        <w:rPr>
          <w:rFonts w:hint="eastAsia" w:ascii="宋体" w:hAnsi="宋体" w:eastAsia="宋体" w:cs="宋体"/>
          <w:b w:val="0"/>
          <w:bCs w:val="0"/>
          <w:color w:val="auto"/>
          <w:sz w:val="18"/>
          <w:szCs w:val="18"/>
          <w:highlight w:val="none"/>
          <w:lang w:val="en-US" w:eastAsia="zh-CN"/>
        </w:rPr>
        <w:t>1、企业（银行、保险、石油石化、电力、电信等行业除外）、事业单位和社会团体法人的“单位负责人”指法定代表人，即与实际提交的“营业执照等证明文件”载明的一致。</w:t>
      </w:r>
    </w:p>
    <w:p w14:paraId="1A199155">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64827313">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3、投标人（自然人除外）：若投标人代表为单位授权的委托代理人，应提供本授权书；若投标人代表为单位负责人，应在此项下提交其身份证正反面复印件，可不提供本授权书。</w:t>
      </w:r>
    </w:p>
    <w:p w14:paraId="613B058D">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4、投标人为自然人的，可不填写本授权书。</w:t>
      </w:r>
    </w:p>
    <w:p w14:paraId="59CAA6A3">
      <w:pPr>
        <w:pStyle w:val="4"/>
        <w:bidi w:val="0"/>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r>
      <w:bookmarkEnd w:id="351"/>
      <w:bookmarkEnd w:id="352"/>
      <w:bookmarkStart w:id="353" w:name="_Toc14944"/>
      <w:bookmarkStart w:id="354" w:name="_Toc14403"/>
      <w:r>
        <w:rPr>
          <w:rFonts w:hint="eastAsia" w:ascii="宋体" w:hAnsi="宋体" w:eastAsia="宋体" w:cs="宋体"/>
          <w:color w:val="auto"/>
          <w:sz w:val="28"/>
          <w:szCs w:val="28"/>
          <w:highlight w:val="none"/>
          <w:lang w:val="en-US" w:eastAsia="zh-CN"/>
        </w:rPr>
        <w:t>附件5　投标保证金</w:t>
      </w:r>
      <w:bookmarkEnd w:id="344"/>
      <w:bookmarkEnd w:id="345"/>
    </w:p>
    <w:p w14:paraId="2822AEC0">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1、提供</w:t>
      </w:r>
      <w:r>
        <w:rPr>
          <w:rFonts w:hint="eastAsia" w:ascii="宋体" w:hAnsi="宋体" w:eastAsia="宋体" w:cs="宋体"/>
          <w:color w:val="auto"/>
          <w:sz w:val="21"/>
          <w:szCs w:val="21"/>
          <w:highlight w:val="none"/>
        </w:rPr>
        <w:t>支票、汇票或本票的扫描件，或采用汇款、网银等方式提交的保证金的汇款底单扫描件</w:t>
      </w:r>
      <w:bookmarkEnd w:id="353"/>
      <w:bookmarkEnd w:id="354"/>
    </w:p>
    <w:p w14:paraId="28CC62D4">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2、投标人开户许可证扫描件。</w:t>
      </w:r>
    </w:p>
    <w:p w14:paraId="5A89F2C9">
      <w:pPr>
        <w:shd w:val="clear"/>
        <w:jc w:val="center"/>
        <w:rPr>
          <w:rFonts w:hint="eastAsia" w:ascii="宋体" w:hAnsi="宋体" w:eastAsia="宋体" w:cs="宋体"/>
          <w:b/>
          <w:color w:val="auto"/>
          <w:sz w:val="24"/>
          <w:highlight w:val="none"/>
        </w:rPr>
      </w:pPr>
    </w:p>
    <w:p w14:paraId="7B65B76E">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6C5E99C6">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317DEB44">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36EEB253">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4C29E115">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3822EAEF">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428B90A9">
      <w:pPr>
        <w:pStyle w:val="485"/>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126A3036">
      <w:pPr>
        <w:shd w:val="clear"/>
        <w:spacing w:before="120" w:after="120" w:line="360" w:lineRule="auto"/>
        <w:ind w:firstLine="420" w:firstLineChars="200"/>
        <w:rPr>
          <w:rFonts w:hint="eastAsia" w:ascii="宋体" w:hAnsi="宋体" w:eastAsia="宋体" w:cs="宋体"/>
          <w:color w:val="auto"/>
          <w:szCs w:val="21"/>
          <w:highlight w:val="none"/>
        </w:rPr>
      </w:pPr>
    </w:p>
    <w:p w14:paraId="4EA59F67">
      <w:pPr>
        <w:shd w:val="clear"/>
        <w:spacing w:before="120" w:after="120" w:line="360" w:lineRule="auto"/>
        <w:ind w:firstLine="420" w:firstLineChars="200"/>
        <w:rPr>
          <w:rFonts w:hint="eastAsia" w:ascii="宋体" w:hAnsi="宋体" w:eastAsia="宋体" w:cs="宋体"/>
          <w:color w:val="auto"/>
          <w:szCs w:val="21"/>
          <w:highlight w:val="none"/>
        </w:rPr>
        <w:sectPr>
          <w:pgSz w:w="11906" w:h="16838"/>
          <w:pgMar w:top="1417" w:right="1417" w:bottom="1417" w:left="1417" w:header="851" w:footer="992" w:gutter="0"/>
          <w:pgNumType w:fmt="decimal"/>
          <w:cols w:space="0" w:num="1"/>
          <w:rtlGutter w:val="0"/>
          <w:docGrid w:type="lines" w:linePitch="324" w:charSpace="0"/>
        </w:sectPr>
      </w:pPr>
    </w:p>
    <w:p w14:paraId="6E7FBBBA">
      <w:pPr>
        <w:pStyle w:val="4"/>
        <w:bidi w:val="0"/>
        <w:rPr>
          <w:rFonts w:hint="eastAsia" w:ascii="宋体" w:hAnsi="宋体" w:eastAsia="宋体" w:cs="宋体"/>
          <w:color w:val="auto"/>
          <w:sz w:val="28"/>
          <w:szCs w:val="28"/>
          <w:highlight w:val="none"/>
          <w:lang w:val="en-US" w:eastAsia="zh-CN"/>
        </w:rPr>
      </w:pPr>
      <w:bookmarkStart w:id="355" w:name="_Toc9147"/>
      <w:bookmarkStart w:id="356" w:name="_Toc2297"/>
      <w:bookmarkStart w:id="357" w:name="_Toc143577473"/>
      <w:bookmarkStart w:id="358" w:name="_Toc468781351"/>
      <w:r>
        <w:rPr>
          <w:rFonts w:hint="eastAsia" w:ascii="宋体" w:hAnsi="宋体" w:eastAsia="宋体" w:cs="宋体"/>
          <w:color w:val="auto"/>
          <w:sz w:val="28"/>
          <w:szCs w:val="28"/>
          <w:highlight w:val="none"/>
          <w:lang w:val="en-US" w:eastAsia="zh-CN"/>
        </w:rPr>
        <w:t>附件6  商务要求偏差表</w:t>
      </w:r>
      <w:bookmarkEnd w:id="355"/>
      <w:bookmarkEnd w:id="356"/>
    </w:p>
    <w:tbl>
      <w:tblPr>
        <w:tblStyle w:val="48"/>
        <w:tblW w:w="8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587"/>
        <w:gridCol w:w="1435"/>
        <w:gridCol w:w="1077"/>
        <w:gridCol w:w="1658"/>
      </w:tblGrid>
      <w:tr w14:paraId="6E499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4587" w:type="dxa"/>
          </w:tcPr>
          <w:p w14:paraId="6377E861">
            <w:pPr>
              <w:shd w:val="clear"/>
              <w:spacing w:line="440" w:lineRule="atLeas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招标文件的商务</w:t>
            </w:r>
          </w:p>
        </w:tc>
        <w:tc>
          <w:tcPr>
            <w:tcW w:w="1435" w:type="dxa"/>
          </w:tcPr>
          <w:p w14:paraId="5F9A836C">
            <w:pPr>
              <w:shd w:val="clear"/>
              <w:spacing w:line="44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完全响应</w:t>
            </w:r>
          </w:p>
        </w:tc>
        <w:tc>
          <w:tcPr>
            <w:tcW w:w="1077" w:type="dxa"/>
          </w:tcPr>
          <w:p w14:paraId="6919AE1F">
            <w:pPr>
              <w:shd w:val="clear"/>
              <w:spacing w:line="44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有偏离</w:t>
            </w:r>
          </w:p>
        </w:tc>
        <w:tc>
          <w:tcPr>
            <w:tcW w:w="1658" w:type="dxa"/>
          </w:tcPr>
          <w:p w14:paraId="752D0826">
            <w:pPr>
              <w:shd w:val="clear"/>
              <w:spacing w:line="44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偏离描述</w:t>
            </w:r>
          </w:p>
        </w:tc>
      </w:tr>
      <w:tr w14:paraId="7BEDF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4587" w:type="dxa"/>
          </w:tcPr>
          <w:p w14:paraId="1D7ADA05">
            <w:pPr>
              <w:shd w:val="clear"/>
              <w:spacing w:line="440" w:lineRule="atLeas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质保期</w:t>
            </w:r>
          </w:p>
        </w:tc>
        <w:tc>
          <w:tcPr>
            <w:tcW w:w="1435" w:type="dxa"/>
          </w:tcPr>
          <w:p w14:paraId="4C958A02">
            <w:pPr>
              <w:shd w:val="clear"/>
              <w:spacing w:line="440" w:lineRule="atLeast"/>
              <w:rPr>
                <w:rFonts w:hint="eastAsia" w:ascii="宋体" w:hAnsi="宋体" w:eastAsia="宋体" w:cs="宋体"/>
                <w:color w:val="auto"/>
                <w:sz w:val="21"/>
                <w:szCs w:val="21"/>
                <w:highlight w:val="none"/>
              </w:rPr>
            </w:pPr>
          </w:p>
        </w:tc>
        <w:tc>
          <w:tcPr>
            <w:tcW w:w="1077" w:type="dxa"/>
          </w:tcPr>
          <w:p w14:paraId="73070FCC">
            <w:pPr>
              <w:shd w:val="clear"/>
              <w:spacing w:line="440" w:lineRule="atLeast"/>
              <w:rPr>
                <w:rFonts w:hint="eastAsia" w:ascii="宋体" w:hAnsi="宋体" w:eastAsia="宋体" w:cs="宋体"/>
                <w:color w:val="auto"/>
                <w:sz w:val="21"/>
                <w:szCs w:val="21"/>
                <w:highlight w:val="none"/>
              </w:rPr>
            </w:pPr>
          </w:p>
        </w:tc>
        <w:tc>
          <w:tcPr>
            <w:tcW w:w="1658" w:type="dxa"/>
          </w:tcPr>
          <w:p w14:paraId="4DFA6818">
            <w:pPr>
              <w:shd w:val="clear"/>
              <w:spacing w:line="440" w:lineRule="atLeast"/>
              <w:rPr>
                <w:rFonts w:hint="eastAsia" w:ascii="宋体" w:hAnsi="宋体" w:eastAsia="宋体" w:cs="宋体"/>
                <w:color w:val="auto"/>
                <w:sz w:val="21"/>
                <w:szCs w:val="21"/>
                <w:highlight w:val="none"/>
              </w:rPr>
            </w:pPr>
          </w:p>
        </w:tc>
      </w:tr>
      <w:tr w14:paraId="7671A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jc w:val="center"/>
        </w:trPr>
        <w:tc>
          <w:tcPr>
            <w:tcW w:w="4587" w:type="dxa"/>
          </w:tcPr>
          <w:p w14:paraId="7ABD5BA7">
            <w:pPr>
              <w:shd w:val="clear"/>
              <w:spacing w:line="440" w:lineRule="atLeas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交货期</w:t>
            </w:r>
          </w:p>
        </w:tc>
        <w:tc>
          <w:tcPr>
            <w:tcW w:w="1435" w:type="dxa"/>
          </w:tcPr>
          <w:p w14:paraId="0DA8EA86">
            <w:pPr>
              <w:shd w:val="clear"/>
              <w:spacing w:line="440" w:lineRule="atLeast"/>
              <w:rPr>
                <w:rFonts w:hint="eastAsia" w:ascii="宋体" w:hAnsi="宋体" w:eastAsia="宋体" w:cs="宋体"/>
                <w:color w:val="auto"/>
                <w:sz w:val="21"/>
                <w:szCs w:val="21"/>
                <w:highlight w:val="none"/>
              </w:rPr>
            </w:pPr>
          </w:p>
        </w:tc>
        <w:tc>
          <w:tcPr>
            <w:tcW w:w="1077" w:type="dxa"/>
          </w:tcPr>
          <w:p w14:paraId="7365965B">
            <w:pPr>
              <w:shd w:val="clear"/>
              <w:spacing w:line="440" w:lineRule="atLeast"/>
              <w:rPr>
                <w:rFonts w:hint="eastAsia" w:ascii="宋体" w:hAnsi="宋体" w:eastAsia="宋体" w:cs="宋体"/>
                <w:color w:val="auto"/>
                <w:sz w:val="21"/>
                <w:szCs w:val="21"/>
                <w:highlight w:val="none"/>
              </w:rPr>
            </w:pPr>
          </w:p>
        </w:tc>
        <w:tc>
          <w:tcPr>
            <w:tcW w:w="1658" w:type="dxa"/>
          </w:tcPr>
          <w:p w14:paraId="7C677B56">
            <w:pPr>
              <w:shd w:val="clear"/>
              <w:spacing w:line="440" w:lineRule="atLeast"/>
              <w:rPr>
                <w:rFonts w:hint="eastAsia" w:ascii="宋体" w:hAnsi="宋体" w:eastAsia="宋体" w:cs="宋体"/>
                <w:color w:val="auto"/>
                <w:sz w:val="21"/>
                <w:szCs w:val="21"/>
                <w:highlight w:val="none"/>
              </w:rPr>
            </w:pPr>
          </w:p>
        </w:tc>
      </w:tr>
    </w:tbl>
    <w:p w14:paraId="41666A27">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lang w:val="en-US" w:eastAsia="zh-CN"/>
        </w:rPr>
      </w:pPr>
    </w:p>
    <w:p w14:paraId="209AFE8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28112D9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1AA1F8D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4366E835">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lang w:val="en-US" w:eastAsia="zh-CN"/>
        </w:rPr>
      </w:pPr>
    </w:p>
    <w:p w14:paraId="6504D38C">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注：</w:t>
      </w:r>
    </w:p>
    <w:p w14:paraId="579FA7C0">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rPr>
        <w:t>1、</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投标人根据本招标文件的</w:t>
      </w:r>
      <w:r>
        <w:rPr>
          <w:rFonts w:hint="eastAsia" w:ascii="宋体" w:hAnsi="宋体" w:eastAsia="宋体" w:cs="宋体"/>
          <w:b w:val="0"/>
          <w:bCs w:val="0"/>
          <w:color w:val="auto"/>
          <w:sz w:val="18"/>
          <w:szCs w:val="18"/>
          <w:highlight w:val="none"/>
          <w:lang w:val="en-US" w:eastAsia="zh-CN"/>
        </w:rPr>
        <w:t>第五章的商务性要求</w:t>
      </w:r>
      <w:r>
        <w:rPr>
          <w:rFonts w:hint="eastAsia" w:ascii="宋体" w:hAnsi="宋体" w:eastAsia="宋体" w:cs="宋体"/>
          <w:b w:val="0"/>
          <w:bCs w:val="0"/>
          <w:color w:val="auto"/>
          <w:sz w:val="18"/>
          <w:szCs w:val="18"/>
          <w:highlight w:val="none"/>
        </w:rPr>
        <w:t>填写本表；</w:t>
      </w:r>
      <w:r>
        <w:rPr>
          <w:rFonts w:hint="eastAsia" w:ascii="宋体" w:hAnsi="宋体" w:eastAsia="宋体" w:cs="宋体"/>
          <w:b w:val="0"/>
          <w:bCs w:val="0"/>
          <w:color w:val="auto"/>
          <w:sz w:val="18"/>
          <w:szCs w:val="18"/>
          <w:highlight w:val="none"/>
          <w:lang w:val="en-US" w:eastAsia="zh-CN"/>
        </w:rPr>
        <w:t>此表中未特别注明的内容均视为响应招标文件。</w:t>
      </w:r>
    </w:p>
    <w:p w14:paraId="0ABF1BC5">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14:paraId="6D3FAC73">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正偏离是指应答的条件高于招标文件要求，负偏离是指应答的条件低于招标文件要求，正偏离项目不</w:t>
      </w:r>
      <w:r>
        <w:rPr>
          <w:rFonts w:hint="eastAsia" w:ascii="宋体" w:hAnsi="宋体" w:eastAsia="宋体" w:cs="宋体"/>
          <w:b w:val="0"/>
          <w:bCs w:val="0"/>
          <w:color w:val="auto"/>
          <w:sz w:val="18"/>
          <w:szCs w:val="18"/>
          <w:highlight w:val="none"/>
          <w:lang w:val="en-US" w:eastAsia="zh-CN"/>
        </w:rPr>
        <w:t>加</w:t>
      </w:r>
      <w:r>
        <w:rPr>
          <w:rFonts w:hint="eastAsia" w:ascii="宋体" w:hAnsi="宋体" w:eastAsia="宋体" w:cs="宋体"/>
          <w:b w:val="0"/>
          <w:bCs w:val="0"/>
          <w:color w:val="auto"/>
          <w:sz w:val="18"/>
          <w:szCs w:val="18"/>
          <w:highlight w:val="none"/>
        </w:rPr>
        <w:t>分。</w:t>
      </w:r>
    </w:p>
    <w:p w14:paraId="3DF1B3E9">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投标人须完整填写响应表。如果未完整填写本表的各项内容则视作投标人已经对招标文件相关要求和内容完全理解并同意，其投标报价为在此基础上的完全价格。</w:t>
      </w:r>
    </w:p>
    <w:p w14:paraId="4E412308">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5、</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在买方与中标人签订合同时，如中标人未在投标文件“响应表”中列出偏离说明，无论已发生或即将发生任何情形，均视为完全符合招标文件要求，并写入合同。若中标人在合同签订前，以上述事项为借口而不履行合同签订手续及执行合同，则视作拒绝与采购人签订合同。</w:t>
      </w:r>
    </w:p>
    <w:p w14:paraId="4AD71905">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 投标人提交空白表或未提交均视为对投标文件不响应。</w:t>
      </w:r>
    </w:p>
    <w:p w14:paraId="2D94F722">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 招标文件商务要求涉及“≥或＞”、“≤或＜”及某个区间值范围内的内容，投标响应应填写具体的数值，但只能以范围作响应的除外。</w:t>
      </w:r>
    </w:p>
    <w:p w14:paraId="5B4F2EC6">
      <w:pPr>
        <w:shd w:val="clear"/>
        <w:spacing w:before="156" w:beforeLines="50" w:line="440" w:lineRule="exact"/>
        <w:ind w:left="-103" w:leftChars="-49"/>
        <w:rPr>
          <w:rFonts w:hint="eastAsia" w:ascii="宋体" w:hAnsi="宋体" w:eastAsia="宋体" w:cs="宋体"/>
          <w:color w:val="auto"/>
          <w:sz w:val="24"/>
          <w:szCs w:val="24"/>
          <w:highlight w:val="none"/>
        </w:rPr>
      </w:pPr>
    </w:p>
    <w:p w14:paraId="59E7FF48">
      <w:pPr>
        <w:shd w:val="clea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6D1EACED">
      <w:pPr>
        <w:pStyle w:val="4"/>
        <w:bidi w:val="0"/>
        <w:rPr>
          <w:rFonts w:hint="eastAsia" w:ascii="宋体" w:hAnsi="宋体" w:eastAsia="宋体" w:cs="宋体"/>
          <w:color w:val="auto"/>
          <w:sz w:val="28"/>
          <w:szCs w:val="28"/>
          <w:highlight w:val="none"/>
          <w:lang w:val="en-US" w:eastAsia="zh-CN"/>
        </w:rPr>
      </w:pPr>
      <w:bookmarkStart w:id="359" w:name="_Toc3618"/>
      <w:bookmarkStart w:id="360" w:name="_Toc18481"/>
      <w:r>
        <w:rPr>
          <w:rFonts w:hint="eastAsia" w:ascii="宋体" w:hAnsi="宋体" w:eastAsia="宋体" w:cs="宋体"/>
          <w:color w:val="auto"/>
          <w:sz w:val="28"/>
          <w:szCs w:val="28"/>
          <w:highlight w:val="none"/>
          <w:lang w:val="en-US" w:eastAsia="zh-CN"/>
        </w:rPr>
        <w:t>附件7  投标人基本情况表</w:t>
      </w:r>
      <w:bookmarkEnd w:id="359"/>
      <w:bookmarkEnd w:id="360"/>
    </w:p>
    <w:tbl>
      <w:tblPr>
        <w:tblStyle w:val="48"/>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07"/>
        <w:gridCol w:w="3075"/>
        <w:gridCol w:w="150"/>
        <w:gridCol w:w="1317"/>
        <w:gridCol w:w="211"/>
        <w:gridCol w:w="2517"/>
      </w:tblGrid>
      <w:tr w14:paraId="6AD9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4DA1E391">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w:t>
            </w:r>
          </w:p>
        </w:tc>
        <w:tc>
          <w:tcPr>
            <w:tcW w:w="3225" w:type="dxa"/>
            <w:gridSpan w:val="2"/>
            <w:vAlign w:val="center"/>
          </w:tcPr>
          <w:p w14:paraId="0834D5EB">
            <w:pPr>
              <w:shd w:val="clear"/>
              <w:jc w:val="center"/>
              <w:rPr>
                <w:rFonts w:hint="eastAsia" w:ascii="宋体" w:hAnsi="宋体" w:eastAsia="宋体" w:cs="宋体"/>
                <w:color w:val="auto"/>
                <w:sz w:val="21"/>
                <w:szCs w:val="21"/>
                <w:highlight w:val="none"/>
              </w:rPr>
            </w:pPr>
          </w:p>
        </w:tc>
        <w:tc>
          <w:tcPr>
            <w:tcW w:w="1528" w:type="dxa"/>
            <w:gridSpan w:val="2"/>
            <w:vAlign w:val="center"/>
          </w:tcPr>
          <w:p w14:paraId="342C4E86">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2517" w:type="dxa"/>
            <w:vAlign w:val="center"/>
          </w:tcPr>
          <w:p w14:paraId="379F0E2A">
            <w:pPr>
              <w:shd w:val="clear"/>
              <w:jc w:val="center"/>
              <w:rPr>
                <w:rFonts w:hint="eastAsia" w:ascii="宋体" w:hAnsi="宋体" w:eastAsia="宋体" w:cs="宋体"/>
                <w:color w:val="auto"/>
                <w:sz w:val="21"/>
                <w:szCs w:val="21"/>
                <w:highlight w:val="none"/>
              </w:rPr>
            </w:pPr>
          </w:p>
        </w:tc>
      </w:tr>
      <w:tr w14:paraId="736E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22DC6DD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3225" w:type="dxa"/>
            <w:gridSpan w:val="2"/>
            <w:vAlign w:val="center"/>
          </w:tcPr>
          <w:p w14:paraId="00F18ED8">
            <w:pPr>
              <w:shd w:val="clear"/>
              <w:jc w:val="center"/>
              <w:rPr>
                <w:rFonts w:hint="eastAsia" w:ascii="宋体" w:hAnsi="宋体" w:eastAsia="宋体" w:cs="宋体"/>
                <w:color w:val="auto"/>
                <w:sz w:val="21"/>
                <w:szCs w:val="21"/>
                <w:highlight w:val="none"/>
              </w:rPr>
            </w:pPr>
          </w:p>
        </w:tc>
        <w:tc>
          <w:tcPr>
            <w:tcW w:w="1528" w:type="dxa"/>
            <w:gridSpan w:val="2"/>
            <w:vAlign w:val="center"/>
          </w:tcPr>
          <w:p w14:paraId="29848D30">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企业类型</w:t>
            </w:r>
          </w:p>
        </w:tc>
        <w:tc>
          <w:tcPr>
            <w:tcW w:w="2517" w:type="dxa"/>
            <w:vAlign w:val="center"/>
          </w:tcPr>
          <w:p w14:paraId="42AF61C1">
            <w:pPr>
              <w:shd w:val="clear"/>
              <w:jc w:val="center"/>
              <w:rPr>
                <w:rFonts w:hint="eastAsia" w:ascii="宋体" w:hAnsi="宋体" w:eastAsia="宋体" w:cs="宋体"/>
                <w:color w:val="auto"/>
                <w:sz w:val="21"/>
                <w:szCs w:val="21"/>
                <w:highlight w:val="none"/>
              </w:rPr>
            </w:pPr>
          </w:p>
        </w:tc>
      </w:tr>
      <w:tr w14:paraId="6C4E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1807" w:type="dxa"/>
            <w:vAlign w:val="center"/>
          </w:tcPr>
          <w:p w14:paraId="4992E32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批准登记机关</w:t>
            </w:r>
          </w:p>
        </w:tc>
        <w:tc>
          <w:tcPr>
            <w:tcW w:w="3225" w:type="dxa"/>
            <w:gridSpan w:val="2"/>
            <w:vAlign w:val="center"/>
          </w:tcPr>
          <w:p w14:paraId="50E3B89D">
            <w:pPr>
              <w:shd w:val="clear"/>
              <w:jc w:val="center"/>
              <w:rPr>
                <w:rFonts w:hint="eastAsia" w:ascii="宋体" w:hAnsi="宋体" w:eastAsia="宋体" w:cs="宋体"/>
                <w:color w:val="auto"/>
                <w:sz w:val="21"/>
                <w:szCs w:val="21"/>
                <w:highlight w:val="none"/>
              </w:rPr>
            </w:pPr>
          </w:p>
        </w:tc>
        <w:tc>
          <w:tcPr>
            <w:tcW w:w="1528" w:type="dxa"/>
            <w:gridSpan w:val="2"/>
            <w:vAlign w:val="center"/>
          </w:tcPr>
          <w:p w14:paraId="2F795DF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企业法人统一社会信用代码</w:t>
            </w:r>
          </w:p>
        </w:tc>
        <w:tc>
          <w:tcPr>
            <w:tcW w:w="2517" w:type="dxa"/>
            <w:vAlign w:val="center"/>
          </w:tcPr>
          <w:p w14:paraId="1B14574D">
            <w:pPr>
              <w:shd w:val="clear"/>
              <w:jc w:val="center"/>
              <w:rPr>
                <w:rFonts w:hint="eastAsia" w:ascii="宋体" w:hAnsi="宋体" w:eastAsia="宋体" w:cs="宋体"/>
                <w:color w:val="auto"/>
                <w:sz w:val="21"/>
                <w:szCs w:val="21"/>
                <w:highlight w:val="none"/>
              </w:rPr>
            </w:pPr>
          </w:p>
        </w:tc>
      </w:tr>
      <w:tr w14:paraId="63DA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0624A7E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3225" w:type="dxa"/>
            <w:gridSpan w:val="2"/>
            <w:vAlign w:val="center"/>
          </w:tcPr>
          <w:p w14:paraId="4E94CA7F">
            <w:pPr>
              <w:shd w:val="clear"/>
              <w:jc w:val="center"/>
              <w:rPr>
                <w:rFonts w:hint="eastAsia" w:ascii="宋体" w:hAnsi="宋体" w:eastAsia="宋体" w:cs="宋体"/>
                <w:color w:val="auto"/>
                <w:sz w:val="21"/>
                <w:szCs w:val="21"/>
                <w:highlight w:val="none"/>
              </w:rPr>
            </w:pPr>
          </w:p>
        </w:tc>
        <w:tc>
          <w:tcPr>
            <w:tcW w:w="1528" w:type="dxa"/>
            <w:gridSpan w:val="2"/>
            <w:vAlign w:val="center"/>
          </w:tcPr>
          <w:p w14:paraId="26B6BFB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营业期限</w:t>
            </w:r>
          </w:p>
        </w:tc>
        <w:tc>
          <w:tcPr>
            <w:tcW w:w="2517" w:type="dxa"/>
            <w:vAlign w:val="center"/>
          </w:tcPr>
          <w:p w14:paraId="35756829">
            <w:pPr>
              <w:shd w:val="clear"/>
              <w:jc w:val="center"/>
              <w:rPr>
                <w:rFonts w:hint="eastAsia" w:ascii="宋体" w:hAnsi="宋体" w:eastAsia="宋体" w:cs="宋体"/>
                <w:color w:val="auto"/>
                <w:sz w:val="21"/>
                <w:szCs w:val="21"/>
                <w:highlight w:val="none"/>
              </w:rPr>
            </w:pPr>
          </w:p>
        </w:tc>
      </w:tr>
      <w:tr w14:paraId="6FF5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13C6B991">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经营</w:t>
            </w:r>
            <w:r>
              <w:rPr>
                <w:rFonts w:hint="eastAsia" w:ascii="宋体" w:hAnsi="宋体" w:eastAsia="宋体" w:cs="宋体"/>
                <w:color w:val="auto"/>
                <w:sz w:val="21"/>
                <w:szCs w:val="21"/>
                <w:highlight w:val="none"/>
              </w:rPr>
              <w:t>业务</w:t>
            </w:r>
          </w:p>
        </w:tc>
        <w:tc>
          <w:tcPr>
            <w:tcW w:w="7270" w:type="dxa"/>
            <w:gridSpan w:val="5"/>
            <w:vAlign w:val="center"/>
          </w:tcPr>
          <w:p w14:paraId="742109C0">
            <w:pPr>
              <w:shd w:val="clear"/>
              <w:jc w:val="center"/>
              <w:rPr>
                <w:rFonts w:hint="eastAsia" w:ascii="宋体" w:hAnsi="宋体" w:eastAsia="宋体" w:cs="宋体"/>
                <w:color w:val="auto"/>
                <w:sz w:val="21"/>
                <w:szCs w:val="21"/>
                <w:highlight w:val="none"/>
              </w:rPr>
            </w:pPr>
          </w:p>
        </w:tc>
      </w:tr>
      <w:tr w14:paraId="3F90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40831B3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tc>
        <w:tc>
          <w:tcPr>
            <w:tcW w:w="7270" w:type="dxa"/>
            <w:gridSpan w:val="5"/>
            <w:vAlign w:val="center"/>
          </w:tcPr>
          <w:p w14:paraId="088B459A">
            <w:pPr>
              <w:shd w:val="clear"/>
              <w:jc w:val="center"/>
              <w:rPr>
                <w:rFonts w:hint="eastAsia" w:ascii="宋体" w:hAnsi="宋体" w:eastAsia="宋体" w:cs="宋体"/>
                <w:color w:val="auto"/>
                <w:sz w:val="21"/>
                <w:szCs w:val="21"/>
                <w:highlight w:val="none"/>
              </w:rPr>
            </w:pPr>
          </w:p>
        </w:tc>
      </w:tr>
      <w:tr w14:paraId="0F9F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259BA56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基本户</w:t>
            </w:r>
            <w:r>
              <w:rPr>
                <w:rFonts w:hint="eastAsia" w:ascii="宋体" w:hAnsi="宋体" w:eastAsia="宋体" w:cs="宋体"/>
                <w:color w:val="auto"/>
                <w:sz w:val="21"/>
                <w:szCs w:val="21"/>
                <w:highlight w:val="none"/>
              </w:rPr>
              <w:t>开户银行</w:t>
            </w:r>
          </w:p>
        </w:tc>
        <w:tc>
          <w:tcPr>
            <w:tcW w:w="7270" w:type="dxa"/>
            <w:gridSpan w:val="5"/>
            <w:vAlign w:val="center"/>
          </w:tcPr>
          <w:p w14:paraId="68DAE730">
            <w:pPr>
              <w:shd w:val="clear"/>
              <w:jc w:val="center"/>
              <w:rPr>
                <w:rFonts w:hint="eastAsia" w:ascii="宋体" w:hAnsi="宋体" w:eastAsia="宋体" w:cs="宋体"/>
                <w:color w:val="auto"/>
                <w:sz w:val="21"/>
                <w:szCs w:val="21"/>
                <w:highlight w:val="none"/>
              </w:rPr>
            </w:pPr>
          </w:p>
        </w:tc>
      </w:tr>
      <w:tr w14:paraId="2993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2F13B8EE">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基本户</w:t>
            </w:r>
            <w:r>
              <w:rPr>
                <w:rFonts w:hint="eastAsia" w:ascii="宋体" w:hAnsi="宋体" w:eastAsia="宋体" w:cs="宋体"/>
                <w:color w:val="auto"/>
                <w:sz w:val="21"/>
                <w:szCs w:val="21"/>
                <w:highlight w:val="none"/>
              </w:rPr>
              <w:t>银行账号</w:t>
            </w:r>
          </w:p>
        </w:tc>
        <w:tc>
          <w:tcPr>
            <w:tcW w:w="7270" w:type="dxa"/>
            <w:gridSpan w:val="5"/>
            <w:vAlign w:val="center"/>
          </w:tcPr>
          <w:p w14:paraId="48C1D74E">
            <w:pPr>
              <w:shd w:val="clear"/>
              <w:jc w:val="center"/>
              <w:rPr>
                <w:rFonts w:hint="eastAsia" w:ascii="宋体" w:hAnsi="宋体" w:eastAsia="宋体" w:cs="宋体"/>
                <w:color w:val="auto"/>
                <w:sz w:val="21"/>
                <w:szCs w:val="21"/>
                <w:highlight w:val="none"/>
              </w:rPr>
            </w:pPr>
          </w:p>
        </w:tc>
      </w:tr>
      <w:tr w14:paraId="73AF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7B725A9C">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tc>
        <w:tc>
          <w:tcPr>
            <w:tcW w:w="3075" w:type="dxa"/>
            <w:vAlign w:val="center"/>
          </w:tcPr>
          <w:p w14:paraId="637CC372">
            <w:pPr>
              <w:shd w:val="clear"/>
              <w:jc w:val="center"/>
              <w:rPr>
                <w:rFonts w:hint="eastAsia" w:ascii="宋体" w:hAnsi="宋体" w:eastAsia="宋体" w:cs="宋体"/>
                <w:color w:val="auto"/>
                <w:sz w:val="21"/>
                <w:szCs w:val="21"/>
                <w:highlight w:val="none"/>
              </w:rPr>
            </w:pPr>
          </w:p>
        </w:tc>
        <w:tc>
          <w:tcPr>
            <w:tcW w:w="1467" w:type="dxa"/>
            <w:gridSpan w:val="2"/>
            <w:vAlign w:val="center"/>
          </w:tcPr>
          <w:p w14:paraId="4AF51A10">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2728" w:type="dxa"/>
            <w:gridSpan w:val="2"/>
            <w:vAlign w:val="center"/>
          </w:tcPr>
          <w:p w14:paraId="32D6B401">
            <w:pPr>
              <w:shd w:val="clear"/>
              <w:jc w:val="center"/>
              <w:rPr>
                <w:rFonts w:hint="eastAsia" w:ascii="宋体" w:hAnsi="宋体" w:eastAsia="宋体" w:cs="宋体"/>
                <w:color w:val="auto"/>
                <w:sz w:val="21"/>
                <w:szCs w:val="21"/>
                <w:highlight w:val="none"/>
              </w:rPr>
            </w:pPr>
          </w:p>
        </w:tc>
      </w:tr>
      <w:tr w14:paraId="1350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807" w:type="dxa"/>
            <w:vAlign w:val="center"/>
          </w:tcPr>
          <w:p w14:paraId="448275B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3075" w:type="dxa"/>
            <w:vAlign w:val="center"/>
          </w:tcPr>
          <w:p w14:paraId="4F2337DA">
            <w:pPr>
              <w:shd w:val="clear"/>
              <w:jc w:val="center"/>
              <w:rPr>
                <w:rFonts w:hint="eastAsia" w:ascii="宋体" w:hAnsi="宋体" w:eastAsia="宋体" w:cs="宋体"/>
                <w:color w:val="auto"/>
                <w:sz w:val="21"/>
                <w:szCs w:val="21"/>
                <w:highlight w:val="none"/>
              </w:rPr>
            </w:pPr>
          </w:p>
        </w:tc>
        <w:tc>
          <w:tcPr>
            <w:tcW w:w="1467" w:type="dxa"/>
            <w:gridSpan w:val="2"/>
            <w:vAlign w:val="center"/>
          </w:tcPr>
          <w:p w14:paraId="2505D567">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tc>
        <w:tc>
          <w:tcPr>
            <w:tcW w:w="2728" w:type="dxa"/>
            <w:gridSpan w:val="2"/>
            <w:vAlign w:val="center"/>
          </w:tcPr>
          <w:p w14:paraId="3BFDEC0F">
            <w:pPr>
              <w:shd w:val="clear"/>
              <w:jc w:val="center"/>
              <w:rPr>
                <w:rFonts w:hint="eastAsia" w:ascii="宋体" w:hAnsi="宋体" w:eastAsia="宋体" w:cs="宋体"/>
                <w:color w:val="auto"/>
                <w:sz w:val="21"/>
                <w:szCs w:val="21"/>
                <w:highlight w:val="none"/>
              </w:rPr>
            </w:pPr>
          </w:p>
        </w:tc>
      </w:tr>
      <w:tr w14:paraId="19BE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jc w:val="center"/>
        </w:trPr>
        <w:tc>
          <w:tcPr>
            <w:tcW w:w="1807" w:type="dxa"/>
            <w:vAlign w:val="center"/>
          </w:tcPr>
          <w:p w14:paraId="17035DB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3075" w:type="dxa"/>
            <w:vAlign w:val="center"/>
          </w:tcPr>
          <w:p w14:paraId="241DDDAD">
            <w:pPr>
              <w:shd w:val="clear"/>
              <w:jc w:val="center"/>
              <w:rPr>
                <w:rFonts w:hint="eastAsia" w:ascii="宋体" w:hAnsi="宋体" w:eastAsia="宋体" w:cs="宋体"/>
                <w:color w:val="auto"/>
                <w:sz w:val="21"/>
                <w:szCs w:val="21"/>
                <w:highlight w:val="none"/>
              </w:rPr>
            </w:pPr>
          </w:p>
        </w:tc>
        <w:tc>
          <w:tcPr>
            <w:tcW w:w="1467" w:type="dxa"/>
            <w:gridSpan w:val="2"/>
            <w:vAlign w:val="center"/>
          </w:tcPr>
          <w:p w14:paraId="55C1D32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2728" w:type="dxa"/>
            <w:gridSpan w:val="2"/>
            <w:vAlign w:val="center"/>
          </w:tcPr>
          <w:p w14:paraId="5BE0FDC8">
            <w:pPr>
              <w:shd w:val="clear"/>
              <w:jc w:val="center"/>
              <w:rPr>
                <w:rFonts w:hint="eastAsia" w:ascii="宋体" w:hAnsi="宋体" w:eastAsia="宋体" w:cs="宋体"/>
                <w:color w:val="auto"/>
                <w:sz w:val="21"/>
                <w:szCs w:val="21"/>
                <w:highlight w:val="none"/>
              </w:rPr>
            </w:pPr>
          </w:p>
        </w:tc>
      </w:tr>
    </w:tbl>
    <w:p w14:paraId="5B2C7DF5">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兹声明上述信息是真实、正确的，并提供了全部能提供的资料和数据；如我方提供的证明材料有虚假情况，愿承担相应后果。</w:t>
      </w:r>
    </w:p>
    <w:p w14:paraId="50977436">
      <w:pPr>
        <w:shd w:val="clear"/>
        <w:spacing w:line="440" w:lineRule="exact"/>
        <w:ind w:firstLine="420" w:firstLineChars="200"/>
        <w:rPr>
          <w:rFonts w:hint="eastAsia" w:ascii="宋体" w:hAnsi="宋体" w:eastAsia="宋体" w:cs="宋体"/>
          <w:color w:val="auto"/>
          <w:sz w:val="21"/>
          <w:szCs w:val="21"/>
          <w:highlight w:val="none"/>
        </w:rPr>
      </w:pPr>
    </w:p>
    <w:p w14:paraId="266B655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690259A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555686C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36D8DA3D">
      <w:pPr>
        <w:shd w:val="clear"/>
        <w:spacing w:line="440" w:lineRule="exact"/>
        <w:ind w:firstLine="420" w:firstLineChars="200"/>
        <w:rPr>
          <w:rFonts w:hint="eastAsia" w:ascii="宋体" w:hAnsi="宋体" w:eastAsia="宋体" w:cs="宋体"/>
          <w:color w:val="auto"/>
          <w:sz w:val="21"/>
          <w:szCs w:val="21"/>
          <w:highlight w:val="none"/>
        </w:rPr>
      </w:pPr>
    </w:p>
    <w:p w14:paraId="45DB8E20">
      <w:pPr>
        <w:shd w:val="clear"/>
        <w:spacing w:before="156" w:beforeLines="50" w:line="288" w:lineRule="auto"/>
        <w:ind w:left="-122" w:leftChars="-58"/>
        <w:rPr>
          <w:rFonts w:hint="eastAsia" w:ascii="宋体" w:hAnsi="宋体" w:eastAsia="宋体" w:cs="宋体"/>
          <w:b/>
          <w:color w:val="auto"/>
          <w:sz w:val="28"/>
          <w:szCs w:val="28"/>
          <w:highlight w:val="none"/>
        </w:rPr>
      </w:pPr>
      <w:bookmarkStart w:id="361" w:name="_Toc414445769"/>
      <w:bookmarkStart w:id="362" w:name="_Toc416103819"/>
      <w:bookmarkStart w:id="363" w:name="_Toc410631178"/>
      <w:r>
        <w:rPr>
          <w:rFonts w:hint="eastAsia" w:ascii="宋体" w:hAnsi="宋体" w:eastAsia="宋体" w:cs="宋体"/>
          <w:b/>
          <w:color w:val="auto"/>
          <w:sz w:val="24"/>
          <w:szCs w:val="24"/>
          <w:highlight w:val="none"/>
        </w:rPr>
        <w:br w:type="page"/>
      </w:r>
    </w:p>
    <w:p w14:paraId="3F2701A6">
      <w:pPr>
        <w:pStyle w:val="4"/>
        <w:bidi w:val="0"/>
        <w:rPr>
          <w:rFonts w:hint="eastAsia" w:ascii="宋体" w:hAnsi="宋体" w:eastAsia="宋体" w:cs="宋体"/>
          <w:color w:val="auto"/>
          <w:sz w:val="28"/>
          <w:szCs w:val="28"/>
          <w:highlight w:val="none"/>
          <w:lang w:val="en-US" w:eastAsia="zh-CN"/>
        </w:rPr>
      </w:pPr>
      <w:bookmarkStart w:id="364" w:name="_Toc13882"/>
      <w:bookmarkStart w:id="365" w:name="_Toc18628"/>
      <w:r>
        <w:rPr>
          <w:rFonts w:hint="eastAsia" w:ascii="宋体" w:hAnsi="宋体" w:eastAsia="宋体" w:cs="宋体"/>
          <w:color w:val="auto"/>
          <w:sz w:val="28"/>
          <w:szCs w:val="28"/>
          <w:highlight w:val="none"/>
          <w:lang w:val="en-US" w:eastAsia="zh-CN"/>
        </w:rPr>
        <w:t xml:space="preserve">附件8  </w:t>
      </w:r>
      <w:bookmarkEnd w:id="361"/>
      <w:bookmarkEnd w:id="362"/>
      <w:bookmarkEnd w:id="363"/>
      <w:r>
        <w:rPr>
          <w:rFonts w:hint="eastAsia" w:ascii="宋体" w:hAnsi="宋体" w:eastAsia="宋体" w:cs="宋体"/>
          <w:color w:val="auto"/>
          <w:sz w:val="28"/>
          <w:szCs w:val="28"/>
          <w:highlight w:val="none"/>
          <w:lang w:val="en-US" w:eastAsia="zh-CN"/>
        </w:rPr>
        <w:t>资格证明文件</w:t>
      </w:r>
      <w:bookmarkEnd w:id="364"/>
      <w:bookmarkEnd w:id="365"/>
    </w:p>
    <w:tbl>
      <w:tblPr>
        <w:tblStyle w:val="4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385"/>
        <w:gridCol w:w="6756"/>
      </w:tblGrid>
      <w:tr w14:paraId="621EC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17" w:type="dxa"/>
            <w:vAlign w:val="center"/>
          </w:tcPr>
          <w:p w14:paraId="7C435813">
            <w:pPr>
              <w:shd w:val="clear"/>
              <w:snapToGrid w:val="0"/>
              <w:jc w:val="center"/>
              <w:rPr>
                <w:rFonts w:hint="eastAsia" w:ascii="宋体" w:hAnsi="宋体" w:eastAsia="宋体" w:cs="宋体"/>
                <w:b/>
                <w:color w:val="auto"/>
                <w:sz w:val="21"/>
                <w:szCs w:val="21"/>
                <w:highlight w:val="none"/>
              </w:rPr>
            </w:pPr>
            <w:bookmarkStart w:id="366" w:name="_Hlt520274121"/>
            <w:bookmarkEnd w:id="366"/>
            <w:bookmarkStart w:id="367" w:name="_Toc18442"/>
            <w:bookmarkStart w:id="368" w:name="_Toc15604"/>
            <w:bookmarkStart w:id="369" w:name="_Toc31740"/>
            <w:r>
              <w:rPr>
                <w:rFonts w:hint="eastAsia" w:ascii="宋体" w:hAnsi="宋体" w:eastAsia="宋体" w:cs="宋体"/>
                <w:b/>
                <w:color w:val="auto"/>
                <w:sz w:val="21"/>
                <w:szCs w:val="21"/>
                <w:highlight w:val="none"/>
              </w:rPr>
              <w:t>序号</w:t>
            </w:r>
          </w:p>
        </w:tc>
        <w:tc>
          <w:tcPr>
            <w:tcW w:w="2385" w:type="dxa"/>
            <w:vAlign w:val="center"/>
          </w:tcPr>
          <w:p w14:paraId="1A4808F0">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评审内容</w:t>
            </w:r>
          </w:p>
        </w:tc>
        <w:tc>
          <w:tcPr>
            <w:tcW w:w="6756" w:type="dxa"/>
            <w:vAlign w:val="center"/>
          </w:tcPr>
          <w:p w14:paraId="5D0C4E36">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评审合格标准</w:t>
            </w:r>
          </w:p>
        </w:tc>
      </w:tr>
      <w:tr w14:paraId="755C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423C89D2">
            <w:pPr>
              <w:shd w:val="clear"/>
              <w:snapToGrid w:val="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p>
        </w:tc>
        <w:tc>
          <w:tcPr>
            <w:tcW w:w="2385" w:type="dxa"/>
            <w:vAlign w:val="center"/>
          </w:tcPr>
          <w:p w14:paraId="4ADF4A4A">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6756" w:type="dxa"/>
            <w:vAlign w:val="center"/>
          </w:tcPr>
          <w:p w14:paraId="7C7A4D0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投标人为企业的，提供有效的营业执照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；投标人为事业单位的，提供有效的事业单位法人证书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；投标人为社会团体的，提供有效的社会团体法人登记证书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；投标人为合伙企业、个体工商户的，提供有效的营业执照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；投标人为非企业专业服务机构的，提供有效的执业许可证等证明材料</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；投标人为自然人的，提供有效的自然人身份证件</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；其他投标人应按照有关法律、法规和规章规定，提供有效的相应具体证照</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w:t>
            </w:r>
          </w:p>
          <w:p w14:paraId="0543F99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w:t>
            </w:r>
            <w:r>
              <w:rPr>
                <w:rFonts w:hint="eastAsia" w:ascii="宋体" w:hAnsi="宋体" w:eastAsia="宋体" w:cs="宋体"/>
                <w:color w:val="auto"/>
                <w:sz w:val="21"/>
                <w:szCs w:val="21"/>
                <w:highlight w:val="none"/>
                <w:lang w:val="en-US" w:eastAsia="zh-CN"/>
              </w:rPr>
              <w:t>证照</w:t>
            </w:r>
            <w:r>
              <w:rPr>
                <w:rFonts w:hint="eastAsia" w:ascii="宋体" w:hAnsi="宋体" w:eastAsia="宋体" w:cs="宋体"/>
                <w:color w:val="auto"/>
                <w:sz w:val="21"/>
                <w:szCs w:val="21"/>
                <w:highlight w:val="none"/>
              </w:rPr>
              <w:t>扫描件</w:t>
            </w:r>
          </w:p>
        </w:tc>
      </w:tr>
      <w:tr w14:paraId="01CE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3" w:hRule="atLeast"/>
          <w:jc w:val="center"/>
        </w:trPr>
        <w:tc>
          <w:tcPr>
            <w:tcW w:w="717" w:type="dxa"/>
            <w:vAlign w:val="center"/>
          </w:tcPr>
          <w:p w14:paraId="7A171577">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385" w:type="dxa"/>
            <w:vAlign w:val="center"/>
          </w:tcPr>
          <w:p w14:paraId="05970B63">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具有健全的财务会计制度</w:t>
            </w:r>
          </w:p>
        </w:tc>
        <w:tc>
          <w:tcPr>
            <w:tcW w:w="6756" w:type="dxa"/>
            <w:vAlign w:val="center"/>
          </w:tcPr>
          <w:p w14:paraId="653409E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供应商具有健全的财务会计制度，提供下列两项证明材料之一：</w:t>
            </w:r>
          </w:p>
          <w:p w14:paraId="2962B6A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（1）提供</w:t>
            </w:r>
            <w:r>
              <w:rPr>
                <w:rFonts w:hint="eastAsia" w:ascii="宋体" w:hAnsi="宋体" w:eastAsia="宋体" w:cs="宋体"/>
                <w:color w:val="auto"/>
                <w:sz w:val="21"/>
                <w:szCs w:val="21"/>
                <w:highlight w:val="none"/>
                <w:lang w:val="en-US" w:eastAsia="zh-CN"/>
              </w:rPr>
              <w:t>近三年（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2至</w:t>
            </w:r>
            <w:r>
              <w:rPr>
                <w:rFonts w:hint="eastAsia" w:ascii="宋体" w:hAnsi="宋体" w:eastAsia="宋体" w:cs="宋体"/>
                <w:color w:val="auto"/>
                <w:sz w:val="21"/>
                <w:szCs w:val="21"/>
                <w:highlight w:val="none"/>
              </w:rPr>
              <w:t>2024年</w:t>
            </w:r>
            <w:r>
              <w:rPr>
                <w:rFonts w:hint="eastAsia" w:ascii="宋体" w:hAnsi="宋体" w:eastAsia="宋体" w:cs="宋体"/>
                <w:color w:val="auto"/>
                <w:sz w:val="21"/>
                <w:szCs w:val="21"/>
                <w:highlight w:val="none"/>
                <w:lang w:val="en-US" w:eastAsia="zh-CN"/>
              </w:rPr>
              <w:t>）任意一年</w:t>
            </w:r>
            <w:r>
              <w:rPr>
                <w:rFonts w:hint="eastAsia" w:ascii="宋体" w:hAnsi="宋体" w:eastAsia="宋体" w:cs="宋体"/>
                <w:color w:val="auto"/>
                <w:sz w:val="21"/>
                <w:szCs w:val="21"/>
                <w:highlight w:val="none"/>
              </w:rPr>
              <w:t>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中提供提交</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截止时间前近三个月内基本开户银行出具的资信证明。</w:t>
            </w:r>
            <w:r>
              <w:rPr>
                <w:rFonts w:hint="eastAsia" w:ascii="宋体" w:hAnsi="宋体" w:eastAsia="宋体" w:cs="宋体"/>
                <w:color w:val="auto"/>
                <w:sz w:val="21"/>
                <w:szCs w:val="21"/>
                <w:highlight w:val="none"/>
                <w:lang w:val="en-US" w:eastAsia="zh-CN"/>
              </w:rPr>
              <w:t>请注意2024年9月5日后出具的财务报告</w:t>
            </w:r>
            <w:r>
              <w:rPr>
                <w:rFonts w:hint="eastAsia" w:ascii="宋体" w:hAnsi="宋体" w:eastAsia="宋体" w:cs="宋体"/>
                <w:color w:val="auto"/>
                <w:sz w:val="21"/>
                <w:szCs w:val="21"/>
                <w:highlight w:val="none"/>
              </w:rPr>
              <w:t>财务报表（至少包括资产负债表、现金流量表、利润表/损益表、附注）</w:t>
            </w:r>
            <w:r>
              <w:rPr>
                <w:rFonts w:hint="eastAsia" w:ascii="宋体" w:hAnsi="宋体" w:eastAsia="宋体" w:cs="宋体"/>
                <w:color w:val="auto"/>
                <w:sz w:val="21"/>
                <w:szCs w:val="21"/>
                <w:highlight w:val="none"/>
                <w:lang w:val="en-US" w:eastAsia="zh-CN"/>
              </w:rPr>
              <w:t>也应附二维码。（二维码指</w:t>
            </w:r>
            <w:r>
              <w:rPr>
                <w:rFonts w:hint="eastAsia" w:ascii="宋体" w:hAnsi="宋体" w:eastAsia="宋体" w:cs="宋体"/>
                <w:color w:val="auto"/>
                <w:sz w:val="21"/>
                <w:szCs w:val="21"/>
                <w:highlight w:val="none"/>
              </w:rPr>
              <w:t>注册会计师行业统一监管平台</w:t>
            </w:r>
            <w:r>
              <w:rPr>
                <w:rFonts w:hint="eastAsia" w:ascii="宋体" w:hAnsi="宋体" w:eastAsia="宋体" w:cs="宋体"/>
                <w:color w:val="auto"/>
                <w:sz w:val="21"/>
                <w:szCs w:val="21"/>
                <w:highlight w:val="none"/>
                <w:lang w:val="en-US" w:eastAsia="zh-CN"/>
              </w:rPr>
              <w:t>赋码，并非会计师事务所自行赋码）</w:t>
            </w:r>
          </w:p>
          <w:p w14:paraId="27BF2DF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（2）提供具有健全的财务会计制度且财务状况良好的书面承诺函。</w:t>
            </w:r>
          </w:p>
          <w:p w14:paraId="4E22CCC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审核近三年（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至</w:t>
            </w:r>
            <w:r>
              <w:rPr>
                <w:rFonts w:hint="eastAsia" w:ascii="宋体" w:hAnsi="宋体" w:eastAsia="宋体" w:cs="宋体"/>
                <w:color w:val="auto"/>
                <w:sz w:val="21"/>
                <w:szCs w:val="21"/>
                <w:highlight w:val="none"/>
              </w:rPr>
              <w:t>2024年</w:t>
            </w:r>
            <w:r>
              <w:rPr>
                <w:rFonts w:hint="eastAsia" w:ascii="宋体" w:hAnsi="宋体" w:eastAsia="宋体" w:cs="宋体"/>
                <w:color w:val="auto"/>
                <w:sz w:val="21"/>
                <w:szCs w:val="21"/>
                <w:highlight w:val="none"/>
                <w:lang w:val="en-US" w:eastAsia="zh-CN"/>
              </w:rPr>
              <w:t>）任意一年</w:t>
            </w:r>
            <w:r>
              <w:rPr>
                <w:rFonts w:hint="eastAsia" w:ascii="宋体" w:hAnsi="宋体" w:eastAsia="宋体" w:cs="宋体"/>
                <w:color w:val="auto"/>
                <w:sz w:val="21"/>
                <w:szCs w:val="21"/>
                <w:highlight w:val="none"/>
              </w:rPr>
              <w:t>第三方审计机构出具的财务审计报告正文和必要的财务报表（至少包括资产负债表、现金流量表、利润表/损益表、附注），成立时间不足一个完整会计年度的供应商，</w:t>
            </w:r>
            <w:r>
              <w:rPr>
                <w:rFonts w:hint="eastAsia" w:ascii="宋体" w:hAnsi="宋体" w:eastAsia="宋体" w:cs="宋体"/>
                <w:color w:val="auto"/>
                <w:sz w:val="21"/>
                <w:szCs w:val="21"/>
                <w:highlight w:val="none"/>
                <w:lang w:val="en-US" w:eastAsia="zh-CN"/>
              </w:rPr>
              <w:t>审核</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截止时间前近三个月内基本开户银行出具的资信证明</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具有健全的财务会计制度且财务状况良好的书面承诺函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承诺函格式可自拟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458B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7" w:type="dxa"/>
            <w:vAlign w:val="center"/>
          </w:tcPr>
          <w:p w14:paraId="45258CBE">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385" w:type="dxa"/>
            <w:vAlign w:val="center"/>
          </w:tcPr>
          <w:p w14:paraId="0D8B5B69">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具有履行合同所必需的货物和专业技术能力</w:t>
            </w:r>
          </w:p>
        </w:tc>
        <w:tc>
          <w:tcPr>
            <w:tcW w:w="6756" w:type="dxa"/>
            <w:vAlign w:val="center"/>
          </w:tcPr>
          <w:p w14:paraId="49E20C6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提供了可充分满足履行合同所需货物和专业技术能力的证明材料或承诺。依据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。审核电子件</w:t>
            </w:r>
          </w:p>
        </w:tc>
      </w:tr>
      <w:tr w14:paraId="1D10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2A1CDAD1">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385" w:type="dxa"/>
            <w:vAlign w:val="center"/>
          </w:tcPr>
          <w:p w14:paraId="52AFE18B">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6756" w:type="dxa"/>
            <w:vAlign w:val="center"/>
          </w:tcPr>
          <w:p w14:paraId="1A9998A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w:t>
            </w:r>
            <w:r>
              <w:rPr>
                <w:rFonts w:hint="eastAsia" w:ascii="宋体" w:hAnsi="宋体" w:eastAsia="宋体" w:cs="宋体"/>
                <w:color w:val="auto"/>
                <w:sz w:val="21"/>
                <w:szCs w:val="21"/>
                <w:highlight w:val="none"/>
                <w:lang w:val="en-US" w:eastAsia="zh-CN"/>
              </w:rPr>
              <w:t>公司2025年1月（含）以来至今任意1个</w:t>
            </w:r>
            <w:r>
              <w:rPr>
                <w:rFonts w:hint="eastAsia" w:ascii="宋体" w:hAnsi="宋体" w:eastAsia="宋体" w:cs="宋体"/>
                <w:color w:val="auto"/>
                <w:sz w:val="21"/>
                <w:szCs w:val="21"/>
                <w:highlight w:val="none"/>
              </w:rPr>
              <w:t>月缴纳税收证明文件（银行出具的缴税凭证或税务机关出具的证明的扫描件）或免税证明，</w:t>
            </w:r>
            <w:r>
              <w:rPr>
                <w:rFonts w:hint="eastAsia" w:ascii="宋体" w:hAnsi="宋体" w:eastAsia="宋体" w:cs="宋体"/>
                <w:color w:val="auto"/>
                <w:sz w:val="21"/>
                <w:szCs w:val="21"/>
                <w:highlight w:val="none"/>
                <w:lang w:val="en-US" w:eastAsia="zh-CN"/>
              </w:rPr>
              <w:t>或投标人自行出具的具有良好依法缴税的承诺函</w:t>
            </w:r>
            <w:r>
              <w:rPr>
                <w:rFonts w:hint="eastAsia" w:ascii="宋体" w:hAnsi="宋体" w:eastAsia="宋体" w:cs="宋体"/>
                <w:color w:val="auto"/>
                <w:sz w:val="21"/>
                <w:szCs w:val="21"/>
                <w:highlight w:val="none"/>
              </w:rPr>
              <w:t>。</w:t>
            </w:r>
          </w:p>
          <w:p w14:paraId="30F0CF5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提供</w:t>
            </w:r>
            <w:r>
              <w:rPr>
                <w:rFonts w:hint="eastAsia" w:ascii="宋体" w:hAnsi="宋体" w:eastAsia="宋体" w:cs="宋体"/>
                <w:color w:val="auto"/>
                <w:sz w:val="21"/>
                <w:szCs w:val="21"/>
                <w:highlight w:val="none"/>
                <w:lang w:val="en-US" w:eastAsia="zh-CN"/>
              </w:rPr>
              <w:t>公司2025年1月（含）以来至今任意1个</w:t>
            </w:r>
            <w:r>
              <w:rPr>
                <w:rFonts w:hint="eastAsia" w:ascii="宋体" w:hAnsi="宋体" w:eastAsia="宋体" w:cs="宋体"/>
                <w:color w:val="auto"/>
                <w:sz w:val="21"/>
                <w:szCs w:val="21"/>
                <w:highlight w:val="none"/>
              </w:rPr>
              <w:t>月的社会保障资金缴纳记录（其中基本养老保险、基本医疗保险（含生育保险）、工伤保险、失业保险均须依法缴纳）或免缴纳证明，</w:t>
            </w:r>
            <w:r>
              <w:rPr>
                <w:rFonts w:hint="eastAsia" w:ascii="宋体" w:hAnsi="宋体" w:eastAsia="宋体" w:cs="宋体"/>
                <w:color w:val="auto"/>
                <w:sz w:val="21"/>
                <w:szCs w:val="21"/>
                <w:highlight w:val="none"/>
                <w:lang w:val="en-US" w:eastAsia="zh-CN"/>
              </w:rPr>
              <w:t>或投标人自行出具的具有良好依法缴纳社会保障资金的承诺函</w:t>
            </w:r>
            <w:r>
              <w:rPr>
                <w:rFonts w:hint="eastAsia" w:ascii="宋体" w:hAnsi="宋体" w:eastAsia="宋体" w:cs="宋体"/>
                <w:color w:val="auto"/>
                <w:sz w:val="21"/>
                <w:szCs w:val="21"/>
                <w:highlight w:val="none"/>
              </w:rPr>
              <w:t>。</w:t>
            </w:r>
          </w:p>
          <w:p w14:paraId="3EB6E77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审核本款1和2要求的材料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承诺函格式可自拟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6E80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717" w:type="dxa"/>
            <w:vAlign w:val="center"/>
          </w:tcPr>
          <w:p w14:paraId="2DFFA262">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385" w:type="dxa"/>
            <w:vAlign w:val="center"/>
          </w:tcPr>
          <w:p w14:paraId="2CFF0BE9">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w:t>
            </w:r>
          </w:p>
        </w:tc>
        <w:tc>
          <w:tcPr>
            <w:tcW w:w="6756" w:type="dxa"/>
            <w:vAlign w:val="center"/>
          </w:tcPr>
          <w:p w14:paraId="4CDE7AEC">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提供了有效的参加政府采购活动前3年内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2023年1月1日起至今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在经营活动中没有重大违法记录的书面声明。依据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w:t>
            </w:r>
          </w:p>
          <w:p w14:paraId="359EDB9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审核电子件</w:t>
            </w:r>
          </w:p>
        </w:tc>
      </w:tr>
      <w:tr w14:paraId="7C08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76FBA823">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385" w:type="dxa"/>
            <w:vAlign w:val="center"/>
          </w:tcPr>
          <w:p w14:paraId="5147A56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“信用中国”网站和中国政府采购网（www.ccgp.gov.cn）查询记录</w:t>
            </w:r>
          </w:p>
        </w:tc>
        <w:tc>
          <w:tcPr>
            <w:tcW w:w="6756" w:type="dxa"/>
            <w:vAlign w:val="center"/>
          </w:tcPr>
          <w:p w14:paraId="3FF37EE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截止期前，投标人未被列入“信用中国”网站（www.creditchina.gov.cn）失信被执行人、重大税收违法失信主体；未被列入中国政府采购网（www.ccgp.gov.cn）“政府采购严重违法失信行为信息记录”（处罚决定规定的时间和地域范围内）。注：投标时投标人提供承诺，招标代理机构开标后将在相关网站查询并以此查询结果为准，存档备查。</w:t>
            </w:r>
          </w:p>
        </w:tc>
      </w:tr>
      <w:tr w14:paraId="2295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176E8D1F">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385" w:type="dxa"/>
            <w:vAlign w:val="center"/>
          </w:tcPr>
          <w:p w14:paraId="439676C6">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单位负责人为同一人或者</w:t>
            </w:r>
            <w:r>
              <w:rPr>
                <w:rFonts w:hint="eastAsia" w:ascii="宋体" w:hAnsi="宋体" w:eastAsia="宋体" w:cs="宋体"/>
                <w:color w:val="auto"/>
                <w:sz w:val="21"/>
                <w:szCs w:val="21"/>
                <w:highlight w:val="none"/>
                <w:lang w:eastAsia="zh-CN"/>
              </w:rPr>
              <w:t>存在直接控股</w:t>
            </w:r>
            <w:r>
              <w:rPr>
                <w:rFonts w:hint="eastAsia" w:ascii="宋体" w:hAnsi="宋体" w:eastAsia="宋体" w:cs="宋体"/>
                <w:color w:val="auto"/>
                <w:sz w:val="21"/>
                <w:szCs w:val="21"/>
                <w:highlight w:val="none"/>
              </w:rPr>
              <w:t>、管理关系的不同单位，不得同时参加本项目的投标。</w:t>
            </w:r>
          </w:p>
        </w:tc>
        <w:tc>
          <w:tcPr>
            <w:tcW w:w="6756" w:type="dxa"/>
            <w:vAlign w:val="center"/>
          </w:tcPr>
          <w:p w14:paraId="0444C63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提供了“投标人关联企业情况声明”。各投标人之间不存在单位负责人为同一人或者</w:t>
            </w:r>
            <w:r>
              <w:rPr>
                <w:rFonts w:hint="eastAsia" w:ascii="宋体" w:hAnsi="宋体" w:eastAsia="宋体" w:cs="宋体"/>
                <w:color w:val="auto"/>
                <w:sz w:val="21"/>
                <w:szCs w:val="21"/>
                <w:highlight w:val="none"/>
                <w:lang w:eastAsia="zh-CN"/>
              </w:rPr>
              <w:t>存在直接控股</w:t>
            </w:r>
            <w:r>
              <w:rPr>
                <w:rFonts w:hint="eastAsia" w:ascii="宋体" w:hAnsi="宋体" w:eastAsia="宋体" w:cs="宋体"/>
                <w:color w:val="auto"/>
                <w:sz w:val="21"/>
                <w:szCs w:val="21"/>
                <w:highlight w:val="none"/>
              </w:rPr>
              <w:t>、管理关系情形。依据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。审核电子件</w:t>
            </w:r>
          </w:p>
        </w:tc>
      </w:tr>
      <w:tr w14:paraId="6ACB9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717" w:type="dxa"/>
            <w:vAlign w:val="center"/>
          </w:tcPr>
          <w:p w14:paraId="00E20A26">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385" w:type="dxa"/>
            <w:vAlign w:val="center"/>
          </w:tcPr>
          <w:p w14:paraId="651E84AB">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为本项目提供整体设计、规范编制或者项目管理、监理、检测等服务的投标人，不得再参加本项目投标。</w:t>
            </w:r>
          </w:p>
        </w:tc>
        <w:tc>
          <w:tcPr>
            <w:tcW w:w="6756" w:type="dxa"/>
            <w:vAlign w:val="center"/>
          </w:tcPr>
          <w:p w14:paraId="72391E6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提供了投标人未为本项目提供整体设计、规范编制或者项目管理、监理、检测等服务的声明。依据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。审核电子件</w:t>
            </w:r>
          </w:p>
        </w:tc>
      </w:tr>
      <w:tr w14:paraId="564B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17" w:type="dxa"/>
            <w:vAlign w:val="center"/>
          </w:tcPr>
          <w:p w14:paraId="38C23326">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385" w:type="dxa"/>
            <w:vAlign w:val="center"/>
          </w:tcPr>
          <w:p w14:paraId="3A3CF84E">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与采购人存在利害关系可能影响招标公正性的法人、其他组织或者个人，不得参加投标</w:t>
            </w:r>
          </w:p>
        </w:tc>
        <w:tc>
          <w:tcPr>
            <w:tcW w:w="6756" w:type="dxa"/>
            <w:vAlign w:val="center"/>
          </w:tcPr>
          <w:p w14:paraId="0DEF13C8">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提供了投标人</w:t>
            </w:r>
            <w:r>
              <w:rPr>
                <w:rFonts w:hint="eastAsia" w:ascii="宋体" w:hAnsi="宋体" w:eastAsia="宋体" w:cs="宋体"/>
                <w:color w:val="auto"/>
                <w:sz w:val="21"/>
                <w:szCs w:val="21"/>
                <w:highlight w:val="none"/>
                <w:lang w:val="en-US" w:eastAsia="zh-CN"/>
              </w:rPr>
              <w:t>利害关系</w:t>
            </w:r>
            <w:r>
              <w:rPr>
                <w:rFonts w:hint="eastAsia" w:ascii="宋体" w:hAnsi="宋体" w:eastAsia="宋体" w:cs="宋体"/>
                <w:color w:val="auto"/>
                <w:sz w:val="21"/>
                <w:szCs w:val="21"/>
                <w:highlight w:val="none"/>
              </w:rPr>
              <w:t>声明。依据</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相关格式内容</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。审核电子件</w:t>
            </w:r>
          </w:p>
        </w:tc>
      </w:tr>
      <w:tr w14:paraId="694DC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7" w:type="dxa"/>
            <w:vAlign w:val="center"/>
          </w:tcPr>
          <w:p w14:paraId="3F16CD5B">
            <w:pPr>
              <w:shd w:val="clear"/>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385" w:type="dxa"/>
            <w:vAlign w:val="center"/>
          </w:tcPr>
          <w:p w14:paraId="27F9C48E">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6756" w:type="dxa"/>
            <w:vAlign w:val="center"/>
          </w:tcPr>
          <w:p w14:paraId="4B6A20C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投标人为非联合体投标</w:t>
            </w:r>
          </w:p>
        </w:tc>
      </w:tr>
    </w:tbl>
    <w:p w14:paraId="54930BC3">
      <w:pPr>
        <w:shd w:val="clear"/>
        <w:jc w:val="both"/>
        <w:rPr>
          <w:rFonts w:hint="eastAsia" w:ascii="宋体" w:hAnsi="宋体" w:eastAsia="宋体" w:cs="宋体"/>
          <w:b/>
          <w:bCs/>
          <w:color w:val="auto"/>
          <w:sz w:val="21"/>
          <w:szCs w:val="21"/>
          <w:highlight w:val="none"/>
          <w:lang w:val="en-US" w:eastAsia="zh-CN"/>
        </w:rPr>
      </w:pPr>
    </w:p>
    <w:p w14:paraId="42B30F1C">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74E693D1">
      <w:pPr>
        <w:pStyle w:val="6"/>
        <w:bidi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投标人“三证合一”的企业法人营业执照副本扫描件</w:t>
      </w:r>
      <w:bookmarkEnd w:id="367"/>
      <w:bookmarkEnd w:id="368"/>
      <w:bookmarkEnd w:id="369"/>
    </w:p>
    <w:p w14:paraId="380EC7B8">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说明：</w:t>
      </w:r>
    </w:p>
    <w:p w14:paraId="65640E1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是企业（包括合伙企业）的，应提供其在工商部门注册的有效“企业法人营业执照”或“营业执照”的扫描件；</w:t>
      </w:r>
    </w:p>
    <w:p w14:paraId="1AA4B41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是事业单位的，应提供其有效的“事业单位法人证书”扫描件；</w:t>
      </w:r>
    </w:p>
    <w:p w14:paraId="6536046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是非企业专业服务机构的，应提供其有效的“执业许可证”扫描件；</w:t>
      </w:r>
    </w:p>
    <w:p w14:paraId="0D5DF60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是个体工商户的，应提供其有效的“个体工商户营业执照”扫描件；</w:t>
      </w:r>
    </w:p>
    <w:p w14:paraId="60D7A2F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是自然人的，应提供其有效的自然人身份证明扫描件。</w:t>
      </w:r>
    </w:p>
    <w:p w14:paraId="5A099E7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p>
    <w:p w14:paraId="119C0CA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p>
    <w:p w14:paraId="78A0037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p>
    <w:p w14:paraId="028A71F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p>
    <w:p w14:paraId="42568444">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p>
    <w:bookmarkEnd w:id="357"/>
    <w:p w14:paraId="42EABFE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bookmarkStart w:id="370" w:name="_Toc21701"/>
      <w:bookmarkStart w:id="371" w:name="_Toc16787"/>
      <w:bookmarkStart w:id="372" w:name="_Toc21548"/>
    </w:p>
    <w:p w14:paraId="32414215">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8-2  </w:t>
      </w:r>
      <w:bookmarkEnd w:id="370"/>
      <w:bookmarkEnd w:id="371"/>
      <w:bookmarkEnd w:id="372"/>
      <w:bookmarkStart w:id="373" w:name="_Toc19881"/>
      <w:bookmarkStart w:id="374" w:name="_Toc1233"/>
      <w:bookmarkStart w:id="375" w:name="_Toc10448"/>
      <w:r>
        <w:rPr>
          <w:rFonts w:hint="eastAsia" w:ascii="宋体" w:hAnsi="宋体" w:cs="宋体"/>
          <w:color w:val="auto"/>
          <w:sz w:val="28"/>
          <w:szCs w:val="28"/>
          <w:highlight w:val="none"/>
          <w:lang w:val="en-US" w:eastAsia="zh-CN"/>
        </w:rPr>
        <w:t>投标人</w:t>
      </w:r>
      <w:r>
        <w:rPr>
          <w:rFonts w:hint="eastAsia" w:ascii="宋体" w:hAnsi="宋体" w:eastAsia="宋体" w:cs="宋体"/>
          <w:color w:val="auto"/>
          <w:sz w:val="28"/>
          <w:szCs w:val="28"/>
          <w:highlight w:val="none"/>
          <w:lang w:val="en-US" w:eastAsia="zh-CN"/>
        </w:rPr>
        <w:t>具有健全的财务会计制度，提供下列两项证明材料之一：</w:t>
      </w:r>
    </w:p>
    <w:p w14:paraId="56D2D19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提供近三年（2022至2024年）任意一年第三方审计机构出具的财务审计报告正文和必要的财务报表（至少包括资产负债表、现金流量表、利润表/损益表、附注），根据《财政部关于注册会计师在审计报告上签字盖章有关问题的通知》、《关于加强审计报告查验工作的通知》，2022年及之后的审计报告应在注册会计师行业统一监管平台（网址http://acc.mof.gov.cn）赋二维码，审计报告盖有会计师事务所公章和两名中国注册会计师签名盖章，并附有会计师事务所营业执照、会计师事务所执业证书、注册会计师证书；成立时间不足一个完整会计年度的供应商，投标文件中提供提交投标文件截止时间前近三个月内基本开户银行出具的资信证明。请注意2024年9月5日后出具的财务报告财务报表（至少包括资产负债表、现金流量表、利润表/损益表、附注）也应附二维码。（二维码指注册会计师行业统一监管平台赋码，并非会计师事务所自行赋码）</w:t>
      </w:r>
    </w:p>
    <w:p w14:paraId="17747E9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（2）提供具有健全的财务会计制度且财务状况良好的书面承诺函（</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p>
    <w:p w14:paraId="3B9FA752">
      <w:pPr>
        <w:shd w:val="clear"/>
        <w:tabs>
          <w:tab w:val="left" w:pos="993"/>
          <w:tab w:val="left" w:pos="1030"/>
          <w:tab w:val="left" w:pos="8364"/>
        </w:tabs>
        <w:snapToGrid w:val="0"/>
        <w:spacing w:after="156" w:afterLines="50"/>
        <w:ind w:right="-57" w:rightChars="-27"/>
        <w:jc w:val="left"/>
        <w:rPr>
          <w:rFonts w:hint="eastAsia" w:ascii="宋体" w:hAnsi="宋体" w:eastAsia="宋体" w:cs="宋体"/>
          <w:b/>
          <w:color w:val="auto"/>
          <w:sz w:val="28"/>
          <w:szCs w:val="28"/>
          <w:highlight w:val="none"/>
        </w:rPr>
      </w:pPr>
      <w:bookmarkStart w:id="425" w:name="_GoBack"/>
      <w:bookmarkEnd w:id="425"/>
    </w:p>
    <w:p w14:paraId="20464606">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4E833CEF">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  依法缴纳税收的证明</w:t>
      </w:r>
      <w:bookmarkEnd w:id="373"/>
      <w:bookmarkEnd w:id="374"/>
      <w:bookmarkEnd w:id="375"/>
    </w:p>
    <w:p w14:paraId="52CFF87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提供公司2025年1月（含）以来至今任意1个月缴纳税收证明文件（银行出具的缴税凭证或税务机关出具的证明的扫描件）或免税证明，或投标人自行出具的具有良好依法缴税的承诺函。</w:t>
      </w:r>
    </w:p>
    <w:p w14:paraId="76CF8A1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152F9B3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5A3A21A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5B4CA89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0CDCF1E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10BDCAC0">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7B7E540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2E9FB0F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4B9100B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2B767CD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eastAsia="宋体" w:cs="宋体"/>
          <w:b/>
          <w:color w:val="auto"/>
          <w:sz w:val="21"/>
          <w:szCs w:val="21"/>
          <w:highlight w:val="none"/>
        </w:rPr>
      </w:pPr>
    </w:p>
    <w:p w14:paraId="0E85AA34">
      <w:pPr>
        <w:pStyle w:val="6"/>
        <w:bidi w:val="0"/>
        <w:rPr>
          <w:rFonts w:hint="eastAsia" w:ascii="宋体" w:hAnsi="宋体" w:eastAsia="宋体" w:cs="宋体"/>
          <w:color w:val="auto"/>
          <w:sz w:val="28"/>
          <w:szCs w:val="28"/>
          <w:highlight w:val="none"/>
          <w:lang w:val="en-US" w:eastAsia="zh-CN"/>
        </w:rPr>
      </w:pPr>
      <w:bookmarkStart w:id="376" w:name="_Toc29373"/>
      <w:bookmarkStart w:id="377" w:name="_Toc2794"/>
      <w:bookmarkStart w:id="378" w:name="_Toc16271"/>
      <w:r>
        <w:rPr>
          <w:rFonts w:hint="eastAsia" w:ascii="宋体" w:hAnsi="宋体" w:eastAsia="宋体" w:cs="宋体"/>
          <w:color w:val="auto"/>
          <w:sz w:val="28"/>
          <w:szCs w:val="28"/>
          <w:highlight w:val="none"/>
          <w:lang w:val="en-US" w:eastAsia="zh-CN"/>
        </w:rPr>
        <w:t>8-4  社会保障资金缴纳记录</w:t>
      </w:r>
      <w:bookmarkEnd w:id="376"/>
      <w:bookmarkEnd w:id="377"/>
      <w:bookmarkEnd w:id="378"/>
    </w:p>
    <w:p w14:paraId="2F6975B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bookmarkStart w:id="379" w:name="_Toc14366"/>
      <w:bookmarkStart w:id="380" w:name="_Toc27325"/>
      <w:bookmarkStart w:id="381" w:name="_Toc17455"/>
      <w:r>
        <w:rPr>
          <w:rFonts w:hint="eastAsia" w:ascii="宋体" w:hAnsi="宋体" w:eastAsia="宋体" w:cs="宋体"/>
          <w:color w:val="auto"/>
          <w:sz w:val="21"/>
          <w:szCs w:val="21"/>
          <w:highlight w:val="none"/>
          <w:lang w:val="en-US" w:eastAsia="zh-CN"/>
        </w:rPr>
        <w:t>提供公司2025年1月（含）以来至今任意1个月的社会保障资金缴纳记录（其中基本养老保险、基本医疗保险（含生育保险）、工伤保险、失业保险均须依法缴纳）或免缴纳证明，或投标人自行出具的具有良好依法缴纳社会保障资金的承诺函。</w:t>
      </w:r>
    </w:p>
    <w:p w14:paraId="455764D0">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767FE4F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55DE81E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55E880A7">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4CA6F557">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  具备履行合同所必需的货物和专业技术能力承诺书</w:t>
      </w:r>
      <w:bookmarkEnd w:id="379"/>
      <w:bookmarkEnd w:id="380"/>
      <w:bookmarkEnd w:id="381"/>
    </w:p>
    <w:p w14:paraId="5B0F19EB">
      <w:pPr>
        <w:shd w:val="clear"/>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(采购人名称)      ：</w:t>
      </w:r>
    </w:p>
    <w:p w14:paraId="3AA1F50F">
      <w:pPr>
        <w:shd w:val="clear"/>
        <w:ind w:firstLine="480"/>
        <w:rPr>
          <w:rFonts w:hint="eastAsia" w:ascii="宋体" w:hAnsi="宋体" w:eastAsia="宋体" w:cs="宋体"/>
          <w:color w:val="auto"/>
          <w:kern w:val="0"/>
          <w:sz w:val="21"/>
          <w:szCs w:val="21"/>
          <w:highlight w:val="none"/>
        </w:rPr>
      </w:pPr>
    </w:p>
    <w:p w14:paraId="33F08F8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我公司承诺具备履行合同所必需的货物和专业技术能力。</w:t>
      </w:r>
    </w:p>
    <w:p w14:paraId="004192CB">
      <w:pPr>
        <w:shd w:val="clear"/>
        <w:ind w:firstLine="480"/>
        <w:rPr>
          <w:rFonts w:hint="eastAsia" w:ascii="宋体" w:hAnsi="宋体" w:eastAsia="宋体" w:cs="宋体"/>
          <w:b/>
          <w:color w:val="auto"/>
          <w:sz w:val="21"/>
          <w:szCs w:val="21"/>
          <w:highlight w:val="none"/>
        </w:rPr>
      </w:pPr>
    </w:p>
    <w:p w14:paraId="2D28B11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bookmarkStart w:id="382" w:name="_Toc9381"/>
      <w:bookmarkStart w:id="383" w:name="_Toc2139"/>
      <w:bookmarkStart w:id="384" w:name="_Toc12562"/>
    </w:p>
    <w:p w14:paraId="7BD4789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09F89CD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276E94D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72D70CD3">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65A85EB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0AB9EF79">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8-6  投标人参加政府采购活动前3年内在经营活动中没有重大违法记录的书面声明</w:t>
      </w:r>
      <w:bookmarkEnd w:id="382"/>
      <w:bookmarkEnd w:id="383"/>
      <w:bookmarkEnd w:id="384"/>
    </w:p>
    <w:p w14:paraId="27198523">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声明函</w:t>
      </w:r>
    </w:p>
    <w:p w14:paraId="0E9153C9">
      <w:pPr>
        <w:shd w:val="clear"/>
        <w:tabs>
          <w:tab w:val="left" w:pos="5580"/>
        </w:tabs>
        <w:spacing w:before="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  </w:t>
      </w:r>
    </w:p>
    <w:p w14:paraId="582249D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本项目投标文件截止时间前（2023年1月1日起至今），我公司郑重承诺在参加本项目政府采购活动前三年内，在经营活动中无重大违法记录。公司未受到刑事处罚或责令停业、吊销许可证（或执照）、较大数额罚款等行政处罚；未处于财产被接管、冻结、破产状况。</w:t>
      </w:r>
    </w:p>
    <w:p w14:paraId="6F89AC0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如发现我单位提供的声明函不实时，我单位将按照《政府采购法》有关提供虚假材料的规定，接受处罚。</w:t>
      </w:r>
    </w:p>
    <w:p w14:paraId="76800B2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特此声明。</w:t>
      </w:r>
    </w:p>
    <w:p w14:paraId="75CB06E7">
      <w:pPr>
        <w:shd w:val="clear"/>
        <w:tabs>
          <w:tab w:val="left" w:pos="5580"/>
        </w:tabs>
        <w:spacing w:before="120" w:line="360" w:lineRule="auto"/>
        <w:ind w:firstLine="420" w:firstLineChars="200"/>
        <w:rPr>
          <w:rFonts w:hint="eastAsia" w:ascii="宋体" w:hAnsi="宋体" w:eastAsia="宋体" w:cs="宋体"/>
          <w:color w:val="auto"/>
          <w:sz w:val="21"/>
          <w:szCs w:val="21"/>
          <w:highlight w:val="none"/>
        </w:rPr>
      </w:pPr>
    </w:p>
    <w:p w14:paraId="18E87D9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761A85F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320771B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08D2E47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80" w:leftChars="1800"/>
        <w:jc w:val="left"/>
        <w:textAlignment w:val="auto"/>
        <w:rPr>
          <w:rFonts w:hint="eastAsia" w:ascii="宋体" w:hAnsi="宋体" w:eastAsia="宋体" w:cs="宋体"/>
          <w:color w:val="auto"/>
          <w:sz w:val="21"/>
          <w:szCs w:val="21"/>
          <w:highlight w:val="none"/>
        </w:rPr>
      </w:pPr>
    </w:p>
    <w:p w14:paraId="61056EE3">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依据</w:t>
      </w:r>
      <w:r>
        <w:rPr>
          <w:rFonts w:hint="eastAsia" w:ascii="宋体" w:hAnsi="宋体" w:eastAsia="宋体" w:cs="宋体"/>
          <w:b w:val="0"/>
          <w:bCs w:val="0"/>
          <w:color w:val="auto"/>
          <w:sz w:val="18"/>
          <w:szCs w:val="18"/>
          <w:highlight w:val="none"/>
          <w:lang w:val="en-US" w:eastAsia="zh-CN"/>
        </w:rPr>
        <w:t>招标文件</w:t>
      </w:r>
      <w:r>
        <w:rPr>
          <w:rFonts w:hint="eastAsia" w:ascii="宋体" w:hAnsi="宋体" w:eastAsia="宋体" w:cs="宋体"/>
          <w:b w:val="0"/>
          <w:bCs w:val="0"/>
          <w:color w:val="auto"/>
          <w:sz w:val="18"/>
          <w:szCs w:val="18"/>
          <w:highlight w:val="none"/>
        </w:rPr>
        <w:t>相关格式内容</w:t>
      </w:r>
      <w:r>
        <w:rPr>
          <w:rFonts w:hint="eastAsia" w:ascii="宋体" w:hAnsi="宋体" w:eastAsia="宋体" w:cs="宋体"/>
          <w:b w:val="0"/>
          <w:bCs w:val="0"/>
          <w:color w:val="auto"/>
          <w:sz w:val="18"/>
          <w:szCs w:val="18"/>
          <w:highlight w:val="none"/>
          <w:lang w:val="en-US" w:eastAsia="zh-CN"/>
        </w:rPr>
        <w:t>承诺</w:t>
      </w:r>
      <w:r>
        <w:rPr>
          <w:rFonts w:hint="eastAsia" w:ascii="宋体" w:hAnsi="宋体" w:eastAsia="宋体" w:cs="宋体"/>
          <w:b w:val="0"/>
          <w:bCs w:val="0"/>
          <w:color w:val="auto"/>
          <w:sz w:val="18"/>
          <w:szCs w:val="18"/>
          <w:highlight w:val="none"/>
        </w:rPr>
        <w:t>。</w:t>
      </w:r>
    </w:p>
    <w:p w14:paraId="7575C81D">
      <w:pPr>
        <w:pStyle w:val="94"/>
        <w:shd w:val="clear"/>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br w:type="page"/>
      </w:r>
    </w:p>
    <w:p w14:paraId="31FC4FD2">
      <w:pPr>
        <w:pStyle w:val="6"/>
        <w:bidi w:val="0"/>
        <w:rPr>
          <w:rFonts w:hint="eastAsia" w:ascii="宋体" w:hAnsi="宋体" w:eastAsia="宋体" w:cs="宋体"/>
          <w:color w:val="auto"/>
          <w:sz w:val="28"/>
          <w:szCs w:val="28"/>
          <w:highlight w:val="none"/>
          <w:lang w:val="en-US" w:eastAsia="zh-CN"/>
        </w:rPr>
      </w:pPr>
      <w:bookmarkStart w:id="385" w:name="_Toc20882"/>
      <w:bookmarkStart w:id="386" w:name="_Toc15314"/>
      <w:bookmarkStart w:id="387" w:name="_Toc1047"/>
      <w:r>
        <w:rPr>
          <w:rFonts w:hint="eastAsia" w:ascii="宋体" w:hAnsi="宋体" w:eastAsia="宋体" w:cs="宋体"/>
          <w:color w:val="auto"/>
          <w:sz w:val="28"/>
          <w:szCs w:val="28"/>
          <w:highlight w:val="none"/>
          <w:lang w:val="en-US" w:eastAsia="zh-CN"/>
        </w:rPr>
        <w:t>8-7  投标人控股股东名称、控股公司的名称和存在管理、被管理关系的单位名称说明</w:t>
      </w:r>
      <w:bookmarkEnd w:id="385"/>
      <w:bookmarkEnd w:id="386"/>
      <w:bookmarkEnd w:id="387"/>
    </w:p>
    <w:p w14:paraId="2823AA1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44F10BCC">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致（采购人）：</w:t>
      </w:r>
    </w:p>
    <w:p w14:paraId="34BA276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67DFD9A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与我方的法定代表人（单位负责人）为同一人的企业如下：</w:t>
      </w:r>
    </w:p>
    <w:p w14:paraId="5DDEC9C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68A2A85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我方的控股股东如下：</w:t>
      </w:r>
    </w:p>
    <w:p w14:paraId="0D9B9D84">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226DFEB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我方直接控股的企业如下：</w:t>
      </w:r>
    </w:p>
    <w:p w14:paraId="48E1B2E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782A6F8C">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与我方存在管理、被管理关系的单位名称如下：</w:t>
      </w:r>
    </w:p>
    <w:p w14:paraId="4B4F1CCE">
      <w:pPr>
        <w:shd w:val="clear"/>
        <w:ind w:firstLine="426"/>
        <w:rPr>
          <w:rFonts w:hint="eastAsia" w:ascii="宋体" w:hAnsi="宋体" w:eastAsia="宋体" w:cs="宋体"/>
          <w:color w:val="auto"/>
          <w:sz w:val="21"/>
          <w:szCs w:val="21"/>
          <w:highlight w:val="none"/>
        </w:rPr>
      </w:pPr>
    </w:p>
    <w:p w14:paraId="2F2F238F">
      <w:pPr>
        <w:shd w:val="clear"/>
        <w:ind w:firstLine="426"/>
        <w:rPr>
          <w:rFonts w:hint="eastAsia" w:ascii="宋体" w:hAnsi="宋体" w:eastAsia="宋体" w:cs="宋体"/>
          <w:color w:val="auto"/>
          <w:sz w:val="21"/>
          <w:szCs w:val="21"/>
          <w:highlight w:val="none"/>
        </w:rPr>
      </w:pPr>
    </w:p>
    <w:p w14:paraId="5348128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781ED1B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6961271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5C309A13">
      <w:pPr>
        <w:shd w:val="clear"/>
        <w:ind w:firstLine="420" w:firstLineChars="200"/>
        <w:rPr>
          <w:rFonts w:hint="eastAsia" w:ascii="宋体" w:hAnsi="宋体" w:eastAsia="宋体" w:cs="宋体"/>
          <w:color w:val="auto"/>
          <w:sz w:val="21"/>
          <w:szCs w:val="21"/>
          <w:highlight w:val="none"/>
        </w:rPr>
      </w:pPr>
    </w:p>
    <w:p w14:paraId="6C2FDDF6">
      <w:pPr>
        <w:shd w:val="clear"/>
        <w:ind w:firstLine="420" w:firstLineChars="200"/>
        <w:rPr>
          <w:rFonts w:hint="eastAsia" w:ascii="宋体" w:hAnsi="宋体" w:eastAsia="宋体" w:cs="宋体"/>
          <w:color w:val="auto"/>
          <w:sz w:val="21"/>
          <w:szCs w:val="21"/>
          <w:highlight w:val="none"/>
        </w:rPr>
      </w:pPr>
    </w:p>
    <w:p w14:paraId="389FAF68">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注：</w:t>
      </w:r>
    </w:p>
    <w:p w14:paraId="5BF511F9">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1、单位负责人，是指单位法定代表人或者法律、行政法规规定代表单位行使职权的主要负责人。</w:t>
      </w:r>
    </w:p>
    <w:p w14:paraId="51A8121F">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5C9951A1">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3、直接管理关系，是指不具有出资持股关系的其他单位之间存在的直接管理与被管理关系，如上下级关系的事业单位和团体组织。</w:t>
      </w:r>
    </w:p>
    <w:p w14:paraId="476B4DFC">
      <w:pPr>
        <w:pStyle w:val="94"/>
        <w:shd w:val="clear"/>
        <w:spacing w:line="240" w:lineRule="auto"/>
        <w:rPr>
          <w:rFonts w:hint="eastAsia" w:ascii="宋体" w:hAnsi="宋体" w:eastAsia="宋体" w:cs="宋体"/>
          <w:b/>
          <w:bCs/>
          <w:color w:val="auto"/>
          <w:sz w:val="18"/>
          <w:szCs w:val="18"/>
          <w:highlight w:val="none"/>
        </w:rPr>
      </w:pPr>
    </w:p>
    <w:p w14:paraId="1F0EEF90">
      <w:pPr>
        <w:pStyle w:val="94"/>
        <w:shd w:val="clear"/>
        <w:spacing w:line="240" w:lineRule="auto"/>
        <w:rPr>
          <w:rFonts w:hint="eastAsia" w:ascii="宋体" w:hAnsi="宋体" w:eastAsia="宋体" w:cs="宋体"/>
          <w:b/>
          <w:bCs/>
          <w:color w:val="auto"/>
          <w:sz w:val="18"/>
          <w:szCs w:val="18"/>
          <w:highlight w:val="none"/>
        </w:rPr>
      </w:pPr>
    </w:p>
    <w:p w14:paraId="194B558A">
      <w:pPr>
        <w:shd w:val="clea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16B14350">
      <w:pPr>
        <w:pStyle w:val="6"/>
        <w:bidi w:val="0"/>
        <w:rPr>
          <w:rFonts w:hint="eastAsia" w:ascii="宋体" w:hAnsi="宋体" w:eastAsia="宋体" w:cs="宋体"/>
          <w:color w:val="auto"/>
          <w:sz w:val="28"/>
          <w:szCs w:val="28"/>
          <w:highlight w:val="none"/>
          <w:lang w:val="en-US" w:eastAsia="zh-CN"/>
        </w:rPr>
      </w:pPr>
      <w:bookmarkStart w:id="388" w:name="_Toc32535"/>
      <w:bookmarkStart w:id="389" w:name="_Toc21167"/>
      <w:bookmarkStart w:id="390" w:name="_Toc14800"/>
      <w:r>
        <w:rPr>
          <w:rFonts w:hint="eastAsia" w:ascii="宋体" w:hAnsi="宋体" w:eastAsia="宋体" w:cs="宋体"/>
          <w:color w:val="auto"/>
          <w:sz w:val="28"/>
          <w:szCs w:val="28"/>
          <w:highlight w:val="none"/>
          <w:lang w:val="en-US" w:eastAsia="zh-CN"/>
        </w:rPr>
        <w:t>8-8  投标人是否属于为本项目提供整体设计、规范编制或者项目管理、监理、检测等服务的投标人声明</w:t>
      </w:r>
      <w:bookmarkEnd w:id="388"/>
      <w:bookmarkEnd w:id="389"/>
      <w:bookmarkEnd w:id="390"/>
    </w:p>
    <w:p w14:paraId="227F1C79">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致（采购人）：</w:t>
      </w:r>
    </w:p>
    <w:p w14:paraId="1FF51B2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w:t>
      </w:r>
      <w:r>
        <w:rPr>
          <w:rFonts w:hint="eastAsia" w:ascii="宋体" w:hAnsi="宋体" w:eastAsia="宋体" w:cs="宋体"/>
          <w:b/>
          <w:bCs/>
          <w:i/>
          <w:iCs/>
          <w:color w:val="auto"/>
          <w:sz w:val="21"/>
          <w:szCs w:val="21"/>
          <w:highlight w:val="none"/>
          <w:lang w:val="en-US" w:eastAsia="zh-CN"/>
        </w:rPr>
        <w:t xml:space="preserve"> （  ）不属于 （  ）属于 （请投标人勾选）</w:t>
      </w:r>
      <w:r>
        <w:rPr>
          <w:rFonts w:hint="eastAsia" w:ascii="宋体" w:hAnsi="宋体" w:eastAsia="宋体" w:cs="宋体"/>
          <w:color w:val="auto"/>
          <w:sz w:val="21"/>
          <w:szCs w:val="21"/>
          <w:highlight w:val="none"/>
          <w:lang w:val="en-US" w:eastAsia="zh-CN"/>
        </w:rPr>
        <w:t>为本项目提供整体设计、规范编制或者项目管理、监理、检测等服务的投标人。也</w:t>
      </w:r>
      <w:r>
        <w:rPr>
          <w:rFonts w:hint="eastAsia" w:ascii="宋体" w:hAnsi="宋体" w:eastAsia="宋体" w:cs="宋体"/>
          <w:b/>
          <w:bCs/>
          <w:i/>
          <w:iCs/>
          <w:color w:val="auto"/>
          <w:sz w:val="21"/>
          <w:szCs w:val="21"/>
          <w:highlight w:val="none"/>
          <w:lang w:val="en-US" w:eastAsia="zh-CN"/>
        </w:rPr>
        <w:t>（  ）不属于 （  ）属于（请投标人勾选）</w:t>
      </w:r>
      <w:r>
        <w:rPr>
          <w:rFonts w:hint="eastAsia" w:ascii="宋体" w:hAnsi="宋体" w:eastAsia="宋体" w:cs="宋体"/>
          <w:color w:val="auto"/>
          <w:sz w:val="21"/>
          <w:szCs w:val="21"/>
          <w:highlight w:val="none"/>
          <w:lang w:val="en-US" w:eastAsia="zh-CN"/>
        </w:rPr>
        <w:t>单位负责人为同一人或者存在直接控股、管理关系的不同单位同时参加本项目的投标的情形。</w:t>
      </w:r>
    </w:p>
    <w:p w14:paraId="47D2449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5BC026D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06B6D3D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6D2E40E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74B4406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4504E08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lang w:val="en-US" w:eastAsia="zh-CN"/>
        </w:rPr>
      </w:pPr>
    </w:p>
    <w:p w14:paraId="4E2E97D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lang w:val="en-US" w:eastAsia="zh-CN"/>
        </w:rPr>
      </w:pPr>
    </w:p>
    <w:p w14:paraId="11C6D20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lang w:val="en-US" w:eastAsia="zh-CN"/>
        </w:rPr>
      </w:pPr>
    </w:p>
    <w:p w14:paraId="7FE3EBF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lang w:val="en-US" w:eastAsia="zh-CN"/>
        </w:rPr>
      </w:pPr>
    </w:p>
    <w:p w14:paraId="408C6C22">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8-9  非联合体投标声明</w:t>
      </w:r>
    </w:p>
    <w:p w14:paraId="7B9D87DF">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致（采购人）：</w:t>
      </w:r>
    </w:p>
    <w:p w14:paraId="0D30E0F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w:t>
      </w:r>
      <w:r>
        <w:rPr>
          <w:rFonts w:hint="eastAsia" w:ascii="宋体" w:hAnsi="宋体" w:eastAsia="宋体" w:cs="宋体"/>
          <w:b/>
          <w:bCs/>
          <w:i/>
          <w:iCs/>
          <w:color w:val="auto"/>
          <w:sz w:val="21"/>
          <w:szCs w:val="21"/>
          <w:highlight w:val="none"/>
          <w:lang w:val="en-US" w:eastAsia="zh-CN"/>
        </w:rPr>
        <w:t>（  ）不属于 （  ）属于 （请投标人勾选）</w:t>
      </w:r>
      <w:r>
        <w:rPr>
          <w:rFonts w:hint="eastAsia" w:ascii="宋体" w:hAnsi="宋体" w:eastAsia="宋体" w:cs="宋体"/>
          <w:color w:val="auto"/>
          <w:sz w:val="21"/>
          <w:szCs w:val="21"/>
          <w:highlight w:val="none"/>
          <w:lang w:val="en-US" w:eastAsia="zh-CN"/>
        </w:rPr>
        <w:t>联合体投标。</w:t>
      </w:r>
    </w:p>
    <w:p w14:paraId="47C96238">
      <w:pPr>
        <w:shd w:val="clear"/>
        <w:ind w:firstLine="426"/>
        <w:rPr>
          <w:rFonts w:hint="eastAsia" w:ascii="宋体" w:hAnsi="宋体" w:eastAsia="宋体" w:cs="宋体"/>
          <w:color w:val="auto"/>
          <w:sz w:val="21"/>
          <w:szCs w:val="21"/>
          <w:highlight w:val="none"/>
        </w:rPr>
      </w:pPr>
    </w:p>
    <w:p w14:paraId="375D3888">
      <w:pPr>
        <w:shd w:val="clear"/>
        <w:ind w:firstLine="426"/>
        <w:rPr>
          <w:rFonts w:hint="eastAsia" w:ascii="宋体" w:hAnsi="宋体" w:eastAsia="宋体" w:cs="宋体"/>
          <w:color w:val="auto"/>
          <w:sz w:val="21"/>
          <w:szCs w:val="21"/>
          <w:highlight w:val="none"/>
        </w:rPr>
      </w:pPr>
    </w:p>
    <w:p w14:paraId="0232AB3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64AD9B0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2BA95B2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350030BF">
      <w:pPr>
        <w:pStyle w:val="46"/>
        <w:shd w:val="clear"/>
        <w:rPr>
          <w:rFonts w:hint="eastAsia" w:ascii="宋体" w:hAnsi="宋体" w:eastAsia="宋体" w:cs="宋体"/>
          <w:color w:val="auto"/>
          <w:sz w:val="28"/>
          <w:szCs w:val="28"/>
          <w:highlight w:val="none"/>
        </w:rPr>
      </w:pPr>
    </w:p>
    <w:p w14:paraId="12BEE9CD">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15459694">
      <w:pPr>
        <w:pStyle w:val="6"/>
        <w:bidi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8"/>
          <w:szCs w:val="28"/>
          <w:highlight w:val="none"/>
          <w:lang w:val="en-US" w:eastAsia="zh-CN"/>
        </w:rPr>
        <w:t>8-10  利害关系声明</w:t>
      </w:r>
    </w:p>
    <w:p w14:paraId="326AEF91">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致（采购人）：</w:t>
      </w:r>
    </w:p>
    <w:p w14:paraId="3162B5C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我方与采购人没有存在利害关系可能影响招标公正性的法人、其他组织或者个人。</w:t>
      </w:r>
    </w:p>
    <w:p w14:paraId="401576B7">
      <w:pPr>
        <w:pStyle w:val="46"/>
        <w:shd w:val="clear"/>
        <w:rPr>
          <w:rFonts w:hint="eastAsia" w:ascii="宋体" w:hAnsi="宋体" w:eastAsia="宋体" w:cs="宋体"/>
          <w:color w:val="auto"/>
          <w:kern w:val="0"/>
          <w:sz w:val="21"/>
          <w:szCs w:val="21"/>
          <w:highlight w:val="none"/>
          <w:lang w:val="en-US" w:eastAsia="zh-CN"/>
        </w:rPr>
      </w:pPr>
    </w:p>
    <w:p w14:paraId="195C938C">
      <w:pPr>
        <w:shd w:val="clear"/>
        <w:rPr>
          <w:rFonts w:hint="eastAsia" w:ascii="宋体" w:hAnsi="宋体" w:eastAsia="宋体" w:cs="宋体"/>
          <w:color w:val="auto"/>
          <w:sz w:val="21"/>
          <w:szCs w:val="21"/>
          <w:highlight w:val="none"/>
          <w:lang w:val="en-US" w:eastAsia="zh-CN"/>
        </w:rPr>
      </w:pPr>
    </w:p>
    <w:p w14:paraId="2D1F9E0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462257C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505D657C">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773D022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6F6989F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3D75ED7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lang w:val="en-US" w:eastAsia="zh-CN"/>
        </w:rPr>
      </w:pPr>
    </w:p>
    <w:p w14:paraId="2C0F655C">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8-11  未被列入“信用中国”网站（www.creditchina.gov.cn）失信被执行人、重大税收违法失信主体；未被列入中国政府采购网（www.ccgp.gov.cn）“政府采购严重违法失信行为信息记录”承诺函。</w:t>
      </w:r>
    </w:p>
    <w:p w14:paraId="7585C84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2" w:firstLineChars="200"/>
        <w:textAlignment w:val="auto"/>
        <w:rPr>
          <w:rFonts w:hint="eastAsia" w:ascii="宋体" w:hAnsi="宋体" w:cs="宋体"/>
          <w:b/>
          <w:color w:val="auto"/>
          <w:sz w:val="21"/>
          <w:szCs w:val="21"/>
          <w:highlight w:val="none"/>
          <w:lang w:val="en-US" w:eastAsia="zh-CN"/>
        </w:rPr>
      </w:pPr>
    </w:p>
    <w:p w14:paraId="3DC6BA5B">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致（采购人）：</w:t>
      </w:r>
    </w:p>
    <w:p w14:paraId="4EC7DAD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方承诺未被列入“信用中国”网站（www.creditchina.gov.cn）失信被执行人、重大税收违法失信主体；未被列入中国政府采购网（www.ccgp.gov.cn）“政府采购严重违法失信行为信息记录”。招标代理机构开标后将在相关网站查询并以此查询结果为准，存档备查。</w:t>
      </w:r>
    </w:p>
    <w:p w14:paraId="2E403CA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0755E4B6">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33420BC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12AB405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4EA76809">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58DC796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4AC2DCD6">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val="en-US" w:eastAsia="zh-CN"/>
        </w:rPr>
      </w:pPr>
    </w:p>
    <w:p w14:paraId="237B5306">
      <w:pPr>
        <w:bidi w:val="0"/>
        <w:rPr>
          <w:rFonts w:hint="eastAsia" w:ascii="宋体" w:hAnsi="宋体" w:cs="宋体"/>
          <w:color w:val="auto"/>
          <w:highlight w:val="none"/>
          <w:lang w:val="en-US" w:eastAsia="zh-CN"/>
        </w:rPr>
      </w:pPr>
    </w:p>
    <w:p w14:paraId="6FD9713C">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1CD444AE">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8-12 小微企业、监狱企业、残疾人福利单位的声明函或证明材料</w:t>
      </w:r>
    </w:p>
    <w:p w14:paraId="4ACA3D76">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bookmarkStart w:id="391" w:name="_Toc25392"/>
      <w:bookmarkStart w:id="392" w:name="_Toc21598"/>
      <w:bookmarkStart w:id="393" w:name="_Toc13843"/>
      <w:r>
        <w:rPr>
          <w:rFonts w:hint="eastAsia" w:ascii="宋体" w:hAnsi="宋体" w:eastAsia="宋体" w:cs="宋体"/>
          <w:b/>
          <w:bCs/>
          <w:color w:val="auto"/>
          <w:kern w:val="0"/>
          <w:sz w:val="32"/>
          <w:szCs w:val="32"/>
          <w:highlight w:val="none"/>
          <w:lang w:val="en-US" w:eastAsia="zh-CN"/>
        </w:rPr>
        <w:t>（一）</w:t>
      </w:r>
      <w:bookmarkEnd w:id="391"/>
      <w:bookmarkEnd w:id="392"/>
      <w:bookmarkEnd w:id="393"/>
      <w:r>
        <w:rPr>
          <w:rFonts w:hint="eastAsia" w:ascii="宋体" w:hAnsi="宋体" w:eastAsia="宋体" w:cs="宋体"/>
          <w:b/>
          <w:bCs/>
          <w:color w:val="auto"/>
          <w:kern w:val="0"/>
          <w:sz w:val="32"/>
          <w:szCs w:val="32"/>
          <w:highlight w:val="none"/>
          <w:lang w:val="en-US" w:eastAsia="zh-CN"/>
        </w:rPr>
        <w:t>中小企业声明函（货物)</w:t>
      </w:r>
    </w:p>
    <w:p w14:paraId="26AE4DC2">
      <w:pPr>
        <w:spacing w:line="360" w:lineRule="auto"/>
        <w:jc w:val="center"/>
        <w:rPr>
          <w:rFonts w:hint="eastAsia" w:ascii="宋体" w:hAnsi="宋体" w:cs="宋体"/>
          <w:color w:val="auto"/>
          <w:sz w:val="21"/>
          <w:szCs w:val="21"/>
          <w:highlight w:val="none"/>
        </w:rPr>
      </w:pPr>
      <w:bookmarkStart w:id="394" w:name="_Toc13395"/>
      <w:bookmarkStart w:id="395" w:name="_Toc12522"/>
      <w:bookmarkStart w:id="396" w:name="_Toc3780"/>
      <w:r>
        <w:rPr>
          <w:rFonts w:hint="eastAsia" w:ascii="宋体" w:hAnsi="宋体" w:cs="宋体"/>
          <w:color w:val="auto"/>
          <w:sz w:val="21"/>
          <w:szCs w:val="21"/>
          <w:highlight w:val="none"/>
          <w:lang w:bidi="ar"/>
        </w:rPr>
        <w:t>（注：符合中小企业划型标准的企业请提供本函，不符合的不提供本函）</w:t>
      </w:r>
    </w:p>
    <w:p w14:paraId="418AD757">
      <w:pPr>
        <w:spacing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本公司（联合体）郑重声明，根据《政府采购促进中小企业发展管理办法》（财库﹝2020﹞46 号）的规定，本公司（联合体）参加 （ 单位名称 ） 的 （ 项目名称 ） 采购活动，提供的货物全部由符合政策要求的中小企业制造。相关企业（ 含联合体中的中小企业、签订分包意向协议的中小企业 ）的具体情况如下：</w:t>
      </w:r>
    </w:p>
    <w:p w14:paraId="487E0F92">
      <w:pPr>
        <w:spacing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 标的名称 ） ，属于 （ 采购文件中明确的所属行业 ） 行业；制造商为 （ 企业名称 ） ，从业人员     人，营业收入为     万元，资产总额为    万元¹ ，属于 （ 中型企业、小型企业、微型企业 ） ； </w:t>
      </w:r>
    </w:p>
    <w:p w14:paraId="5DCBD77B">
      <w:pPr>
        <w:spacing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 标的名称 ） ，属于 （ 采购文件中明确的所属行业 ） 行业；制造商为 （ 企业名称 ） ，从业人员     人，营业收入为     万元，资产总额为    万元 ，属于 （ 中型企业、小型企业、微型企业 ）；</w:t>
      </w:r>
    </w:p>
    <w:p w14:paraId="0A2402CA">
      <w:pPr>
        <w:spacing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w:t>
      </w:r>
    </w:p>
    <w:p w14:paraId="3CA19715">
      <w:pPr>
        <w:spacing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以上企业，不属于大企业的分支机构，不存在控股股东为大企业的情形，也不存在与大企业的负责人为同一人的情形。 </w:t>
      </w:r>
    </w:p>
    <w:p w14:paraId="15F4C8F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本企业对上述声明内容的真实性负责。如有虚假，将依法承担相应责任。 </w:t>
      </w:r>
    </w:p>
    <w:p w14:paraId="36EBB475">
      <w:pPr>
        <w:spacing w:line="360" w:lineRule="auto"/>
        <w:ind w:firstLine="420" w:firstLineChars="200"/>
        <w:rPr>
          <w:rFonts w:hint="eastAsia" w:ascii="宋体" w:hAnsi="宋体" w:cs="宋体"/>
          <w:color w:val="auto"/>
          <w:sz w:val="21"/>
          <w:szCs w:val="21"/>
          <w:highlight w:val="none"/>
        </w:rPr>
      </w:pPr>
    </w:p>
    <w:p w14:paraId="6159E0E4">
      <w:pPr>
        <w:spacing w:line="360" w:lineRule="auto"/>
        <w:ind w:firstLine="3795" w:firstLineChars="180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企业名称（电子签章）：</w:t>
      </w:r>
    </w:p>
    <w:p w14:paraId="66FF14F7">
      <w:pPr>
        <w:spacing w:line="360" w:lineRule="auto"/>
        <w:ind w:firstLine="3795" w:firstLineChars="180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日 期：</w:t>
      </w:r>
    </w:p>
    <w:p w14:paraId="4DB41963">
      <w:pPr>
        <w:rPr>
          <w:rFonts w:hint="eastAsia" w:ascii="宋体" w:hAnsi="宋体" w:cs="宋体"/>
          <w:color w:val="auto"/>
          <w:sz w:val="18"/>
          <w:szCs w:val="18"/>
          <w:highlight w:val="none"/>
        </w:rPr>
      </w:pPr>
    </w:p>
    <w:p w14:paraId="74E2866A">
      <w:pPr>
        <w:rPr>
          <w:rFonts w:hint="eastAsia" w:ascii="宋体" w:hAnsi="宋体" w:eastAsia="宋体" w:cs="宋体"/>
          <w:color w:val="auto"/>
          <w:highlight w:val="none"/>
          <w:u w:val="single"/>
        </w:rPr>
      </w:pPr>
      <w:r>
        <w:rPr>
          <w:rFonts w:hint="eastAsia" w:ascii="宋体" w:hAnsi="宋体" w:cs="宋体"/>
          <w:color w:val="auto"/>
          <w:highlight w:val="none"/>
          <w:u w:val="single"/>
        </w:rPr>
        <w:t xml:space="preserve">                                                                            </w:t>
      </w:r>
    </w:p>
    <w:p w14:paraId="61453A28">
      <w:pPr>
        <w:pStyle w:val="94"/>
        <w:shd w:val="clear"/>
        <w:spacing w:line="240" w:lineRule="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1</w:t>
      </w:r>
      <w:r>
        <w:rPr>
          <w:rFonts w:hint="eastAsia" w:ascii="宋体" w:hAnsi="宋体" w:eastAsia="宋体" w:cs="宋体"/>
          <w:b/>
          <w:bCs/>
          <w:color w:val="auto"/>
          <w:sz w:val="18"/>
          <w:szCs w:val="18"/>
          <w:highlight w:val="none"/>
          <w:lang w:val="en-US" w:eastAsia="zh-CN"/>
        </w:rPr>
        <w:t>.</w:t>
      </w:r>
      <w:r>
        <w:rPr>
          <w:rFonts w:hint="eastAsia" w:ascii="宋体" w:hAnsi="宋体" w:eastAsia="宋体" w:cs="宋体"/>
          <w:b/>
          <w:bCs/>
          <w:color w:val="auto"/>
          <w:sz w:val="18"/>
          <w:szCs w:val="18"/>
          <w:highlight w:val="none"/>
        </w:rPr>
        <w:t>从业人员、营业收入、资产总额填报上一年度数据，无上一年度数据的新成立企业可不填报</w:t>
      </w:r>
    </w:p>
    <w:p w14:paraId="5345D016">
      <w:pPr>
        <w:pStyle w:val="94"/>
        <w:shd w:val="clear"/>
        <w:spacing w:line="240" w:lineRule="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2</w:t>
      </w:r>
      <w:r>
        <w:rPr>
          <w:rFonts w:hint="eastAsia" w:ascii="宋体" w:hAnsi="宋体" w:eastAsia="宋体" w:cs="宋体"/>
          <w:b/>
          <w:bCs/>
          <w:color w:val="auto"/>
          <w:sz w:val="18"/>
          <w:szCs w:val="18"/>
          <w:highlight w:val="none"/>
          <w:lang w:val="en-US" w:eastAsia="zh-CN"/>
        </w:rPr>
        <w:t>.</w:t>
      </w:r>
      <w:r>
        <w:rPr>
          <w:rFonts w:hint="eastAsia" w:ascii="宋体" w:hAnsi="宋体" w:eastAsia="宋体" w:cs="宋体"/>
          <w:b/>
          <w:bCs/>
          <w:color w:val="auto"/>
          <w:sz w:val="18"/>
          <w:szCs w:val="18"/>
          <w:highlight w:val="none"/>
        </w:rP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14:paraId="787235CD">
      <w:pPr>
        <w:pStyle w:val="94"/>
        <w:shd w:val="clear"/>
        <w:spacing w:line="24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en-US" w:eastAsia="zh-CN"/>
        </w:rPr>
        <w:t>3.</w:t>
      </w:r>
      <w:r>
        <w:rPr>
          <w:rFonts w:hint="eastAsia" w:ascii="宋体" w:hAnsi="宋体" w:eastAsia="宋体" w:cs="宋体"/>
          <w:b/>
          <w:bCs/>
          <w:color w:val="auto"/>
          <w:sz w:val="18"/>
          <w:szCs w:val="18"/>
          <w:highlight w:val="none"/>
        </w:rPr>
        <w:t>中小企业声明函（所属行业应符合采购文件中明确的本项目所属行业</w:t>
      </w:r>
      <w:r>
        <w:rPr>
          <w:rFonts w:hint="eastAsia" w:ascii="宋体" w:hAnsi="宋体" w:eastAsia="宋体" w:cs="宋体"/>
          <w:b/>
          <w:bCs/>
          <w:color w:val="auto"/>
          <w:sz w:val="18"/>
          <w:szCs w:val="18"/>
          <w:highlight w:val="none"/>
          <w:lang w:eastAsia="zh-CN"/>
        </w:rPr>
        <w:t>：</w:t>
      </w:r>
      <w:r>
        <w:rPr>
          <w:rFonts w:hint="eastAsia" w:ascii="宋体" w:hAnsi="宋体" w:eastAsia="宋体" w:cs="宋体"/>
          <w:b/>
          <w:bCs/>
          <w:color w:val="auto"/>
          <w:sz w:val="18"/>
          <w:szCs w:val="18"/>
          <w:highlight w:val="none"/>
          <w:u w:val="single"/>
          <w:lang w:val="en-US" w:eastAsia="zh-CN"/>
        </w:rPr>
        <w:t>软件和信息技术服务业</w:t>
      </w:r>
      <w:r>
        <w:rPr>
          <w:rFonts w:hint="eastAsia" w:ascii="宋体" w:hAnsi="宋体" w:eastAsia="宋体" w:cs="宋体"/>
          <w:b/>
          <w:bCs/>
          <w:color w:val="auto"/>
          <w:sz w:val="18"/>
          <w:szCs w:val="18"/>
          <w:highlight w:val="none"/>
        </w:rPr>
        <w:t>）</w:t>
      </w:r>
      <w:r>
        <w:rPr>
          <w:rFonts w:hint="eastAsia" w:ascii="宋体" w:hAnsi="宋体" w:eastAsia="宋体" w:cs="宋体"/>
          <w:b/>
          <w:bCs/>
          <w:color w:val="auto"/>
          <w:sz w:val="18"/>
          <w:szCs w:val="18"/>
          <w:highlight w:val="none"/>
          <w:lang w:eastAsia="zh-CN"/>
        </w:rPr>
        <w:t>。</w:t>
      </w:r>
    </w:p>
    <w:p w14:paraId="561534F7">
      <w:pPr>
        <w:pStyle w:val="485"/>
        <w:keepNext w:val="0"/>
        <w:keepLines w:val="0"/>
        <w:pageBreakBefore w:val="0"/>
        <w:numPr>
          <w:ilvl w:val="0"/>
          <w:numId w:val="0"/>
        </w:numPr>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18"/>
          <w:szCs w:val="18"/>
          <w:highlight w:val="none"/>
        </w:rPr>
      </w:pPr>
    </w:p>
    <w:p w14:paraId="40BCF6A4">
      <w:pPr>
        <w:pStyle w:val="485"/>
        <w:keepNext w:val="0"/>
        <w:keepLines w:val="0"/>
        <w:pageBreakBefore w:val="0"/>
        <w:numPr>
          <w:ilvl w:val="0"/>
          <w:numId w:val="0"/>
        </w:numPr>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18"/>
          <w:szCs w:val="18"/>
          <w:highlight w:val="none"/>
        </w:rPr>
      </w:pPr>
    </w:p>
    <w:p w14:paraId="271A9246">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（二）监狱企业证明</w:t>
      </w:r>
      <w:bookmarkEnd w:id="394"/>
      <w:bookmarkEnd w:id="395"/>
      <w:bookmarkEnd w:id="396"/>
    </w:p>
    <w:p w14:paraId="49BDACBE">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（注：符合条件的监狱企业请提供本函，不符合的不提供本函）</w:t>
      </w:r>
    </w:p>
    <w:p w14:paraId="4C9C07CA">
      <w:pPr>
        <w:pStyle w:val="94"/>
        <w:shd w:val="clear"/>
        <w:snapToGrid w:val="0"/>
        <w:spacing w:before="156" w:beforeLines="50"/>
        <w:rPr>
          <w:rFonts w:hint="eastAsia" w:ascii="宋体" w:hAnsi="宋体" w:eastAsia="宋体" w:cs="宋体"/>
          <w:color w:val="auto"/>
          <w:sz w:val="21"/>
          <w:szCs w:val="21"/>
          <w:highlight w:val="none"/>
        </w:rPr>
      </w:pPr>
    </w:p>
    <w:p w14:paraId="6AEF95E7">
      <w:pPr>
        <w:pStyle w:val="94"/>
        <w:shd w:val="clear"/>
        <w:snapToGrid w:val="0"/>
        <w:spacing w:before="156" w:beforeLines="5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省级以上监狱管理局、戒毒管理局（含新疆生产建设兵团）出具的属于监狱企业的证明文件。</w:t>
      </w:r>
    </w:p>
    <w:p w14:paraId="290FF063">
      <w:pPr>
        <w:pStyle w:val="94"/>
        <w:shd w:val="clear"/>
        <w:snapToGrid w:val="0"/>
        <w:spacing w:before="156" w:beforeLines="50"/>
        <w:rPr>
          <w:rFonts w:hint="eastAsia" w:ascii="宋体" w:hAnsi="宋体" w:eastAsia="宋体" w:cs="宋体"/>
          <w:color w:val="auto"/>
          <w:sz w:val="21"/>
          <w:szCs w:val="21"/>
          <w:highlight w:val="none"/>
        </w:rPr>
      </w:pPr>
    </w:p>
    <w:p w14:paraId="12BDF21C">
      <w:pPr>
        <w:pStyle w:val="94"/>
        <w:shd w:val="clear"/>
        <w:snapToGrid w:val="0"/>
        <w:spacing w:before="156" w:beforeLines="50"/>
        <w:rPr>
          <w:rFonts w:hint="eastAsia" w:ascii="宋体" w:hAnsi="宋体" w:eastAsia="宋体" w:cs="宋体"/>
          <w:color w:val="auto"/>
          <w:sz w:val="21"/>
          <w:szCs w:val="21"/>
          <w:highlight w:val="none"/>
        </w:rPr>
      </w:pPr>
    </w:p>
    <w:p w14:paraId="1A6FA93B">
      <w:pPr>
        <w:pStyle w:val="94"/>
        <w:shd w:val="clear"/>
        <w:snapToGrid w:val="0"/>
        <w:spacing w:before="156" w:beforeLines="50"/>
        <w:rPr>
          <w:rFonts w:hint="eastAsia" w:ascii="宋体" w:hAnsi="宋体" w:eastAsia="宋体" w:cs="宋体"/>
          <w:color w:val="auto"/>
          <w:sz w:val="21"/>
          <w:szCs w:val="21"/>
          <w:highlight w:val="none"/>
        </w:rPr>
      </w:pPr>
    </w:p>
    <w:p w14:paraId="2FF29E7D">
      <w:pPr>
        <w:pStyle w:val="94"/>
        <w:shd w:val="clear"/>
        <w:snapToGrid w:val="0"/>
        <w:spacing w:before="156" w:beforeLines="50"/>
        <w:rPr>
          <w:rFonts w:hint="eastAsia" w:ascii="宋体" w:hAnsi="宋体" w:eastAsia="宋体" w:cs="宋体"/>
          <w:color w:val="auto"/>
          <w:sz w:val="21"/>
          <w:szCs w:val="21"/>
          <w:highlight w:val="none"/>
        </w:rPr>
      </w:pPr>
    </w:p>
    <w:p w14:paraId="10F9B9B1">
      <w:pPr>
        <w:pStyle w:val="94"/>
        <w:shd w:val="clear"/>
        <w:snapToGrid w:val="0"/>
        <w:spacing w:before="156" w:beforeLines="50"/>
        <w:rPr>
          <w:rFonts w:hint="eastAsia" w:ascii="宋体" w:hAnsi="宋体" w:eastAsia="宋体" w:cs="宋体"/>
          <w:color w:val="auto"/>
          <w:sz w:val="21"/>
          <w:szCs w:val="21"/>
          <w:highlight w:val="none"/>
        </w:rPr>
      </w:pPr>
    </w:p>
    <w:p w14:paraId="15238599">
      <w:pPr>
        <w:pStyle w:val="94"/>
        <w:shd w:val="clear"/>
        <w:snapToGrid w:val="0"/>
        <w:spacing w:before="156" w:beforeLines="50"/>
        <w:rPr>
          <w:rFonts w:hint="eastAsia" w:ascii="宋体" w:hAnsi="宋体" w:eastAsia="宋体" w:cs="宋体"/>
          <w:color w:val="auto"/>
          <w:sz w:val="21"/>
          <w:szCs w:val="21"/>
          <w:highlight w:val="none"/>
        </w:rPr>
      </w:pPr>
    </w:p>
    <w:p w14:paraId="32722B27">
      <w:pPr>
        <w:pStyle w:val="94"/>
        <w:shd w:val="clear"/>
        <w:snapToGrid w:val="0"/>
        <w:spacing w:before="156" w:beforeLines="50"/>
        <w:rPr>
          <w:rFonts w:hint="eastAsia" w:ascii="宋体" w:hAnsi="宋体" w:eastAsia="宋体" w:cs="宋体"/>
          <w:color w:val="auto"/>
          <w:sz w:val="21"/>
          <w:szCs w:val="21"/>
          <w:highlight w:val="none"/>
        </w:rPr>
      </w:pPr>
    </w:p>
    <w:p w14:paraId="445FC146">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bookmarkStart w:id="397" w:name="_Toc25672"/>
      <w:bookmarkStart w:id="398" w:name="_Toc10862"/>
      <w:bookmarkStart w:id="399" w:name="_Toc23737"/>
      <w:r>
        <w:rPr>
          <w:rFonts w:hint="eastAsia" w:ascii="宋体" w:hAnsi="宋体" w:eastAsia="宋体" w:cs="宋体"/>
          <w:b/>
          <w:bCs/>
          <w:color w:val="auto"/>
          <w:kern w:val="0"/>
          <w:sz w:val="32"/>
          <w:szCs w:val="32"/>
          <w:highlight w:val="none"/>
          <w:lang w:val="en-US" w:eastAsia="zh-CN"/>
        </w:rPr>
        <w:t>（三）残疾人福利性单位声明函</w:t>
      </w:r>
      <w:bookmarkEnd w:id="397"/>
      <w:bookmarkEnd w:id="398"/>
      <w:bookmarkEnd w:id="399"/>
    </w:p>
    <w:p w14:paraId="48A3C38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（注：符合条件的残疾人福利性单位请提供本函，不符合的不提供本函）</w:t>
      </w:r>
    </w:p>
    <w:p w14:paraId="509BB6B6">
      <w:pPr>
        <w:shd w:val="clear"/>
        <w:rPr>
          <w:rFonts w:hint="eastAsia" w:ascii="宋体" w:hAnsi="宋体" w:eastAsia="宋体" w:cs="宋体"/>
          <w:color w:val="auto"/>
          <w:sz w:val="21"/>
          <w:szCs w:val="21"/>
          <w:highlight w:val="none"/>
        </w:rPr>
      </w:pPr>
    </w:p>
    <w:p w14:paraId="3892E9E1">
      <w:pPr>
        <w:shd w:val="clear"/>
        <w:rPr>
          <w:rFonts w:hint="eastAsia" w:ascii="宋体" w:hAnsi="宋体" w:eastAsia="宋体" w:cs="宋体"/>
          <w:color w:val="auto"/>
          <w:sz w:val="21"/>
          <w:szCs w:val="21"/>
          <w:highlight w:val="none"/>
        </w:rPr>
      </w:pPr>
    </w:p>
    <w:p w14:paraId="5CE7F66E">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4AFBF3">
      <w:pPr>
        <w:shd w:val="clear"/>
        <w:spacing w:line="360" w:lineRule="auto"/>
        <w:rPr>
          <w:rFonts w:hint="eastAsia" w:ascii="宋体" w:hAnsi="宋体" w:eastAsia="宋体" w:cs="宋体"/>
          <w:color w:val="auto"/>
          <w:sz w:val="21"/>
          <w:szCs w:val="21"/>
          <w:highlight w:val="none"/>
        </w:rPr>
      </w:pPr>
    </w:p>
    <w:p w14:paraId="29A18472">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70BB73D2">
      <w:pPr>
        <w:shd w:val="clear"/>
        <w:spacing w:line="360" w:lineRule="auto"/>
        <w:rPr>
          <w:rFonts w:hint="eastAsia" w:ascii="宋体" w:hAnsi="宋体" w:eastAsia="宋体" w:cs="宋体"/>
          <w:color w:val="auto"/>
          <w:sz w:val="21"/>
          <w:szCs w:val="21"/>
          <w:highlight w:val="none"/>
        </w:rPr>
      </w:pPr>
    </w:p>
    <w:p w14:paraId="64980D91">
      <w:pPr>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66F3CB1">
      <w:pPr>
        <w:shd w:val="clea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单位名称（电子公章）：</w:t>
      </w:r>
    </w:p>
    <w:p w14:paraId="5FB7B485">
      <w:pPr>
        <w:shd w:val="clea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511BBFED">
      <w:pPr>
        <w:shd w:val="clear"/>
        <w:spacing w:before="156" w:beforeLines="50" w:line="440" w:lineRule="exact"/>
        <w:ind w:left="460" w:leftChars="219"/>
        <w:rPr>
          <w:rFonts w:hint="eastAsia" w:ascii="宋体" w:hAnsi="宋体" w:eastAsia="宋体" w:cs="宋体"/>
          <w:b/>
          <w:bCs/>
          <w:color w:val="auto"/>
          <w:sz w:val="28"/>
          <w:szCs w:val="28"/>
          <w:highlight w:val="none"/>
        </w:rPr>
      </w:pPr>
    </w:p>
    <w:p w14:paraId="105BCFA7">
      <w:pPr>
        <w:shd w:val="clear"/>
        <w:spacing w:before="156" w:beforeLines="50" w:line="440" w:lineRule="exact"/>
        <w:ind w:left="460" w:leftChars="219"/>
        <w:rPr>
          <w:rFonts w:hint="eastAsia" w:ascii="宋体" w:hAnsi="宋体" w:eastAsia="宋体" w:cs="宋体"/>
          <w:b/>
          <w:bCs/>
          <w:color w:val="auto"/>
          <w:sz w:val="28"/>
          <w:szCs w:val="28"/>
          <w:highlight w:val="none"/>
        </w:rPr>
      </w:pPr>
    </w:p>
    <w:p w14:paraId="0B84E0E8">
      <w:pPr>
        <w:pStyle w:val="6"/>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8-13 关于符合本国产品标准的声明函</w:t>
      </w:r>
    </w:p>
    <w:p w14:paraId="135928AA">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关于符合本国产品标准的声明函</w:t>
      </w:r>
    </w:p>
    <w:p w14:paraId="3B3A6F50">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0E9F8D7">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5DD6E211">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（产品名称1）</w:t>
      </w:r>
      <w:r>
        <w:rPr>
          <w:rFonts w:hint="eastAsia" w:ascii="宋体" w:hAnsi="宋体" w:eastAsia="宋体" w:cs="宋体"/>
          <w:color w:val="auto"/>
          <w:sz w:val="21"/>
          <w:szCs w:val="21"/>
          <w:highlight w:val="none"/>
        </w:rPr>
        <w:t>1，生产厂为</w:t>
      </w:r>
      <w:r>
        <w:rPr>
          <w:rFonts w:hint="eastAsia" w:ascii="宋体" w:hAnsi="宋体" w:eastAsia="宋体" w:cs="宋体"/>
          <w:color w:val="auto"/>
          <w:sz w:val="21"/>
          <w:szCs w:val="21"/>
          <w:highlight w:val="none"/>
          <w:u w:val="single"/>
        </w:rPr>
        <w:t>（厂名）2</w:t>
      </w:r>
      <w:r>
        <w:rPr>
          <w:rFonts w:hint="eastAsia" w:ascii="宋体" w:hAnsi="宋体" w:eastAsia="宋体" w:cs="宋体"/>
          <w:color w:val="auto"/>
          <w:sz w:val="21"/>
          <w:szCs w:val="21"/>
          <w:highlight w:val="none"/>
        </w:rPr>
        <w:t>，厂址为</w:t>
      </w:r>
      <w:r>
        <w:rPr>
          <w:rFonts w:hint="eastAsia" w:ascii="宋体" w:hAnsi="宋体" w:eastAsia="宋体" w:cs="宋体"/>
          <w:color w:val="auto"/>
          <w:sz w:val="21"/>
          <w:szCs w:val="21"/>
          <w:highlight w:val="none"/>
          <w:u w:val="single"/>
        </w:rPr>
        <w:t>（生产厂址）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（产品名称1）</w:t>
      </w:r>
      <w:r>
        <w:rPr>
          <w:rFonts w:hint="eastAsia" w:ascii="宋体" w:hAnsi="宋体" w:eastAsia="宋体" w:cs="宋体"/>
          <w:color w:val="auto"/>
          <w:sz w:val="21"/>
          <w:szCs w:val="21"/>
          <w:highlight w:val="none"/>
        </w:rPr>
        <w:t>的中国境内生产的组件成本占比≥</w:t>
      </w:r>
      <w:r>
        <w:rPr>
          <w:rFonts w:hint="eastAsia" w:ascii="宋体" w:hAnsi="宋体" w:eastAsia="宋体" w:cs="宋体"/>
          <w:color w:val="auto"/>
          <w:sz w:val="21"/>
          <w:szCs w:val="21"/>
          <w:highlight w:val="none"/>
          <w:u w:val="single"/>
        </w:rPr>
        <w:t>（规定比例）</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（产品名称1）</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（关键组件）4</w:t>
      </w:r>
      <w:r>
        <w:rPr>
          <w:rFonts w:hint="eastAsia" w:ascii="宋体" w:hAnsi="宋体" w:eastAsia="宋体" w:cs="宋体"/>
          <w:color w:val="auto"/>
          <w:sz w:val="21"/>
          <w:szCs w:val="21"/>
          <w:highlight w:val="none"/>
        </w:rPr>
        <w:t>在中国境内生产。</w:t>
      </w:r>
      <w:r>
        <w:rPr>
          <w:rFonts w:hint="eastAsia" w:ascii="宋体" w:hAnsi="宋体" w:eastAsia="宋体" w:cs="宋体"/>
          <w:color w:val="auto"/>
          <w:sz w:val="21"/>
          <w:szCs w:val="21"/>
          <w:highlight w:val="none"/>
          <w:u w:val="single"/>
        </w:rPr>
        <w:t>（产品名称1）</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（关键工序）</w:t>
      </w:r>
      <w:r>
        <w:rPr>
          <w:rFonts w:hint="eastAsia" w:ascii="宋体" w:hAnsi="宋体" w:eastAsia="宋体" w:cs="宋体"/>
          <w:color w:val="auto"/>
          <w:sz w:val="21"/>
          <w:szCs w:val="21"/>
          <w:highlight w:val="none"/>
        </w:rPr>
        <w:t>5在中国境内完成。</w:t>
      </w:r>
    </w:p>
    <w:p w14:paraId="2E9C892F">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（产品名称</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1，生产厂为</w:t>
      </w:r>
      <w:r>
        <w:rPr>
          <w:rFonts w:hint="eastAsia" w:ascii="宋体" w:hAnsi="宋体" w:eastAsia="宋体" w:cs="宋体"/>
          <w:color w:val="auto"/>
          <w:sz w:val="21"/>
          <w:szCs w:val="21"/>
          <w:highlight w:val="none"/>
          <w:u w:val="single"/>
        </w:rPr>
        <w:t>（厂名）2</w:t>
      </w:r>
      <w:r>
        <w:rPr>
          <w:rFonts w:hint="eastAsia" w:ascii="宋体" w:hAnsi="宋体" w:eastAsia="宋体" w:cs="宋体"/>
          <w:color w:val="auto"/>
          <w:sz w:val="21"/>
          <w:szCs w:val="21"/>
          <w:highlight w:val="none"/>
        </w:rPr>
        <w:t>，厂址为</w:t>
      </w:r>
      <w:r>
        <w:rPr>
          <w:rFonts w:hint="eastAsia" w:ascii="宋体" w:hAnsi="宋体" w:eastAsia="宋体" w:cs="宋体"/>
          <w:color w:val="auto"/>
          <w:sz w:val="21"/>
          <w:szCs w:val="21"/>
          <w:highlight w:val="none"/>
          <w:u w:val="single"/>
        </w:rPr>
        <w:t>（生产厂址）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（产品名称</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的中国境内生产的组件成本占比≥</w:t>
      </w:r>
      <w:r>
        <w:rPr>
          <w:rFonts w:hint="eastAsia" w:ascii="宋体" w:hAnsi="宋体" w:eastAsia="宋体" w:cs="宋体"/>
          <w:color w:val="auto"/>
          <w:sz w:val="21"/>
          <w:szCs w:val="21"/>
          <w:highlight w:val="none"/>
          <w:u w:val="single"/>
        </w:rPr>
        <w:t>（规定比例）</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（产品名称</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（关键组件）4</w:t>
      </w:r>
      <w:r>
        <w:rPr>
          <w:rFonts w:hint="eastAsia" w:ascii="宋体" w:hAnsi="宋体" w:eastAsia="宋体" w:cs="宋体"/>
          <w:color w:val="auto"/>
          <w:sz w:val="21"/>
          <w:szCs w:val="21"/>
          <w:highlight w:val="none"/>
        </w:rPr>
        <w:t>在中国境内生产。</w:t>
      </w:r>
      <w:r>
        <w:rPr>
          <w:rFonts w:hint="eastAsia" w:ascii="宋体" w:hAnsi="宋体" w:eastAsia="宋体" w:cs="宋体"/>
          <w:color w:val="auto"/>
          <w:sz w:val="21"/>
          <w:szCs w:val="21"/>
          <w:highlight w:val="none"/>
          <w:u w:val="single"/>
        </w:rPr>
        <w:t>（产品名称</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（关键工序）</w:t>
      </w:r>
      <w:r>
        <w:rPr>
          <w:rFonts w:hint="eastAsia" w:ascii="宋体" w:hAnsi="宋体" w:eastAsia="宋体" w:cs="宋体"/>
          <w:color w:val="auto"/>
          <w:sz w:val="21"/>
          <w:szCs w:val="21"/>
          <w:highlight w:val="none"/>
        </w:rPr>
        <w:t>5在中国境内完成。</w:t>
      </w:r>
    </w:p>
    <w:p w14:paraId="4385DED5">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27E210D5">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本公司（单位）对上述声明内容的真实性负责。如有虚假，愿承担相应法律责任。</w:t>
      </w:r>
    </w:p>
    <w:p w14:paraId="6E0A1F7A">
      <w:pPr>
        <w:shd w:val="clea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公司（单位）名称（盖章）：      </w:t>
      </w:r>
    </w:p>
    <w:p w14:paraId="1C5E1BC3">
      <w:pPr>
        <w:shd w:val="clear"/>
        <w:spacing w:line="360" w:lineRule="auto"/>
        <w:ind w:firstLine="420" w:firstLineChars="20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color w:val="auto"/>
          <w:sz w:val="21"/>
          <w:szCs w:val="21"/>
          <w:highlight w:val="none"/>
        </w:rPr>
        <w:t>日期：　　　　　年　　月　日 </w:t>
      </w:r>
      <w:r>
        <w:rPr>
          <w:rFonts w:hint="eastAsia" w:ascii="宋体" w:hAnsi="宋体" w:eastAsia="宋体" w:cs="宋体"/>
          <w:i w:val="0"/>
          <w:iCs w:val="0"/>
          <w:caps w:val="0"/>
          <w:color w:val="auto"/>
          <w:spacing w:val="0"/>
          <w:sz w:val="19"/>
          <w:szCs w:val="19"/>
          <w:highlight w:val="none"/>
          <w:shd w:val="clear" w:fill="FFFFFF"/>
        </w:rPr>
        <w:t>   </w:t>
      </w:r>
    </w:p>
    <w:p w14:paraId="5CD24ACF">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16170CB">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606FB90">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____________________________________________________________________________________________</w:t>
      </w:r>
    </w:p>
    <w:p w14:paraId="08C8E5D3">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1.产品如有型号，请在“产品名称”栏一并填写。</w:t>
      </w:r>
    </w:p>
    <w:p w14:paraId="53051F89">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2.生产厂名与厂址应与生产厂营业执照载明的相关信息保持一致。</w:t>
      </w:r>
    </w:p>
    <w:p w14:paraId="21A34518">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3.该产品的中国境内生产的组件成本占比相关要求实施前，“规定比例”栏可不填，下同。</w:t>
      </w:r>
    </w:p>
    <w:p w14:paraId="20AA63F4">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4.该产品的关键组件要求实施前，“关键组件”栏可不填，下同。</w:t>
      </w:r>
    </w:p>
    <w:p w14:paraId="2073028E">
      <w:pPr>
        <w:pStyle w:val="94"/>
        <w:shd w:val="clear"/>
        <w:spacing w:line="240" w:lineRule="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5.该产品的关键工序要求实施前，“关键工序”栏可不填，下同。</w:t>
      </w:r>
    </w:p>
    <w:p w14:paraId="2D2FD362">
      <w:pPr>
        <w:shd w:val="clear"/>
        <w:spacing w:before="156" w:beforeLines="50" w:line="440" w:lineRule="exact"/>
        <w:ind w:left="460" w:leftChars="219"/>
        <w:rPr>
          <w:rFonts w:hint="eastAsia" w:ascii="宋体" w:hAnsi="宋体" w:eastAsia="宋体" w:cs="宋体"/>
          <w:b/>
          <w:bCs/>
          <w:color w:val="auto"/>
          <w:sz w:val="28"/>
          <w:szCs w:val="28"/>
          <w:highlight w:val="none"/>
        </w:rPr>
      </w:pPr>
    </w:p>
    <w:p w14:paraId="7F2082A4">
      <w:pPr>
        <w:rPr>
          <w:rFonts w:hint="eastAsia" w:ascii="宋体" w:hAnsi="宋体" w:eastAsia="宋体" w:cs="宋体"/>
          <w:color w:val="auto"/>
          <w:sz w:val="28"/>
          <w:szCs w:val="28"/>
          <w:highlight w:val="none"/>
          <w:lang w:val="en-US" w:eastAsia="zh-CN"/>
        </w:rPr>
      </w:pPr>
      <w:bookmarkStart w:id="400" w:name="_Toc32222"/>
      <w:bookmarkStart w:id="401" w:name="_Toc1291"/>
      <w:r>
        <w:rPr>
          <w:rFonts w:hint="eastAsia" w:ascii="宋体" w:hAnsi="宋体" w:eastAsia="宋体" w:cs="宋体"/>
          <w:color w:val="auto"/>
          <w:sz w:val="28"/>
          <w:szCs w:val="28"/>
          <w:highlight w:val="none"/>
          <w:lang w:val="en-US" w:eastAsia="zh-CN"/>
        </w:rPr>
        <w:br w:type="page"/>
      </w:r>
    </w:p>
    <w:p w14:paraId="0A770451">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附件9  投标承诺书</w:t>
      </w:r>
      <w:bookmarkEnd w:id="400"/>
      <w:bookmarkEnd w:id="401"/>
    </w:p>
    <w:p w14:paraId="3DFAFB7A">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投标承诺书</w:t>
      </w:r>
    </w:p>
    <w:p w14:paraId="5946A0E2">
      <w:pPr>
        <w:keepNext w:val="0"/>
        <w:keepLines w:val="0"/>
        <w:pageBreakBefore w:val="0"/>
        <w:widowControl w:val="0"/>
        <w:shd w:val="clear"/>
        <w:kinsoku/>
        <w:wordWrap/>
        <w:overflowPunct/>
        <w:topLinePunct w:val="0"/>
        <w:autoSpaceDE w:val="0"/>
        <w:autoSpaceDN w:val="0"/>
        <w:bidi w:val="0"/>
        <w:adjustRightInd/>
        <w:snapToGrid w:val="0"/>
        <w:spacing w:line="38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致国信招标集团股份有限公司：</w:t>
      </w:r>
    </w:p>
    <w:p w14:paraId="5C239E6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我方在此声明，我方</w:t>
      </w:r>
      <w:r>
        <w:rPr>
          <w:rFonts w:hint="eastAsia" w:ascii="宋体" w:hAnsi="宋体" w:eastAsia="宋体" w:cs="宋体"/>
          <w:color w:val="auto"/>
          <w:sz w:val="21"/>
          <w:szCs w:val="21"/>
          <w:highlight w:val="none"/>
          <w:lang w:val="en-US" w:eastAsia="zh-CN"/>
        </w:rPr>
        <w:t>对</w:t>
      </w:r>
      <w:r>
        <w:rPr>
          <w:rFonts w:hint="eastAsia" w:ascii="宋体" w:hAnsi="宋体" w:eastAsia="宋体" w:cs="宋体"/>
          <w:color w:val="auto"/>
          <w:sz w:val="21"/>
          <w:szCs w:val="21"/>
          <w:highlight w:val="none"/>
          <w:lang w:eastAsia="zh-CN"/>
        </w:rPr>
        <w:t>以下事项进行承诺：</w:t>
      </w:r>
    </w:p>
    <w:p w14:paraId="74D98C5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lang w:eastAsia="zh-CN"/>
        </w:rPr>
        <w:t>在本次投标中我公司无与其他投标人相互串通投标，或与采购人串通投标的行为；</w:t>
      </w:r>
    </w:p>
    <w:p w14:paraId="3C871BC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有下列情形之一的，属于恶意串通投标：</w:t>
      </w:r>
    </w:p>
    <w:p w14:paraId="775547C5">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）投标人直接或者间接从采购人或者采购代理机构处获得其他投标人的相关情况并修改其投标文件或者响应文件；</w:t>
      </w:r>
    </w:p>
    <w:p w14:paraId="3D2EE2FC">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）投标人按照采购人或者采购代理机构的授意撤换、修改投标文件或者响应文件；</w:t>
      </w:r>
    </w:p>
    <w:p w14:paraId="3DC05A34">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）投标人之间协商报价、技术方案等投标文件或者响应文件的实质性内容；</w:t>
      </w:r>
    </w:p>
    <w:p w14:paraId="0940923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）属于同一集团、协会、商会等组织成员的投标人按照该组织要求协同参加政府采购活动；</w:t>
      </w:r>
    </w:p>
    <w:p w14:paraId="4C99ADA2">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）投标人之间事先约定由某一特定投标人中标、成交；</w:t>
      </w:r>
    </w:p>
    <w:p w14:paraId="44062139">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）投标人之间商定部分投标人放弃参加政府采购活动或者放弃中标、成交；</w:t>
      </w:r>
    </w:p>
    <w:p w14:paraId="632D2A5B">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）投标人与采购人或者采购代理机构之间、投标人相互之间，为谋求特定投标人中标、成交或者排斥其他投标人的其他串通行为。</w:t>
      </w:r>
    </w:p>
    <w:p w14:paraId="2275DDE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、有下列情形之一的，视为投标人串通投标，其投标无效：</w:t>
      </w:r>
    </w:p>
    <w:p w14:paraId="719DC66D">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）不同投标人的投标文件由同一单位或者个人编制；</w:t>
      </w:r>
    </w:p>
    <w:p w14:paraId="5C49260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）不同投标人委托同一单位或者个人办理投标事宜；</w:t>
      </w:r>
    </w:p>
    <w:p w14:paraId="456ED7A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）不同投标人的投标文件载明的项目管理成员或者联系人员为同一人；</w:t>
      </w:r>
    </w:p>
    <w:p w14:paraId="4EF400D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）不同投标人的投标文件异常一致或者投标报价呈规律性差异；</w:t>
      </w:r>
    </w:p>
    <w:p w14:paraId="67DC4F44">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）不同投标人的投标文件相互混装；</w:t>
      </w:r>
    </w:p>
    <w:p w14:paraId="0D912DC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）不同投标人的投标保证金从同一单位或者个人的账户转出。</w:t>
      </w:r>
    </w:p>
    <w:p w14:paraId="7182724E">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在本次投标中我公司无提供虚假材料谋取中标的行为：</w:t>
      </w:r>
    </w:p>
    <w:p w14:paraId="5339BEA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有下列情形之一的，属于提供虚假材料谋取中标的行为：</w:t>
      </w:r>
    </w:p>
    <w:p w14:paraId="41C37C8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（1）使用伪造、变造的许可证件；</w:t>
      </w:r>
    </w:p>
    <w:p w14:paraId="7EB3EB1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（2）提供虚假的财务状况或者业绩；</w:t>
      </w:r>
    </w:p>
    <w:p w14:paraId="14C655EC">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（3）提供虚假的项目负责人或者主要技术人员简历、劳动关系证明；</w:t>
      </w:r>
    </w:p>
    <w:p w14:paraId="796F8BEA">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（4）提供虚假的信用状况；</w:t>
      </w:r>
    </w:p>
    <w:p w14:paraId="233EE6A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（5）其他弄虚作假的行为。</w:t>
      </w:r>
    </w:p>
    <w:p w14:paraId="0E194493">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在本次投标中我公司</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eastAsia="zh-CN"/>
        </w:rPr>
        <w:t>向采购人或评标委员会成员行贿的手段谋取中标的行为；</w:t>
      </w:r>
    </w:p>
    <w:p w14:paraId="360983C4">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lang w:eastAsia="zh-CN"/>
        </w:rPr>
        <w:t>在本次投标中我公司无出借或借用资质行为、在投标文件中所附资料（业绩、项目负责人资料等）无弄虚作假；</w:t>
      </w:r>
    </w:p>
    <w:p w14:paraId="4BF5E8DF">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lang w:eastAsia="zh-CN"/>
        </w:rPr>
        <w:t>我公司没有处于被责令停产、停业、投标资格被取消状态；</w:t>
      </w:r>
    </w:p>
    <w:p w14:paraId="68C46E07">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lang w:eastAsia="zh-CN"/>
        </w:rPr>
        <w:t>我公司不采用非法手段获取证据进行质疑、投诉，在质疑、投诉过程中不提供虚假情况或进行恶意质疑、投诉。</w:t>
      </w:r>
    </w:p>
    <w:p w14:paraId="7A87B531">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上述承诺内容如有不实，我公司愿意承担由此造成的一切法律责任，并承诺以投标保证金赔偿给采购人造成的损失。</w:t>
      </w:r>
    </w:p>
    <w:p w14:paraId="31D085D0">
      <w:pPr>
        <w:keepNext w:val="0"/>
        <w:keepLines w:val="0"/>
        <w:pageBreakBefore w:val="0"/>
        <w:widowControl w:val="0"/>
        <w:shd w:val="clear"/>
        <w:kinsoku/>
        <w:wordWrap/>
        <w:overflowPunct/>
        <w:topLinePunct w:val="0"/>
        <w:autoSpaceDE w:val="0"/>
        <w:autoSpaceDN w:val="0"/>
        <w:bidi w:val="0"/>
        <w:adjustRightInd/>
        <w:snapToGrid w:val="0"/>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特此承诺</w:t>
      </w:r>
    </w:p>
    <w:p w14:paraId="0D1324F4">
      <w:pPr>
        <w:shd w:val="clear"/>
        <w:spacing w:line="360" w:lineRule="auto"/>
        <w:ind w:firstLine="420" w:firstLineChars="200"/>
        <w:rPr>
          <w:rFonts w:hint="eastAsia" w:ascii="宋体" w:hAnsi="宋体" w:eastAsia="宋体" w:cs="宋体"/>
          <w:color w:val="auto"/>
          <w:sz w:val="21"/>
          <w:szCs w:val="21"/>
          <w:highlight w:val="none"/>
        </w:rPr>
      </w:pPr>
    </w:p>
    <w:p w14:paraId="70FE92C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225EABE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705EB54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74E64B71">
      <w:pPr>
        <w:shd w:val="clear"/>
        <w:spacing w:line="360" w:lineRule="auto"/>
        <w:rPr>
          <w:rFonts w:hint="eastAsia" w:ascii="宋体" w:hAnsi="宋体" w:eastAsia="宋体" w:cs="宋体"/>
          <w:b/>
          <w:color w:val="auto"/>
          <w:kern w:val="0"/>
          <w:sz w:val="18"/>
          <w:szCs w:val="18"/>
          <w:highlight w:val="none"/>
        </w:rPr>
      </w:pPr>
    </w:p>
    <w:p w14:paraId="5C86A1E2">
      <w:pPr>
        <w:shd w:val="clear"/>
        <w:spacing w:line="360" w:lineRule="auto"/>
        <w:rPr>
          <w:rFonts w:hint="eastAsia" w:ascii="宋体" w:hAnsi="宋体" w:eastAsia="宋体" w:cs="宋体"/>
          <w:b w:val="0"/>
          <w:bCs/>
          <w:color w:val="auto"/>
          <w:kern w:val="0"/>
          <w:sz w:val="18"/>
          <w:szCs w:val="18"/>
          <w:highlight w:val="none"/>
        </w:rPr>
      </w:pPr>
      <w:r>
        <w:rPr>
          <w:rFonts w:hint="eastAsia" w:ascii="宋体" w:hAnsi="宋体" w:eastAsia="宋体" w:cs="宋体"/>
          <w:b w:val="0"/>
          <w:bCs/>
          <w:color w:val="auto"/>
          <w:kern w:val="0"/>
          <w:sz w:val="18"/>
          <w:szCs w:val="18"/>
          <w:highlight w:val="none"/>
        </w:rPr>
        <w:t xml:space="preserve">如出现上述情形的，将向财政部门报告，依照政府采购法第七十七条第一款的规定追究法律责任。 </w:t>
      </w:r>
    </w:p>
    <w:p w14:paraId="1B913721">
      <w:pPr>
        <w:widowControl/>
        <w:shd w:val="clear"/>
        <w:jc w:val="left"/>
        <w:rPr>
          <w:rFonts w:hint="eastAsia" w:ascii="宋体" w:hAnsi="宋体" w:eastAsia="宋体" w:cs="宋体"/>
          <w:color w:val="auto"/>
          <w:sz w:val="28"/>
          <w:szCs w:val="28"/>
          <w:highlight w:val="none"/>
        </w:rPr>
      </w:pPr>
    </w:p>
    <w:p w14:paraId="0E8457DC">
      <w:pPr>
        <w:widowControl/>
        <w:shd w:val="clear"/>
        <w:jc w:val="left"/>
        <w:rPr>
          <w:rFonts w:hint="eastAsia" w:ascii="宋体" w:hAnsi="宋体" w:eastAsia="宋体" w:cs="宋体"/>
          <w:color w:val="auto"/>
          <w:sz w:val="28"/>
          <w:szCs w:val="28"/>
          <w:highlight w:val="none"/>
        </w:rPr>
      </w:pPr>
    </w:p>
    <w:p w14:paraId="7DA71E98">
      <w:pPr>
        <w:widowControl/>
        <w:shd w:val="clear"/>
        <w:jc w:val="left"/>
        <w:rPr>
          <w:rFonts w:hint="eastAsia" w:ascii="宋体" w:hAnsi="宋体" w:eastAsia="宋体" w:cs="宋体"/>
          <w:color w:val="auto"/>
          <w:sz w:val="28"/>
          <w:szCs w:val="28"/>
          <w:highlight w:val="none"/>
        </w:rPr>
      </w:pPr>
    </w:p>
    <w:p w14:paraId="19DAE256">
      <w:pPr>
        <w:rPr>
          <w:rFonts w:hint="eastAsia" w:ascii="宋体" w:hAnsi="宋体" w:eastAsia="宋体" w:cs="宋体"/>
          <w:color w:val="auto"/>
          <w:sz w:val="28"/>
          <w:szCs w:val="28"/>
          <w:highlight w:val="none"/>
          <w:lang w:val="en-US" w:eastAsia="zh-CN"/>
        </w:rPr>
      </w:pPr>
      <w:bookmarkStart w:id="402" w:name="_Toc414445773"/>
      <w:bookmarkStart w:id="403" w:name="_Toc416103823"/>
      <w:bookmarkStart w:id="404" w:name="_Toc4436"/>
      <w:bookmarkStart w:id="405" w:name="_Toc18348"/>
      <w:bookmarkStart w:id="406" w:name="_Toc410631182"/>
      <w:r>
        <w:rPr>
          <w:rFonts w:hint="eastAsia" w:ascii="宋体" w:hAnsi="宋体" w:eastAsia="宋体" w:cs="宋体"/>
          <w:color w:val="auto"/>
          <w:sz w:val="28"/>
          <w:szCs w:val="28"/>
          <w:highlight w:val="none"/>
          <w:lang w:val="en-US" w:eastAsia="zh-CN"/>
        </w:rPr>
        <w:br w:type="page"/>
      </w:r>
    </w:p>
    <w:p w14:paraId="1E38ACC0">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附件10 </w:t>
      </w:r>
      <w:bookmarkEnd w:id="402"/>
      <w:bookmarkEnd w:id="403"/>
      <w:bookmarkEnd w:id="404"/>
      <w:bookmarkEnd w:id="405"/>
      <w:bookmarkEnd w:id="406"/>
      <w:bookmarkStart w:id="407" w:name="_Toc157759075"/>
      <w:r>
        <w:rPr>
          <w:rFonts w:hint="eastAsia" w:ascii="宋体" w:hAnsi="宋体" w:eastAsia="宋体" w:cs="宋体"/>
          <w:b/>
          <w:bCs/>
          <w:color w:val="auto"/>
          <w:sz w:val="28"/>
          <w:szCs w:val="28"/>
          <w:highlight w:val="none"/>
        </w:rPr>
        <w:t>对招标文件</w:t>
      </w: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
          <w:bCs/>
          <w:color w:val="auto"/>
          <w:sz w:val="28"/>
          <w:szCs w:val="28"/>
          <w:highlight w:val="none"/>
        </w:rPr>
        <w:t>技术参数的响应程度</w:t>
      </w:r>
    </w:p>
    <w:p w14:paraId="3EBC08B9">
      <w:pPr>
        <w:shd w:val="clear"/>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投标人对招标文件第五章第二条采购需求第（</w:t>
      </w:r>
      <w:r>
        <w:rPr>
          <w:rFonts w:hint="eastAsia" w:ascii="宋体" w:hAnsi="宋体" w:cs="宋体"/>
          <w:b/>
          <w:bCs/>
          <w:color w:val="auto"/>
          <w:kern w:val="2"/>
          <w:sz w:val="21"/>
          <w:szCs w:val="21"/>
          <w:highlight w:val="none"/>
          <w:lang w:val="en-US" w:eastAsia="zh-CN" w:bidi="ar-SA"/>
        </w:rPr>
        <w:t>九</w:t>
      </w:r>
      <w:r>
        <w:rPr>
          <w:rFonts w:hint="eastAsia" w:ascii="宋体" w:hAnsi="宋体" w:eastAsia="宋体" w:cs="宋体"/>
          <w:b/>
          <w:bCs/>
          <w:color w:val="auto"/>
          <w:kern w:val="2"/>
          <w:sz w:val="21"/>
          <w:szCs w:val="21"/>
          <w:highlight w:val="none"/>
          <w:lang w:val="en-US" w:eastAsia="zh-CN" w:bidi="ar-SA"/>
        </w:rPr>
        <w:t>）</w:t>
      </w:r>
      <w:r>
        <w:rPr>
          <w:rFonts w:hint="eastAsia" w:ascii="宋体" w:hAnsi="宋体" w:cs="宋体"/>
          <w:b/>
          <w:bCs/>
          <w:color w:val="auto"/>
          <w:kern w:val="2"/>
          <w:sz w:val="21"/>
          <w:szCs w:val="21"/>
          <w:highlight w:val="none"/>
          <w:lang w:val="en-US" w:eastAsia="zh-CN" w:bidi="ar-SA"/>
        </w:rPr>
        <w:t>款</w:t>
      </w:r>
      <w:r>
        <w:rPr>
          <w:rFonts w:hint="eastAsia" w:ascii="宋体" w:hAnsi="宋体" w:eastAsia="宋体" w:cs="宋体"/>
          <w:b/>
          <w:bCs/>
          <w:color w:val="auto"/>
          <w:kern w:val="2"/>
          <w:sz w:val="21"/>
          <w:szCs w:val="21"/>
          <w:highlight w:val="none"/>
          <w:lang w:val="en-US" w:eastAsia="zh-CN" w:bidi="ar-SA"/>
        </w:rPr>
        <w:t>技术要求的响应如下，表后附参数佐证材料。【</w:t>
      </w:r>
      <w:r>
        <w:rPr>
          <w:rFonts w:hint="eastAsia" w:ascii="宋体" w:hAnsi="宋体" w:cs="宋体"/>
          <w:b/>
          <w:bCs/>
          <w:color w:val="auto"/>
          <w:kern w:val="2"/>
          <w:sz w:val="21"/>
          <w:szCs w:val="21"/>
          <w:highlight w:val="none"/>
          <w:lang w:val="en-US" w:eastAsia="zh-CN" w:bidi="ar-SA"/>
        </w:rPr>
        <w:t>下表填写</w:t>
      </w:r>
      <w:r>
        <w:rPr>
          <w:rFonts w:hint="eastAsia" w:ascii="宋体" w:hAnsi="宋体" w:eastAsia="宋体" w:cs="宋体"/>
          <w:b/>
          <w:bCs/>
          <w:color w:val="auto"/>
          <w:kern w:val="2"/>
          <w:sz w:val="21"/>
          <w:szCs w:val="21"/>
          <w:highlight w:val="none"/>
          <w:lang w:val="en-US" w:eastAsia="zh-CN" w:bidi="ar-SA"/>
        </w:rPr>
        <w:t>第五章第二条采购需求第（</w:t>
      </w:r>
      <w:r>
        <w:rPr>
          <w:rFonts w:hint="eastAsia" w:ascii="宋体" w:hAnsi="宋体" w:cs="宋体"/>
          <w:b/>
          <w:bCs/>
          <w:color w:val="auto"/>
          <w:kern w:val="2"/>
          <w:sz w:val="21"/>
          <w:szCs w:val="21"/>
          <w:highlight w:val="none"/>
          <w:lang w:val="en-US" w:eastAsia="zh-CN" w:bidi="ar-SA"/>
        </w:rPr>
        <w:t>九</w:t>
      </w:r>
      <w:r>
        <w:rPr>
          <w:rFonts w:hint="eastAsia" w:ascii="宋体" w:hAnsi="宋体" w:eastAsia="宋体" w:cs="宋体"/>
          <w:b/>
          <w:bCs/>
          <w:color w:val="auto"/>
          <w:kern w:val="2"/>
          <w:sz w:val="21"/>
          <w:szCs w:val="21"/>
          <w:highlight w:val="none"/>
          <w:lang w:val="en-US" w:eastAsia="zh-CN" w:bidi="ar-SA"/>
        </w:rPr>
        <w:t>）</w:t>
      </w:r>
      <w:r>
        <w:rPr>
          <w:rFonts w:hint="eastAsia" w:ascii="宋体" w:hAnsi="宋体" w:cs="宋体"/>
          <w:b/>
          <w:bCs/>
          <w:color w:val="auto"/>
          <w:kern w:val="2"/>
          <w:sz w:val="21"/>
          <w:szCs w:val="21"/>
          <w:highlight w:val="none"/>
          <w:lang w:val="en-US" w:eastAsia="zh-CN" w:bidi="ar-SA"/>
        </w:rPr>
        <w:t>款</w:t>
      </w:r>
      <w:r>
        <w:rPr>
          <w:rFonts w:hint="eastAsia" w:ascii="宋体" w:hAnsi="宋体" w:eastAsia="宋体" w:cs="宋体"/>
          <w:b/>
          <w:bCs/>
          <w:color w:val="auto"/>
          <w:kern w:val="2"/>
          <w:sz w:val="21"/>
          <w:szCs w:val="21"/>
          <w:highlight w:val="none"/>
          <w:lang w:val="en-US" w:eastAsia="zh-CN" w:bidi="ar-SA"/>
        </w:rPr>
        <w:t>技术要求标记“▲”要求，投标人</w:t>
      </w:r>
      <w:r>
        <w:rPr>
          <w:rFonts w:hint="eastAsia" w:ascii="宋体" w:hAnsi="宋体" w:eastAsia="宋体" w:cs="宋体"/>
          <w:b/>
          <w:bCs/>
          <w:color w:val="auto"/>
          <w:sz w:val="21"/>
          <w:szCs w:val="21"/>
          <w:highlight w:val="none"/>
          <w:lang w:val="en-US" w:eastAsia="zh-CN"/>
        </w:rPr>
        <w:t>按</w:t>
      </w:r>
      <w:r>
        <w:rPr>
          <w:rFonts w:hint="eastAsia" w:ascii="宋体" w:hAnsi="宋体" w:cs="宋体"/>
          <w:b/>
          <w:bCs/>
          <w:color w:val="auto"/>
          <w:sz w:val="21"/>
          <w:szCs w:val="21"/>
          <w:highlight w:val="none"/>
          <w:lang w:val="en-US" w:eastAsia="zh-CN"/>
        </w:rPr>
        <w:t>第五章的技术</w:t>
      </w:r>
      <w:r>
        <w:rPr>
          <w:rFonts w:hint="eastAsia" w:ascii="宋体" w:hAnsi="宋体" w:eastAsia="宋体" w:cs="宋体"/>
          <w:b/>
          <w:bCs/>
          <w:color w:val="auto"/>
          <w:sz w:val="21"/>
          <w:szCs w:val="21"/>
          <w:highlight w:val="none"/>
          <w:lang w:val="en-US" w:eastAsia="zh-CN"/>
        </w:rPr>
        <w:t>要求和</w:t>
      </w:r>
      <w:r>
        <w:rPr>
          <w:rFonts w:hint="eastAsia" w:ascii="宋体" w:hAnsi="宋体" w:cs="宋体"/>
          <w:b/>
          <w:bCs/>
          <w:color w:val="auto"/>
          <w:sz w:val="21"/>
          <w:szCs w:val="21"/>
          <w:highlight w:val="none"/>
          <w:lang w:val="en-US" w:eastAsia="zh-CN"/>
        </w:rPr>
        <w:t>第三章附表三的评分标准要求</w:t>
      </w:r>
      <w:r>
        <w:rPr>
          <w:rFonts w:hint="eastAsia" w:ascii="宋体" w:hAnsi="宋体" w:eastAsia="宋体" w:cs="宋体"/>
          <w:b/>
          <w:bCs/>
          <w:color w:val="auto"/>
          <w:sz w:val="21"/>
          <w:szCs w:val="21"/>
          <w:highlight w:val="none"/>
          <w:lang w:val="en-US" w:eastAsia="zh-CN"/>
        </w:rPr>
        <w:t>提供证明材料</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kern w:val="2"/>
          <w:sz w:val="21"/>
          <w:szCs w:val="21"/>
          <w:highlight w:val="none"/>
          <w:lang w:val="en-US" w:eastAsia="zh-CN" w:bidi="ar-SA"/>
        </w:rPr>
        <w:t>】</w:t>
      </w:r>
    </w:p>
    <w:tbl>
      <w:tblPr>
        <w:tblStyle w:val="48"/>
        <w:tblW w:w="99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72"/>
        <w:gridCol w:w="1150"/>
        <w:gridCol w:w="1415"/>
        <w:gridCol w:w="1101"/>
        <w:gridCol w:w="1230"/>
        <w:gridCol w:w="640"/>
        <w:gridCol w:w="1053"/>
        <w:gridCol w:w="1026"/>
        <w:gridCol w:w="1539"/>
      </w:tblGrid>
      <w:tr w14:paraId="05A7A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7" w:hRule="atLeast"/>
          <w:jc w:val="center"/>
        </w:trPr>
        <w:tc>
          <w:tcPr>
            <w:tcW w:w="772" w:type="dxa"/>
            <w:vMerge w:val="restart"/>
            <w:vAlign w:val="center"/>
          </w:tcPr>
          <w:p w14:paraId="105EF401">
            <w:pPr>
              <w:shd w:val="clea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序号</w:t>
            </w:r>
          </w:p>
        </w:tc>
        <w:tc>
          <w:tcPr>
            <w:tcW w:w="2565" w:type="dxa"/>
            <w:gridSpan w:val="2"/>
            <w:vAlign w:val="center"/>
          </w:tcPr>
          <w:p w14:paraId="020A5720">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招标文件技术参数</w:t>
            </w:r>
            <w:r>
              <w:rPr>
                <w:rFonts w:hint="eastAsia" w:ascii="宋体" w:hAnsi="宋体" w:eastAsia="宋体" w:cs="宋体"/>
                <w:b/>
                <w:bCs/>
                <w:color w:val="auto"/>
                <w:sz w:val="21"/>
                <w:szCs w:val="21"/>
                <w:highlight w:val="none"/>
              </w:rPr>
              <w:t>要求</w:t>
            </w:r>
          </w:p>
        </w:tc>
        <w:tc>
          <w:tcPr>
            <w:tcW w:w="2331" w:type="dxa"/>
            <w:gridSpan w:val="2"/>
            <w:vAlign w:val="center"/>
          </w:tcPr>
          <w:p w14:paraId="61AE024B">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投标产品技术</w:t>
            </w:r>
            <w:r>
              <w:rPr>
                <w:rFonts w:hint="eastAsia" w:ascii="宋体" w:hAnsi="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lang w:val="en-US" w:eastAsia="zh-CN"/>
              </w:rPr>
              <w:t>描述</w:t>
            </w:r>
          </w:p>
        </w:tc>
        <w:tc>
          <w:tcPr>
            <w:tcW w:w="640" w:type="dxa"/>
            <w:vMerge w:val="restart"/>
            <w:vAlign w:val="center"/>
          </w:tcPr>
          <w:p w14:paraId="1386F63C">
            <w:pPr>
              <w:shd w:val="clea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功能描述</w:t>
            </w:r>
          </w:p>
        </w:tc>
        <w:tc>
          <w:tcPr>
            <w:tcW w:w="1053" w:type="dxa"/>
            <w:vMerge w:val="restart"/>
            <w:vAlign w:val="center"/>
          </w:tcPr>
          <w:p w14:paraId="48B49DB6">
            <w:pPr>
              <w:shd w:val="clea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完全</w:t>
            </w:r>
            <w:r>
              <w:rPr>
                <w:rFonts w:hint="eastAsia" w:ascii="宋体" w:hAnsi="宋体" w:eastAsia="宋体" w:cs="宋体"/>
                <w:b/>
                <w:bCs/>
                <w:color w:val="auto"/>
                <w:sz w:val="21"/>
                <w:szCs w:val="21"/>
                <w:highlight w:val="none"/>
              </w:rPr>
              <w:t>响应</w:t>
            </w:r>
          </w:p>
        </w:tc>
        <w:tc>
          <w:tcPr>
            <w:tcW w:w="1026" w:type="dxa"/>
            <w:vMerge w:val="restart"/>
            <w:vAlign w:val="center"/>
          </w:tcPr>
          <w:p w14:paraId="790BFBF3">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有偏离</w:t>
            </w:r>
          </w:p>
        </w:tc>
        <w:tc>
          <w:tcPr>
            <w:tcW w:w="1539" w:type="dxa"/>
            <w:vMerge w:val="restart"/>
            <w:vAlign w:val="center"/>
          </w:tcPr>
          <w:p w14:paraId="48CCDF30">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偏离描述</w:t>
            </w:r>
          </w:p>
        </w:tc>
      </w:tr>
      <w:tr w14:paraId="2BCEE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9" w:hRule="atLeast"/>
          <w:jc w:val="center"/>
        </w:trPr>
        <w:tc>
          <w:tcPr>
            <w:tcW w:w="772" w:type="dxa"/>
            <w:vMerge w:val="continue"/>
            <w:vAlign w:val="center"/>
          </w:tcPr>
          <w:p w14:paraId="2B767B15">
            <w:pPr>
              <w:shd w:val="clear"/>
              <w:spacing w:line="400" w:lineRule="exact"/>
              <w:jc w:val="center"/>
              <w:rPr>
                <w:rFonts w:hint="eastAsia" w:ascii="宋体" w:hAnsi="宋体" w:eastAsia="宋体" w:cs="宋体"/>
                <w:color w:val="auto"/>
                <w:sz w:val="21"/>
                <w:szCs w:val="21"/>
                <w:highlight w:val="none"/>
              </w:rPr>
            </w:pPr>
          </w:p>
        </w:tc>
        <w:tc>
          <w:tcPr>
            <w:tcW w:w="1150" w:type="dxa"/>
            <w:tcBorders>
              <w:right w:val="single" w:color="auto" w:sz="4" w:space="0"/>
            </w:tcBorders>
            <w:shd w:val="clear" w:color="auto" w:fill="auto"/>
            <w:vAlign w:val="center"/>
          </w:tcPr>
          <w:p w14:paraId="009357B1">
            <w:pPr>
              <w:shd w:val="clea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功能模块</w:t>
            </w:r>
          </w:p>
        </w:tc>
        <w:tc>
          <w:tcPr>
            <w:tcW w:w="1415" w:type="dxa"/>
            <w:tcBorders>
              <w:left w:val="single" w:color="auto" w:sz="4" w:space="0"/>
            </w:tcBorders>
            <w:shd w:val="clear" w:color="auto" w:fill="auto"/>
            <w:vAlign w:val="center"/>
          </w:tcPr>
          <w:p w14:paraId="3B1576A7">
            <w:pPr>
              <w:shd w:val="clea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子模块</w:t>
            </w:r>
          </w:p>
        </w:tc>
        <w:tc>
          <w:tcPr>
            <w:tcW w:w="1101" w:type="dxa"/>
            <w:tcBorders>
              <w:right w:val="single" w:color="auto" w:sz="4" w:space="0"/>
            </w:tcBorders>
            <w:shd w:val="clear" w:color="auto" w:fill="auto"/>
            <w:vAlign w:val="center"/>
          </w:tcPr>
          <w:p w14:paraId="154C4134">
            <w:pPr>
              <w:shd w:val="clear"/>
              <w:spacing w:line="400" w:lineRule="exact"/>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功能模块</w:t>
            </w:r>
          </w:p>
        </w:tc>
        <w:tc>
          <w:tcPr>
            <w:tcW w:w="1230" w:type="dxa"/>
            <w:tcBorders>
              <w:left w:val="single" w:color="auto" w:sz="4" w:space="0"/>
            </w:tcBorders>
            <w:shd w:val="clear" w:color="auto" w:fill="auto"/>
            <w:vAlign w:val="center"/>
          </w:tcPr>
          <w:p w14:paraId="07D44999">
            <w:pPr>
              <w:shd w:val="clear"/>
              <w:spacing w:line="400" w:lineRule="exact"/>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子模块</w:t>
            </w:r>
          </w:p>
        </w:tc>
        <w:tc>
          <w:tcPr>
            <w:tcW w:w="640" w:type="dxa"/>
            <w:vMerge w:val="continue"/>
            <w:vAlign w:val="center"/>
          </w:tcPr>
          <w:p w14:paraId="143A4808">
            <w:pPr>
              <w:shd w:val="clear"/>
              <w:spacing w:line="400" w:lineRule="exact"/>
              <w:jc w:val="center"/>
              <w:rPr>
                <w:rFonts w:hint="eastAsia" w:ascii="宋体" w:hAnsi="宋体" w:eastAsia="宋体" w:cs="宋体"/>
                <w:b/>
                <w:bCs/>
                <w:color w:val="auto"/>
                <w:sz w:val="21"/>
                <w:szCs w:val="21"/>
                <w:highlight w:val="none"/>
              </w:rPr>
            </w:pPr>
          </w:p>
        </w:tc>
        <w:tc>
          <w:tcPr>
            <w:tcW w:w="1053" w:type="dxa"/>
            <w:vMerge w:val="continue"/>
            <w:vAlign w:val="center"/>
          </w:tcPr>
          <w:p w14:paraId="4AD2BBED">
            <w:pPr>
              <w:shd w:val="clear"/>
              <w:spacing w:line="400" w:lineRule="exact"/>
              <w:jc w:val="center"/>
              <w:rPr>
                <w:rFonts w:hint="eastAsia" w:ascii="宋体" w:hAnsi="宋体" w:eastAsia="宋体" w:cs="宋体"/>
                <w:color w:val="auto"/>
                <w:sz w:val="21"/>
                <w:szCs w:val="21"/>
                <w:highlight w:val="none"/>
              </w:rPr>
            </w:pPr>
          </w:p>
        </w:tc>
        <w:tc>
          <w:tcPr>
            <w:tcW w:w="1026" w:type="dxa"/>
            <w:vMerge w:val="continue"/>
            <w:vAlign w:val="center"/>
          </w:tcPr>
          <w:p w14:paraId="3C114593">
            <w:pPr>
              <w:shd w:val="clear"/>
              <w:spacing w:line="400" w:lineRule="exact"/>
              <w:jc w:val="center"/>
              <w:rPr>
                <w:rFonts w:hint="eastAsia" w:ascii="宋体" w:hAnsi="宋体" w:eastAsia="宋体" w:cs="宋体"/>
                <w:color w:val="auto"/>
                <w:sz w:val="21"/>
                <w:szCs w:val="21"/>
                <w:highlight w:val="none"/>
              </w:rPr>
            </w:pPr>
          </w:p>
        </w:tc>
        <w:tc>
          <w:tcPr>
            <w:tcW w:w="1539" w:type="dxa"/>
            <w:vMerge w:val="continue"/>
            <w:vAlign w:val="center"/>
          </w:tcPr>
          <w:p w14:paraId="3740B6CF">
            <w:pPr>
              <w:shd w:val="clear"/>
              <w:spacing w:line="400" w:lineRule="exact"/>
              <w:jc w:val="center"/>
              <w:rPr>
                <w:rFonts w:hint="eastAsia" w:ascii="宋体" w:hAnsi="宋体" w:eastAsia="宋体" w:cs="宋体"/>
                <w:color w:val="auto"/>
                <w:sz w:val="21"/>
                <w:szCs w:val="21"/>
                <w:highlight w:val="none"/>
              </w:rPr>
            </w:pPr>
          </w:p>
        </w:tc>
      </w:tr>
      <w:tr w14:paraId="24229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2" w:hRule="atLeast"/>
          <w:jc w:val="center"/>
        </w:trPr>
        <w:tc>
          <w:tcPr>
            <w:tcW w:w="772" w:type="dxa"/>
            <w:vAlign w:val="center"/>
          </w:tcPr>
          <w:p w14:paraId="4390B441">
            <w:pPr>
              <w:shd w:val="clear"/>
              <w:spacing w:line="400" w:lineRule="exact"/>
              <w:jc w:val="center"/>
              <w:rPr>
                <w:rFonts w:hint="eastAsia" w:ascii="宋体" w:hAnsi="宋体" w:eastAsia="宋体" w:cs="宋体"/>
                <w:color w:val="auto"/>
                <w:sz w:val="21"/>
                <w:szCs w:val="21"/>
                <w:highlight w:val="none"/>
              </w:rPr>
            </w:pPr>
          </w:p>
        </w:tc>
        <w:tc>
          <w:tcPr>
            <w:tcW w:w="1150" w:type="dxa"/>
            <w:tcBorders>
              <w:right w:val="single" w:color="auto" w:sz="4" w:space="0"/>
            </w:tcBorders>
            <w:shd w:val="clear" w:color="auto" w:fill="auto"/>
            <w:vAlign w:val="center"/>
          </w:tcPr>
          <w:p w14:paraId="2B61C754">
            <w:pPr>
              <w:shd w:val="clear"/>
              <w:spacing w:line="400" w:lineRule="exact"/>
              <w:jc w:val="center"/>
              <w:rPr>
                <w:rFonts w:hint="eastAsia" w:ascii="宋体" w:hAnsi="宋体" w:eastAsia="宋体" w:cs="宋体"/>
                <w:color w:val="auto"/>
                <w:sz w:val="21"/>
                <w:szCs w:val="21"/>
                <w:highlight w:val="none"/>
                <w:lang w:val="en-US" w:eastAsia="zh-CN"/>
              </w:rPr>
            </w:pPr>
          </w:p>
        </w:tc>
        <w:tc>
          <w:tcPr>
            <w:tcW w:w="1415" w:type="dxa"/>
            <w:tcBorders>
              <w:left w:val="single" w:color="auto" w:sz="4" w:space="0"/>
            </w:tcBorders>
            <w:shd w:val="clear" w:color="auto" w:fill="auto"/>
            <w:vAlign w:val="center"/>
          </w:tcPr>
          <w:p w14:paraId="2C41DA72">
            <w:pPr>
              <w:shd w:val="clear"/>
              <w:spacing w:line="400" w:lineRule="exact"/>
              <w:jc w:val="center"/>
              <w:rPr>
                <w:rFonts w:hint="eastAsia" w:ascii="宋体" w:hAnsi="宋体" w:eastAsia="宋体" w:cs="宋体"/>
                <w:color w:val="auto"/>
                <w:sz w:val="21"/>
                <w:szCs w:val="21"/>
                <w:highlight w:val="none"/>
                <w:lang w:val="en-US" w:eastAsia="zh-CN"/>
              </w:rPr>
            </w:pPr>
          </w:p>
        </w:tc>
        <w:tc>
          <w:tcPr>
            <w:tcW w:w="1101" w:type="dxa"/>
            <w:tcBorders>
              <w:right w:val="single" w:color="auto" w:sz="4" w:space="0"/>
            </w:tcBorders>
            <w:shd w:val="clear" w:color="auto" w:fill="auto"/>
            <w:vAlign w:val="center"/>
          </w:tcPr>
          <w:p w14:paraId="79DB3D5E">
            <w:pPr>
              <w:shd w:val="clear"/>
              <w:spacing w:line="400" w:lineRule="exact"/>
              <w:jc w:val="center"/>
              <w:rPr>
                <w:rFonts w:hint="eastAsia" w:ascii="宋体" w:hAnsi="宋体" w:eastAsia="宋体" w:cs="宋体"/>
                <w:color w:val="auto"/>
                <w:sz w:val="21"/>
                <w:szCs w:val="21"/>
                <w:highlight w:val="none"/>
                <w:lang w:val="en-US" w:eastAsia="zh-CN"/>
              </w:rPr>
            </w:pPr>
          </w:p>
        </w:tc>
        <w:tc>
          <w:tcPr>
            <w:tcW w:w="1230" w:type="dxa"/>
            <w:tcBorders>
              <w:left w:val="single" w:color="auto" w:sz="4" w:space="0"/>
            </w:tcBorders>
            <w:shd w:val="clear" w:color="auto" w:fill="auto"/>
            <w:vAlign w:val="center"/>
          </w:tcPr>
          <w:p w14:paraId="677AACF7">
            <w:pPr>
              <w:shd w:val="clear"/>
              <w:spacing w:line="400" w:lineRule="exact"/>
              <w:jc w:val="center"/>
              <w:rPr>
                <w:rFonts w:hint="eastAsia" w:ascii="宋体" w:hAnsi="宋体" w:eastAsia="宋体" w:cs="宋体"/>
                <w:color w:val="auto"/>
                <w:sz w:val="21"/>
                <w:szCs w:val="21"/>
                <w:highlight w:val="none"/>
                <w:lang w:val="en-US" w:eastAsia="zh-CN"/>
              </w:rPr>
            </w:pPr>
          </w:p>
        </w:tc>
        <w:tc>
          <w:tcPr>
            <w:tcW w:w="640" w:type="dxa"/>
            <w:vAlign w:val="center"/>
          </w:tcPr>
          <w:p w14:paraId="0496E1B8">
            <w:pPr>
              <w:shd w:val="clear"/>
              <w:spacing w:line="400" w:lineRule="exact"/>
              <w:jc w:val="center"/>
              <w:rPr>
                <w:rFonts w:hint="eastAsia" w:ascii="宋体" w:hAnsi="宋体" w:eastAsia="宋体" w:cs="宋体"/>
                <w:color w:val="auto"/>
                <w:sz w:val="21"/>
                <w:szCs w:val="21"/>
                <w:highlight w:val="none"/>
              </w:rPr>
            </w:pPr>
          </w:p>
        </w:tc>
        <w:tc>
          <w:tcPr>
            <w:tcW w:w="1053" w:type="dxa"/>
            <w:vAlign w:val="center"/>
          </w:tcPr>
          <w:p w14:paraId="604A245B">
            <w:pPr>
              <w:shd w:val="clear"/>
              <w:spacing w:line="400" w:lineRule="exact"/>
              <w:jc w:val="center"/>
              <w:rPr>
                <w:rFonts w:hint="eastAsia" w:ascii="宋体" w:hAnsi="宋体" w:eastAsia="宋体" w:cs="宋体"/>
                <w:color w:val="auto"/>
                <w:sz w:val="21"/>
                <w:szCs w:val="21"/>
                <w:highlight w:val="none"/>
              </w:rPr>
            </w:pPr>
          </w:p>
        </w:tc>
        <w:tc>
          <w:tcPr>
            <w:tcW w:w="1026" w:type="dxa"/>
            <w:vAlign w:val="center"/>
          </w:tcPr>
          <w:p w14:paraId="02AE2DE9">
            <w:pPr>
              <w:shd w:val="clear"/>
              <w:spacing w:line="400" w:lineRule="exact"/>
              <w:jc w:val="center"/>
              <w:rPr>
                <w:rFonts w:hint="eastAsia" w:ascii="宋体" w:hAnsi="宋体" w:eastAsia="宋体" w:cs="宋体"/>
                <w:color w:val="auto"/>
                <w:sz w:val="21"/>
                <w:szCs w:val="21"/>
                <w:highlight w:val="none"/>
              </w:rPr>
            </w:pPr>
          </w:p>
        </w:tc>
        <w:tc>
          <w:tcPr>
            <w:tcW w:w="1539" w:type="dxa"/>
            <w:vAlign w:val="center"/>
          </w:tcPr>
          <w:p w14:paraId="07D6A7BD">
            <w:pPr>
              <w:shd w:val="clear"/>
              <w:spacing w:line="400" w:lineRule="exact"/>
              <w:jc w:val="center"/>
              <w:rPr>
                <w:rFonts w:hint="eastAsia" w:ascii="宋体" w:hAnsi="宋体" w:eastAsia="宋体" w:cs="宋体"/>
                <w:color w:val="auto"/>
                <w:sz w:val="21"/>
                <w:szCs w:val="21"/>
                <w:highlight w:val="none"/>
              </w:rPr>
            </w:pPr>
          </w:p>
        </w:tc>
      </w:tr>
      <w:tr w14:paraId="061E0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5" w:hRule="atLeast"/>
          <w:jc w:val="center"/>
        </w:trPr>
        <w:tc>
          <w:tcPr>
            <w:tcW w:w="772" w:type="dxa"/>
            <w:vAlign w:val="center"/>
          </w:tcPr>
          <w:p w14:paraId="363A5B64">
            <w:pPr>
              <w:shd w:val="clear"/>
              <w:spacing w:line="400" w:lineRule="exact"/>
              <w:jc w:val="center"/>
              <w:rPr>
                <w:rFonts w:hint="eastAsia" w:ascii="宋体" w:hAnsi="宋体" w:eastAsia="宋体" w:cs="宋体"/>
                <w:color w:val="auto"/>
                <w:sz w:val="21"/>
                <w:szCs w:val="21"/>
                <w:highlight w:val="none"/>
              </w:rPr>
            </w:pPr>
          </w:p>
        </w:tc>
        <w:tc>
          <w:tcPr>
            <w:tcW w:w="1150" w:type="dxa"/>
            <w:tcBorders>
              <w:right w:val="single" w:color="auto" w:sz="4" w:space="0"/>
            </w:tcBorders>
            <w:shd w:val="clear" w:color="auto" w:fill="auto"/>
            <w:vAlign w:val="center"/>
          </w:tcPr>
          <w:p w14:paraId="6A09A738">
            <w:pPr>
              <w:shd w:val="clear"/>
              <w:spacing w:line="400" w:lineRule="exact"/>
              <w:jc w:val="center"/>
              <w:rPr>
                <w:rFonts w:hint="eastAsia" w:ascii="宋体" w:hAnsi="宋体" w:eastAsia="宋体" w:cs="宋体"/>
                <w:color w:val="auto"/>
                <w:sz w:val="21"/>
                <w:szCs w:val="21"/>
                <w:highlight w:val="none"/>
                <w:lang w:val="en-US" w:eastAsia="zh-CN"/>
              </w:rPr>
            </w:pPr>
          </w:p>
        </w:tc>
        <w:tc>
          <w:tcPr>
            <w:tcW w:w="1415" w:type="dxa"/>
            <w:tcBorders>
              <w:left w:val="single" w:color="auto" w:sz="4" w:space="0"/>
            </w:tcBorders>
            <w:shd w:val="clear" w:color="auto" w:fill="auto"/>
            <w:vAlign w:val="center"/>
          </w:tcPr>
          <w:p w14:paraId="1EFA42F6">
            <w:pPr>
              <w:shd w:val="clear"/>
              <w:spacing w:line="400" w:lineRule="exact"/>
              <w:jc w:val="center"/>
              <w:rPr>
                <w:rFonts w:hint="eastAsia" w:ascii="宋体" w:hAnsi="宋体" w:eastAsia="宋体" w:cs="宋体"/>
                <w:color w:val="auto"/>
                <w:sz w:val="21"/>
                <w:szCs w:val="21"/>
                <w:highlight w:val="none"/>
                <w:lang w:val="en-US" w:eastAsia="zh-CN"/>
              </w:rPr>
            </w:pPr>
          </w:p>
        </w:tc>
        <w:tc>
          <w:tcPr>
            <w:tcW w:w="1101" w:type="dxa"/>
            <w:tcBorders>
              <w:right w:val="single" w:color="auto" w:sz="4" w:space="0"/>
            </w:tcBorders>
            <w:shd w:val="clear" w:color="auto" w:fill="auto"/>
            <w:vAlign w:val="center"/>
          </w:tcPr>
          <w:p w14:paraId="1ABB1620">
            <w:pPr>
              <w:shd w:val="clear"/>
              <w:spacing w:line="400" w:lineRule="exact"/>
              <w:jc w:val="center"/>
              <w:rPr>
                <w:rFonts w:hint="eastAsia" w:ascii="宋体" w:hAnsi="宋体" w:eastAsia="宋体" w:cs="宋体"/>
                <w:color w:val="auto"/>
                <w:sz w:val="21"/>
                <w:szCs w:val="21"/>
                <w:highlight w:val="none"/>
                <w:lang w:val="en-US" w:eastAsia="zh-CN"/>
              </w:rPr>
            </w:pPr>
          </w:p>
        </w:tc>
        <w:tc>
          <w:tcPr>
            <w:tcW w:w="1230" w:type="dxa"/>
            <w:tcBorders>
              <w:left w:val="single" w:color="auto" w:sz="4" w:space="0"/>
            </w:tcBorders>
            <w:shd w:val="clear" w:color="auto" w:fill="auto"/>
            <w:vAlign w:val="center"/>
          </w:tcPr>
          <w:p w14:paraId="5B9A5BDD">
            <w:pPr>
              <w:shd w:val="clear"/>
              <w:spacing w:line="400" w:lineRule="exact"/>
              <w:jc w:val="center"/>
              <w:rPr>
                <w:rFonts w:hint="eastAsia" w:ascii="宋体" w:hAnsi="宋体" w:eastAsia="宋体" w:cs="宋体"/>
                <w:color w:val="auto"/>
                <w:sz w:val="21"/>
                <w:szCs w:val="21"/>
                <w:highlight w:val="none"/>
                <w:lang w:val="en-US" w:eastAsia="zh-CN"/>
              </w:rPr>
            </w:pPr>
          </w:p>
        </w:tc>
        <w:tc>
          <w:tcPr>
            <w:tcW w:w="640" w:type="dxa"/>
            <w:vAlign w:val="center"/>
          </w:tcPr>
          <w:p w14:paraId="34CDA71D">
            <w:pPr>
              <w:shd w:val="clear"/>
              <w:spacing w:line="400" w:lineRule="exact"/>
              <w:jc w:val="center"/>
              <w:rPr>
                <w:rFonts w:hint="eastAsia" w:ascii="宋体" w:hAnsi="宋体" w:eastAsia="宋体" w:cs="宋体"/>
                <w:color w:val="auto"/>
                <w:sz w:val="21"/>
                <w:szCs w:val="21"/>
                <w:highlight w:val="none"/>
              </w:rPr>
            </w:pPr>
          </w:p>
        </w:tc>
        <w:tc>
          <w:tcPr>
            <w:tcW w:w="1053" w:type="dxa"/>
            <w:vAlign w:val="center"/>
          </w:tcPr>
          <w:p w14:paraId="57457B8B">
            <w:pPr>
              <w:shd w:val="clear"/>
              <w:spacing w:line="400" w:lineRule="exact"/>
              <w:jc w:val="center"/>
              <w:rPr>
                <w:rFonts w:hint="eastAsia" w:ascii="宋体" w:hAnsi="宋体" w:eastAsia="宋体" w:cs="宋体"/>
                <w:color w:val="auto"/>
                <w:sz w:val="21"/>
                <w:szCs w:val="21"/>
                <w:highlight w:val="none"/>
              </w:rPr>
            </w:pPr>
          </w:p>
        </w:tc>
        <w:tc>
          <w:tcPr>
            <w:tcW w:w="1026" w:type="dxa"/>
            <w:vAlign w:val="center"/>
          </w:tcPr>
          <w:p w14:paraId="452673C1">
            <w:pPr>
              <w:shd w:val="clear"/>
              <w:spacing w:line="400" w:lineRule="exact"/>
              <w:jc w:val="center"/>
              <w:rPr>
                <w:rFonts w:hint="eastAsia" w:ascii="宋体" w:hAnsi="宋体" w:eastAsia="宋体" w:cs="宋体"/>
                <w:color w:val="auto"/>
                <w:sz w:val="21"/>
                <w:szCs w:val="21"/>
                <w:highlight w:val="none"/>
              </w:rPr>
            </w:pPr>
          </w:p>
        </w:tc>
        <w:tc>
          <w:tcPr>
            <w:tcW w:w="1539" w:type="dxa"/>
            <w:vAlign w:val="center"/>
          </w:tcPr>
          <w:p w14:paraId="76B1B516">
            <w:pPr>
              <w:shd w:val="clear"/>
              <w:spacing w:line="400" w:lineRule="exact"/>
              <w:jc w:val="center"/>
              <w:rPr>
                <w:rFonts w:hint="eastAsia" w:ascii="宋体" w:hAnsi="宋体" w:eastAsia="宋体" w:cs="宋体"/>
                <w:color w:val="auto"/>
                <w:sz w:val="21"/>
                <w:szCs w:val="21"/>
                <w:highlight w:val="none"/>
              </w:rPr>
            </w:pPr>
          </w:p>
        </w:tc>
      </w:tr>
      <w:bookmarkEnd w:id="407"/>
    </w:tbl>
    <w:p w14:paraId="21A2F561">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1993D579">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14:paraId="46059F74">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正偏离是指应答的条件高于招标文件要求，负偏离是指应答的条件低于招标文件要求，正偏离项目不作扣分处理。</w:t>
      </w:r>
    </w:p>
    <w:p w14:paraId="2DC56CCE">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3</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投标人须逐条完整填写响应表。如果未完整填写响应表的各项内容则视作投标人已经对招标文件相关要求和内容完全理解并同意，其投标报价为在此基础上的完全价格。</w:t>
      </w:r>
    </w:p>
    <w:p w14:paraId="468E1A01">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4</w:t>
      </w:r>
      <w:r>
        <w:rPr>
          <w:rFonts w:hint="eastAsia" w:ascii="宋体" w:hAnsi="宋体" w:eastAsia="宋体" w:cs="宋体"/>
          <w:b w:val="0"/>
          <w:bCs w:val="0"/>
          <w:color w:val="auto"/>
          <w:sz w:val="18"/>
          <w:szCs w:val="18"/>
          <w:highlight w:val="none"/>
        </w:rPr>
        <w:tab/>
      </w:r>
      <w:r>
        <w:rPr>
          <w:rFonts w:hint="eastAsia" w:ascii="宋体" w:hAnsi="宋体" w:eastAsia="宋体" w:cs="宋体"/>
          <w:b w:val="0"/>
          <w:bCs w:val="0"/>
          <w:color w:val="auto"/>
          <w:sz w:val="18"/>
          <w:szCs w:val="18"/>
          <w:highlight w:val="none"/>
        </w:rPr>
        <w:t>在买方与中标人签订合同时，如中标人未在投标文件“响应表”中列出偏离说明，无论即将发生或已发生任何情形，均视为完全符合招标文件要求，并写入合同。若中标人在合同签订前，以上述事项为借口而不履行合同签订手续及执行合同，则视作拒绝与采购人签订合同。</w:t>
      </w:r>
    </w:p>
    <w:p w14:paraId="60EFAC58">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   此表后附拟投标货物的相关资料。如采购需求中有明确要求提供证明材料的，则以采购需求要求的为准；如采购需求中无明确要求证明材料的，则提供投标产品彩页或检测报告或产品使用说明书或厂家公开发布的印刷资料作为技术证明文件，并标记出参数所在位置，未提供上述技术证明文件的视为不响应，不得分(如相关技术证明文件为英文版，请同时提供中文版，不提供不得分），证明材料中请使用框图标记，以便评标时对应评审。如投标人仅提供了技术偏离表而未提供对应的支持材料均视为负偏离；</w:t>
      </w:r>
    </w:p>
    <w:p w14:paraId="0DBC6863">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   投标人提交空白表或未提交均视为对投标文件不响应。</w:t>
      </w:r>
    </w:p>
    <w:p w14:paraId="79BECF8E">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   投标人应对相关产品参数的真实性负责，不得提供虚假材料、虚构产品参数谋取中标。否则必须承担相应法律责任。</w:t>
      </w:r>
    </w:p>
    <w:p w14:paraId="204520B2">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lang w:val="en-US" w:eastAsia="zh-CN"/>
        </w:rPr>
        <w:t>8   招标文件货物技术参数要求涉及“≥或＞”、“≤或＜”及某个区间值范围内的内容，投标响应应填写具体的数值，但技术指标只能以范围作响应的除外。</w:t>
      </w:r>
    </w:p>
    <w:p w14:paraId="389A13EA">
      <w:pPr>
        <w:keepNext w:val="0"/>
        <w:keepLines w:val="0"/>
        <w:pageBreakBefore w:val="0"/>
        <w:widowControl w:val="0"/>
        <w:shd w:val="clear"/>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p>
    <w:p w14:paraId="5A71E56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4FC4E2F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140B7BB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bCs/>
          <w:color w:val="auto"/>
          <w:kern w:val="0"/>
          <w:sz w:val="21"/>
          <w:szCs w:val="21"/>
          <w:highlight w:val="none"/>
        </w:rPr>
        <w:t>日期： 年 月 日</w:t>
      </w:r>
    </w:p>
    <w:p w14:paraId="6650FF1D">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附件11 对招标文件服务要求的响应程度</w:t>
      </w:r>
    </w:p>
    <w:p w14:paraId="7302F201">
      <w:pPr>
        <w:keepNext w:val="0"/>
        <w:keepLines w:val="0"/>
        <w:pageBreakBefore w:val="0"/>
        <w:widowControl w:val="0"/>
        <w:shd w:val="clear"/>
        <w:kinsoku/>
        <w:wordWrap/>
        <w:overflowPunct/>
        <w:topLinePunct w:val="0"/>
        <w:autoSpaceDE w:val="0"/>
        <w:autoSpaceDN w:val="0"/>
        <w:bidi w:val="0"/>
        <w:adjustRightInd w:val="0"/>
        <w:spacing w:line="600" w:lineRule="auto"/>
        <w:jc w:val="center"/>
        <w:textAlignment w:val="auto"/>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承诺函</w:t>
      </w:r>
    </w:p>
    <w:p w14:paraId="6F975304">
      <w:pPr>
        <w:pStyle w:val="4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致：</w:t>
      </w:r>
      <w:r>
        <w:rPr>
          <w:rFonts w:hint="eastAsia" w:ascii="宋体" w:hAnsi="宋体" w:eastAsia="宋体" w:cs="宋体"/>
          <w:b/>
          <w:bCs/>
          <w:color w:val="auto"/>
          <w:sz w:val="21"/>
          <w:szCs w:val="21"/>
          <w:highlight w:val="none"/>
          <w:lang w:val="en-US" w:eastAsia="zh-CN"/>
        </w:rPr>
        <w:t>昆明医科大学第一附属医院</w:t>
      </w:r>
    </w:p>
    <w:p w14:paraId="0402D42D">
      <w:pPr>
        <w:pStyle w:val="485"/>
        <w:keepNext w:val="0"/>
        <w:keepLines w:val="0"/>
        <w:pageBreakBefore w:val="0"/>
        <w:widowControl/>
        <w:kinsoku/>
        <w:wordWrap/>
        <w:overflowPunct/>
        <w:topLinePunct w:val="0"/>
        <w:autoSpaceDE/>
        <w:autoSpaceDN/>
        <w:bidi w:val="0"/>
        <w:adjustRightInd/>
        <w:snapToGrid/>
        <w:spacing w:line="360" w:lineRule="auto"/>
        <w:ind w:left="420" w:hanging="420" w:hanging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项目名称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（项目编号：________）</w:t>
      </w:r>
      <w:r>
        <w:rPr>
          <w:rFonts w:hint="eastAsia" w:ascii="宋体" w:hAnsi="宋体" w:eastAsia="宋体" w:cs="宋体"/>
          <w:color w:val="auto"/>
          <w:sz w:val="21"/>
          <w:szCs w:val="21"/>
          <w:highlight w:val="none"/>
        </w:rPr>
        <w:t>，我方郑重承诺如下：</w:t>
      </w:r>
    </w:p>
    <w:p w14:paraId="2C92FEC5">
      <w:pPr>
        <w:pStyle w:val="485"/>
        <w:keepNext w:val="0"/>
        <w:keepLines w:val="0"/>
        <w:pageBreakBefore w:val="0"/>
        <w:widowControl/>
        <w:kinsoku/>
        <w:wordWrap/>
        <w:overflowPunct/>
        <w:topLinePunct w:val="0"/>
        <w:autoSpaceDE/>
        <w:autoSpaceDN/>
        <w:bidi w:val="0"/>
        <w:adjustRightInd/>
        <w:snapToGrid/>
        <w:spacing w:line="360" w:lineRule="auto"/>
        <w:ind w:left="420" w:hanging="420" w:hanging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如中标，我方承诺</w:t>
      </w:r>
      <w:r>
        <w:rPr>
          <w:rFonts w:hint="eastAsia" w:ascii="宋体" w:hAnsi="宋体" w:eastAsia="宋体" w:cs="宋体"/>
          <w:b w:val="0"/>
          <w:bCs w:val="0"/>
          <w:color w:val="auto"/>
          <w:kern w:val="2"/>
          <w:sz w:val="21"/>
          <w:szCs w:val="21"/>
          <w:highlight w:val="none"/>
          <w:lang w:val="en-US" w:eastAsia="zh-CN" w:bidi="ar-SA"/>
        </w:rPr>
        <w:t>对招标文件第五章第二条采购需求第（九）款第13项、14项目要求的服务要求响应如下【请逐项填写】</w:t>
      </w:r>
      <w:r>
        <w:rPr>
          <w:rFonts w:hint="eastAsia" w:ascii="宋体" w:hAnsi="宋体" w:eastAsia="宋体" w:cs="宋体"/>
          <w:color w:val="auto"/>
          <w:sz w:val="21"/>
          <w:szCs w:val="21"/>
          <w:highlight w:val="none"/>
        </w:rPr>
        <w:t>：</w:t>
      </w:r>
    </w:p>
    <w:tbl>
      <w:tblPr>
        <w:tblStyle w:val="48"/>
        <w:tblW w:w="94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56"/>
        <w:gridCol w:w="3130"/>
        <w:gridCol w:w="2518"/>
        <w:gridCol w:w="1265"/>
        <w:gridCol w:w="1248"/>
      </w:tblGrid>
      <w:tr w14:paraId="6B3F1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3" w:hRule="atLeast"/>
          <w:jc w:val="center"/>
        </w:trPr>
        <w:tc>
          <w:tcPr>
            <w:tcW w:w="1256" w:type="dxa"/>
            <w:vAlign w:val="center"/>
          </w:tcPr>
          <w:p w14:paraId="137B4F81">
            <w:pPr>
              <w:shd w:val="clea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序号</w:t>
            </w:r>
          </w:p>
        </w:tc>
        <w:tc>
          <w:tcPr>
            <w:tcW w:w="3130" w:type="dxa"/>
            <w:vAlign w:val="center"/>
          </w:tcPr>
          <w:p w14:paraId="3FA7A14F">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招标文件</w:t>
            </w:r>
            <w:r>
              <w:rPr>
                <w:rFonts w:hint="eastAsia" w:ascii="宋体" w:hAnsi="宋体" w:eastAsia="宋体" w:cs="宋体"/>
                <w:b/>
                <w:bCs/>
                <w:color w:val="auto"/>
                <w:sz w:val="21"/>
                <w:szCs w:val="21"/>
                <w:highlight w:val="none"/>
              </w:rPr>
              <w:t>要求</w:t>
            </w:r>
          </w:p>
        </w:tc>
        <w:tc>
          <w:tcPr>
            <w:tcW w:w="2518" w:type="dxa"/>
            <w:vAlign w:val="center"/>
          </w:tcPr>
          <w:p w14:paraId="75CC9107">
            <w:pPr>
              <w:shd w:val="clea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投标文件响应</w:t>
            </w:r>
          </w:p>
        </w:tc>
        <w:tc>
          <w:tcPr>
            <w:tcW w:w="1265" w:type="dxa"/>
            <w:vAlign w:val="center"/>
          </w:tcPr>
          <w:p w14:paraId="422BEF4B">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cs="宋体"/>
                <w:b/>
                <w:bCs/>
                <w:color w:val="auto"/>
                <w:sz w:val="21"/>
                <w:szCs w:val="21"/>
                <w:highlight w:val="none"/>
                <w:lang w:val="en-US" w:eastAsia="zh-CN"/>
              </w:rPr>
              <w:t>无</w:t>
            </w:r>
            <w:r>
              <w:rPr>
                <w:rFonts w:hint="eastAsia" w:ascii="宋体" w:hAnsi="宋体" w:eastAsia="宋体" w:cs="宋体"/>
                <w:b/>
                <w:bCs/>
                <w:color w:val="auto"/>
                <w:sz w:val="21"/>
                <w:szCs w:val="21"/>
                <w:highlight w:val="none"/>
              </w:rPr>
              <w:t>偏离</w:t>
            </w:r>
          </w:p>
        </w:tc>
        <w:tc>
          <w:tcPr>
            <w:tcW w:w="1248" w:type="dxa"/>
            <w:vAlign w:val="center"/>
          </w:tcPr>
          <w:p w14:paraId="2084C568">
            <w:pPr>
              <w:shd w:val="clea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偏离描述</w:t>
            </w:r>
          </w:p>
        </w:tc>
      </w:tr>
      <w:tr w14:paraId="7852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3" w:hRule="atLeast"/>
          <w:jc w:val="center"/>
        </w:trPr>
        <w:tc>
          <w:tcPr>
            <w:tcW w:w="1256" w:type="dxa"/>
            <w:vAlign w:val="center"/>
          </w:tcPr>
          <w:p w14:paraId="6AF03332">
            <w:pPr>
              <w:shd w:val="clear"/>
              <w:spacing w:line="400" w:lineRule="exact"/>
              <w:jc w:val="center"/>
              <w:rPr>
                <w:rFonts w:hint="eastAsia" w:ascii="宋体" w:hAnsi="宋体" w:eastAsia="宋体" w:cs="宋体"/>
                <w:color w:val="auto"/>
                <w:sz w:val="21"/>
                <w:szCs w:val="21"/>
                <w:highlight w:val="none"/>
                <w:lang w:eastAsia="zh-CN"/>
              </w:rPr>
            </w:pPr>
          </w:p>
        </w:tc>
        <w:tc>
          <w:tcPr>
            <w:tcW w:w="3130" w:type="dxa"/>
            <w:vAlign w:val="center"/>
          </w:tcPr>
          <w:p w14:paraId="6C6F61E3">
            <w:pPr>
              <w:shd w:val="clear"/>
              <w:spacing w:line="400" w:lineRule="exact"/>
              <w:jc w:val="center"/>
              <w:rPr>
                <w:rFonts w:hint="eastAsia" w:ascii="宋体" w:hAnsi="宋体" w:eastAsia="宋体" w:cs="宋体"/>
                <w:color w:val="auto"/>
                <w:sz w:val="21"/>
                <w:szCs w:val="21"/>
                <w:highlight w:val="none"/>
              </w:rPr>
            </w:pPr>
          </w:p>
        </w:tc>
        <w:tc>
          <w:tcPr>
            <w:tcW w:w="2518" w:type="dxa"/>
            <w:vAlign w:val="center"/>
          </w:tcPr>
          <w:p w14:paraId="781927A4">
            <w:pPr>
              <w:shd w:val="clear"/>
              <w:spacing w:line="400" w:lineRule="exact"/>
              <w:jc w:val="center"/>
              <w:rPr>
                <w:rFonts w:hint="eastAsia" w:ascii="宋体" w:hAnsi="宋体" w:eastAsia="宋体" w:cs="宋体"/>
                <w:color w:val="auto"/>
                <w:sz w:val="21"/>
                <w:szCs w:val="21"/>
                <w:highlight w:val="none"/>
              </w:rPr>
            </w:pPr>
          </w:p>
        </w:tc>
        <w:tc>
          <w:tcPr>
            <w:tcW w:w="1265" w:type="dxa"/>
            <w:vAlign w:val="center"/>
          </w:tcPr>
          <w:p w14:paraId="478474B1">
            <w:pPr>
              <w:shd w:val="clear"/>
              <w:spacing w:line="400" w:lineRule="exact"/>
              <w:jc w:val="center"/>
              <w:rPr>
                <w:rFonts w:hint="eastAsia" w:ascii="宋体" w:hAnsi="宋体" w:eastAsia="宋体" w:cs="宋体"/>
                <w:color w:val="auto"/>
                <w:sz w:val="21"/>
                <w:szCs w:val="21"/>
                <w:highlight w:val="none"/>
              </w:rPr>
            </w:pPr>
          </w:p>
        </w:tc>
        <w:tc>
          <w:tcPr>
            <w:tcW w:w="1248" w:type="dxa"/>
            <w:vAlign w:val="center"/>
          </w:tcPr>
          <w:p w14:paraId="5FBE5598">
            <w:pPr>
              <w:shd w:val="clear"/>
              <w:spacing w:line="400" w:lineRule="exact"/>
              <w:jc w:val="center"/>
              <w:rPr>
                <w:rFonts w:hint="eastAsia" w:ascii="宋体" w:hAnsi="宋体" w:eastAsia="宋体" w:cs="宋体"/>
                <w:color w:val="auto"/>
                <w:sz w:val="21"/>
                <w:szCs w:val="21"/>
                <w:highlight w:val="none"/>
              </w:rPr>
            </w:pPr>
          </w:p>
        </w:tc>
      </w:tr>
    </w:tbl>
    <w:p w14:paraId="15E0AF31">
      <w:pPr>
        <w:pStyle w:val="4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en-US" w:eastAsia="zh-CN"/>
        </w:rPr>
      </w:pPr>
    </w:p>
    <w:p w14:paraId="1C1B0F68">
      <w:pPr>
        <w:pStyle w:val="4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10C08AD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475DBB2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7574A16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6AF016E0">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69EEF52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bCs/>
          <w:color w:val="auto"/>
          <w:kern w:val="0"/>
          <w:sz w:val="21"/>
          <w:szCs w:val="21"/>
          <w:highlight w:val="none"/>
        </w:rPr>
        <w:t>日期： 年 月 日</w:t>
      </w:r>
    </w:p>
    <w:p w14:paraId="280F55BD">
      <w:pPr>
        <w:pStyle w:val="485"/>
        <w:ind w:firstLine="480"/>
        <w:rPr>
          <w:rFonts w:ascii="宋体" w:hAnsi="宋体" w:eastAsia="宋体" w:cs="宋体"/>
          <w:color w:val="auto"/>
          <w:highlight w:val="none"/>
        </w:rPr>
      </w:pPr>
    </w:p>
    <w:p w14:paraId="3BC769B0">
      <w:pPr>
        <w:pStyle w:val="5"/>
        <w:rPr>
          <w:rFonts w:hint="eastAsia" w:ascii="宋体" w:hAnsi="宋体" w:eastAsia="宋体" w:cs="宋体"/>
          <w:b w:val="0"/>
          <w:bCs w:val="0"/>
          <w:color w:val="auto"/>
          <w:sz w:val="18"/>
          <w:szCs w:val="18"/>
          <w:highlight w:val="none"/>
          <w:lang w:val="en-US" w:eastAsia="zh-CN"/>
        </w:rPr>
      </w:pPr>
    </w:p>
    <w:p w14:paraId="289F0F23">
      <w:pPr>
        <w:shd w:val="clear"/>
        <w:spacing w:line="360" w:lineRule="auto"/>
        <w:rPr>
          <w:rFonts w:hint="eastAsia" w:ascii="宋体" w:hAnsi="宋体" w:eastAsia="宋体" w:cs="宋体"/>
          <w:color w:val="auto"/>
          <w:sz w:val="28"/>
          <w:szCs w:val="28"/>
          <w:highlight w:val="none"/>
        </w:rPr>
      </w:pPr>
    </w:p>
    <w:bookmarkEnd w:id="358"/>
    <w:p w14:paraId="46A04AA8">
      <w:pPr>
        <w:rPr>
          <w:rFonts w:hint="eastAsia" w:ascii="宋体" w:hAnsi="宋体" w:eastAsia="宋体" w:cs="宋体"/>
          <w:color w:val="auto"/>
          <w:sz w:val="28"/>
          <w:szCs w:val="28"/>
          <w:highlight w:val="none"/>
          <w:lang w:val="en-US" w:eastAsia="zh-CN"/>
        </w:rPr>
      </w:pPr>
      <w:bookmarkStart w:id="408" w:name="_Toc416103827"/>
      <w:r>
        <w:rPr>
          <w:rFonts w:hint="eastAsia" w:ascii="宋体" w:hAnsi="宋体" w:eastAsia="宋体" w:cs="宋体"/>
          <w:color w:val="auto"/>
          <w:sz w:val="28"/>
          <w:szCs w:val="28"/>
          <w:highlight w:val="none"/>
          <w:lang w:val="en-US" w:eastAsia="zh-CN"/>
        </w:rPr>
        <w:br w:type="page"/>
      </w:r>
    </w:p>
    <w:p w14:paraId="13B56F35">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附件12技术部分</w:t>
      </w:r>
    </w:p>
    <w:p w14:paraId="4997B44A">
      <w:pPr>
        <w:keepNext w:val="0"/>
        <w:keepLines w:val="0"/>
        <w:pageBreakBefore w:val="0"/>
        <w:widowControl w:val="0"/>
        <w:shd w:val="clea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1、投标文件中提供项目需求的理解及总体方案设计，应包含①对项目背景和需求的理解、②建设内容</w:t>
      </w:r>
      <w:r>
        <w:rPr>
          <w:rFonts w:hint="eastAsia" w:ascii="宋体" w:hAnsi="宋体" w:cs="宋体"/>
          <w:color w:val="auto"/>
          <w:sz w:val="21"/>
          <w:szCs w:val="21"/>
          <w:highlight w:val="none"/>
          <w:lang w:val="en-US" w:eastAsia="zh-CN"/>
        </w:rPr>
        <w:t>及其</w:t>
      </w:r>
      <w:r>
        <w:rPr>
          <w:rFonts w:hint="eastAsia" w:ascii="宋体" w:hAnsi="宋体" w:eastAsia="宋体" w:cs="宋体"/>
          <w:color w:val="auto"/>
          <w:sz w:val="21"/>
          <w:szCs w:val="21"/>
          <w:highlight w:val="none"/>
          <w:lang w:val="en-US" w:eastAsia="zh-CN"/>
        </w:rPr>
        <w:t>重难点分析</w:t>
      </w:r>
      <w:r>
        <w:rPr>
          <w:rFonts w:hint="eastAsia" w:ascii="宋体" w:hAnsi="宋体" w:cs="宋体"/>
          <w:color w:val="auto"/>
          <w:sz w:val="21"/>
          <w:szCs w:val="21"/>
          <w:highlight w:val="none"/>
          <w:lang w:val="en-US" w:eastAsia="zh-CN"/>
        </w:rPr>
        <w:t>和</w:t>
      </w:r>
      <w:r>
        <w:rPr>
          <w:rFonts w:hint="eastAsia" w:ascii="宋体" w:hAnsi="宋体" w:eastAsia="宋体" w:cs="宋体"/>
          <w:color w:val="auto"/>
          <w:sz w:val="21"/>
          <w:szCs w:val="21"/>
          <w:highlight w:val="none"/>
          <w:lang w:val="en-US" w:eastAsia="zh-CN"/>
        </w:rPr>
        <w:t>解决措施</w:t>
      </w:r>
      <w:r>
        <w:rPr>
          <w:rFonts w:hint="eastAsia" w:ascii="宋体" w:hAnsi="宋体" w:cs="宋体"/>
          <w:color w:val="auto"/>
          <w:sz w:val="21"/>
          <w:szCs w:val="21"/>
          <w:highlight w:val="none"/>
          <w:lang w:val="en-US" w:eastAsia="zh-CN"/>
        </w:rPr>
        <w:t>（建设内容应涵盖第五章采购需求（八）建设内容中的所有建设内容）</w:t>
      </w:r>
      <w:r>
        <w:rPr>
          <w:rFonts w:hint="eastAsia" w:ascii="宋体" w:hAnsi="宋体" w:eastAsia="宋体" w:cs="宋体"/>
          <w:color w:val="auto"/>
          <w:sz w:val="21"/>
          <w:szCs w:val="21"/>
          <w:highlight w:val="none"/>
          <w:lang w:val="en-US" w:eastAsia="zh-CN"/>
        </w:rPr>
        <w:t>、③总体框架设计、④功能设计、⑤对国产化软硬件环境的兼容与适配能力。</w:t>
      </w:r>
    </w:p>
    <w:p w14:paraId="4B15E177">
      <w:pPr>
        <w:keepNext w:val="0"/>
        <w:keepLines w:val="0"/>
        <w:pageBreakBefore w:val="0"/>
        <w:widowControl w:val="0"/>
        <w:shd w:val="clea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2、投标文件中提供项目实施方案，应包含①项目实施计划、②培训方案、③专项提升升级方案。</w:t>
      </w:r>
    </w:p>
    <w:p w14:paraId="29BC9382">
      <w:pPr>
        <w:keepNext w:val="0"/>
        <w:keepLines w:val="0"/>
        <w:pageBreakBefore w:val="0"/>
        <w:widowControl w:val="0"/>
        <w:shd w:val="clea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3、投标人需提供质量保证及承诺方案，应包含①研发及售后服务能力、②针对本项目下预防性、日常性、应急性的措施保障、③售后服务方案。所有内容应根据项目实际情况编制。</w:t>
      </w:r>
    </w:p>
    <w:p w14:paraId="1702561A">
      <w:pPr>
        <w:keepNext w:val="0"/>
        <w:keepLines w:val="0"/>
        <w:pageBreakBefore w:val="0"/>
        <w:widowControl w:val="0"/>
        <w:shd w:val="clear"/>
        <w:kinsoku/>
        <w:wordWrap/>
        <w:overflowPunct/>
        <w:topLinePunct w:val="0"/>
        <w:autoSpaceDE/>
        <w:autoSpaceDN/>
        <w:bidi w:val="0"/>
        <w:adjustRightInd w:val="0"/>
        <w:snapToGrid w:val="0"/>
        <w:spacing w:line="52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项目</w:t>
      </w:r>
      <w:r>
        <w:rPr>
          <w:rFonts w:hint="eastAsia" w:ascii="宋体" w:hAnsi="宋体" w:cs="宋体"/>
          <w:b w:val="0"/>
          <w:bCs w:val="0"/>
          <w:color w:val="auto"/>
          <w:sz w:val="21"/>
          <w:szCs w:val="21"/>
          <w:highlight w:val="none"/>
          <w:lang w:val="en-US" w:eastAsia="zh-CN"/>
        </w:rPr>
        <w:t>团队</w:t>
      </w:r>
      <w:r>
        <w:rPr>
          <w:rFonts w:hint="default" w:ascii="宋体" w:hAnsi="宋体" w:eastAsia="宋体" w:cs="宋体"/>
          <w:b w:val="0"/>
          <w:bCs w:val="0"/>
          <w:color w:val="auto"/>
          <w:sz w:val="21"/>
          <w:szCs w:val="21"/>
          <w:highlight w:val="none"/>
          <w:lang w:val="en-US" w:eastAsia="zh-CN"/>
        </w:rPr>
        <w:t>人员</w:t>
      </w:r>
      <w:r>
        <w:rPr>
          <w:rFonts w:hint="eastAsia" w:ascii="宋体" w:hAnsi="宋体" w:cs="宋体"/>
          <w:b w:val="0"/>
          <w:bCs w:val="0"/>
          <w:color w:val="auto"/>
          <w:sz w:val="21"/>
          <w:szCs w:val="21"/>
          <w:highlight w:val="none"/>
          <w:lang w:val="en-US" w:eastAsia="zh-CN"/>
        </w:rPr>
        <w:t>保障方案，应包含</w:t>
      </w:r>
      <w:r>
        <w:rPr>
          <w:rFonts w:hint="eastAsia" w:ascii="宋体" w:hAnsi="宋体" w:eastAsia="宋体" w:cs="宋体"/>
          <w:b w:val="0"/>
          <w:bCs w:val="0"/>
          <w:color w:val="auto"/>
          <w:sz w:val="21"/>
          <w:szCs w:val="21"/>
          <w:highlight w:val="none"/>
          <w:lang w:val="en-US" w:eastAsia="zh-CN"/>
        </w:rPr>
        <w:t>①人员结构与‌核心成员专业性（如项目经理、系统工程师、项目实施运维服务人员、项目管理与上线支持人员等）②‌人员稳定性保障措施③团队岗位设置及专业搭配</w:t>
      </w:r>
      <w:r>
        <w:rPr>
          <w:rFonts w:hint="eastAsia" w:ascii="宋体" w:hAnsi="宋体" w:cs="宋体"/>
          <w:b w:val="0"/>
          <w:bCs w:val="0"/>
          <w:color w:val="auto"/>
          <w:sz w:val="21"/>
          <w:szCs w:val="21"/>
          <w:highlight w:val="none"/>
          <w:lang w:val="en-US" w:eastAsia="zh-CN"/>
        </w:rPr>
        <w:t>。</w:t>
      </w:r>
    </w:p>
    <w:p w14:paraId="74D956E9">
      <w:pPr>
        <w:keepNext w:val="0"/>
        <w:keepLines w:val="0"/>
        <w:pageBreakBefore w:val="0"/>
        <w:widowControl w:val="0"/>
        <w:shd w:val="clear"/>
        <w:kinsoku/>
        <w:wordWrap/>
        <w:overflowPunct/>
        <w:topLinePunct w:val="0"/>
        <w:autoSpaceDE/>
        <w:autoSpaceDN/>
        <w:bidi w:val="0"/>
        <w:adjustRightInd w:val="0"/>
        <w:snapToGrid w:val="0"/>
        <w:spacing w:line="520" w:lineRule="exact"/>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5、招标文件中标记“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”的响应</w:t>
      </w:r>
    </w:p>
    <w:tbl>
      <w:tblPr>
        <w:tblStyle w:val="48"/>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84"/>
        <w:gridCol w:w="2659"/>
        <w:gridCol w:w="2373"/>
        <w:gridCol w:w="1470"/>
        <w:gridCol w:w="1294"/>
      </w:tblGrid>
      <w:tr w14:paraId="51A84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3" w:hRule="atLeast"/>
          <w:jc w:val="center"/>
        </w:trPr>
        <w:tc>
          <w:tcPr>
            <w:tcW w:w="2184" w:type="dxa"/>
            <w:vAlign w:val="center"/>
          </w:tcPr>
          <w:p w14:paraId="64862F66">
            <w:pPr>
              <w:shd w:val="clear"/>
              <w:spacing w:line="40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招标文件</w:t>
            </w:r>
            <w:r>
              <w:rPr>
                <w:rFonts w:hint="eastAsia" w:ascii="宋体" w:hAnsi="宋体" w:eastAsia="宋体" w:cs="宋体"/>
                <w:b/>
                <w:bCs/>
                <w:color w:val="auto"/>
                <w:sz w:val="21"/>
                <w:szCs w:val="21"/>
                <w:highlight w:val="none"/>
                <w:lang w:val="en-US" w:eastAsia="zh-CN"/>
              </w:rPr>
              <w:t>章节</w:t>
            </w:r>
          </w:p>
        </w:tc>
        <w:tc>
          <w:tcPr>
            <w:tcW w:w="2659" w:type="dxa"/>
            <w:vAlign w:val="center"/>
          </w:tcPr>
          <w:p w14:paraId="3A504FC0">
            <w:pPr>
              <w:shd w:val="clear"/>
              <w:spacing w:line="400" w:lineRule="exact"/>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招标文件</w:t>
            </w:r>
            <w:r>
              <w:rPr>
                <w:rFonts w:hint="eastAsia" w:ascii="宋体" w:hAnsi="宋体" w:eastAsia="宋体" w:cs="宋体"/>
                <w:b/>
                <w:bCs/>
                <w:color w:val="auto"/>
                <w:sz w:val="21"/>
                <w:szCs w:val="21"/>
                <w:highlight w:val="none"/>
              </w:rPr>
              <w:t>要求</w:t>
            </w:r>
          </w:p>
        </w:tc>
        <w:tc>
          <w:tcPr>
            <w:tcW w:w="2373" w:type="dxa"/>
            <w:vAlign w:val="center"/>
          </w:tcPr>
          <w:p w14:paraId="5C509F7D">
            <w:pPr>
              <w:shd w:val="clear"/>
              <w:spacing w:line="40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投标人承诺是否响应</w:t>
            </w:r>
          </w:p>
        </w:tc>
        <w:tc>
          <w:tcPr>
            <w:tcW w:w="1470" w:type="dxa"/>
            <w:vAlign w:val="center"/>
          </w:tcPr>
          <w:p w14:paraId="17A0953F">
            <w:pPr>
              <w:shd w:val="clear"/>
              <w:spacing w:line="400" w:lineRule="exact"/>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是否</w:t>
            </w:r>
            <w:r>
              <w:rPr>
                <w:rFonts w:hint="eastAsia" w:ascii="宋体" w:hAnsi="宋体" w:eastAsia="宋体" w:cs="宋体"/>
                <w:b/>
                <w:bCs/>
                <w:color w:val="auto"/>
                <w:sz w:val="21"/>
                <w:szCs w:val="21"/>
                <w:highlight w:val="none"/>
              </w:rPr>
              <w:t>有偏离</w:t>
            </w:r>
          </w:p>
        </w:tc>
        <w:tc>
          <w:tcPr>
            <w:tcW w:w="1294" w:type="dxa"/>
            <w:vAlign w:val="center"/>
          </w:tcPr>
          <w:p w14:paraId="31727961">
            <w:pPr>
              <w:shd w:val="clear"/>
              <w:spacing w:line="400" w:lineRule="exact"/>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偏离描述</w:t>
            </w:r>
          </w:p>
        </w:tc>
      </w:tr>
      <w:tr w14:paraId="7664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3" w:hRule="atLeast"/>
          <w:jc w:val="center"/>
        </w:trPr>
        <w:tc>
          <w:tcPr>
            <w:tcW w:w="2184" w:type="dxa"/>
            <w:vAlign w:val="center"/>
          </w:tcPr>
          <w:p w14:paraId="52E1039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投标有效期</w:t>
            </w:r>
            <w:r>
              <w:rPr>
                <w:rFonts w:hint="eastAsia" w:ascii="宋体" w:hAnsi="宋体" w:eastAsia="宋体" w:cs="宋体"/>
                <w:color w:val="auto"/>
                <w:sz w:val="21"/>
                <w:szCs w:val="21"/>
                <w:highlight w:val="none"/>
              </w:rPr>
              <w:t>■</w:t>
            </w:r>
          </w:p>
        </w:tc>
        <w:tc>
          <w:tcPr>
            <w:tcW w:w="2659" w:type="dxa"/>
            <w:vAlign w:val="center"/>
          </w:tcPr>
          <w:p w14:paraId="795ECDB9">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36D16DE7">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04AC9FD1">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33F06758">
            <w:pPr>
              <w:shd w:val="clear"/>
              <w:spacing w:line="400" w:lineRule="exact"/>
              <w:jc w:val="both"/>
              <w:rPr>
                <w:rFonts w:hint="eastAsia" w:ascii="宋体" w:hAnsi="宋体" w:eastAsia="宋体" w:cs="宋体"/>
                <w:color w:val="auto"/>
                <w:sz w:val="21"/>
                <w:szCs w:val="21"/>
                <w:highlight w:val="none"/>
              </w:rPr>
            </w:pPr>
          </w:p>
        </w:tc>
      </w:tr>
      <w:tr w14:paraId="2A3C9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3" w:hRule="atLeast"/>
          <w:jc w:val="center"/>
        </w:trPr>
        <w:tc>
          <w:tcPr>
            <w:tcW w:w="2184" w:type="dxa"/>
            <w:vAlign w:val="center"/>
          </w:tcPr>
          <w:p w14:paraId="2BD7C0A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投标保证金</w:t>
            </w:r>
            <w:r>
              <w:rPr>
                <w:rFonts w:hint="eastAsia" w:ascii="宋体" w:hAnsi="宋体" w:eastAsia="宋体" w:cs="宋体"/>
                <w:color w:val="auto"/>
                <w:sz w:val="21"/>
                <w:szCs w:val="21"/>
                <w:highlight w:val="none"/>
              </w:rPr>
              <w:t>■</w:t>
            </w:r>
          </w:p>
        </w:tc>
        <w:tc>
          <w:tcPr>
            <w:tcW w:w="2659" w:type="dxa"/>
            <w:vAlign w:val="center"/>
          </w:tcPr>
          <w:p w14:paraId="5F8900E4">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0DAB3CF5">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4CA5D629">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40E65FD6">
            <w:pPr>
              <w:shd w:val="clear"/>
              <w:spacing w:line="400" w:lineRule="exact"/>
              <w:jc w:val="both"/>
              <w:rPr>
                <w:rFonts w:hint="eastAsia" w:ascii="宋体" w:hAnsi="宋体" w:eastAsia="宋体" w:cs="宋体"/>
                <w:color w:val="auto"/>
                <w:sz w:val="21"/>
                <w:szCs w:val="21"/>
                <w:highlight w:val="none"/>
              </w:rPr>
            </w:pPr>
          </w:p>
        </w:tc>
      </w:tr>
      <w:tr w14:paraId="78CAC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3D94CC4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电子签名■</w:t>
            </w:r>
          </w:p>
        </w:tc>
        <w:tc>
          <w:tcPr>
            <w:tcW w:w="2659" w:type="dxa"/>
            <w:vAlign w:val="center"/>
          </w:tcPr>
          <w:p w14:paraId="7731BE2C">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09ADC91B">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46C43F75">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7B73FC71">
            <w:pPr>
              <w:shd w:val="clear"/>
              <w:spacing w:line="400" w:lineRule="exact"/>
              <w:jc w:val="both"/>
              <w:rPr>
                <w:rFonts w:hint="eastAsia" w:ascii="宋体" w:hAnsi="宋体" w:eastAsia="宋体" w:cs="宋体"/>
                <w:color w:val="auto"/>
                <w:sz w:val="21"/>
                <w:szCs w:val="21"/>
                <w:highlight w:val="none"/>
              </w:rPr>
            </w:pPr>
          </w:p>
        </w:tc>
      </w:tr>
      <w:tr w14:paraId="5A85F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6FCF79A1">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低于成本价不正当竞争预防措施■</w:t>
            </w:r>
          </w:p>
        </w:tc>
        <w:tc>
          <w:tcPr>
            <w:tcW w:w="2659" w:type="dxa"/>
            <w:vAlign w:val="center"/>
          </w:tcPr>
          <w:p w14:paraId="5BD5DF40">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3880F4E7">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110C7D4B">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0BD0D117">
            <w:pPr>
              <w:shd w:val="clear"/>
              <w:spacing w:line="400" w:lineRule="exact"/>
              <w:jc w:val="both"/>
              <w:rPr>
                <w:rFonts w:hint="eastAsia" w:ascii="宋体" w:hAnsi="宋体" w:eastAsia="宋体" w:cs="宋体"/>
                <w:color w:val="auto"/>
                <w:sz w:val="21"/>
                <w:szCs w:val="21"/>
                <w:highlight w:val="none"/>
              </w:rPr>
            </w:pPr>
          </w:p>
        </w:tc>
      </w:tr>
      <w:tr w14:paraId="55016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4076C3A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质保期</w:t>
            </w:r>
            <w:r>
              <w:rPr>
                <w:rFonts w:hint="eastAsia" w:ascii="宋体" w:hAnsi="宋体" w:eastAsia="宋体" w:cs="宋体"/>
                <w:b w:val="0"/>
                <w:bCs w:val="0"/>
                <w:color w:val="auto"/>
                <w:sz w:val="21"/>
                <w:szCs w:val="21"/>
                <w:highlight w:val="none"/>
                <w:lang w:val="en-US"/>
              </w:rPr>
              <w:t>■</w:t>
            </w:r>
          </w:p>
        </w:tc>
        <w:tc>
          <w:tcPr>
            <w:tcW w:w="2659" w:type="dxa"/>
            <w:vAlign w:val="center"/>
          </w:tcPr>
          <w:p w14:paraId="391EC4E6">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29870DD7">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09269AE8">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532473FD">
            <w:pPr>
              <w:shd w:val="clear"/>
              <w:spacing w:line="400" w:lineRule="exact"/>
              <w:jc w:val="both"/>
              <w:rPr>
                <w:rFonts w:hint="eastAsia" w:ascii="宋体" w:hAnsi="宋体" w:eastAsia="宋体" w:cs="宋体"/>
                <w:color w:val="auto"/>
                <w:sz w:val="21"/>
                <w:szCs w:val="21"/>
                <w:highlight w:val="none"/>
              </w:rPr>
            </w:pPr>
          </w:p>
        </w:tc>
      </w:tr>
      <w:tr w14:paraId="476F6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066D44F0">
            <w:pPr>
              <w:shd w:val="clear"/>
              <w:spacing w:line="4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val="en-US"/>
              </w:rPr>
              <w:t>■</w:t>
            </w:r>
          </w:p>
        </w:tc>
        <w:tc>
          <w:tcPr>
            <w:tcW w:w="2659" w:type="dxa"/>
            <w:vAlign w:val="center"/>
          </w:tcPr>
          <w:p w14:paraId="17D7DA49">
            <w:pPr>
              <w:shd w:val="clear"/>
              <w:spacing w:line="400" w:lineRule="exact"/>
              <w:jc w:val="both"/>
              <w:rPr>
                <w:rFonts w:hint="eastAsia" w:ascii="宋体" w:hAnsi="宋体" w:eastAsia="宋体" w:cs="宋体"/>
                <w:color w:val="auto"/>
                <w:sz w:val="21"/>
                <w:szCs w:val="21"/>
                <w:highlight w:val="none"/>
              </w:rPr>
            </w:pPr>
          </w:p>
        </w:tc>
        <w:tc>
          <w:tcPr>
            <w:tcW w:w="2373" w:type="dxa"/>
            <w:vAlign w:val="center"/>
          </w:tcPr>
          <w:p w14:paraId="28496413">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4A7FF022">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6EF3567B">
            <w:pPr>
              <w:shd w:val="clear"/>
              <w:spacing w:line="400" w:lineRule="exact"/>
              <w:jc w:val="both"/>
              <w:rPr>
                <w:rFonts w:hint="eastAsia" w:ascii="宋体" w:hAnsi="宋体" w:eastAsia="宋体" w:cs="宋体"/>
                <w:color w:val="auto"/>
                <w:sz w:val="21"/>
                <w:szCs w:val="21"/>
                <w:highlight w:val="none"/>
              </w:rPr>
            </w:pPr>
          </w:p>
        </w:tc>
      </w:tr>
      <w:tr w14:paraId="19819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4AC5399F">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【商务要求】售后及运维服务要求</w:t>
            </w:r>
            <w:r>
              <w:rPr>
                <w:rFonts w:hint="eastAsia" w:ascii="宋体" w:hAnsi="宋体" w:eastAsia="宋体" w:cs="宋体"/>
                <w:color w:val="auto"/>
                <w:sz w:val="21"/>
                <w:szCs w:val="21"/>
                <w:highlight w:val="none"/>
              </w:rPr>
              <w:t>■</w:t>
            </w:r>
          </w:p>
          <w:p w14:paraId="2238F60B">
            <w:pPr>
              <w:shd w:val="clear"/>
              <w:spacing w:line="400" w:lineRule="exact"/>
              <w:jc w:val="both"/>
              <w:rPr>
                <w:rFonts w:hint="eastAsia" w:ascii="宋体" w:hAnsi="宋体" w:eastAsia="宋体" w:cs="宋体"/>
                <w:color w:val="auto"/>
                <w:sz w:val="21"/>
                <w:szCs w:val="21"/>
                <w:highlight w:val="none"/>
                <w:lang w:val="en-US" w:eastAsia="zh-CN"/>
              </w:rPr>
            </w:pPr>
          </w:p>
        </w:tc>
        <w:tc>
          <w:tcPr>
            <w:tcW w:w="2659" w:type="dxa"/>
            <w:vAlign w:val="center"/>
          </w:tcPr>
          <w:p w14:paraId="2D013D16">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投标人提供符合</w:t>
            </w:r>
            <w:r>
              <w:rPr>
                <w:rFonts w:hint="eastAsia" w:ascii="宋体" w:hAnsi="宋体" w:cs="宋体"/>
                <w:b w:val="0"/>
                <w:bCs w:val="0"/>
                <w:color w:val="auto"/>
                <w:sz w:val="21"/>
                <w:szCs w:val="21"/>
                <w:highlight w:val="none"/>
                <w:lang w:val="en-US" w:eastAsia="zh-CN"/>
              </w:rPr>
              <w:t>招标文件要求</w:t>
            </w:r>
            <w:r>
              <w:rPr>
                <w:rFonts w:hint="eastAsia" w:ascii="宋体" w:hAnsi="宋体" w:eastAsia="宋体" w:cs="宋体"/>
                <w:b w:val="0"/>
                <w:bCs w:val="0"/>
                <w:color w:val="auto"/>
                <w:sz w:val="21"/>
                <w:szCs w:val="21"/>
                <w:highlight w:val="none"/>
                <w:lang w:val="en-US" w:eastAsia="zh-CN"/>
              </w:rPr>
              <w:t>的承诺书</w:t>
            </w:r>
          </w:p>
        </w:tc>
        <w:tc>
          <w:tcPr>
            <w:tcW w:w="2373" w:type="dxa"/>
            <w:vAlign w:val="center"/>
          </w:tcPr>
          <w:p w14:paraId="670F78C1">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5E16CF8D">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5F473032">
            <w:pPr>
              <w:shd w:val="clear"/>
              <w:spacing w:line="400" w:lineRule="exact"/>
              <w:jc w:val="both"/>
              <w:rPr>
                <w:rFonts w:hint="eastAsia" w:ascii="宋体" w:hAnsi="宋体" w:eastAsia="宋体" w:cs="宋体"/>
                <w:color w:val="auto"/>
                <w:sz w:val="21"/>
                <w:szCs w:val="21"/>
                <w:highlight w:val="none"/>
              </w:rPr>
            </w:pPr>
          </w:p>
        </w:tc>
      </w:tr>
      <w:tr w14:paraId="5DD89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2F7EB1EA">
            <w:pPr>
              <w:shd w:val="clear"/>
              <w:spacing w:line="4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【商务要求】网络信息与数据安全要求</w:t>
            </w:r>
            <w:r>
              <w:rPr>
                <w:rFonts w:hint="eastAsia" w:ascii="宋体" w:hAnsi="宋体" w:eastAsia="宋体" w:cs="宋体"/>
                <w:color w:val="auto"/>
                <w:sz w:val="21"/>
                <w:szCs w:val="21"/>
                <w:highlight w:val="none"/>
              </w:rPr>
              <w:t>■</w:t>
            </w:r>
          </w:p>
        </w:tc>
        <w:tc>
          <w:tcPr>
            <w:tcW w:w="2659" w:type="dxa"/>
            <w:vAlign w:val="center"/>
          </w:tcPr>
          <w:p w14:paraId="76B3BE22">
            <w:pPr>
              <w:shd w:val="clear"/>
              <w:spacing w:line="4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投标人提供符合</w:t>
            </w:r>
            <w:r>
              <w:rPr>
                <w:rFonts w:hint="eastAsia" w:ascii="宋体" w:hAnsi="宋体" w:cs="宋体"/>
                <w:b w:val="0"/>
                <w:bCs w:val="0"/>
                <w:color w:val="auto"/>
                <w:sz w:val="21"/>
                <w:szCs w:val="21"/>
                <w:highlight w:val="none"/>
                <w:lang w:val="en-US" w:eastAsia="zh-CN"/>
              </w:rPr>
              <w:t>招标文件要求</w:t>
            </w:r>
            <w:r>
              <w:rPr>
                <w:rFonts w:hint="eastAsia" w:ascii="宋体" w:hAnsi="宋体" w:eastAsia="宋体" w:cs="宋体"/>
                <w:b w:val="0"/>
                <w:bCs w:val="0"/>
                <w:color w:val="auto"/>
                <w:sz w:val="21"/>
                <w:szCs w:val="21"/>
                <w:highlight w:val="none"/>
                <w:lang w:val="en-US" w:eastAsia="zh-CN"/>
              </w:rPr>
              <w:t>的承诺书</w:t>
            </w:r>
          </w:p>
        </w:tc>
        <w:tc>
          <w:tcPr>
            <w:tcW w:w="2373" w:type="dxa"/>
            <w:vAlign w:val="center"/>
          </w:tcPr>
          <w:p w14:paraId="3EC3EEAD">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5445EF49">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51EF05A8">
            <w:pPr>
              <w:shd w:val="clear"/>
              <w:spacing w:line="400" w:lineRule="exact"/>
              <w:jc w:val="both"/>
              <w:rPr>
                <w:rFonts w:hint="eastAsia" w:ascii="宋体" w:hAnsi="宋体" w:eastAsia="宋体" w:cs="宋体"/>
                <w:color w:val="auto"/>
                <w:sz w:val="21"/>
                <w:szCs w:val="21"/>
                <w:highlight w:val="none"/>
              </w:rPr>
            </w:pPr>
          </w:p>
        </w:tc>
      </w:tr>
      <w:tr w14:paraId="0E5E1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753858E9">
            <w:pPr>
              <w:shd w:val="clear"/>
              <w:spacing w:line="4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开标一览表</w:t>
            </w:r>
            <w:r>
              <w:rPr>
                <w:rFonts w:hint="eastAsia" w:ascii="宋体" w:hAnsi="宋体" w:eastAsia="宋体" w:cs="宋体"/>
                <w:color w:val="auto"/>
                <w:sz w:val="21"/>
                <w:szCs w:val="21"/>
                <w:highlight w:val="none"/>
              </w:rPr>
              <w:t>■</w:t>
            </w:r>
          </w:p>
        </w:tc>
        <w:tc>
          <w:tcPr>
            <w:tcW w:w="2659" w:type="dxa"/>
            <w:vAlign w:val="center"/>
          </w:tcPr>
          <w:p w14:paraId="4651DA7A">
            <w:pPr>
              <w:shd w:val="clear"/>
              <w:spacing w:line="400" w:lineRule="exact"/>
              <w:jc w:val="both"/>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上传在正文中，报价金额与分项报价表一致</w:t>
            </w:r>
          </w:p>
        </w:tc>
        <w:tc>
          <w:tcPr>
            <w:tcW w:w="2373" w:type="dxa"/>
            <w:vAlign w:val="center"/>
          </w:tcPr>
          <w:p w14:paraId="03A7FB72">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3CE7D1FF">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58C3BE85">
            <w:pPr>
              <w:shd w:val="clear"/>
              <w:spacing w:line="400" w:lineRule="exact"/>
              <w:jc w:val="both"/>
              <w:rPr>
                <w:rFonts w:hint="eastAsia" w:ascii="宋体" w:hAnsi="宋体" w:eastAsia="宋体" w:cs="宋体"/>
                <w:color w:val="auto"/>
                <w:sz w:val="21"/>
                <w:szCs w:val="21"/>
                <w:highlight w:val="none"/>
              </w:rPr>
            </w:pPr>
          </w:p>
        </w:tc>
      </w:tr>
      <w:tr w14:paraId="3E47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2184" w:type="dxa"/>
            <w:vAlign w:val="center"/>
          </w:tcPr>
          <w:p w14:paraId="7125F760">
            <w:pPr>
              <w:shd w:val="clear"/>
              <w:spacing w:line="4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分项报价表</w:t>
            </w:r>
            <w:r>
              <w:rPr>
                <w:rFonts w:hint="eastAsia" w:ascii="宋体" w:hAnsi="宋体" w:eastAsia="宋体" w:cs="宋体"/>
                <w:color w:val="auto"/>
                <w:sz w:val="21"/>
                <w:szCs w:val="21"/>
                <w:highlight w:val="none"/>
              </w:rPr>
              <w:t>■</w:t>
            </w:r>
          </w:p>
        </w:tc>
        <w:tc>
          <w:tcPr>
            <w:tcW w:w="2659" w:type="dxa"/>
            <w:vAlign w:val="center"/>
          </w:tcPr>
          <w:p w14:paraId="28E9D54B">
            <w:pPr>
              <w:shd w:val="clear"/>
              <w:spacing w:line="400" w:lineRule="exact"/>
              <w:jc w:val="both"/>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上传在正文中，总报价金额与开标一览表一致</w:t>
            </w:r>
          </w:p>
        </w:tc>
        <w:tc>
          <w:tcPr>
            <w:tcW w:w="2373" w:type="dxa"/>
            <w:vAlign w:val="center"/>
          </w:tcPr>
          <w:p w14:paraId="0B8DAF89">
            <w:pPr>
              <w:shd w:val="clear"/>
              <w:spacing w:line="400" w:lineRule="exact"/>
              <w:jc w:val="both"/>
              <w:rPr>
                <w:rFonts w:hint="eastAsia" w:ascii="宋体" w:hAnsi="宋体" w:eastAsia="宋体" w:cs="宋体"/>
                <w:color w:val="auto"/>
                <w:sz w:val="21"/>
                <w:szCs w:val="21"/>
                <w:highlight w:val="none"/>
              </w:rPr>
            </w:pPr>
          </w:p>
        </w:tc>
        <w:tc>
          <w:tcPr>
            <w:tcW w:w="1470" w:type="dxa"/>
            <w:vAlign w:val="center"/>
          </w:tcPr>
          <w:p w14:paraId="32E0755F">
            <w:pPr>
              <w:shd w:val="clear"/>
              <w:spacing w:line="400" w:lineRule="exact"/>
              <w:jc w:val="both"/>
              <w:rPr>
                <w:rFonts w:hint="eastAsia" w:ascii="宋体" w:hAnsi="宋体" w:eastAsia="宋体" w:cs="宋体"/>
                <w:color w:val="auto"/>
                <w:sz w:val="21"/>
                <w:szCs w:val="21"/>
                <w:highlight w:val="none"/>
              </w:rPr>
            </w:pPr>
          </w:p>
        </w:tc>
        <w:tc>
          <w:tcPr>
            <w:tcW w:w="1294" w:type="dxa"/>
            <w:vAlign w:val="center"/>
          </w:tcPr>
          <w:p w14:paraId="0BCEC5AC">
            <w:pPr>
              <w:shd w:val="clear"/>
              <w:spacing w:line="400" w:lineRule="exact"/>
              <w:jc w:val="both"/>
              <w:rPr>
                <w:rFonts w:hint="eastAsia" w:ascii="宋体" w:hAnsi="宋体" w:eastAsia="宋体" w:cs="宋体"/>
                <w:color w:val="auto"/>
                <w:sz w:val="21"/>
                <w:szCs w:val="21"/>
                <w:highlight w:val="none"/>
              </w:rPr>
            </w:pPr>
          </w:p>
        </w:tc>
      </w:tr>
    </w:tbl>
    <w:p w14:paraId="56284FDB">
      <w:pPr>
        <w:pStyle w:val="4"/>
        <w:bidi w:val="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附件13 第五章采购需求（八）建设内容中的所有建设内容响应</w:t>
      </w:r>
    </w:p>
    <w:tbl>
      <w:tblPr>
        <w:tblStyle w:val="48"/>
        <w:tblW w:w="5024" w:type="pct"/>
        <w:tblInd w:w="0" w:type="dxa"/>
        <w:tblLayout w:type="autofit"/>
        <w:tblCellMar>
          <w:top w:w="0" w:type="dxa"/>
          <w:left w:w="108" w:type="dxa"/>
          <w:bottom w:w="0" w:type="dxa"/>
          <w:right w:w="108" w:type="dxa"/>
        </w:tblCellMar>
      </w:tblPr>
      <w:tblGrid>
        <w:gridCol w:w="427"/>
        <w:gridCol w:w="1430"/>
        <w:gridCol w:w="1669"/>
        <w:gridCol w:w="3155"/>
        <w:gridCol w:w="2652"/>
      </w:tblGrid>
      <w:tr w14:paraId="0156B952">
        <w:tblPrEx>
          <w:tblCellMar>
            <w:top w:w="0" w:type="dxa"/>
            <w:left w:w="108" w:type="dxa"/>
            <w:bottom w:w="0" w:type="dxa"/>
            <w:right w:w="108" w:type="dxa"/>
          </w:tblCellMar>
        </w:tblPrEx>
        <w:trPr>
          <w:trHeight w:val="650" w:hRule="atLeast"/>
        </w:trPr>
        <w:tc>
          <w:tcPr>
            <w:tcW w:w="228" w:type="pct"/>
            <w:tcBorders>
              <w:top w:val="single" w:color="000000" w:sz="8" w:space="0"/>
              <w:left w:val="single" w:color="000000" w:sz="8" w:space="0"/>
              <w:bottom w:val="single" w:color="000000" w:sz="8" w:space="0"/>
              <w:right w:val="single" w:color="000000" w:sz="8" w:space="0"/>
            </w:tcBorders>
            <w:shd w:val="clear" w:color="auto" w:fill="D9D9D9"/>
            <w:vAlign w:val="center"/>
          </w:tcPr>
          <w:p w14:paraId="07A96ABA">
            <w:pPr>
              <w:pStyle w:val="491"/>
              <w:rPr>
                <w:rFonts w:hint="eastAsia"/>
                <w:b/>
                <w:bCs/>
                <w:color w:val="auto"/>
                <w:highlight w:val="none"/>
              </w:rPr>
            </w:pPr>
            <w:r>
              <w:rPr>
                <w:rFonts w:hint="eastAsia"/>
                <w:b/>
                <w:bCs/>
                <w:color w:val="auto"/>
                <w:highlight w:val="none"/>
              </w:rPr>
              <w:t>序号</w:t>
            </w:r>
          </w:p>
        </w:tc>
        <w:tc>
          <w:tcPr>
            <w:tcW w:w="766" w:type="pct"/>
            <w:tcBorders>
              <w:top w:val="single" w:color="000000" w:sz="8" w:space="0"/>
              <w:left w:val="nil"/>
              <w:bottom w:val="single" w:color="000000" w:sz="8" w:space="0"/>
              <w:right w:val="single" w:color="000000" w:sz="8" w:space="0"/>
            </w:tcBorders>
            <w:shd w:val="clear" w:color="auto" w:fill="D9D9D9"/>
            <w:vAlign w:val="center"/>
          </w:tcPr>
          <w:p w14:paraId="78621FD6">
            <w:pPr>
              <w:pStyle w:val="491"/>
              <w:rPr>
                <w:rFonts w:hint="eastAsia"/>
                <w:b/>
                <w:bCs/>
                <w:color w:val="auto"/>
                <w:highlight w:val="none"/>
              </w:rPr>
            </w:pPr>
            <w:r>
              <w:rPr>
                <w:rFonts w:hint="eastAsia"/>
                <w:b/>
                <w:bCs/>
                <w:color w:val="auto"/>
                <w:highlight w:val="none"/>
              </w:rPr>
              <w:t>专项</w:t>
            </w:r>
          </w:p>
        </w:tc>
        <w:tc>
          <w:tcPr>
            <w:tcW w:w="2583" w:type="pct"/>
            <w:gridSpan w:val="2"/>
            <w:tcBorders>
              <w:top w:val="single" w:color="000000" w:sz="8" w:space="0"/>
              <w:left w:val="nil"/>
              <w:bottom w:val="single" w:color="000000" w:sz="8" w:space="0"/>
              <w:right w:val="single" w:color="000000" w:sz="8" w:space="0"/>
            </w:tcBorders>
            <w:shd w:val="clear" w:color="auto" w:fill="D9D9D9"/>
            <w:vAlign w:val="center"/>
          </w:tcPr>
          <w:p w14:paraId="6638E043">
            <w:pPr>
              <w:pStyle w:val="491"/>
              <w:rPr>
                <w:rFonts w:hint="eastAsia"/>
                <w:b/>
                <w:bCs/>
                <w:color w:val="auto"/>
                <w:highlight w:val="none"/>
              </w:rPr>
            </w:pPr>
            <w:r>
              <w:rPr>
                <w:rFonts w:hint="eastAsia"/>
                <w:b/>
                <w:bCs/>
                <w:color w:val="auto"/>
                <w:highlight w:val="none"/>
                <w:lang w:val="en-US" w:eastAsia="zh-CN"/>
              </w:rPr>
              <w:t>招标文件要求</w:t>
            </w:r>
            <w:r>
              <w:rPr>
                <w:rFonts w:hint="eastAsia"/>
                <w:b/>
                <w:bCs/>
                <w:color w:val="auto"/>
                <w:highlight w:val="none"/>
              </w:rPr>
              <w:t>建设内容</w:t>
            </w:r>
          </w:p>
        </w:tc>
        <w:tc>
          <w:tcPr>
            <w:tcW w:w="1420" w:type="pct"/>
            <w:tcBorders>
              <w:top w:val="single" w:color="000000" w:sz="8" w:space="0"/>
              <w:left w:val="nil"/>
              <w:bottom w:val="single" w:color="000000" w:sz="8" w:space="0"/>
              <w:right w:val="single" w:color="000000" w:sz="8" w:space="0"/>
            </w:tcBorders>
            <w:shd w:val="clear" w:color="auto" w:fill="D9D9D9"/>
            <w:vAlign w:val="center"/>
          </w:tcPr>
          <w:p w14:paraId="0789DAE9">
            <w:pPr>
              <w:pStyle w:val="491"/>
              <w:rPr>
                <w:rFonts w:hint="default" w:eastAsia="宋体"/>
                <w:b/>
                <w:bCs/>
                <w:color w:val="auto"/>
                <w:highlight w:val="none"/>
                <w:lang w:val="en-US" w:eastAsia="zh-CN"/>
              </w:rPr>
            </w:pPr>
            <w:r>
              <w:rPr>
                <w:rFonts w:hint="eastAsia"/>
                <w:b/>
                <w:bCs/>
                <w:color w:val="auto"/>
                <w:highlight w:val="none"/>
                <w:lang w:val="en-US" w:eastAsia="zh-CN"/>
              </w:rPr>
              <w:t>投标文件响应页码</w:t>
            </w:r>
          </w:p>
        </w:tc>
      </w:tr>
      <w:tr w14:paraId="6286B578">
        <w:tblPrEx>
          <w:tblCellMar>
            <w:top w:w="0" w:type="dxa"/>
            <w:left w:w="108" w:type="dxa"/>
            <w:bottom w:w="0" w:type="dxa"/>
            <w:right w:w="108" w:type="dxa"/>
          </w:tblCellMar>
        </w:tblPrEx>
        <w:trPr>
          <w:trHeight w:val="240" w:hRule="atLeast"/>
        </w:trPr>
        <w:tc>
          <w:tcPr>
            <w:tcW w:w="228" w:type="pct"/>
            <w:vMerge w:val="restart"/>
            <w:tcBorders>
              <w:top w:val="nil"/>
              <w:left w:val="single" w:color="000000" w:sz="8" w:space="0"/>
              <w:bottom w:val="single" w:color="000000" w:sz="8" w:space="0"/>
              <w:right w:val="single" w:color="000000" w:sz="8" w:space="0"/>
            </w:tcBorders>
            <w:vAlign w:val="center"/>
          </w:tcPr>
          <w:p w14:paraId="74B76053">
            <w:pPr>
              <w:pStyle w:val="491"/>
              <w:rPr>
                <w:rFonts w:hint="eastAsia"/>
                <w:color w:val="auto"/>
                <w:highlight w:val="none"/>
              </w:rPr>
            </w:pPr>
            <w:r>
              <w:rPr>
                <w:rFonts w:hint="eastAsia"/>
                <w:color w:val="auto"/>
                <w:highlight w:val="none"/>
              </w:rPr>
              <w:t>1</w:t>
            </w:r>
          </w:p>
        </w:tc>
        <w:tc>
          <w:tcPr>
            <w:tcW w:w="766" w:type="pct"/>
            <w:vMerge w:val="restart"/>
            <w:tcBorders>
              <w:top w:val="nil"/>
              <w:left w:val="nil"/>
              <w:bottom w:val="single" w:color="000000" w:sz="8" w:space="0"/>
              <w:right w:val="single" w:color="000000" w:sz="8" w:space="0"/>
            </w:tcBorders>
            <w:vAlign w:val="center"/>
          </w:tcPr>
          <w:p w14:paraId="4438034C">
            <w:pPr>
              <w:pStyle w:val="491"/>
              <w:rPr>
                <w:rFonts w:hint="eastAsia"/>
                <w:color w:val="auto"/>
                <w:highlight w:val="none"/>
              </w:rPr>
            </w:pPr>
            <w:r>
              <w:rPr>
                <w:rFonts w:hint="eastAsia"/>
                <w:color w:val="auto"/>
                <w:highlight w:val="none"/>
              </w:rPr>
              <w:t>临床专科能力提升</w:t>
            </w:r>
          </w:p>
        </w:tc>
        <w:tc>
          <w:tcPr>
            <w:tcW w:w="894" w:type="pct"/>
            <w:vMerge w:val="restart"/>
            <w:tcBorders>
              <w:top w:val="nil"/>
              <w:left w:val="nil"/>
              <w:bottom w:val="single" w:color="000000" w:sz="8" w:space="0"/>
              <w:right w:val="single" w:color="000000" w:sz="8" w:space="0"/>
            </w:tcBorders>
            <w:vAlign w:val="center"/>
          </w:tcPr>
          <w:p w14:paraId="76FE222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PACS系统</w:t>
            </w:r>
          </w:p>
        </w:tc>
        <w:tc>
          <w:tcPr>
            <w:tcW w:w="1689" w:type="pct"/>
            <w:tcBorders>
              <w:top w:val="nil"/>
              <w:left w:val="nil"/>
              <w:bottom w:val="single" w:color="000000" w:sz="8" w:space="0"/>
              <w:right w:val="single" w:color="000000" w:sz="8" w:space="0"/>
            </w:tcBorders>
            <w:vAlign w:val="center"/>
          </w:tcPr>
          <w:p w14:paraId="474D048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PACS系统</w:t>
            </w:r>
          </w:p>
        </w:tc>
        <w:tc>
          <w:tcPr>
            <w:tcW w:w="1420" w:type="pct"/>
            <w:tcBorders>
              <w:top w:val="nil"/>
              <w:left w:val="nil"/>
              <w:bottom w:val="single" w:color="000000" w:sz="8" w:space="0"/>
              <w:right w:val="single" w:color="000000" w:sz="8" w:space="0"/>
            </w:tcBorders>
            <w:vAlign w:val="center"/>
          </w:tcPr>
          <w:p w14:paraId="08CF5DA6">
            <w:pPr>
              <w:pStyle w:val="491"/>
              <w:rPr>
                <w:rFonts w:hint="eastAsia"/>
                <w:color w:val="auto"/>
                <w:highlight w:val="none"/>
              </w:rPr>
            </w:pPr>
          </w:p>
        </w:tc>
      </w:tr>
      <w:tr w14:paraId="1E60908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AC6BCC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A67BA27">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AA3F1E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C1A797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放射AI智能体</w:t>
            </w:r>
          </w:p>
        </w:tc>
        <w:tc>
          <w:tcPr>
            <w:tcW w:w="1420" w:type="pct"/>
            <w:tcBorders>
              <w:top w:val="nil"/>
              <w:left w:val="nil"/>
              <w:bottom w:val="single" w:color="000000" w:sz="8" w:space="0"/>
              <w:right w:val="single" w:color="000000" w:sz="8" w:space="0"/>
            </w:tcBorders>
            <w:vAlign w:val="center"/>
          </w:tcPr>
          <w:p w14:paraId="2320CFC7">
            <w:pPr>
              <w:pStyle w:val="491"/>
              <w:rPr>
                <w:rFonts w:hint="eastAsia"/>
                <w:color w:val="auto"/>
                <w:highlight w:val="none"/>
              </w:rPr>
            </w:pPr>
          </w:p>
        </w:tc>
      </w:tr>
      <w:tr w14:paraId="04CB673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0AB86A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B85F4C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E20831A">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01B7F8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超声AI智能体</w:t>
            </w:r>
          </w:p>
        </w:tc>
        <w:tc>
          <w:tcPr>
            <w:tcW w:w="1420" w:type="pct"/>
            <w:tcBorders>
              <w:top w:val="nil"/>
              <w:left w:val="nil"/>
              <w:bottom w:val="single" w:color="000000" w:sz="8" w:space="0"/>
              <w:right w:val="single" w:color="000000" w:sz="8" w:space="0"/>
            </w:tcBorders>
            <w:vAlign w:val="center"/>
          </w:tcPr>
          <w:p w14:paraId="79E5CC56">
            <w:pPr>
              <w:pStyle w:val="491"/>
              <w:rPr>
                <w:rFonts w:hint="eastAsia"/>
                <w:color w:val="auto"/>
                <w:highlight w:val="none"/>
              </w:rPr>
            </w:pPr>
          </w:p>
        </w:tc>
      </w:tr>
      <w:tr w14:paraId="0D530F1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32ADF0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A98B3CB">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12DA35F8">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LIS系统</w:t>
            </w:r>
          </w:p>
        </w:tc>
        <w:tc>
          <w:tcPr>
            <w:tcW w:w="1689" w:type="pct"/>
            <w:tcBorders>
              <w:top w:val="nil"/>
              <w:left w:val="nil"/>
              <w:bottom w:val="single" w:color="000000" w:sz="8" w:space="0"/>
              <w:right w:val="single" w:color="000000" w:sz="8" w:space="0"/>
            </w:tcBorders>
            <w:vAlign w:val="center"/>
          </w:tcPr>
          <w:p w14:paraId="18E4B31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LIS系统</w:t>
            </w:r>
          </w:p>
        </w:tc>
        <w:tc>
          <w:tcPr>
            <w:tcW w:w="1420" w:type="pct"/>
            <w:tcBorders>
              <w:top w:val="nil"/>
              <w:left w:val="nil"/>
              <w:bottom w:val="single" w:color="000000" w:sz="8" w:space="0"/>
              <w:right w:val="single" w:color="000000" w:sz="8" w:space="0"/>
            </w:tcBorders>
            <w:vAlign w:val="center"/>
          </w:tcPr>
          <w:p w14:paraId="4299015A">
            <w:pPr>
              <w:pStyle w:val="491"/>
              <w:rPr>
                <w:rFonts w:hint="eastAsia"/>
                <w:color w:val="auto"/>
                <w:highlight w:val="none"/>
              </w:rPr>
            </w:pPr>
          </w:p>
        </w:tc>
      </w:tr>
      <w:tr w14:paraId="03C231B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07D896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5B45DD0">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F193901">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4E38DE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AI智能体</w:t>
            </w:r>
          </w:p>
        </w:tc>
        <w:tc>
          <w:tcPr>
            <w:tcW w:w="1420" w:type="pct"/>
            <w:tcBorders>
              <w:top w:val="nil"/>
              <w:left w:val="nil"/>
              <w:bottom w:val="single" w:color="000000" w:sz="8" w:space="0"/>
              <w:right w:val="single" w:color="000000" w:sz="8" w:space="0"/>
            </w:tcBorders>
            <w:vAlign w:val="center"/>
          </w:tcPr>
          <w:p w14:paraId="14FF47A8">
            <w:pPr>
              <w:pStyle w:val="491"/>
              <w:rPr>
                <w:rFonts w:hint="eastAsia"/>
                <w:color w:val="auto"/>
                <w:highlight w:val="none"/>
              </w:rPr>
            </w:pPr>
          </w:p>
        </w:tc>
      </w:tr>
      <w:tr w14:paraId="2745D4B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AB5FA7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72C7B49">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2A03E86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重症系统</w:t>
            </w:r>
          </w:p>
        </w:tc>
        <w:tc>
          <w:tcPr>
            <w:tcW w:w="1689" w:type="pct"/>
            <w:tcBorders>
              <w:top w:val="nil"/>
              <w:left w:val="nil"/>
              <w:bottom w:val="single" w:color="000000" w:sz="8" w:space="0"/>
              <w:right w:val="single" w:color="000000" w:sz="8" w:space="0"/>
            </w:tcBorders>
            <w:vAlign w:val="center"/>
          </w:tcPr>
          <w:p w14:paraId="595E42D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护理工作站</w:t>
            </w:r>
          </w:p>
        </w:tc>
        <w:tc>
          <w:tcPr>
            <w:tcW w:w="1420" w:type="pct"/>
            <w:tcBorders>
              <w:top w:val="nil"/>
              <w:left w:val="nil"/>
              <w:bottom w:val="single" w:color="000000" w:sz="8" w:space="0"/>
              <w:right w:val="single" w:color="000000" w:sz="8" w:space="0"/>
            </w:tcBorders>
            <w:vAlign w:val="center"/>
          </w:tcPr>
          <w:p w14:paraId="30D10A8A">
            <w:pPr>
              <w:pStyle w:val="491"/>
              <w:rPr>
                <w:rFonts w:hint="eastAsia"/>
                <w:color w:val="auto"/>
                <w:highlight w:val="none"/>
              </w:rPr>
            </w:pPr>
          </w:p>
        </w:tc>
      </w:tr>
      <w:tr w14:paraId="5B5FC8E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C017E7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4DDBA97">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B6445F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6BFEF14">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医生工作站</w:t>
            </w:r>
          </w:p>
        </w:tc>
        <w:tc>
          <w:tcPr>
            <w:tcW w:w="1420" w:type="pct"/>
            <w:tcBorders>
              <w:top w:val="nil"/>
              <w:left w:val="nil"/>
              <w:bottom w:val="single" w:color="000000" w:sz="8" w:space="0"/>
              <w:right w:val="single" w:color="000000" w:sz="8" w:space="0"/>
            </w:tcBorders>
            <w:vAlign w:val="center"/>
          </w:tcPr>
          <w:p w14:paraId="658F302F">
            <w:pPr>
              <w:pStyle w:val="491"/>
              <w:rPr>
                <w:rFonts w:hint="eastAsia"/>
                <w:color w:val="auto"/>
                <w:highlight w:val="none"/>
              </w:rPr>
            </w:pPr>
          </w:p>
        </w:tc>
      </w:tr>
      <w:tr w14:paraId="7F9E6819">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31677C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C9265B5">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A87628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84EA3B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管理模块</w:t>
            </w:r>
          </w:p>
        </w:tc>
        <w:tc>
          <w:tcPr>
            <w:tcW w:w="1420" w:type="pct"/>
            <w:tcBorders>
              <w:top w:val="nil"/>
              <w:left w:val="nil"/>
              <w:bottom w:val="single" w:color="000000" w:sz="8" w:space="0"/>
              <w:right w:val="single" w:color="000000" w:sz="8" w:space="0"/>
            </w:tcBorders>
            <w:vAlign w:val="center"/>
          </w:tcPr>
          <w:p w14:paraId="3A866893">
            <w:pPr>
              <w:pStyle w:val="491"/>
              <w:rPr>
                <w:rFonts w:hint="eastAsia"/>
                <w:color w:val="auto"/>
                <w:highlight w:val="none"/>
              </w:rPr>
            </w:pPr>
          </w:p>
        </w:tc>
      </w:tr>
      <w:tr w14:paraId="57737AA6">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6B0786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B11D91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2E64BBB">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2D3973B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科研工作站</w:t>
            </w:r>
          </w:p>
        </w:tc>
        <w:tc>
          <w:tcPr>
            <w:tcW w:w="1420" w:type="pct"/>
            <w:tcBorders>
              <w:top w:val="nil"/>
              <w:left w:val="nil"/>
              <w:bottom w:val="single" w:color="000000" w:sz="8" w:space="0"/>
              <w:right w:val="single" w:color="000000" w:sz="8" w:space="0"/>
            </w:tcBorders>
            <w:vAlign w:val="center"/>
          </w:tcPr>
          <w:p w14:paraId="5A03EFE4">
            <w:pPr>
              <w:pStyle w:val="491"/>
              <w:rPr>
                <w:rFonts w:hint="eastAsia"/>
                <w:color w:val="auto"/>
                <w:highlight w:val="none"/>
              </w:rPr>
            </w:pPr>
          </w:p>
        </w:tc>
      </w:tr>
      <w:tr w14:paraId="22CAC2BB">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661B93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375B015">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45AE188">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C11FD7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AI智能体</w:t>
            </w:r>
          </w:p>
        </w:tc>
        <w:tc>
          <w:tcPr>
            <w:tcW w:w="1420" w:type="pct"/>
            <w:tcBorders>
              <w:top w:val="nil"/>
              <w:left w:val="nil"/>
              <w:bottom w:val="single" w:color="000000" w:sz="8" w:space="0"/>
              <w:right w:val="single" w:color="000000" w:sz="8" w:space="0"/>
            </w:tcBorders>
            <w:vAlign w:val="center"/>
          </w:tcPr>
          <w:p w14:paraId="396E622B">
            <w:pPr>
              <w:pStyle w:val="491"/>
              <w:rPr>
                <w:rFonts w:hint="eastAsia"/>
                <w:color w:val="auto"/>
                <w:highlight w:val="none"/>
              </w:rPr>
            </w:pPr>
          </w:p>
        </w:tc>
      </w:tr>
      <w:tr w14:paraId="2A5370DF">
        <w:tblPrEx>
          <w:tblCellMar>
            <w:top w:w="0" w:type="dxa"/>
            <w:left w:w="108" w:type="dxa"/>
            <w:bottom w:w="0" w:type="dxa"/>
            <w:right w:w="108" w:type="dxa"/>
          </w:tblCellMar>
        </w:tblPrEx>
        <w:trPr>
          <w:trHeight w:val="240" w:hRule="atLeast"/>
        </w:trPr>
        <w:tc>
          <w:tcPr>
            <w:tcW w:w="228" w:type="pct"/>
            <w:vMerge w:val="restart"/>
            <w:tcBorders>
              <w:top w:val="nil"/>
              <w:left w:val="single" w:color="000000" w:sz="8" w:space="0"/>
              <w:bottom w:val="single" w:color="000000" w:sz="8" w:space="0"/>
              <w:right w:val="single" w:color="000000" w:sz="8" w:space="0"/>
            </w:tcBorders>
            <w:vAlign w:val="center"/>
          </w:tcPr>
          <w:p w14:paraId="44D8B060">
            <w:pPr>
              <w:pStyle w:val="491"/>
              <w:rPr>
                <w:rFonts w:hint="eastAsia"/>
                <w:color w:val="auto"/>
                <w:highlight w:val="none"/>
              </w:rPr>
            </w:pPr>
            <w:r>
              <w:rPr>
                <w:rFonts w:hint="eastAsia"/>
                <w:color w:val="auto"/>
                <w:highlight w:val="none"/>
              </w:rPr>
              <w:t>2</w:t>
            </w:r>
          </w:p>
        </w:tc>
        <w:tc>
          <w:tcPr>
            <w:tcW w:w="766" w:type="pct"/>
            <w:vMerge w:val="restart"/>
            <w:tcBorders>
              <w:top w:val="nil"/>
              <w:left w:val="nil"/>
              <w:bottom w:val="single" w:color="000000" w:sz="8" w:space="0"/>
              <w:right w:val="single" w:color="000000" w:sz="8" w:space="0"/>
            </w:tcBorders>
            <w:vAlign w:val="center"/>
          </w:tcPr>
          <w:p w14:paraId="301DF733">
            <w:pPr>
              <w:pStyle w:val="491"/>
              <w:rPr>
                <w:rFonts w:hint="eastAsia"/>
                <w:color w:val="auto"/>
                <w:highlight w:val="none"/>
              </w:rPr>
            </w:pPr>
            <w:r>
              <w:rPr>
                <w:rFonts w:hint="eastAsia"/>
                <w:color w:val="auto"/>
                <w:highlight w:val="none"/>
              </w:rPr>
              <w:t>紧急医学救援能力提升</w:t>
            </w:r>
          </w:p>
        </w:tc>
        <w:tc>
          <w:tcPr>
            <w:tcW w:w="2583" w:type="pct"/>
            <w:gridSpan w:val="2"/>
            <w:tcBorders>
              <w:top w:val="nil"/>
              <w:left w:val="nil"/>
              <w:bottom w:val="single" w:color="000000" w:sz="8" w:space="0"/>
              <w:right w:val="single" w:color="000000" w:sz="8" w:space="0"/>
            </w:tcBorders>
            <w:vAlign w:val="center"/>
          </w:tcPr>
          <w:p w14:paraId="5C4882E0">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应急救援数据中心</w:t>
            </w:r>
          </w:p>
        </w:tc>
        <w:tc>
          <w:tcPr>
            <w:tcW w:w="1420" w:type="pct"/>
            <w:tcBorders>
              <w:top w:val="nil"/>
              <w:left w:val="nil"/>
              <w:bottom w:val="single" w:color="000000" w:sz="8" w:space="0"/>
              <w:right w:val="single" w:color="000000" w:sz="8" w:space="0"/>
            </w:tcBorders>
            <w:vAlign w:val="center"/>
          </w:tcPr>
          <w:p w14:paraId="711253FE">
            <w:pPr>
              <w:pStyle w:val="491"/>
              <w:rPr>
                <w:rFonts w:hint="eastAsia"/>
                <w:color w:val="auto"/>
                <w:highlight w:val="none"/>
              </w:rPr>
            </w:pPr>
          </w:p>
        </w:tc>
      </w:tr>
      <w:tr w14:paraId="1EA8F5D9">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35272A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8E1F4E7">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338BDEE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应急指挥驾驶舱</w:t>
            </w:r>
          </w:p>
        </w:tc>
        <w:tc>
          <w:tcPr>
            <w:tcW w:w="1420" w:type="pct"/>
            <w:tcBorders>
              <w:top w:val="nil"/>
              <w:left w:val="nil"/>
              <w:bottom w:val="single" w:color="000000" w:sz="8" w:space="0"/>
              <w:right w:val="single" w:color="000000" w:sz="8" w:space="0"/>
            </w:tcBorders>
            <w:vAlign w:val="center"/>
          </w:tcPr>
          <w:p w14:paraId="35446AF5">
            <w:pPr>
              <w:pStyle w:val="491"/>
              <w:rPr>
                <w:rFonts w:hint="eastAsia"/>
                <w:color w:val="auto"/>
                <w:highlight w:val="none"/>
              </w:rPr>
            </w:pPr>
          </w:p>
        </w:tc>
      </w:tr>
      <w:tr w14:paraId="14DC9D64">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4BD62D3">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0D22E0F">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7621DDB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预警监测平台</w:t>
            </w:r>
          </w:p>
        </w:tc>
        <w:tc>
          <w:tcPr>
            <w:tcW w:w="1420" w:type="pct"/>
            <w:tcBorders>
              <w:top w:val="nil"/>
              <w:left w:val="nil"/>
              <w:bottom w:val="single" w:color="000000" w:sz="8" w:space="0"/>
              <w:right w:val="single" w:color="000000" w:sz="8" w:space="0"/>
            </w:tcBorders>
            <w:vAlign w:val="center"/>
          </w:tcPr>
          <w:p w14:paraId="69C31FB9">
            <w:pPr>
              <w:pStyle w:val="491"/>
              <w:rPr>
                <w:rFonts w:hint="eastAsia"/>
                <w:color w:val="auto"/>
                <w:highlight w:val="none"/>
              </w:rPr>
            </w:pPr>
          </w:p>
        </w:tc>
      </w:tr>
      <w:tr w14:paraId="1CC0237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28F43A4">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CBBCB1D">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30E4352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指挥调度平台</w:t>
            </w:r>
          </w:p>
        </w:tc>
        <w:tc>
          <w:tcPr>
            <w:tcW w:w="1420" w:type="pct"/>
            <w:tcBorders>
              <w:top w:val="nil"/>
              <w:left w:val="nil"/>
              <w:bottom w:val="single" w:color="000000" w:sz="8" w:space="0"/>
              <w:right w:val="single" w:color="000000" w:sz="8" w:space="0"/>
            </w:tcBorders>
            <w:vAlign w:val="center"/>
          </w:tcPr>
          <w:p w14:paraId="025B9F82">
            <w:pPr>
              <w:pStyle w:val="491"/>
              <w:rPr>
                <w:rFonts w:hint="eastAsia"/>
                <w:color w:val="auto"/>
                <w:highlight w:val="none"/>
              </w:rPr>
            </w:pPr>
          </w:p>
        </w:tc>
      </w:tr>
      <w:tr w14:paraId="598E562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81ACBA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7E33AF7">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75AE37A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医疗救治平台</w:t>
            </w:r>
          </w:p>
        </w:tc>
        <w:tc>
          <w:tcPr>
            <w:tcW w:w="1689" w:type="pct"/>
            <w:tcBorders>
              <w:top w:val="nil"/>
              <w:left w:val="nil"/>
              <w:bottom w:val="single" w:color="000000" w:sz="8" w:space="0"/>
              <w:right w:val="single" w:color="000000" w:sz="8" w:space="0"/>
            </w:tcBorders>
            <w:vAlign w:val="center"/>
          </w:tcPr>
          <w:p w14:paraId="1CC72B0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救援队后勤物资管理系统</w:t>
            </w:r>
          </w:p>
        </w:tc>
        <w:tc>
          <w:tcPr>
            <w:tcW w:w="1420" w:type="pct"/>
            <w:tcBorders>
              <w:top w:val="nil"/>
              <w:left w:val="nil"/>
              <w:bottom w:val="single" w:color="000000" w:sz="8" w:space="0"/>
              <w:right w:val="single" w:color="000000" w:sz="8" w:space="0"/>
            </w:tcBorders>
            <w:vAlign w:val="center"/>
          </w:tcPr>
          <w:p w14:paraId="60ECC610">
            <w:pPr>
              <w:pStyle w:val="491"/>
              <w:rPr>
                <w:rFonts w:hint="eastAsia"/>
                <w:color w:val="auto"/>
                <w:highlight w:val="none"/>
              </w:rPr>
            </w:pPr>
          </w:p>
        </w:tc>
      </w:tr>
      <w:tr w14:paraId="48C388C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550888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C80DA9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1A5AF7B">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C71A66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急诊医学信息管理平台</w:t>
            </w:r>
          </w:p>
        </w:tc>
        <w:tc>
          <w:tcPr>
            <w:tcW w:w="1420" w:type="pct"/>
            <w:tcBorders>
              <w:top w:val="nil"/>
              <w:left w:val="nil"/>
              <w:bottom w:val="single" w:color="000000" w:sz="8" w:space="0"/>
              <w:right w:val="single" w:color="000000" w:sz="8" w:space="0"/>
            </w:tcBorders>
            <w:vAlign w:val="center"/>
          </w:tcPr>
          <w:p w14:paraId="0E2A948F">
            <w:pPr>
              <w:pStyle w:val="491"/>
              <w:rPr>
                <w:rFonts w:hint="eastAsia"/>
                <w:color w:val="auto"/>
                <w:highlight w:val="none"/>
              </w:rPr>
            </w:pPr>
          </w:p>
        </w:tc>
      </w:tr>
      <w:tr w14:paraId="6F1B1339">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D61CF9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822536E">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D658C00">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9F8B0C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系统集成与业务数据采集</w:t>
            </w:r>
          </w:p>
        </w:tc>
        <w:tc>
          <w:tcPr>
            <w:tcW w:w="1420" w:type="pct"/>
            <w:tcBorders>
              <w:top w:val="nil"/>
              <w:left w:val="nil"/>
              <w:bottom w:val="single" w:color="000000" w:sz="8" w:space="0"/>
              <w:right w:val="single" w:color="000000" w:sz="8" w:space="0"/>
            </w:tcBorders>
            <w:vAlign w:val="center"/>
          </w:tcPr>
          <w:p w14:paraId="3E2CF74F">
            <w:pPr>
              <w:pStyle w:val="491"/>
              <w:rPr>
                <w:rFonts w:hint="eastAsia"/>
                <w:color w:val="auto"/>
                <w:highlight w:val="none"/>
              </w:rPr>
            </w:pPr>
          </w:p>
        </w:tc>
      </w:tr>
      <w:tr w14:paraId="76E4A0D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4C50E97">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57DFB04">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76837EE">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AB9575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设备数据采集</w:t>
            </w:r>
          </w:p>
        </w:tc>
        <w:tc>
          <w:tcPr>
            <w:tcW w:w="1420" w:type="pct"/>
            <w:tcBorders>
              <w:top w:val="nil"/>
              <w:left w:val="nil"/>
              <w:bottom w:val="single" w:color="000000" w:sz="8" w:space="0"/>
              <w:right w:val="single" w:color="000000" w:sz="8" w:space="0"/>
            </w:tcBorders>
            <w:vAlign w:val="center"/>
          </w:tcPr>
          <w:p w14:paraId="21097214">
            <w:pPr>
              <w:pStyle w:val="491"/>
              <w:rPr>
                <w:rFonts w:hint="eastAsia"/>
                <w:color w:val="auto"/>
                <w:highlight w:val="none"/>
              </w:rPr>
            </w:pPr>
          </w:p>
        </w:tc>
      </w:tr>
      <w:tr w14:paraId="7B046D5F">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E2A741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3691DA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8C2AB12">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DA369E1">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120院前急救对接</w:t>
            </w:r>
          </w:p>
        </w:tc>
        <w:tc>
          <w:tcPr>
            <w:tcW w:w="1420" w:type="pct"/>
            <w:tcBorders>
              <w:top w:val="nil"/>
              <w:left w:val="nil"/>
              <w:bottom w:val="single" w:color="000000" w:sz="8" w:space="0"/>
              <w:right w:val="single" w:color="000000" w:sz="8" w:space="0"/>
            </w:tcBorders>
            <w:vAlign w:val="center"/>
          </w:tcPr>
          <w:p w14:paraId="7C2B019D">
            <w:pPr>
              <w:pStyle w:val="491"/>
              <w:rPr>
                <w:rFonts w:hint="eastAsia"/>
                <w:color w:val="auto"/>
                <w:highlight w:val="none"/>
              </w:rPr>
            </w:pPr>
          </w:p>
        </w:tc>
      </w:tr>
      <w:tr w14:paraId="5A181A9A">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EFF21DF">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38A1C6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E2737A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20A0B3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血站全流程对接</w:t>
            </w:r>
          </w:p>
        </w:tc>
        <w:tc>
          <w:tcPr>
            <w:tcW w:w="1420" w:type="pct"/>
            <w:tcBorders>
              <w:top w:val="nil"/>
              <w:left w:val="nil"/>
              <w:bottom w:val="single" w:color="000000" w:sz="8" w:space="0"/>
              <w:right w:val="single" w:color="000000" w:sz="8" w:space="0"/>
            </w:tcBorders>
            <w:vAlign w:val="center"/>
          </w:tcPr>
          <w:p w14:paraId="66D80E31">
            <w:pPr>
              <w:pStyle w:val="491"/>
              <w:rPr>
                <w:rFonts w:hint="eastAsia"/>
                <w:color w:val="auto"/>
                <w:highlight w:val="none"/>
              </w:rPr>
            </w:pPr>
          </w:p>
        </w:tc>
      </w:tr>
      <w:tr w14:paraId="7F124974">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365FAAC">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860E0A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079980C">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7B9CF1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会诊管理</w:t>
            </w:r>
          </w:p>
        </w:tc>
        <w:tc>
          <w:tcPr>
            <w:tcW w:w="1420" w:type="pct"/>
            <w:tcBorders>
              <w:top w:val="nil"/>
              <w:left w:val="nil"/>
              <w:bottom w:val="single" w:color="000000" w:sz="8" w:space="0"/>
              <w:right w:val="single" w:color="000000" w:sz="8" w:space="0"/>
            </w:tcBorders>
            <w:vAlign w:val="center"/>
          </w:tcPr>
          <w:p w14:paraId="0C01B050">
            <w:pPr>
              <w:pStyle w:val="491"/>
              <w:rPr>
                <w:rFonts w:hint="eastAsia"/>
                <w:color w:val="auto"/>
                <w:highlight w:val="none"/>
              </w:rPr>
            </w:pPr>
          </w:p>
        </w:tc>
      </w:tr>
      <w:tr w14:paraId="71C7764B">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9C3D017">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BF3EACB">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6B3CBB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EB5487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交接班管理</w:t>
            </w:r>
          </w:p>
        </w:tc>
        <w:tc>
          <w:tcPr>
            <w:tcW w:w="1420" w:type="pct"/>
            <w:tcBorders>
              <w:top w:val="nil"/>
              <w:left w:val="nil"/>
              <w:bottom w:val="single" w:color="000000" w:sz="8" w:space="0"/>
              <w:right w:val="single" w:color="000000" w:sz="8" w:space="0"/>
            </w:tcBorders>
            <w:vAlign w:val="center"/>
          </w:tcPr>
          <w:p w14:paraId="2F06B60F">
            <w:pPr>
              <w:pStyle w:val="491"/>
              <w:rPr>
                <w:rFonts w:hint="eastAsia"/>
                <w:color w:val="auto"/>
                <w:highlight w:val="none"/>
              </w:rPr>
            </w:pPr>
          </w:p>
        </w:tc>
      </w:tr>
      <w:tr w14:paraId="0EB2052F">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4005A2E">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E4E8870">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F54A1BE">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222F2E2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无纸化病案管理</w:t>
            </w:r>
          </w:p>
        </w:tc>
        <w:tc>
          <w:tcPr>
            <w:tcW w:w="1420" w:type="pct"/>
            <w:tcBorders>
              <w:top w:val="nil"/>
              <w:left w:val="nil"/>
              <w:bottom w:val="single" w:color="000000" w:sz="8" w:space="0"/>
              <w:right w:val="single" w:color="000000" w:sz="8" w:space="0"/>
            </w:tcBorders>
            <w:vAlign w:val="center"/>
          </w:tcPr>
          <w:p w14:paraId="439FDC89">
            <w:pPr>
              <w:pStyle w:val="491"/>
              <w:rPr>
                <w:rFonts w:hint="eastAsia"/>
                <w:color w:val="auto"/>
                <w:highlight w:val="none"/>
              </w:rPr>
            </w:pPr>
          </w:p>
        </w:tc>
      </w:tr>
      <w:tr w14:paraId="5311C25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BABE92E">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1BEB55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8CD994A">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9844B4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门诊化疗管理</w:t>
            </w:r>
          </w:p>
        </w:tc>
        <w:tc>
          <w:tcPr>
            <w:tcW w:w="1420" w:type="pct"/>
            <w:tcBorders>
              <w:top w:val="nil"/>
              <w:left w:val="nil"/>
              <w:bottom w:val="single" w:color="000000" w:sz="8" w:space="0"/>
              <w:right w:val="single" w:color="000000" w:sz="8" w:space="0"/>
            </w:tcBorders>
            <w:vAlign w:val="center"/>
          </w:tcPr>
          <w:p w14:paraId="2BE824DC">
            <w:pPr>
              <w:pStyle w:val="491"/>
              <w:rPr>
                <w:rFonts w:hint="eastAsia"/>
                <w:color w:val="auto"/>
                <w:highlight w:val="none"/>
              </w:rPr>
            </w:pPr>
          </w:p>
        </w:tc>
      </w:tr>
      <w:tr w14:paraId="0F307950">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126B9F4">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18A411E">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4456E8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34FD5A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多学科协作医疗</w:t>
            </w:r>
          </w:p>
        </w:tc>
        <w:tc>
          <w:tcPr>
            <w:tcW w:w="1420" w:type="pct"/>
            <w:tcBorders>
              <w:top w:val="nil"/>
              <w:left w:val="nil"/>
              <w:bottom w:val="single" w:color="000000" w:sz="8" w:space="0"/>
              <w:right w:val="single" w:color="000000" w:sz="8" w:space="0"/>
            </w:tcBorders>
            <w:vAlign w:val="center"/>
          </w:tcPr>
          <w:p w14:paraId="72EFE8A0">
            <w:pPr>
              <w:pStyle w:val="491"/>
              <w:rPr>
                <w:rFonts w:hint="eastAsia"/>
                <w:color w:val="auto"/>
                <w:highlight w:val="none"/>
              </w:rPr>
            </w:pPr>
          </w:p>
        </w:tc>
      </w:tr>
      <w:tr w14:paraId="26783C6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BA5EC8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8FE62F0">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DB899F5">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2B5CE5D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远程转诊管理</w:t>
            </w:r>
          </w:p>
        </w:tc>
        <w:tc>
          <w:tcPr>
            <w:tcW w:w="1420" w:type="pct"/>
            <w:tcBorders>
              <w:top w:val="nil"/>
              <w:left w:val="nil"/>
              <w:bottom w:val="single" w:color="000000" w:sz="8" w:space="0"/>
              <w:right w:val="single" w:color="000000" w:sz="8" w:space="0"/>
            </w:tcBorders>
            <w:vAlign w:val="center"/>
          </w:tcPr>
          <w:p w14:paraId="3CB3779B">
            <w:pPr>
              <w:pStyle w:val="491"/>
              <w:rPr>
                <w:rFonts w:hint="eastAsia"/>
                <w:color w:val="auto"/>
                <w:highlight w:val="none"/>
              </w:rPr>
            </w:pPr>
          </w:p>
        </w:tc>
      </w:tr>
      <w:tr w14:paraId="533327D6">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82ECA53">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C86054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4675E1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103514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群伤群检事件管理</w:t>
            </w:r>
          </w:p>
        </w:tc>
        <w:tc>
          <w:tcPr>
            <w:tcW w:w="1420" w:type="pct"/>
            <w:tcBorders>
              <w:top w:val="nil"/>
              <w:left w:val="nil"/>
              <w:bottom w:val="single" w:color="000000" w:sz="8" w:space="0"/>
              <w:right w:val="single" w:color="000000" w:sz="8" w:space="0"/>
            </w:tcBorders>
            <w:vAlign w:val="center"/>
          </w:tcPr>
          <w:p w14:paraId="723A44FD">
            <w:pPr>
              <w:pStyle w:val="491"/>
              <w:rPr>
                <w:rFonts w:hint="eastAsia"/>
                <w:color w:val="auto"/>
                <w:highlight w:val="none"/>
              </w:rPr>
            </w:pPr>
          </w:p>
        </w:tc>
      </w:tr>
      <w:tr w14:paraId="64C5E3B3">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BDF94A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B77EE35">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6DB70B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8806A31">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病历服务智能体</w:t>
            </w:r>
          </w:p>
        </w:tc>
        <w:tc>
          <w:tcPr>
            <w:tcW w:w="1420" w:type="pct"/>
            <w:tcBorders>
              <w:top w:val="nil"/>
              <w:left w:val="nil"/>
              <w:bottom w:val="single" w:color="000000" w:sz="8" w:space="0"/>
              <w:right w:val="single" w:color="000000" w:sz="8" w:space="0"/>
            </w:tcBorders>
            <w:vAlign w:val="center"/>
          </w:tcPr>
          <w:p w14:paraId="7F85224F">
            <w:pPr>
              <w:pStyle w:val="491"/>
              <w:rPr>
                <w:rFonts w:hint="eastAsia"/>
                <w:color w:val="auto"/>
                <w:highlight w:val="none"/>
              </w:rPr>
            </w:pPr>
          </w:p>
        </w:tc>
      </w:tr>
      <w:tr w14:paraId="2D56CC6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8E48AAF">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D8588C7">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B09B5CF">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1325EB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门诊及住院病历、报告结构化模版</w:t>
            </w:r>
          </w:p>
        </w:tc>
        <w:tc>
          <w:tcPr>
            <w:tcW w:w="1420" w:type="pct"/>
            <w:tcBorders>
              <w:top w:val="nil"/>
              <w:left w:val="nil"/>
              <w:bottom w:val="single" w:color="000000" w:sz="8" w:space="0"/>
              <w:right w:val="single" w:color="000000" w:sz="8" w:space="0"/>
            </w:tcBorders>
            <w:vAlign w:val="center"/>
          </w:tcPr>
          <w:p w14:paraId="391A0ECE">
            <w:pPr>
              <w:pStyle w:val="491"/>
              <w:rPr>
                <w:rFonts w:hint="eastAsia"/>
                <w:color w:val="auto"/>
                <w:highlight w:val="none"/>
              </w:rPr>
            </w:pPr>
          </w:p>
        </w:tc>
      </w:tr>
      <w:tr w14:paraId="3557F6A2">
        <w:tblPrEx>
          <w:tblCellMar>
            <w:top w:w="0" w:type="dxa"/>
            <w:left w:w="108" w:type="dxa"/>
            <w:bottom w:w="0" w:type="dxa"/>
            <w:right w:w="108" w:type="dxa"/>
          </w:tblCellMar>
        </w:tblPrEx>
        <w:trPr>
          <w:trHeight w:val="240" w:hRule="atLeast"/>
        </w:trPr>
        <w:tc>
          <w:tcPr>
            <w:tcW w:w="228" w:type="pct"/>
            <w:vMerge w:val="restart"/>
            <w:tcBorders>
              <w:top w:val="nil"/>
              <w:left w:val="single" w:color="000000" w:sz="8" w:space="0"/>
              <w:bottom w:val="single" w:color="000000" w:sz="8" w:space="0"/>
              <w:right w:val="single" w:color="000000" w:sz="8" w:space="0"/>
            </w:tcBorders>
            <w:vAlign w:val="center"/>
          </w:tcPr>
          <w:p w14:paraId="5C0597CD">
            <w:pPr>
              <w:pStyle w:val="491"/>
              <w:rPr>
                <w:rFonts w:hint="eastAsia"/>
                <w:color w:val="auto"/>
                <w:highlight w:val="none"/>
              </w:rPr>
            </w:pPr>
            <w:r>
              <w:rPr>
                <w:rFonts w:hint="eastAsia"/>
                <w:color w:val="auto"/>
                <w:highlight w:val="none"/>
              </w:rPr>
              <w:t>3</w:t>
            </w:r>
          </w:p>
        </w:tc>
        <w:tc>
          <w:tcPr>
            <w:tcW w:w="766" w:type="pct"/>
            <w:vMerge w:val="restart"/>
            <w:tcBorders>
              <w:top w:val="nil"/>
              <w:left w:val="nil"/>
              <w:bottom w:val="single" w:color="000000" w:sz="8" w:space="0"/>
              <w:right w:val="single" w:color="000000" w:sz="8" w:space="0"/>
            </w:tcBorders>
            <w:vAlign w:val="center"/>
          </w:tcPr>
          <w:p w14:paraId="08F579A6">
            <w:pPr>
              <w:pStyle w:val="491"/>
              <w:rPr>
                <w:rFonts w:hint="eastAsia"/>
                <w:color w:val="auto"/>
                <w:highlight w:val="none"/>
              </w:rPr>
            </w:pPr>
            <w:r>
              <w:rPr>
                <w:rFonts w:hint="eastAsia"/>
                <w:color w:val="auto"/>
                <w:highlight w:val="none"/>
              </w:rPr>
              <w:t>智慧服务能力提升</w:t>
            </w:r>
          </w:p>
        </w:tc>
        <w:tc>
          <w:tcPr>
            <w:tcW w:w="894" w:type="pct"/>
            <w:vMerge w:val="restart"/>
            <w:tcBorders>
              <w:top w:val="nil"/>
              <w:left w:val="nil"/>
              <w:bottom w:val="single" w:color="000000" w:sz="8" w:space="0"/>
              <w:right w:val="single" w:color="000000" w:sz="8" w:space="0"/>
            </w:tcBorders>
            <w:vAlign w:val="center"/>
          </w:tcPr>
          <w:p w14:paraId="3901A2B6">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患者服务平台（微信小程序）</w:t>
            </w:r>
          </w:p>
        </w:tc>
        <w:tc>
          <w:tcPr>
            <w:tcW w:w="1689" w:type="pct"/>
            <w:tcBorders>
              <w:top w:val="nil"/>
              <w:left w:val="nil"/>
              <w:bottom w:val="single" w:color="000000" w:sz="8" w:space="0"/>
              <w:right w:val="single" w:color="000000" w:sz="8" w:space="0"/>
            </w:tcBorders>
            <w:vAlign w:val="center"/>
          </w:tcPr>
          <w:p w14:paraId="05895BD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复诊号源匹配</w:t>
            </w:r>
          </w:p>
        </w:tc>
        <w:tc>
          <w:tcPr>
            <w:tcW w:w="1420" w:type="pct"/>
            <w:tcBorders>
              <w:top w:val="nil"/>
              <w:left w:val="nil"/>
              <w:bottom w:val="single" w:color="000000" w:sz="8" w:space="0"/>
              <w:right w:val="single" w:color="000000" w:sz="8" w:space="0"/>
            </w:tcBorders>
            <w:vAlign w:val="center"/>
          </w:tcPr>
          <w:p w14:paraId="50A2754A">
            <w:pPr>
              <w:pStyle w:val="491"/>
              <w:rPr>
                <w:rFonts w:hint="eastAsia"/>
                <w:color w:val="auto"/>
                <w:highlight w:val="none"/>
              </w:rPr>
            </w:pPr>
          </w:p>
        </w:tc>
      </w:tr>
      <w:tr w14:paraId="5B6283AF">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848775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A29EEE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ECBB1C2">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6491CE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智能检查预约</w:t>
            </w:r>
          </w:p>
        </w:tc>
        <w:tc>
          <w:tcPr>
            <w:tcW w:w="1420" w:type="pct"/>
            <w:tcBorders>
              <w:top w:val="nil"/>
              <w:left w:val="nil"/>
              <w:bottom w:val="single" w:color="000000" w:sz="8" w:space="0"/>
              <w:right w:val="single" w:color="000000" w:sz="8" w:space="0"/>
            </w:tcBorders>
            <w:vAlign w:val="center"/>
          </w:tcPr>
          <w:p w14:paraId="3B509C53">
            <w:pPr>
              <w:pStyle w:val="491"/>
              <w:rPr>
                <w:rFonts w:hint="eastAsia"/>
                <w:color w:val="auto"/>
                <w:highlight w:val="none"/>
              </w:rPr>
            </w:pPr>
          </w:p>
        </w:tc>
      </w:tr>
      <w:tr w14:paraId="54EF014E">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90D1DA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FA451D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D7A88B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15E458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辅助住院计划</w:t>
            </w:r>
          </w:p>
        </w:tc>
        <w:tc>
          <w:tcPr>
            <w:tcW w:w="1420" w:type="pct"/>
            <w:tcBorders>
              <w:top w:val="nil"/>
              <w:left w:val="nil"/>
              <w:bottom w:val="single" w:color="000000" w:sz="8" w:space="0"/>
              <w:right w:val="single" w:color="000000" w:sz="8" w:space="0"/>
            </w:tcBorders>
            <w:vAlign w:val="center"/>
          </w:tcPr>
          <w:p w14:paraId="7AD5832B">
            <w:pPr>
              <w:pStyle w:val="491"/>
              <w:rPr>
                <w:rFonts w:hint="eastAsia"/>
                <w:color w:val="auto"/>
                <w:highlight w:val="none"/>
              </w:rPr>
            </w:pPr>
          </w:p>
        </w:tc>
      </w:tr>
      <w:tr w14:paraId="24219196">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0FB34F4">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613E737">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AABC111">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B55F5D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入院预约</w:t>
            </w:r>
          </w:p>
        </w:tc>
        <w:tc>
          <w:tcPr>
            <w:tcW w:w="1420" w:type="pct"/>
            <w:tcBorders>
              <w:top w:val="nil"/>
              <w:left w:val="nil"/>
              <w:bottom w:val="single" w:color="000000" w:sz="8" w:space="0"/>
              <w:right w:val="single" w:color="000000" w:sz="8" w:space="0"/>
            </w:tcBorders>
            <w:vAlign w:val="center"/>
          </w:tcPr>
          <w:p w14:paraId="0C454A4D">
            <w:pPr>
              <w:pStyle w:val="491"/>
              <w:rPr>
                <w:rFonts w:hint="eastAsia"/>
                <w:color w:val="auto"/>
                <w:highlight w:val="none"/>
              </w:rPr>
            </w:pPr>
          </w:p>
        </w:tc>
      </w:tr>
      <w:tr w14:paraId="0E1D5A5A">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5648A2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C5F5C9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AFC971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2C5741F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消息分级管理</w:t>
            </w:r>
          </w:p>
        </w:tc>
        <w:tc>
          <w:tcPr>
            <w:tcW w:w="1420" w:type="pct"/>
            <w:tcBorders>
              <w:top w:val="nil"/>
              <w:left w:val="nil"/>
              <w:bottom w:val="single" w:color="000000" w:sz="8" w:space="0"/>
              <w:right w:val="single" w:color="000000" w:sz="8" w:space="0"/>
            </w:tcBorders>
            <w:vAlign w:val="center"/>
          </w:tcPr>
          <w:p w14:paraId="379C24A1">
            <w:pPr>
              <w:pStyle w:val="491"/>
              <w:rPr>
                <w:rFonts w:hint="eastAsia"/>
                <w:color w:val="auto"/>
                <w:highlight w:val="none"/>
              </w:rPr>
            </w:pPr>
          </w:p>
        </w:tc>
      </w:tr>
      <w:tr w14:paraId="10C49ED3">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DCEF6B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109D124">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4CC46D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863A264">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患者投诉闭环</w:t>
            </w:r>
          </w:p>
        </w:tc>
        <w:tc>
          <w:tcPr>
            <w:tcW w:w="1420" w:type="pct"/>
            <w:tcBorders>
              <w:top w:val="nil"/>
              <w:left w:val="nil"/>
              <w:bottom w:val="single" w:color="000000" w:sz="8" w:space="0"/>
              <w:right w:val="single" w:color="000000" w:sz="8" w:space="0"/>
            </w:tcBorders>
            <w:vAlign w:val="center"/>
          </w:tcPr>
          <w:p w14:paraId="0860D658">
            <w:pPr>
              <w:pStyle w:val="491"/>
              <w:rPr>
                <w:rFonts w:hint="eastAsia"/>
                <w:color w:val="auto"/>
                <w:highlight w:val="none"/>
              </w:rPr>
            </w:pPr>
          </w:p>
        </w:tc>
      </w:tr>
      <w:tr w14:paraId="366992D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7CAEC0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4FDAB9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0AC6391">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14C863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风险评估</w:t>
            </w:r>
          </w:p>
        </w:tc>
        <w:tc>
          <w:tcPr>
            <w:tcW w:w="1420" w:type="pct"/>
            <w:tcBorders>
              <w:top w:val="nil"/>
              <w:left w:val="nil"/>
              <w:bottom w:val="single" w:color="000000" w:sz="8" w:space="0"/>
              <w:right w:val="single" w:color="000000" w:sz="8" w:space="0"/>
            </w:tcBorders>
            <w:vAlign w:val="center"/>
          </w:tcPr>
          <w:p w14:paraId="426876A0">
            <w:pPr>
              <w:pStyle w:val="491"/>
              <w:rPr>
                <w:rFonts w:hint="eastAsia"/>
                <w:color w:val="auto"/>
                <w:highlight w:val="none"/>
              </w:rPr>
            </w:pPr>
          </w:p>
        </w:tc>
      </w:tr>
      <w:tr w14:paraId="6C97C2E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BC31687">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9A21F9A">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895CAD6">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67626B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在线购药</w:t>
            </w:r>
          </w:p>
        </w:tc>
        <w:tc>
          <w:tcPr>
            <w:tcW w:w="1420" w:type="pct"/>
            <w:tcBorders>
              <w:top w:val="nil"/>
              <w:left w:val="nil"/>
              <w:bottom w:val="single" w:color="000000" w:sz="8" w:space="0"/>
              <w:right w:val="single" w:color="000000" w:sz="8" w:space="0"/>
            </w:tcBorders>
            <w:vAlign w:val="center"/>
          </w:tcPr>
          <w:p w14:paraId="72A4E9AA">
            <w:pPr>
              <w:pStyle w:val="491"/>
              <w:rPr>
                <w:rFonts w:hint="eastAsia"/>
                <w:color w:val="auto"/>
                <w:highlight w:val="none"/>
              </w:rPr>
            </w:pPr>
          </w:p>
        </w:tc>
      </w:tr>
      <w:tr w14:paraId="5D31686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DE4A38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DAEE57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E230116">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C50F144">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慢病续方</w:t>
            </w:r>
          </w:p>
        </w:tc>
        <w:tc>
          <w:tcPr>
            <w:tcW w:w="1420" w:type="pct"/>
            <w:tcBorders>
              <w:top w:val="nil"/>
              <w:left w:val="nil"/>
              <w:bottom w:val="single" w:color="000000" w:sz="8" w:space="0"/>
              <w:right w:val="single" w:color="000000" w:sz="8" w:space="0"/>
            </w:tcBorders>
            <w:vAlign w:val="center"/>
          </w:tcPr>
          <w:p w14:paraId="716C10A5">
            <w:pPr>
              <w:pStyle w:val="491"/>
              <w:rPr>
                <w:rFonts w:hint="eastAsia"/>
                <w:color w:val="auto"/>
                <w:highlight w:val="none"/>
              </w:rPr>
            </w:pPr>
          </w:p>
        </w:tc>
      </w:tr>
      <w:tr w14:paraId="4605C3F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20474C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012DB36">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E1720D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5EE573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干部体检</w:t>
            </w:r>
          </w:p>
        </w:tc>
        <w:tc>
          <w:tcPr>
            <w:tcW w:w="1420" w:type="pct"/>
            <w:tcBorders>
              <w:top w:val="nil"/>
              <w:left w:val="nil"/>
              <w:bottom w:val="single" w:color="000000" w:sz="8" w:space="0"/>
              <w:right w:val="single" w:color="000000" w:sz="8" w:space="0"/>
            </w:tcBorders>
            <w:vAlign w:val="center"/>
          </w:tcPr>
          <w:p w14:paraId="716283FF">
            <w:pPr>
              <w:pStyle w:val="491"/>
              <w:rPr>
                <w:rFonts w:hint="eastAsia"/>
                <w:color w:val="auto"/>
                <w:highlight w:val="none"/>
              </w:rPr>
            </w:pPr>
          </w:p>
        </w:tc>
      </w:tr>
      <w:tr w14:paraId="676FF58A">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50A5333">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306C50E">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DCC88D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6A7E48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智能分诊导诊</w:t>
            </w:r>
          </w:p>
        </w:tc>
        <w:tc>
          <w:tcPr>
            <w:tcW w:w="1420" w:type="pct"/>
            <w:tcBorders>
              <w:top w:val="nil"/>
              <w:left w:val="nil"/>
              <w:bottom w:val="single" w:color="000000" w:sz="8" w:space="0"/>
              <w:right w:val="single" w:color="000000" w:sz="8" w:space="0"/>
            </w:tcBorders>
            <w:vAlign w:val="center"/>
          </w:tcPr>
          <w:p w14:paraId="67AB8DA7">
            <w:pPr>
              <w:pStyle w:val="491"/>
              <w:rPr>
                <w:rFonts w:hint="eastAsia"/>
                <w:color w:val="auto"/>
                <w:highlight w:val="none"/>
              </w:rPr>
            </w:pPr>
          </w:p>
        </w:tc>
      </w:tr>
      <w:tr w14:paraId="1F5B671E">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14ADCD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8A6A87C">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03C4685">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CD95970">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智能报告分析</w:t>
            </w:r>
          </w:p>
        </w:tc>
        <w:tc>
          <w:tcPr>
            <w:tcW w:w="1420" w:type="pct"/>
            <w:tcBorders>
              <w:top w:val="nil"/>
              <w:left w:val="nil"/>
              <w:bottom w:val="single" w:color="000000" w:sz="8" w:space="0"/>
              <w:right w:val="single" w:color="000000" w:sz="8" w:space="0"/>
            </w:tcBorders>
            <w:vAlign w:val="center"/>
          </w:tcPr>
          <w:p w14:paraId="3922C91E">
            <w:pPr>
              <w:pStyle w:val="491"/>
              <w:rPr>
                <w:rFonts w:hint="eastAsia"/>
                <w:color w:val="auto"/>
                <w:highlight w:val="none"/>
              </w:rPr>
            </w:pPr>
          </w:p>
        </w:tc>
      </w:tr>
      <w:tr w14:paraId="0939AD5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7465F7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EB597EE">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79468BF">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C07DC8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智能预问诊</w:t>
            </w:r>
          </w:p>
        </w:tc>
        <w:tc>
          <w:tcPr>
            <w:tcW w:w="1420" w:type="pct"/>
            <w:tcBorders>
              <w:top w:val="nil"/>
              <w:left w:val="nil"/>
              <w:bottom w:val="single" w:color="000000" w:sz="8" w:space="0"/>
              <w:right w:val="single" w:color="000000" w:sz="8" w:space="0"/>
            </w:tcBorders>
            <w:vAlign w:val="center"/>
          </w:tcPr>
          <w:p w14:paraId="6B89AA52">
            <w:pPr>
              <w:pStyle w:val="491"/>
              <w:rPr>
                <w:rFonts w:hint="eastAsia"/>
                <w:color w:val="auto"/>
                <w:highlight w:val="none"/>
              </w:rPr>
            </w:pPr>
          </w:p>
        </w:tc>
      </w:tr>
      <w:tr w14:paraId="530C2B3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3CBAFE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7DA8565">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F1A9519">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B515FF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智能就医助手</w:t>
            </w:r>
          </w:p>
        </w:tc>
        <w:tc>
          <w:tcPr>
            <w:tcW w:w="1420" w:type="pct"/>
            <w:tcBorders>
              <w:top w:val="nil"/>
              <w:left w:val="nil"/>
              <w:bottom w:val="single" w:color="000000" w:sz="8" w:space="0"/>
              <w:right w:val="single" w:color="000000" w:sz="8" w:space="0"/>
            </w:tcBorders>
            <w:vAlign w:val="center"/>
          </w:tcPr>
          <w:p w14:paraId="59A7940F">
            <w:pPr>
              <w:pStyle w:val="491"/>
              <w:rPr>
                <w:rFonts w:hint="eastAsia"/>
                <w:color w:val="auto"/>
                <w:highlight w:val="none"/>
              </w:rPr>
            </w:pPr>
          </w:p>
        </w:tc>
      </w:tr>
      <w:tr w14:paraId="5F766696">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EDD3D2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88F455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DF5F149">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FA78D2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智能体检</w:t>
            </w:r>
          </w:p>
        </w:tc>
        <w:tc>
          <w:tcPr>
            <w:tcW w:w="1420" w:type="pct"/>
            <w:tcBorders>
              <w:top w:val="nil"/>
              <w:left w:val="nil"/>
              <w:bottom w:val="single" w:color="000000" w:sz="8" w:space="0"/>
              <w:right w:val="single" w:color="000000" w:sz="8" w:space="0"/>
            </w:tcBorders>
            <w:vAlign w:val="center"/>
          </w:tcPr>
          <w:p w14:paraId="7EA51ED1">
            <w:pPr>
              <w:pStyle w:val="491"/>
              <w:rPr>
                <w:rFonts w:hint="eastAsia"/>
                <w:color w:val="auto"/>
                <w:highlight w:val="none"/>
              </w:rPr>
            </w:pPr>
          </w:p>
        </w:tc>
      </w:tr>
      <w:tr w14:paraId="67B1A179">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F4786B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23BD516">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EF5D879">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06FCB61">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智能用药管家</w:t>
            </w:r>
          </w:p>
        </w:tc>
        <w:tc>
          <w:tcPr>
            <w:tcW w:w="1420" w:type="pct"/>
            <w:tcBorders>
              <w:top w:val="nil"/>
              <w:left w:val="nil"/>
              <w:bottom w:val="single" w:color="000000" w:sz="8" w:space="0"/>
              <w:right w:val="single" w:color="000000" w:sz="8" w:space="0"/>
            </w:tcBorders>
            <w:vAlign w:val="center"/>
          </w:tcPr>
          <w:p w14:paraId="770B3A71">
            <w:pPr>
              <w:pStyle w:val="491"/>
              <w:rPr>
                <w:rFonts w:hint="eastAsia"/>
                <w:color w:val="auto"/>
                <w:highlight w:val="none"/>
              </w:rPr>
            </w:pPr>
          </w:p>
        </w:tc>
      </w:tr>
      <w:tr w14:paraId="7169441F">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DFA75EC">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D0246AF">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5F037C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C53A0E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捐精预约</w:t>
            </w:r>
          </w:p>
        </w:tc>
        <w:tc>
          <w:tcPr>
            <w:tcW w:w="1420" w:type="pct"/>
            <w:tcBorders>
              <w:top w:val="nil"/>
              <w:left w:val="nil"/>
              <w:bottom w:val="single" w:color="000000" w:sz="8" w:space="0"/>
              <w:right w:val="single" w:color="000000" w:sz="8" w:space="0"/>
            </w:tcBorders>
            <w:vAlign w:val="center"/>
          </w:tcPr>
          <w:p w14:paraId="2308BE44">
            <w:pPr>
              <w:pStyle w:val="491"/>
              <w:rPr>
                <w:rFonts w:hint="eastAsia"/>
                <w:color w:val="auto"/>
                <w:highlight w:val="none"/>
              </w:rPr>
            </w:pPr>
          </w:p>
        </w:tc>
      </w:tr>
      <w:tr w14:paraId="2A9859E9">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D01788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38D27F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D19795B">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099839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疫苗预约</w:t>
            </w:r>
          </w:p>
        </w:tc>
        <w:tc>
          <w:tcPr>
            <w:tcW w:w="1420" w:type="pct"/>
            <w:tcBorders>
              <w:top w:val="nil"/>
              <w:left w:val="nil"/>
              <w:bottom w:val="single" w:color="000000" w:sz="8" w:space="0"/>
              <w:right w:val="single" w:color="000000" w:sz="8" w:space="0"/>
            </w:tcBorders>
            <w:vAlign w:val="center"/>
          </w:tcPr>
          <w:p w14:paraId="67BD9523">
            <w:pPr>
              <w:pStyle w:val="491"/>
              <w:rPr>
                <w:rFonts w:hint="eastAsia"/>
                <w:color w:val="auto"/>
                <w:highlight w:val="none"/>
              </w:rPr>
            </w:pPr>
          </w:p>
        </w:tc>
      </w:tr>
      <w:tr w14:paraId="197136E7">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AC10900">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677085B">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F9A5CB6">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224ADD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电子病历夹</w:t>
            </w:r>
          </w:p>
        </w:tc>
        <w:tc>
          <w:tcPr>
            <w:tcW w:w="1420" w:type="pct"/>
            <w:tcBorders>
              <w:top w:val="nil"/>
              <w:left w:val="nil"/>
              <w:bottom w:val="single" w:color="000000" w:sz="8" w:space="0"/>
              <w:right w:val="single" w:color="000000" w:sz="8" w:space="0"/>
            </w:tcBorders>
            <w:vAlign w:val="center"/>
          </w:tcPr>
          <w:p w14:paraId="350E1B7A">
            <w:pPr>
              <w:pStyle w:val="491"/>
              <w:rPr>
                <w:rFonts w:hint="eastAsia"/>
                <w:color w:val="auto"/>
                <w:highlight w:val="none"/>
              </w:rPr>
            </w:pPr>
          </w:p>
        </w:tc>
      </w:tr>
      <w:tr w14:paraId="2572200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6B7219C">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9AB8559">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8471322">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05F3D5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个人授权管理</w:t>
            </w:r>
          </w:p>
        </w:tc>
        <w:tc>
          <w:tcPr>
            <w:tcW w:w="1420" w:type="pct"/>
            <w:tcBorders>
              <w:top w:val="nil"/>
              <w:left w:val="nil"/>
              <w:bottom w:val="single" w:color="000000" w:sz="8" w:space="0"/>
              <w:right w:val="single" w:color="000000" w:sz="8" w:space="0"/>
            </w:tcBorders>
            <w:vAlign w:val="center"/>
          </w:tcPr>
          <w:p w14:paraId="74509CCC">
            <w:pPr>
              <w:pStyle w:val="491"/>
              <w:rPr>
                <w:rFonts w:hint="eastAsia"/>
                <w:color w:val="auto"/>
                <w:highlight w:val="none"/>
              </w:rPr>
            </w:pPr>
          </w:p>
        </w:tc>
      </w:tr>
      <w:tr w14:paraId="6EA57B37">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84F863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A176BE2">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EC6A758">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639C01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一站式退费管理</w:t>
            </w:r>
          </w:p>
        </w:tc>
        <w:tc>
          <w:tcPr>
            <w:tcW w:w="1420" w:type="pct"/>
            <w:tcBorders>
              <w:top w:val="nil"/>
              <w:left w:val="nil"/>
              <w:bottom w:val="single" w:color="000000" w:sz="8" w:space="0"/>
              <w:right w:val="single" w:color="000000" w:sz="8" w:space="0"/>
            </w:tcBorders>
            <w:vAlign w:val="center"/>
          </w:tcPr>
          <w:p w14:paraId="371CABC1">
            <w:pPr>
              <w:pStyle w:val="491"/>
              <w:rPr>
                <w:rFonts w:hint="eastAsia"/>
                <w:color w:val="auto"/>
                <w:highlight w:val="none"/>
              </w:rPr>
            </w:pPr>
          </w:p>
        </w:tc>
      </w:tr>
      <w:tr w14:paraId="07DD1FA4">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654027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2247B1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76A0782">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33638D6">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在线义诊</w:t>
            </w:r>
          </w:p>
        </w:tc>
        <w:tc>
          <w:tcPr>
            <w:tcW w:w="1420" w:type="pct"/>
            <w:tcBorders>
              <w:top w:val="nil"/>
              <w:left w:val="nil"/>
              <w:bottom w:val="single" w:color="000000" w:sz="8" w:space="0"/>
              <w:right w:val="single" w:color="000000" w:sz="8" w:space="0"/>
            </w:tcBorders>
            <w:vAlign w:val="center"/>
          </w:tcPr>
          <w:p w14:paraId="5EBD779B">
            <w:pPr>
              <w:pStyle w:val="491"/>
              <w:rPr>
                <w:rFonts w:hint="eastAsia"/>
                <w:color w:val="auto"/>
                <w:highlight w:val="none"/>
              </w:rPr>
            </w:pPr>
          </w:p>
        </w:tc>
      </w:tr>
      <w:tr w14:paraId="026BBB9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D45D3D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F4FC99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3256380">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F16345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门诊业务优化</w:t>
            </w:r>
          </w:p>
        </w:tc>
        <w:tc>
          <w:tcPr>
            <w:tcW w:w="1420" w:type="pct"/>
            <w:tcBorders>
              <w:top w:val="nil"/>
              <w:left w:val="nil"/>
              <w:bottom w:val="single" w:color="000000" w:sz="8" w:space="0"/>
              <w:right w:val="single" w:color="000000" w:sz="8" w:space="0"/>
            </w:tcBorders>
            <w:vAlign w:val="center"/>
          </w:tcPr>
          <w:p w14:paraId="2C9D35F5">
            <w:pPr>
              <w:pStyle w:val="491"/>
              <w:rPr>
                <w:rFonts w:hint="eastAsia"/>
                <w:color w:val="auto"/>
                <w:highlight w:val="none"/>
              </w:rPr>
            </w:pPr>
          </w:p>
        </w:tc>
      </w:tr>
      <w:tr w14:paraId="4AD1DDB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A058A1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53A4C4A">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183E7FC">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87E879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多语言模式</w:t>
            </w:r>
          </w:p>
        </w:tc>
        <w:tc>
          <w:tcPr>
            <w:tcW w:w="1420" w:type="pct"/>
            <w:tcBorders>
              <w:top w:val="nil"/>
              <w:left w:val="nil"/>
              <w:bottom w:val="single" w:color="000000" w:sz="8" w:space="0"/>
              <w:right w:val="single" w:color="000000" w:sz="8" w:space="0"/>
            </w:tcBorders>
            <w:vAlign w:val="center"/>
          </w:tcPr>
          <w:p w14:paraId="56959223">
            <w:pPr>
              <w:pStyle w:val="491"/>
              <w:rPr>
                <w:rFonts w:hint="eastAsia"/>
                <w:color w:val="auto"/>
                <w:highlight w:val="none"/>
              </w:rPr>
            </w:pPr>
          </w:p>
        </w:tc>
      </w:tr>
      <w:tr w14:paraId="57B0E3D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E75F15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7D5D5A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FE08E1F">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5C3E88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科普宣教</w:t>
            </w:r>
          </w:p>
        </w:tc>
        <w:tc>
          <w:tcPr>
            <w:tcW w:w="1420" w:type="pct"/>
            <w:tcBorders>
              <w:top w:val="nil"/>
              <w:left w:val="nil"/>
              <w:bottom w:val="single" w:color="000000" w:sz="8" w:space="0"/>
              <w:right w:val="single" w:color="000000" w:sz="8" w:space="0"/>
            </w:tcBorders>
            <w:vAlign w:val="center"/>
          </w:tcPr>
          <w:p w14:paraId="12354F47">
            <w:pPr>
              <w:pStyle w:val="491"/>
              <w:rPr>
                <w:rFonts w:hint="eastAsia"/>
                <w:color w:val="auto"/>
                <w:highlight w:val="none"/>
              </w:rPr>
            </w:pPr>
          </w:p>
        </w:tc>
      </w:tr>
      <w:tr w14:paraId="5ED25FE6">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8FFB8F0">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98E76BD">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0196B6B6">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互联网诊疗服务平台（APP版）</w:t>
            </w:r>
          </w:p>
        </w:tc>
        <w:tc>
          <w:tcPr>
            <w:tcW w:w="1689" w:type="pct"/>
            <w:tcBorders>
              <w:top w:val="nil"/>
              <w:left w:val="nil"/>
              <w:bottom w:val="single" w:color="000000" w:sz="8" w:space="0"/>
              <w:right w:val="single" w:color="000000" w:sz="8" w:space="0"/>
            </w:tcBorders>
            <w:vAlign w:val="center"/>
          </w:tcPr>
          <w:p w14:paraId="3A9D7E35">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诊疗团队</w:t>
            </w:r>
          </w:p>
        </w:tc>
        <w:tc>
          <w:tcPr>
            <w:tcW w:w="1420" w:type="pct"/>
            <w:tcBorders>
              <w:top w:val="nil"/>
              <w:left w:val="nil"/>
              <w:bottom w:val="single" w:color="000000" w:sz="8" w:space="0"/>
              <w:right w:val="single" w:color="000000" w:sz="8" w:space="0"/>
            </w:tcBorders>
            <w:vAlign w:val="center"/>
          </w:tcPr>
          <w:p w14:paraId="14074D80">
            <w:pPr>
              <w:pStyle w:val="491"/>
              <w:rPr>
                <w:rFonts w:hint="eastAsia"/>
                <w:color w:val="auto"/>
                <w:highlight w:val="none"/>
              </w:rPr>
            </w:pPr>
          </w:p>
        </w:tc>
      </w:tr>
      <w:tr w14:paraId="7DA0A70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E346A6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7D2BEFA">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E0E38DF">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40E3C7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在线复诊升级</w:t>
            </w:r>
          </w:p>
        </w:tc>
        <w:tc>
          <w:tcPr>
            <w:tcW w:w="1420" w:type="pct"/>
            <w:tcBorders>
              <w:top w:val="nil"/>
              <w:left w:val="nil"/>
              <w:bottom w:val="single" w:color="000000" w:sz="8" w:space="0"/>
              <w:right w:val="single" w:color="000000" w:sz="8" w:space="0"/>
            </w:tcBorders>
            <w:vAlign w:val="center"/>
          </w:tcPr>
          <w:p w14:paraId="66100860">
            <w:pPr>
              <w:pStyle w:val="491"/>
              <w:rPr>
                <w:rFonts w:hint="eastAsia"/>
                <w:color w:val="auto"/>
                <w:highlight w:val="none"/>
              </w:rPr>
            </w:pPr>
          </w:p>
        </w:tc>
      </w:tr>
      <w:tr w14:paraId="7C48909F">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870D45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93C1B0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409E268">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ECF5E3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病历审签</w:t>
            </w:r>
          </w:p>
        </w:tc>
        <w:tc>
          <w:tcPr>
            <w:tcW w:w="1420" w:type="pct"/>
            <w:tcBorders>
              <w:top w:val="nil"/>
              <w:left w:val="nil"/>
              <w:bottom w:val="single" w:color="000000" w:sz="8" w:space="0"/>
              <w:right w:val="single" w:color="000000" w:sz="8" w:space="0"/>
            </w:tcBorders>
            <w:vAlign w:val="center"/>
          </w:tcPr>
          <w:p w14:paraId="2406B430">
            <w:pPr>
              <w:pStyle w:val="491"/>
              <w:rPr>
                <w:rFonts w:hint="eastAsia"/>
                <w:color w:val="auto"/>
                <w:highlight w:val="none"/>
              </w:rPr>
            </w:pPr>
          </w:p>
        </w:tc>
      </w:tr>
      <w:tr w14:paraId="151B8C64">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E5DDA9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952D06A">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675D0FA5">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5FC8C4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院内会诊闭环</w:t>
            </w:r>
          </w:p>
        </w:tc>
        <w:tc>
          <w:tcPr>
            <w:tcW w:w="1420" w:type="pct"/>
            <w:tcBorders>
              <w:top w:val="nil"/>
              <w:left w:val="nil"/>
              <w:bottom w:val="single" w:color="000000" w:sz="8" w:space="0"/>
              <w:right w:val="single" w:color="000000" w:sz="8" w:space="0"/>
            </w:tcBorders>
            <w:vAlign w:val="center"/>
          </w:tcPr>
          <w:p w14:paraId="3B775B63">
            <w:pPr>
              <w:pStyle w:val="491"/>
              <w:rPr>
                <w:rFonts w:hint="eastAsia"/>
                <w:color w:val="auto"/>
                <w:highlight w:val="none"/>
              </w:rPr>
            </w:pPr>
          </w:p>
        </w:tc>
      </w:tr>
      <w:tr w14:paraId="2FFA25DB">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7CBCDF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3B88FF7">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304A375">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59F55A0">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医生站融合</w:t>
            </w:r>
          </w:p>
        </w:tc>
        <w:tc>
          <w:tcPr>
            <w:tcW w:w="1420" w:type="pct"/>
            <w:tcBorders>
              <w:top w:val="nil"/>
              <w:left w:val="nil"/>
              <w:bottom w:val="single" w:color="000000" w:sz="8" w:space="0"/>
              <w:right w:val="single" w:color="000000" w:sz="8" w:space="0"/>
            </w:tcBorders>
            <w:vAlign w:val="center"/>
          </w:tcPr>
          <w:p w14:paraId="30AC1778">
            <w:pPr>
              <w:pStyle w:val="491"/>
              <w:rPr>
                <w:rFonts w:hint="eastAsia"/>
                <w:color w:val="auto"/>
                <w:highlight w:val="none"/>
              </w:rPr>
            </w:pPr>
          </w:p>
        </w:tc>
      </w:tr>
      <w:tr w14:paraId="1E4C530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001BB9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1B2CD7B">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5969A2E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498557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个人信息维护</w:t>
            </w:r>
          </w:p>
        </w:tc>
        <w:tc>
          <w:tcPr>
            <w:tcW w:w="1420" w:type="pct"/>
            <w:tcBorders>
              <w:top w:val="nil"/>
              <w:left w:val="nil"/>
              <w:bottom w:val="single" w:color="000000" w:sz="8" w:space="0"/>
              <w:right w:val="single" w:color="000000" w:sz="8" w:space="0"/>
            </w:tcBorders>
            <w:vAlign w:val="center"/>
          </w:tcPr>
          <w:p w14:paraId="2A39F0F2">
            <w:pPr>
              <w:pStyle w:val="491"/>
              <w:rPr>
                <w:rFonts w:hint="eastAsia"/>
                <w:color w:val="auto"/>
                <w:highlight w:val="none"/>
              </w:rPr>
            </w:pPr>
          </w:p>
        </w:tc>
      </w:tr>
      <w:tr w14:paraId="2D2551A1">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D2734BB">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0296DF5">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88A9956">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2FD11C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手术申请</w:t>
            </w:r>
          </w:p>
        </w:tc>
        <w:tc>
          <w:tcPr>
            <w:tcW w:w="1420" w:type="pct"/>
            <w:tcBorders>
              <w:top w:val="nil"/>
              <w:left w:val="nil"/>
              <w:bottom w:val="single" w:color="000000" w:sz="8" w:space="0"/>
              <w:right w:val="single" w:color="000000" w:sz="8" w:space="0"/>
            </w:tcBorders>
            <w:vAlign w:val="center"/>
          </w:tcPr>
          <w:p w14:paraId="68A816A3">
            <w:pPr>
              <w:pStyle w:val="491"/>
              <w:rPr>
                <w:rFonts w:hint="eastAsia"/>
                <w:color w:val="auto"/>
                <w:highlight w:val="none"/>
              </w:rPr>
            </w:pPr>
          </w:p>
        </w:tc>
      </w:tr>
      <w:tr w14:paraId="12DBD824">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BEA9482">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5B8A5A9">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C0662C2">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160FE50">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过敏管理</w:t>
            </w:r>
          </w:p>
        </w:tc>
        <w:tc>
          <w:tcPr>
            <w:tcW w:w="1420" w:type="pct"/>
            <w:tcBorders>
              <w:top w:val="nil"/>
              <w:left w:val="nil"/>
              <w:bottom w:val="single" w:color="000000" w:sz="8" w:space="0"/>
              <w:right w:val="single" w:color="000000" w:sz="8" w:space="0"/>
            </w:tcBorders>
            <w:vAlign w:val="center"/>
          </w:tcPr>
          <w:p w14:paraId="7A583FFB">
            <w:pPr>
              <w:pStyle w:val="491"/>
              <w:rPr>
                <w:rFonts w:hint="eastAsia"/>
                <w:color w:val="auto"/>
                <w:highlight w:val="none"/>
              </w:rPr>
            </w:pPr>
          </w:p>
        </w:tc>
      </w:tr>
      <w:tr w14:paraId="3B754753">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3E2E713">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65F6E14">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F89BE6C">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9152D7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授权管理</w:t>
            </w:r>
          </w:p>
        </w:tc>
        <w:tc>
          <w:tcPr>
            <w:tcW w:w="1420" w:type="pct"/>
            <w:tcBorders>
              <w:top w:val="nil"/>
              <w:left w:val="nil"/>
              <w:bottom w:val="single" w:color="000000" w:sz="8" w:space="0"/>
              <w:right w:val="single" w:color="000000" w:sz="8" w:space="0"/>
            </w:tcBorders>
            <w:vAlign w:val="center"/>
          </w:tcPr>
          <w:p w14:paraId="05E7BD4D">
            <w:pPr>
              <w:pStyle w:val="491"/>
              <w:rPr>
                <w:rFonts w:hint="eastAsia"/>
                <w:color w:val="auto"/>
                <w:highlight w:val="none"/>
              </w:rPr>
            </w:pPr>
          </w:p>
        </w:tc>
      </w:tr>
      <w:tr w14:paraId="677FBC1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E5217E0">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992A946">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07E95B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A2B4A5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我的粉丝</w:t>
            </w:r>
          </w:p>
        </w:tc>
        <w:tc>
          <w:tcPr>
            <w:tcW w:w="1420" w:type="pct"/>
            <w:tcBorders>
              <w:top w:val="nil"/>
              <w:left w:val="nil"/>
              <w:bottom w:val="single" w:color="000000" w:sz="8" w:space="0"/>
              <w:right w:val="single" w:color="000000" w:sz="8" w:space="0"/>
            </w:tcBorders>
            <w:vAlign w:val="center"/>
          </w:tcPr>
          <w:p w14:paraId="3DDFB17A">
            <w:pPr>
              <w:pStyle w:val="491"/>
              <w:rPr>
                <w:rFonts w:hint="eastAsia"/>
                <w:color w:val="auto"/>
                <w:highlight w:val="none"/>
              </w:rPr>
            </w:pPr>
          </w:p>
        </w:tc>
      </w:tr>
      <w:tr w14:paraId="56541D47">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A59DFC7">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B4102F9">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81CCFCA">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CE804E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我的成就</w:t>
            </w:r>
          </w:p>
        </w:tc>
        <w:tc>
          <w:tcPr>
            <w:tcW w:w="1420" w:type="pct"/>
            <w:tcBorders>
              <w:top w:val="nil"/>
              <w:left w:val="nil"/>
              <w:bottom w:val="single" w:color="000000" w:sz="8" w:space="0"/>
              <w:right w:val="single" w:color="000000" w:sz="8" w:space="0"/>
            </w:tcBorders>
            <w:vAlign w:val="center"/>
          </w:tcPr>
          <w:p w14:paraId="36AD1D42">
            <w:pPr>
              <w:pStyle w:val="491"/>
              <w:rPr>
                <w:rFonts w:hint="eastAsia"/>
                <w:color w:val="auto"/>
                <w:highlight w:val="none"/>
              </w:rPr>
            </w:pPr>
          </w:p>
        </w:tc>
      </w:tr>
      <w:tr w14:paraId="3C60ECCA">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B0AF41C">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984FE95">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7FC1AF44">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远程诊疗平台</w:t>
            </w:r>
          </w:p>
        </w:tc>
        <w:tc>
          <w:tcPr>
            <w:tcW w:w="1689" w:type="pct"/>
            <w:tcBorders>
              <w:top w:val="nil"/>
              <w:left w:val="nil"/>
              <w:bottom w:val="single" w:color="000000" w:sz="8" w:space="0"/>
              <w:right w:val="single" w:color="000000" w:sz="8" w:space="0"/>
            </w:tcBorders>
            <w:vAlign w:val="center"/>
          </w:tcPr>
          <w:p w14:paraId="6E3289E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转诊服务衔接</w:t>
            </w:r>
          </w:p>
        </w:tc>
        <w:tc>
          <w:tcPr>
            <w:tcW w:w="1420" w:type="pct"/>
            <w:tcBorders>
              <w:top w:val="nil"/>
              <w:left w:val="nil"/>
              <w:bottom w:val="single" w:color="000000" w:sz="8" w:space="0"/>
              <w:right w:val="single" w:color="000000" w:sz="8" w:space="0"/>
            </w:tcBorders>
            <w:vAlign w:val="center"/>
          </w:tcPr>
          <w:p w14:paraId="75C9275F">
            <w:pPr>
              <w:pStyle w:val="491"/>
              <w:rPr>
                <w:rFonts w:hint="eastAsia"/>
                <w:color w:val="auto"/>
                <w:highlight w:val="none"/>
              </w:rPr>
            </w:pPr>
          </w:p>
        </w:tc>
      </w:tr>
      <w:tr w14:paraId="1FC81C40">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C07FE1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882071B">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F2ACACB">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43FF3FF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远程门诊</w:t>
            </w:r>
          </w:p>
        </w:tc>
        <w:tc>
          <w:tcPr>
            <w:tcW w:w="1420" w:type="pct"/>
            <w:tcBorders>
              <w:top w:val="nil"/>
              <w:left w:val="nil"/>
              <w:bottom w:val="single" w:color="000000" w:sz="8" w:space="0"/>
              <w:right w:val="single" w:color="000000" w:sz="8" w:space="0"/>
            </w:tcBorders>
            <w:vAlign w:val="center"/>
          </w:tcPr>
          <w:p w14:paraId="1AF2F439">
            <w:pPr>
              <w:pStyle w:val="491"/>
              <w:rPr>
                <w:rFonts w:hint="eastAsia"/>
                <w:color w:val="auto"/>
                <w:highlight w:val="none"/>
              </w:rPr>
            </w:pPr>
          </w:p>
        </w:tc>
      </w:tr>
      <w:tr w14:paraId="55B556B0">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C0D30A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0D5C550">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2A4FEBF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随访系统</w:t>
            </w:r>
          </w:p>
        </w:tc>
        <w:tc>
          <w:tcPr>
            <w:tcW w:w="1689" w:type="pct"/>
            <w:tcBorders>
              <w:top w:val="nil"/>
              <w:left w:val="nil"/>
              <w:bottom w:val="single" w:color="000000" w:sz="8" w:space="0"/>
              <w:right w:val="single" w:color="000000" w:sz="8" w:space="0"/>
            </w:tcBorders>
            <w:vAlign w:val="center"/>
          </w:tcPr>
          <w:p w14:paraId="3B517FB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用户管理</w:t>
            </w:r>
          </w:p>
        </w:tc>
        <w:tc>
          <w:tcPr>
            <w:tcW w:w="1420" w:type="pct"/>
            <w:tcBorders>
              <w:top w:val="nil"/>
              <w:left w:val="nil"/>
              <w:bottom w:val="single" w:color="000000" w:sz="8" w:space="0"/>
              <w:right w:val="single" w:color="000000" w:sz="8" w:space="0"/>
            </w:tcBorders>
            <w:vAlign w:val="center"/>
          </w:tcPr>
          <w:p w14:paraId="79CF2F41">
            <w:pPr>
              <w:pStyle w:val="491"/>
              <w:rPr>
                <w:rFonts w:hint="eastAsia"/>
                <w:color w:val="auto"/>
                <w:highlight w:val="none"/>
              </w:rPr>
            </w:pPr>
          </w:p>
        </w:tc>
      </w:tr>
      <w:tr w14:paraId="29DEAE4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30E6FB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D8A8FFC">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41AD98D">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DB1F69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患者查询</w:t>
            </w:r>
          </w:p>
        </w:tc>
        <w:tc>
          <w:tcPr>
            <w:tcW w:w="1420" w:type="pct"/>
            <w:tcBorders>
              <w:top w:val="nil"/>
              <w:left w:val="nil"/>
              <w:bottom w:val="single" w:color="000000" w:sz="8" w:space="0"/>
              <w:right w:val="single" w:color="000000" w:sz="8" w:space="0"/>
            </w:tcBorders>
            <w:vAlign w:val="center"/>
          </w:tcPr>
          <w:p w14:paraId="713FBC04">
            <w:pPr>
              <w:pStyle w:val="491"/>
              <w:rPr>
                <w:rFonts w:hint="eastAsia"/>
                <w:color w:val="auto"/>
                <w:highlight w:val="none"/>
              </w:rPr>
            </w:pPr>
          </w:p>
        </w:tc>
      </w:tr>
      <w:tr w14:paraId="19DE59C5">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29671EE">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2F32645D">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3C0D43E5">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42381B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患者档案</w:t>
            </w:r>
          </w:p>
        </w:tc>
        <w:tc>
          <w:tcPr>
            <w:tcW w:w="1420" w:type="pct"/>
            <w:tcBorders>
              <w:top w:val="nil"/>
              <w:left w:val="nil"/>
              <w:bottom w:val="single" w:color="000000" w:sz="8" w:space="0"/>
              <w:right w:val="single" w:color="000000" w:sz="8" w:space="0"/>
            </w:tcBorders>
            <w:vAlign w:val="center"/>
          </w:tcPr>
          <w:p w14:paraId="72FB3111">
            <w:pPr>
              <w:pStyle w:val="491"/>
              <w:rPr>
                <w:rFonts w:hint="eastAsia"/>
                <w:color w:val="auto"/>
                <w:highlight w:val="none"/>
              </w:rPr>
            </w:pPr>
          </w:p>
        </w:tc>
      </w:tr>
      <w:tr w14:paraId="1B0D28BD">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D5E107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5EBC106">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2BFA814C">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746736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随访计划</w:t>
            </w:r>
          </w:p>
        </w:tc>
        <w:tc>
          <w:tcPr>
            <w:tcW w:w="1420" w:type="pct"/>
            <w:tcBorders>
              <w:top w:val="nil"/>
              <w:left w:val="nil"/>
              <w:bottom w:val="single" w:color="000000" w:sz="8" w:space="0"/>
              <w:right w:val="single" w:color="000000" w:sz="8" w:space="0"/>
            </w:tcBorders>
            <w:vAlign w:val="center"/>
          </w:tcPr>
          <w:p w14:paraId="493B0513">
            <w:pPr>
              <w:pStyle w:val="491"/>
              <w:rPr>
                <w:rFonts w:hint="eastAsia"/>
                <w:color w:val="auto"/>
                <w:highlight w:val="none"/>
              </w:rPr>
            </w:pPr>
          </w:p>
        </w:tc>
      </w:tr>
      <w:tr w14:paraId="680FB09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769A40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1E6989F">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A7E75B6">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17C52411">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随访任务</w:t>
            </w:r>
          </w:p>
        </w:tc>
        <w:tc>
          <w:tcPr>
            <w:tcW w:w="1420" w:type="pct"/>
            <w:tcBorders>
              <w:top w:val="nil"/>
              <w:left w:val="nil"/>
              <w:bottom w:val="single" w:color="000000" w:sz="8" w:space="0"/>
              <w:right w:val="single" w:color="000000" w:sz="8" w:space="0"/>
            </w:tcBorders>
            <w:vAlign w:val="center"/>
          </w:tcPr>
          <w:p w14:paraId="5343E734">
            <w:pPr>
              <w:pStyle w:val="491"/>
              <w:rPr>
                <w:rFonts w:hint="eastAsia"/>
                <w:color w:val="auto"/>
                <w:highlight w:val="none"/>
              </w:rPr>
            </w:pPr>
          </w:p>
        </w:tc>
      </w:tr>
      <w:tr w14:paraId="2AD6BEC5">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0EE141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2B04802">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1DEA3A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5A02B74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随访跟踪</w:t>
            </w:r>
          </w:p>
        </w:tc>
        <w:tc>
          <w:tcPr>
            <w:tcW w:w="1420" w:type="pct"/>
            <w:tcBorders>
              <w:top w:val="nil"/>
              <w:left w:val="nil"/>
              <w:bottom w:val="single" w:color="000000" w:sz="8" w:space="0"/>
              <w:right w:val="single" w:color="000000" w:sz="8" w:space="0"/>
            </w:tcBorders>
            <w:vAlign w:val="center"/>
          </w:tcPr>
          <w:p w14:paraId="11DC5E0E">
            <w:pPr>
              <w:pStyle w:val="491"/>
              <w:rPr>
                <w:rFonts w:hint="eastAsia"/>
                <w:color w:val="auto"/>
                <w:highlight w:val="none"/>
              </w:rPr>
            </w:pPr>
          </w:p>
        </w:tc>
      </w:tr>
      <w:tr w14:paraId="51AA2053">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959DC7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620AED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A0D5D7B">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772465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随访记录</w:t>
            </w:r>
          </w:p>
        </w:tc>
        <w:tc>
          <w:tcPr>
            <w:tcW w:w="1420" w:type="pct"/>
            <w:tcBorders>
              <w:top w:val="nil"/>
              <w:left w:val="nil"/>
              <w:bottom w:val="single" w:color="000000" w:sz="8" w:space="0"/>
              <w:right w:val="single" w:color="000000" w:sz="8" w:space="0"/>
            </w:tcBorders>
            <w:vAlign w:val="center"/>
          </w:tcPr>
          <w:p w14:paraId="5C13AA0F">
            <w:pPr>
              <w:pStyle w:val="491"/>
              <w:rPr>
                <w:rFonts w:hint="eastAsia"/>
                <w:color w:val="auto"/>
                <w:highlight w:val="none"/>
              </w:rPr>
            </w:pPr>
          </w:p>
        </w:tc>
      </w:tr>
      <w:tr w14:paraId="1AABF49E">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FAD1689">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EB24561">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48C3EE17">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67FE9CB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数据统计</w:t>
            </w:r>
          </w:p>
        </w:tc>
        <w:tc>
          <w:tcPr>
            <w:tcW w:w="1420" w:type="pct"/>
            <w:tcBorders>
              <w:top w:val="nil"/>
              <w:left w:val="nil"/>
              <w:bottom w:val="single" w:color="000000" w:sz="8" w:space="0"/>
              <w:right w:val="single" w:color="000000" w:sz="8" w:space="0"/>
            </w:tcBorders>
            <w:vAlign w:val="center"/>
          </w:tcPr>
          <w:p w14:paraId="05311115">
            <w:pPr>
              <w:pStyle w:val="491"/>
              <w:rPr>
                <w:rFonts w:hint="eastAsia"/>
                <w:color w:val="auto"/>
                <w:highlight w:val="none"/>
              </w:rPr>
            </w:pPr>
          </w:p>
        </w:tc>
      </w:tr>
      <w:tr w14:paraId="4601815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6D1D1426">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9E91BE3">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7D61EF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633696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知识库管理</w:t>
            </w:r>
          </w:p>
        </w:tc>
        <w:tc>
          <w:tcPr>
            <w:tcW w:w="1420" w:type="pct"/>
            <w:tcBorders>
              <w:top w:val="nil"/>
              <w:left w:val="nil"/>
              <w:bottom w:val="single" w:color="000000" w:sz="8" w:space="0"/>
              <w:right w:val="single" w:color="000000" w:sz="8" w:space="0"/>
            </w:tcBorders>
            <w:vAlign w:val="center"/>
          </w:tcPr>
          <w:p w14:paraId="7FCE1993">
            <w:pPr>
              <w:pStyle w:val="491"/>
              <w:rPr>
                <w:rFonts w:hint="eastAsia"/>
                <w:color w:val="auto"/>
                <w:highlight w:val="none"/>
              </w:rPr>
            </w:pPr>
          </w:p>
        </w:tc>
      </w:tr>
      <w:tr w14:paraId="7AF671E5">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C2D62B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EFDE90C">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7E94EBCD">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穿戴设备</w:t>
            </w:r>
          </w:p>
        </w:tc>
        <w:tc>
          <w:tcPr>
            <w:tcW w:w="1689" w:type="pct"/>
            <w:tcBorders>
              <w:top w:val="nil"/>
              <w:left w:val="nil"/>
              <w:bottom w:val="single" w:color="000000" w:sz="8" w:space="0"/>
              <w:right w:val="single" w:color="000000" w:sz="8" w:space="0"/>
            </w:tcBorders>
            <w:vAlign w:val="center"/>
          </w:tcPr>
          <w:p w14:paraId="734F334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患者端（微信小程序）</w:t>
            </w:r>
          </w:p>
        </w:tc>
        <w:tc>
          <w:tcPr>
            <w:tcW w:w="1420" w:type="pct"/>
            <w:tcBorders>
              <w:top w:val="nil"/>
              <w:left w:val="nil"/>
              <w:bottom w:val="single" w:color="000000" w:sz="8" w:space="0"/>
              <w:right w:val="single" w:color="000000" w:sz="8" w:space="0"/>
            </w:tcBorders>
            <w:vAlign w:val="center"/>
          </w:tcPr>
          <w:p w14:paraId="0654BB7E">
            <w:pPr>
              <w:pStyle w:val="491"/>
              <w:rPr>
                <w:rFonts w:hint="eastAsia"/>
                <w:color w:val="auto"/>
                <w:highlight w:val="none"/>
              </w:rPr>
            </w:pPr>
          </w:p>
        </w:tc>
      </w:tr>
      <w:tr w14:paraId="348DD07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2C3345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977A86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3DFFED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F070DDE">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医生端APP</w:t>
            </w:r>
          </w:p>
        </w:tc>
        <w:tc>
          <w:tcPr>
            <w:tcW w:w="1420" w:type="pct"/>
            <w:tcBorders>
              <w:top w:val="nil"/>
              <w:left w:val="nil"/>
              <w:bottom w:val="single" w:color="000000" w:sz="8" w:space="0"/>
              <w:right w:val="single" w:color="000000" w:sz="8" w:space="0"/>
            </w:tcBorders>
            <w:vAlign w:val="center"/>
          </w:tcPr>
          <w:p w14:paraId="5F5ECDE5">
            <w:pPr>
              <w:pStyle w:val="491"/>
              <w:rPr>
                <w:rFonts w:hint="eastAsia"/>
                <w:color w:val="auto"/>
                <w:highlight w:val="none"/>
              </w:rPr>
            </w:pPr>
          </w:p>
        </w:tc>
      </w:tr>
      <w:tr w14:paraId="55ED0A0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D12A12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60BDB988">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05F4FF7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7BBF04A3">
            <w:pPr>
              <w:shd w:val="clear"/>
              <w:spacing w:line="4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数据大屏</w:t>
            </w:r>
            <w:r>
              <w:rPr>
                <w:rFonts w:hint="eastAsia" w:ascii="宋体" w:hAnsi="宋体" w:eastAsia="宋体" w:cs="宋体"/>
                <w:color w:val="auto"/>
                <w:sz w:val="21"/>
                <w:szCs w:val="21"/>
                <w:highlight w:val="none"/>
                <w:lang w:val="en-US" w:eastAsia="zh-CN"/>
              </w:rPr>
              <w:t>展示</w:t>
            </w:r>
          </w:p>
        </w:tc>
        <w:tc>
          <w:tcPr>
            <w:tcW w:w="1420" w:type="pct"/>
            <w:tcBorders>
              <w:top w:val="nil"/>
              <w:left w:val="nil"/>
              <w:bottom w:val="single" w:color="000000" w:sz="8" w:space="0"/>
              <w:right w:val="single" w:color="000000" w:sz="8" w:space="0"/>
            </w:tcBorders>
            <w:vAlign w:val="center"/>
          </w:tcPr>
          <w:p w14:paraId="32EC230E">
            <w:pPr>
              <w:pStyle w:val="491"/>
              <w:rPr>
                <w:rFonts w:hint="eastAsia"/>
                <w:color w:val="auto"/>
                <w:highlight w:val="none"/>
              </w:rPr>
            </w:pPr>
          </w:p>
        </w:tc>
      </w:tr>
      <w:tr w14:paraId="2434BDC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1747EF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8763388">
            <w:pPr>
              <w:pStyle w:val="491"/>
              <w:rPr>
                <w:rFonts w:hint="eastAsia"/>
                <w:color w:val="auto"/>
                <w:highlight w:val="none"/>
              </w:rPr>
            </w:pPr>
          </w:p>
        </w:tc>
        <w:tc>
          <w:tcPr>
            <w:tcW w:w="894" w:type="pct"/>
            <w:vMerge w:val="restart"/>
            <w:tcBorders>
              <w:top w:val="nil"/>
              <w:left w:val="nil"/>
              <w:bottom w:val="single" w:color="000000" w:sz="8" w:space="0"/>
              <w:right w:val="single" w:color="000000" w:sz="8" w:space="0"/>
            </w:tcBorders>
            <w:vAlign w:val="center"/>
          </w:tcPr>
          <w:p w14:paraId="445E73B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运营管理</w:t>
            </w:r>
          </w:p>
        </w:tc>
        <w:tc>
          <w:tcPr>
            <w:tcW w:w="1689" w:type="pct"/>
            <w:tcBorders>
              <w:top w:val="nil"/>
              <w:left w:val="nil"/>
              <w:bottom w:val="single" w:color="000000" w:sz="8" w:space="0"/>
              <w:right w:val="single" w:color="000000" w:sz="8" w:space="0"/>
            </w:tcBorders>
            <w:vAlign w:val="center"/>
          </w:tcPr>
          <w:p w14:paraId="543BABB7">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数据分析</w:t>
            </w:r>
          </w:p>
        </w:tc>
        <w:tc>
          <w:tcPr>
            <w:tcW w:w="1420" w:type="pct"/>
            <w:tcBorders>
              <w:top w:val="nil"/>
              <w:left w:val="nil"/>
              <w:bottom w:val="single" w:color="000000" w:sz="8" w:space="0"/>
              <w:right w:val="single" w:color="000000" w:sz="8" w:space="0"/>
            </w:tcBorders>
            <w:vAlign w:val="center"/>
          </w:tcPr>
          <w:p w14:paraId="183C7104">
            <w:pPr>
              <w:pStyle w:val="491"/>
              <w:rPr>
                <w:rFonts w:hint="eastAsia"/>
                <w:color w:val="auto"/>
                <w:highlight w:val="none"/>
              </w:rPr>
            </w:pPr>
          </w:p>
        </w:tc>
      </w:tr>
      <w:tr w14:paraId="665358C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522DF95">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20BBF71">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1C1F3113">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0A75039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基础安全</w:t>
            </w:r>
          </w:p>
        </w:tc>
        <w:tc>
          <w:tcPr>
            <w:tcW w:w="1420" w:type="pct"/>
            <w:tcBorders>
              <w:top w:val="nil"/>
              <w:left w:val="nil"/>
              <w:bottom w:val="single" w:color="000000" w:sz="8" w:space="0"/>
              <w:right w:val="single" w:color="000000" w:sz="8" w:space="0"/>
            </w:tcBorders>
            <w:vAlign w:val="center"/>
          </w:tcPr>
          <w:p w14:paraId="5A6E8580">
            <w:pPr>
              <w:pStyle w:val="491"/>
              <w:rPr>
                <w:rFonts w:hint="eastAsia"/>
                <w:color w:val="auto"/>
                <w:highlight w:val="none"/>
              </w:rPr>
            </w:pPr>
          </w:p>
        </w:tc>
      </w:tr>
      <w:tr w14:paraId="2976CFEE">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1675059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34E9A4C4">
            <w:pPr>
              <w:pStyle w:val="491"/>
              <w:rPr>
                <w:rFonts w:hint="eastAsia"/>
                <w:color w:val="auto"/>
                <w:highlight w:val="none"/>
              </w:rPr>
            </w:pPr>
          </w:p>
        </w:tc>
        <w:tc>
          <w:tcPr>
            <w:tcW w:w="894" w:type="pct"/>
            <w:vMerge w:val="continue"/>
            <w:tcBorders>
              <w:top w:val="nil"/>
              <w:left w:val="nil"/>
              <w:bottom w:val="single" w:color="000000" w:sz="8" w:space="0"/>
              <w:right w:val="single" w:color="000000" w:sz="8" w:space="0"/>
            </w:tcBorders>
            <w:vAlign w:val="center"/>
          </w:tcPr>
          <w:p w14:paraId="78207D84">
            <w:pPr>
              <w:shd w:val="clear"/>
              <w:spacing w:line="400" w:lineRule="exact"/>
              <w:jc w:val="both"/>
              <w:rPr>
                <w:rFonts w:hint="eastAsia" w:ascii="宋体" w:hAnsi="宋体" w:eastAsia="宋体" w:cs="宋体"/>
                <w:color w:val="auto"/>
                <w:sz w:val="21"/>
                <w:szCs w:val="21"/>
                <w:highlight w:val="none"/>
              </w:rPr>
            </w:pPr>
          </w:p>
        </w:tc>
        <w:tc>
          <w:tcPr>
            <w:tcW w:w="1689" w:type="pct"/>
            <w:tcBorders>
              <w:top w:val="nil"/>
              <w:left w:val="nil"/>
              <w:bottom w:val="single" w:color="000000" w:sz="8" w:space="0"/>
              <w:right w:val="single" w:color="000000" w:sz="8" w:space="0"/>
            </w:tcBorders>
            <w:vAlign w:val="center"/>
          </w:tcPr>
          <w:p w14:paraId="3996192A">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监管数据校验</w:t>
            </w:r>
          </w:p>
        </w:tc>
        <w:tc>
          <w:tcPr>
            <w:tcW w:w="1420" w:type="pct"/>
            <w:tcBorders>
              <w:top w:val="nil"/>
              <w:left w:val="nil"/>
              <w:bottom w:val="single" w:color="000000" w:sz="8" w:space="0"/>
              <w:right w:val="single" w:color="000000" w:sz="8" w:space="0"/>
            </w:tcBorders>
            <w:vAlign w:val="center"/>
          </w:tcPr>
          <w:p w14:paraId="0116CE34">
            <w:pPr>
              <w:pStyle w:val="491"/>
              <w:rPr>
                <w:rFonts w:hint="eastAsia"/>
                <w:color w:val="auto"/>
                <w:highlight w:val="none"/>
              </w:rPr>
            </w:pPr>
          </w:p>
        </w:tc>
      </w:tr>
      <w:tr w14:paraId="58CC3287">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2C0CED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4B601AF7">
            <w:pPr>
              <w:pStyle w:val="491"/>
              <w:rPr>
                <w:rFonts w:hint="eastAsia"/>
                <w:color w:val="auto"/>
                <w:highlight w:val="none"/>
              </w:rPr>
            </w:pPr>
          </w:p>
        </w:tc>
        <w:tc>
          <w:tcPr>
            <w:tcW w:w="894" w:type="pct"/>
            <w:tcBorders>
              <w:top w:val="nil"/>
              <w:left w:val="nil"/>
              <w:bottom w:val="single" w:color="000000" w:sz="8" w:space="0"/>
              <w:right w:val="single" w:color="000000" w:sz="8" w:space="0"/>
            </w:tcBorders>
            <w:vAlign w:val="center"/>
          </w:tcPr>
          <w:p w14:paraId="4ED98B29">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云服务</w:t>
            </w:r>
          </w:p>
        </w:tc>
        <w:tc>
          <w:tcPr>
            <w:tcW w:w="1689" w:type="pct"/>
            <w:tcBorders>
              <w:top w:val="nil"/>
              <w:left w:val="nil"/>
              <w:bottom w:val="single" w:color="000000" w:sz="8" w:space="0"/>
              <w:right w:val="single" w:color="000000" w:sz="8" w:space="0"/>
            </w:tcBorders>
            <w:vAlign w:val="center"/>
          </w:tcPr>
          <w:p w14:paraId="0D7BC28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提供对应云资源部署</w:t>
            </w:r>
          </w:p>
        </w:tc>
        <w:tc>
          <w:tcPr>
            <w:tcW w:w="1420" w:type="pct"/>
            <w:tcBorders>
              <w:top w:val="nil"/>
              <w:left w:val="nil"/>
              <w:bottom w:val="single" w:color="000000" w:sz="8" w:space="0"/>
              <w:right w:val="single" w:color="000000" w:sz="8" w:space="0"/>
            </w:tcBorders>
            <w:vAlign w:val="center"/>
          </w:tcPr>
          <w:p w14:paraId="1A209A71">
            <w:pPr>
              <w:pStyle w:val="491"/>
              <w:rPr>
                <w:rFonts w:hint="eastAsia"/>
                <w:color w:val="auto"/>
                <w:highlight w:val="none"/>
              </w:rPr>
            </w:pPr>
          </w:p>
        </w:tc>
      </w:tr>
      <w:tr w14:paraId="65D1D35B">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7B680F1">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C555AB4">
            <w:pPr>
              <w:pStyle w:val="491"/>
              <w:rPr>
                <w:rFonts w:hint="eastAsia"/>
                <w:color w:val="auto"/>
                <w:highlight w:val="none"/>
              </w:rPr>
            </w:pPr>
          </w:p>
        </w:tc>
        <w:tc>
          <w:tcPr>
            <w:tcW w:w="894" w:type="pct"/>
            <w:tcBorders>
              <w:top w:val="nil"/>
              <w:left w:val="nil"/>
              <w:bottom w:val="single" w:color="000000" w:sz="8" w:space="0"/>
              <w:right w:val="single" w:color="000000" w:sz="8" w:space="0"/>
            </w:tcBorders>
            <w:vAlign w:val="center"/>
          </w:tcPr>
          <w:p w14:paraId="6607C84C">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智能体</w:t>
            </w:r>
          </w:p>
        </w:tc>
        <w:tc>
          <w:tcPr>
            <w:tcW w:w="1689" w:type="pct"/>
            <w:tcBorders>
              <w:top w:val="nil"/>
              <w:left w:val="nil"/>
              <w:bottom w:val="single" w:color="000000" w:sz="8" w:space="0"/>
              <w:right w:val="single" w:color="000000" w:sz="8" w:space="0"/>
            </w:tcBorders>
            <w:vAlign w:val="center"/>
          </w:tcPr>
          <w:p w14:paraId="6D14B482">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智能体云资源调用服务</w:t>
            </w:r>
          </w:p>
        </w:tc>
        <w:tc>
          <w:tcPr>
            <w:tcW w:w="1420" w:type="pct"/>
            <w:tcBorders>
              <w:top w:val="nil"/>
              <w:left w:val="nil"/>
              <w:bottom w:val="single" w:color="000000" w:sz="8" w:space="0"/>
              <w:right w:val="single" w:color="000000" w:sz="8" w:space="0"/>
            </w:tcBorders>
            <w:vAlign w:val="center"/>
          </w:tcPr>
          <w:p w14:paraId="66E6C00F">
            <w:pPr>
              <w:pStyle w:val="491"/>
              <w:rPr>
                <w:rFonts w:hint="eastAsia"/>
                <w:color w:val="auto"/>
                <w:highlight w:val="none"/>
              </w:rPr>
            </w:pPr>
          </w:p>
        </w:tc>
      </w:tr>
      <w:tr w14:paraId="26AAF6EF">
        <w:tblPrEx>
          <w:tblCellMar>
            <w:top w:w="0" w:type="dxa"/>
            <w:left w:w="108" w:type="dxa"/>
            <w:bottom w:w="0" w:type="dxa"/>
            <w:right w:w="108" w:type="dxa"/>
          </w:tblCellMar>
        </w:tblPrEx>
        <w:trPr>
          <w:trHeight w:val="240" w:hRule="atLeast"/>
        </w:trPr>
        <w:tc>
          <w:tcPr>
            <w:tcW w:w="228" w:type="pct"/>
            <w:vMerge w:val="restart"/>
            <w:tcBorders>
              <w:top w:val="nil"/>
              <w:left w:val="single" w:color="000000" w:sz="8" w:space="0"/>
              <w:bottom w:val="single" w:color="000000" w:sz="8" w:space="0"/>
              <w:right w:val="single" w:color="000000" w:sz="8" w:space="0"/>
            </w:tcBorders>
            <w:vAlign w:val="center"/>
          </w:tcPr>
          <w:p w14:paraId="2160EA2F">
            <w:pPr>
              <w:pStyle w:val="491"/>
              <w:rPr>
                <w:rFonts w:hint="eastAsia"/>
                <w:color w:val="auto"/>
                <w:highlight w:val="none"/>
              </w:rPr>
            </w:pPr>
            <w:r>
              <w:rPr>
                <w:rFonts w:hint="eastAsia"/>
                <w:color w:val="auto"/>
                <w:highlight w:val="none"/>
              </w:rPr>
              <w:t>4</w:t>
            </w:r>
          </w:p>
        </w:tc>
        <w:tc>
          <w:tcPr>
            <w:tcW w:w="766" w:type="pct"/>
            <w:vMerge w:val="restart"/>
            <w:tcBorders>
              <w:top w:val="nil"/>
              <w:left w:val="nil"/>
              <w:bottom w:val="single" w:color="000000" w:sz="8" w:space="0"/>
              <w:right w:val="single" w:color="000000" w:sz="8" w:space="0"/>
            </w:tcBorders>
            <w:vAlign w:val="center"/>
          </w:tcPr>
          <w:p w14:paraId="08F6AB8D">
            <w:pPr>
              <w:pStyle w:val="491"/>
              <w:rPr>
                <w:rFonts w:hint="eastAsia"/>
                <w:color w:val="auto"/>
                <w:highlight w:val="none"/>
              </w:rPr>
            </w:pPr>
            <w:r>
              <w:rPr>
                <w:rFonts w:hint="eastAsia"/>
                <w:color w:val="auto"/>
                <w:highlight w:val="none"/>
              </w:rPr>
              <w:t>本地化改造及运维服务能力提升</w:t>
            </w:r>
          </w:p>
        </w:tc>
        <w:tc>
          <w:tcPr>
            <w:tcW w:w="2583" w:type="pct"/>
            <w:gridSpan w:val="2"/>
            <w:tcBorders>
              <w:top w:val="nil"/>
              <w:left w:val="nil"/>
              <w:bottom w:val="single" w:color="000000" w:sz="8" w:space="0"/>
              <w:right w:val="single" w:color="000000" w:sz="8" w:space="0"/>
            </w:tcBorders>
            <w:vAlign w:val="center"/>
          </w:tcPr>
          <w:p w14:paraId="4E1E58D3">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系统日常运维</w:t>
            </w:r>
          </w:p>
        </w:tc>
        <w:tc>
          <w:tcPr>
            <w:tcW w:w="1420" w:type="pct"/>
            <w:tcBorders>
              <w:top w:val="nil"/>
              <w:left w:val="nil"/>
              <w:bottom w:val="single" w:color="000000" w:sz="8" w:space="0"/>
              <w:right w:val="single" w:color="000000" w:sz="8" w:space="0"/>
            </w:tcBorders>
            <w:vAlign w:val="center"/>
          </w:tcPr>
          <w:p w14:paraId="001938A8">
            <w:pPr>
              <w:pStyle w:val="491"/>
              <w:rPr>
                <w:rFonts w:hint="eastAsia"/>
                <w:color w:val="auto"/>
                <w:highlight w:val="none"/>
              </w:rPr>
            </w:pPr>
          </w:p>
        </w:tc>
      </w:tr>
      <w:tr w14:paraId="1928AD2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5F0D5730">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AB32557">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3CAD6548">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服务器数据库日常运维</w:t>
            </w:r>
          </w:p>
        </w:tc>
        <w:tc>
          <w:tcPr>
            <w:tcW w:w="1420" w:type="pct"/>
            <w:tcBorders>
              <w:top w:val="nil"/>
              <w:left w:val="nil"/>
              <w:bottom w:val="single" w:color="000000" w:sz="8" w:space="0"/>
              <w:right w:val="single" w:color="000000" w:sz="8" w:space="0"/>
            </w:tcBorders>
            <w:vAlign w:val="center"/>
          </w:tcPr>
          <w:p w14:paraId="5D6259BB">
            <w:pPr>
              <w:pStyle w:val="491"/>
              <w:rPr>
                <w:rFonts w:hint="eastAsia"/>
                <w:color w:val="auto"/>
                <w:highlight w:val="none"/>
              </w:rPr>
            </w:pPr>
          </w:p>
        </w:tc>
      </w:tr>
      <w:tr w14:paraId="1BCF1D08">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17AA82A">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7FDCBEF0">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48376E7F">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政策性接口</w:t>
            </w:r>
          </w:p>
        </w:tc>
        <w:tc>
          <w:tcPr>
            <w:tcW w:w="1420" w:type="pct"/>
            <w:tcBorders>
              <w:top w:val="nil"/>
              <w:left w:val="nil"/>
              <w:bottom w:val="single" w:color="000000" w:sz="8" w:space="0"/>
              <w:right w:val="single" w:color="000000" w:sz="8" w:space="0"/>
            </w:tcBorders>
            <w:vAlign w:val="center"/>
          </w:tcPr>
          <w:p w14:paraId="1A882949">
            <w:pPr>
              <w:pStyle w:val="491"/>
              <w:rPr>
                <w:rFonts w:hint="eastAsia"/>
                <w:color w:val="auto"/>
                <w:highlight w:val="none"/>
              </w:rPr>
            </w:pPr>
          </w:p>
        </w:tc>
      </w:tr>
      <w:tr w14:paraId="65577110">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79BA8EAE">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065FDEF3">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266B8BFB">
            <w:pPr>
              <w:shd w:val="clear"/>
              <w:spacing w:line="4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业务系统功能需求改造</w:t>
            </w:r>
          </w:p>
        </w:tc>
        <w:tc>
          <w:tcPr>
            <w:tcW w:w="1420" w:type="pct"/>
            <w:tcBorders>
              <w:top w:val="nil"/>
              <w:left w:val="nil"/>
              <w:bottom w:val="single" w:color="000000" w:sz="8" w:space="0"/>
              <w:right w:val="single" w:color="000000" w:sz="8" w:space="0"/>
            </w:tcBorders>
            <w:vAlign w:val="center"/>
          </w:tcPr>
          <w:p w14:paraId="0188C077">
            <w:pPr>
              <w:pStyle w:val="491"/>
              <w:rPr>
                <w:rFonts w:hint="eastAsia"/>
                <w:color w:val="auto"/>
                <w:highlight w:val="none"/>
              </w:rPr>
            </w:pPr>
          </w:p>
        </w:tc>
      </w:tr>
      <w:tr w14:paraId="14520B7C">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0E89E464">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143FDDC9">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503FA3B3">
            <w:pPr>
              <w:pStyle w:val="491"/>
              <w:rPr>
                <w:rFonts w:hint="eastAsia"/>
                <w:color w:val="auto"/>
                <w:highlight w:val="none"/>
              </w:rPr>
            </w:pPr>
            <w:r>
              <w:rPr>
                <w:rFonts w:hint="eastAsia"/>
                <w:color w:val="auto"/>
                <w:highlight w:val="none"/>
              </w:rPr>
              <w:t>日常报表、数据统计服务</w:t>
            </w:r>
          </w:p>
        </w:tc>
        <w:tc>
          <w:tcPr>
            <w:tcW w:w="1420" w:type="pct"/>
            <w:tcBorders>
              <w:top w:val="nil"/>
              <w:left w:val="nil"/>
              <w:bottom w:val="single" w:color="000000" w:sz="8" w:space="0"/>
              <w:right w:val="single" w:color="000000" w:sz="8" w:space="0"/>
            </w:tcBorders>
            <w:vAlign w:val="center"/>
          </w:tcPr>
          <w:p w14:paraId="3AC0E34E">
            <w:pPr>
              <w:pStyle w:val="491"/>
              <w:rPr>
                <w:rFonts w:hint="eastAsia"/>
                <w:color w:val="auto"/>
                <w:highlight w:val="none"/>
              </w:rPr>
            </w:pPr>
          </w:p>
        </w:tc>
      </w:tr>
      <w:tr w14:paraId="0E0E5022">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2E7DE9D8">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BD9DBD0">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50A710C2">
            <w:pPr>
              <w:pStyle w:val="491"/>
              <w:rPr>
                <w:rFonts w:hint="eastAsia"/>
                <w:color w:val="auto"/>
                <w:highlight w:val="none"/>
              </w:rPr>
            </w:pPr>
            <w:r>
              <w:rPr>
                <w:rFonts w:hint="eastAsia"/>
                <w:color w:val="auto"/>
                <w:highlight w:val="none"/>
              </w:rPr>
              <w:t>数据治理与合规改进服务</w:t>
            </w:r>
          </w:p>
        </w:tc>
        <w:tc>
          <w:tcPr>
            <w:tcW w:w="1420" w:type="pct"/>
            <w:tcBorders>
              <w:top w:val="nil"/>
              <w:left w:val="nil"/>
              <w:bottom w:val="single" w:color="000000" w:sz="8" w:space="0"/>
              <w:right w:val="single" w:color="000000" w:sz="8" w:space="0"/>
            </w:tcBorders>
            <w:vAlign w:val="center"/>
          </w:tcPr>
          <w:p w14:paraId="77887D44">
            <w:pPr>
              <w:pStyle w:val="491"/>
              <w:rPr>
                <w:rFonts w:hint="eastAsia"/>
                <w:color w:val="auto"/>
                <w:highlight w:val="none"/>
              </w:rPr>
            </w:pPr>
          </w:p>
        </w:tc>
      </w:tr>
      <w:tr w14:paraId="34C1F41E">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3A09714D">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F25066F">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6A56A1BB">
            <w:pPr>
              <w:pStyle w:val="491"/>
              <w:rPr>
                <w:rFonts w:hint="eastAsia"/>
                <w:color w:val="auto"/>
                <w:highlight w:val="none"/>
              </w:rPr>
            </w:pPr>
            <w:r>
              <w:rPr>
                <w:rFonts w:hint="eastAsia"/>
                <w:color w:val="auto"/>
                <w:highlight w:val="none"/>
              </w:rPr>
              <w:t>临床满意度提升巡检服务</w:t>
            </w:r>
          </w:p>
        </w:tc>
        <w:tc>
          <w:tcPr>
            <w:tcW w:w="1420" w:type="pct"/>
            <w:tcBorders>
              <w:top w:val="nil"/>
              <w:left w:val="nil"/>
              <w:bottom w:val="single" w:color="000000" w:sz="8" w:space="0"/>
              <w:right w:val="single" w:color="000000" w:sz="8" w:space="0"/>
            </w:tcBorders>
            <w:vAlign w:val="center"/>
          </w:tcPr>
          <w:p w14:paraId="0F0194D6">
            <w:pPr>
              <w:pStyle w:val="491"/>
              <w:rPr>
                <w:rFonts w:hint="eastAsia"/>
                <w:color w:val="auto"/>
                <w:highlight w:val="none"/>
              </w:rPr>
            </w:pPr>
          </w:p>
        </w:tc>
      </w:tr>
      <w:tr w14:paraId="4F15117B">
        <w:tblPrEx>
          <w:tblCellMar>
            <w:top w:w="0" w:type="dxa"/>
            <w:left w:w="108" w:type="dxa"/>
            <w:bottom w:w="0" w:type="dxa"/>
            <w:right w:w="108" w:type="dxa"/>
          </w:tblCellMar>
        </w:tblPrEx>
        <w:trPr>
          <w:trHeight w:val="240" w:hRule="atLeast"/>
        </w:trPr>
        <w:tc>
          <w:tcPr>
            <w:tcW w:w="228" w:type="pct"/>
            <w:vMerge w:val="continue"/>
            <w:tcBorders>
              <w:top w:val="nil"/>
              <w:left w:val="single" w:color="000000" w:sz="8" w:space="0"/>
              <w:bottom w:val="single" w:color="000000" w:sz="8" w:space="0"/>
              <w:right w:val="single" w:color="000000" w:sz="8" w:space="0"/>
            </w:tcBorders>
            <w:vAlign w:val="center"/>
          </w:tcPr>
          <w:p w14:paraId="43DE7F4E">
            <w:pPr>
              <w:pStyle w:val="491"/>
              <w:rPr>
                <w:rFonts w:hint="eastAsia"/>
                <w:color w:val="auto"/>
                <w:highlight w:val="none"/>
              </w:rPr>
            </w:pPr>
          </w:p>
        </w:tc>
        <w:tc>
          <w:tcPr>
            <w:tcW w:w="766" w:type="pct"/>
            <w:vMerge w:val="continue"/>
            <w:tcBorders>
              <w:top w:val="nil"/>
              <w:left w:val="nil"/>
              <w:bottom w:val="single" w:color="000000" w:sz="8" w:space="0"/>
              <w:right w:val="single" w:color="000000" w:sz="8" w:space="0"/>
            </w:tcBorders>
            <w:vAlign w:val="center"/>
          </w:tcPr>
          <w:p w14:paraId="52683168">
            <w:pPr>
              <w:pStyle w:val="491"/>
              <w:rPr>
                <w:rFonts w:hint="eastAsia"/>
                <w:color w:val="auto"/>
                <w:highlight w:val="none"/>
              </w:rPr>
            </w:pPr>
          </w:p>
        </w:tc>
        <w:tc>
          <w:tcPr>
            <w:tcW w:w="2583" w:type="pct"/>
            <w:gridSpan w:val="2"/>
            <w:tcBorders>
              <w:top w:val="nil"/>
              <w:left w:val="nil"/>
              <w:bottom w:val="single" w:color="000000" w:sz="8" w:space="0"/>
              <w:right w:val="single" w:color="000000" w:sz="8" w:space="0"/>
            </w:tcBorders>
            <w:vAlign w:val="center"/>
          </w:tcPr>
          <w:p w14:paraId="7E868A12">
            <w:pPr>
              <w:pStyle w:val="491"/>
              <w:rPr>
                <w:rFonts w:hint="eastAsia"/>
                <w:color w:val="auto"/>
                <w:highlight w:val="none"/>
              </w:rPr>
            </w:pPr>
            <w:r>
              <w:rPr>
                <w:rFonts w:hint="eastAsia"/>
                <w:color w:val="auto"/>
                <w:highlight w:val="none"/>
              </w:rPr>
              <w:t>系统性能季度改善</w:t>
            </w:r>
          </w:p>
        </w:tc>
        <w:tc>
          <w:tcPr>
            <w:tcW w:w="1420" w:type="pct"/>
            <w:tcBorders>
              <w:top w:val="nil"/>
              <w:left w:val="nil"/>
              <w:bottom w:val="single" w:color="000000" w:sz="8" w:space="0"/>
              <w:right w:val="single" w:color="000000" w:sz="8" w:space="0"/>
            </w:tcBorders>
            <w:vAlign w:val="center"/>
          </w:tcPr>
          <w:p w14:paraId="0057A38C">
            <w:pPr>
              <w:pStyle w:val="491"/>
              <w:rPr>
                <w:rFonts w:hint="eastAsia"/>
                <w:color w:val="auto"/>
                <w:highlight w:val="none"/>
              </w:rPr>
            </w:pPr>
          </w:p>
        </w:tc>
      </w:tr>
    </w:tbl>
    <w:p w14:paraId="4F2856D1">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2ACE7F1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281AF06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412ED427">
      <w:pPr>
        <w:pStyle w:val="4"/>
        <w:bidi w:val="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附件14 团队成员</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929"/>
        <w:gridCol w:w="1800"/>
        <w:gridCol w:w="1548"/>
        <w:gridCol w:w="1548"/>
        <w:gridCol w:w="1548"/>
      </w:tblGrid>
      <w:tr w14:paraId="266C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48CB0DAA">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1929" w:type="dxa"/>
          </w:tcPr>
          <w:p w14:paraId="5814FF45">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姓名</w:t>
            </w:r>
          </w:p>
        </w:tc>
        <w:tc>
          <w:tcPr>
            <w:tcW w:w="1800" w:type="dxa"/>
          </w:tcPr>
          <w:p w14:paraId="44AAFF95">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团队拟派岗位</w:t>
            </w:r>
          </w:p>
        </w:tc>
        <w:tc>
          <w:tcPr>
            <w:tcW w:w="1548" w:type="dxa"/>
          </w:tcPr>
          <w:p w14:paraId="3F229FA8">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工作经验</w:t>
            </w:r>
          </w:p>
        </w:tc>
        <w:tc>
          <w:tcPr>
            <w:tcW w:w="1548" w:type="dxa"/>
          </w:tcPr>
          <w:p w14:paraId="6D668555">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证书</w:t>
            </w:r>
          </w:p>
        </w:tc>
        <w:tc>
          <w:tcPr>
            <w:tcW w:w="1548" w:type="dxa"/>
          </w:tcPr>
          <w:p w14:paraId="2B5D90F4">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自有人员/外聘人员</w:t>
            </w:r>
          </w:p>
        </w:tc>
      </w:tr>
      <w:tr w14:paraId="7A2A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5D9FEFEE">
            <w:pPr>
              <w:pStyle w:val="4"/>
              <w:bidi w:val="0"/>
              <w:rPr>
                <w:rFonts w:hint="eastAsia" w:ascii="宋体" w:hAnsi="宋体" w:eastAsia="宋体" w:cs="宋体"/>
                <w:color w:val="auto"/>
                <w:sz w:val="28"/>
                <w:szCs w:val="28"/>
                <w:highlight w:val="none"/>
                <w:vertAlign w:val="baseline"/>
                <w:lang w:val="en-US" w:eastAsia="zh-CN"/>
              </w:rPr>
            </w:pPr>
          </w:p>
        </w:tc>
        <w:tc>
          <w:tcPr>
            <w:tcW w:w="1929" w:type="dxa"/>
          </w:tcPr>
          <w:p w14:paraId="262C61BF">
            <w:pPr>
              <w:pStyle w:val="4"/>
              <w:bidi w:val="0"/>
              <w:rPr>
                <w:rFonts w:hint="eastAsia" w:ascii="宋体" w:hAnsi="宋体" w:eastAsia="宋体" w:cs="宋体"/>
                <w:color w:val="auto"/>
                <w:sz w:val="28"/>
                <w:szCs w:val="28"/>
                <w:highlight w:val="none"/>
                <w:vertAlign w:val="baseline"/>
                <w:lang w:val="en-US" w:eastAsia="zh-CN"/>
              </w:rPr>
            </w:pPr>
          </w:p>
        </w:tc>
        <w:tc>
          <w:tcPr>
            <w:tcW w:w="1800" w:type="dxa"/>
          </w:tcPr>
          <w:p w14:paraId="101F987A">
            <w:pPr>
              <w:pStyle w:val="4"/>
              <w:bidi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项目经理</w:t>
            </w:r>
          </w:p>
        </w:tc>
        <w:tc>
          <w:tcPr>
            <w:tcW w:w="1548" w:type="dxa"/>
          </w:tcPr>
          <w:p w14:paraId="034A13B8">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08816344">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04A625E8">
            <w:pPr>
              <w:pStyle w:val="4"/>
              <w:bidi w:val="0"/>
              <w:rPr>
                <w:rFonts w:hint="eastAsia" w:ascii="宋体" w:hAnsi="宋体" w:eastAsia="宋体" w:cs="宋体"/>
                <w:color w:val="auto"/>
                <w:sz w:val="28"/>
                <w:szCs w:val="28"/>
                <w:highlight w:val="none"/>
                <w:vertAlign w:val="baseline"/>
                <w:lang w:val="en-US" w:eastAsia="zh-CN"/>
              </w:rPr>
            </w:pPr>
          </w:p>
        </w:tc>
      </w:tr>
      <w:tr w14:paraId="32E8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0D7889F2">
            <w:pPr>
              <w:pStyle w:val="4"/>
              <w:bidi w:val="0"/>
              <w:rPr>
                <w:rFonts w:hint="eastAsia" w:ascii="宋体" w:hAnsi="宋体" w:eastAsia="宋体" w:cs="宋体"/>
                <w:color w:val="auto"/>
                <w:sz w:val="28"/>
                <w:szCs w:val="28"/>
                <w:highlight w:val="none"/>
                <w:vertAlign w:val="baseline"/>
                <w:lang w:val="en-US" w:eastAsia="zh-CN"/>
              </w:rPr>
            </w:pPr>
          </w:p>
        </w:tc>
        <w:tc>
          <w:tcPr>
            <w:tcW w:w="1929" w:type="dxa"/>
          </w:tcPr>
          <w:p w14:paraId="6C267523">
            <w:pPr>
              <w:pStyle w:val="4"/>
              <w:bidi w:val="0"/>
              <w:rPr>
                <w:rFonts w:hint="eastAsia" w:ascii="宋体" w:hAnsi="宋体" w:eastAsia="宋体" w:cs="宋体"/>
                <w:color w:val="auto"/>
                <w:sz w:val="28"/>
                <w:szCs w:val="28"/>
                <w:highlight w:val="none"/>
                <w:vertAlign w:val="baseline"/>
                <w:lang w:val="en-US" w:eastAsia="zh-CN"/>
              </w:rPr>
            </w:pPr>
          </w:p>
        </w:tc>
        <w:tc>
          <w:tcPr>
            <w:tcW w:w="1800" w:type="dxa"/>
          </w:tcPr>
          <w:p w14:paraId="54B5023C">
            <w:pPr>
              <w:pStyle w:val="4"/>
              <w:bidi w:val="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系统工程师</w:t>
            </w:r>
          </w:p>
        </w:tc>
        <w:tc>
          <w:tcPr>
            <w:tcW w:w="1548" w:type="dxa"/>
          </w:tcPr>
          <w:p w14:paraId="3FBFDF6B">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37991DD8">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2CC4BEDE">
            <w:pPr>
              <w:pStyle w:val="4"/>
              <w:bidi w:val="0"/>
              <w:rPr>
                <w:rFonts w:hint="eastAsia" w:ascii="宋体" w:hAnsi="宋体" w:eastAsia="宋体" w:cs="宋体"/>
                <w:color w:val="auto"/>
                <w:sz w:val="28"/>
                <w:szCs w:val="28"/>
                <w:highlight w:val="none"/>
                <w:vertAlign w:val="baseline"/>
                <w:lang w:val="en-US" w:eastAsia="zh-CN"/>
              </w:rPr>
            </w:pPr>
          </w:p>
        </w:tc>
      </w:tr>
      <w:tr w14:paraId="5C4C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564649F1">
            <w:pPr>
              <w:pStyle w:val="4"/>
              <w:bidi w:val="0"/>
              <w:rPr>
                <w:rFonts w:hint="eastAsia" w:ascii="宋体" w:hAnsi="宋体" w:eastAsia="宋体" w:cs="宋体"/>
                <w:color w:val="auto"/>
                <w:sz w:val="28"/>
                <w:szCs w:val="28"/>
                <w:highlight w:val="none"/>
                <w:vertAlign w:val="baseline"/>
                <w:lang w:val="en-US" w:eastAsia="zh-CN"/>
              </w:rPr>
            </w:pPr>
          </w:p>
        </w:tc>
        <w:tc>
          <w:tcPr>
            <w:tcW w:w="1929" w:type="dxa"/>
          </w:tcPr>
          <w:p w14:paraId="54F1A401">
            <w:pPr>
              <w:pStyle w:val="4"/>
              <w:bidi w:val="0"/>
              <w:rPr>
                <w:rFonts w:hint="eastAsia" w:ascii="宋体" w:hAnsi="宋体" w:eastAsia="宋体" w:cs="宋体"/>
                <w:color w:val="auto"/>
                <w:sz w:val="28"/>
                <w:szCs w:val="28"/>
                <w:highlight w:val="none"/>
                <w:vertAlign w:val="baseline"/>
                <w:lang w:val="en-US" w:eastAsia="zh-CN"/>
              </w:rPr>
            </w:pPr>
          </w:p>
        </w:tc>
        <w:tc>
          <w:tcPr>
            <w:tcW w:w="1800" w:type="dxa"/>
          </w:tcPr>
          <w:p w14:paraId="21EE3986">
            <w:pPr>
              <w:pStyle w:val="4"/>
              <w:bidi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项目实施、运维服务人员</w:t>
            </w:r>
          </w:p>
        </w:tc>
        <w:tc>
          <w:tcPr>
            <w:tcW w:w="1548" w:type="dxa"/>
          </w:tcPr>
          <w:p w14:paraId="09E03F5A">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7A0950F4">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7310B973">
            <w:pPr>
              <w:pStyle w:val="4"/>
              <w:bidi w:val="0"/>
              <w:rPr>
                <w:rFonts w:hint="eastAsia" w:ascii="宋体" w:hAnsi="宋体" w:eastAsia="宋体" w:cs="宋体"/>
                <w:color w:val="auto"/>
                <w:sz w:val="28"/>
                <w:szCs w:val="28"/>
                <w:highlight w:val="none"/>
                <w:vertAlign w:val="baseline"/>
                <w:lang w:val="en-US" w:eastAsia="zh-CN"/>
              </w:rPr>
            </w:pPr>
          </w:p>
        </w:tc>
      </w:tr>
      <w:tr w14:paraId="530A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329BAB71">
            <w:pPr>
              <w:pStyle w:val="4"/>
              <w:bidi w:val="0"/>
              <w:rPr>
                <w:rFonts w:hint="eastAsia" w:ascii="宋体" w:hAnsi="宋体" w:eastAsia="宋体" w:cs="宋体"/>
                <w:color w:val="auto"/>
                <w:sz w:val="28"/>
                <w:szCs w:val="28"/>
                <w:highlight w:val="none"/>
                <w:vertAlign w:val="baseline"/>
                <w:lang w:val="en-US" w:eastAsia="zh-CN"/>
              </w:rPr>
            </w:pPr>
          </w:p>
        </w:tc>
        <w:tc>
          <w:tcPr>
            <w:tcW w:w="1929" w:type="dxa"/>
          </w:tcPr>
          <w:p w14:paraId="545E0162">
            <w:pPr>
              <w:pStyle w:val="4"/>
              <w:bidi w:val="0"/>
              <w:rPr>
                <w:rFonts w:hint="eastAsia" w:ascii="宋体" w:hAnsi="宋体" w:eastAsia="宋体" w:cs="宋体"/>
                <w:color w:val="auto"/>
                <w:sz w:val="28"/>
                <w:szCs w:val="28"/>
                <w:highlight w:val="none"/>
                <w:vertAlign w:val="baseline"/>
                <w:lang w:val="en-US" w:eastAsia="zh-CN"/>
              </w:rPr>
            </w:pPr>
          </w:p>
        </w:tc>
        <w:tc>
          <w:tcPr>
            <w:tcW w:w="1800" w:type="dxa"/>
          </w:tcPr>
          <w:p w14:paraId="25A85C66">
            <w:pPr>
              <w:pStyle w:val="4"/>
              <w:bidi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项目管理与上线支持人员</w:t>
            </w:r>
          </w:p>
        </w:tc>
        <w:tc>
          <w:tcPr>
            <w:tcW w:w="1548" w:type="dxa"/>
          </w:tcPr>
          <w:p w14:paraId="3238C0E9">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4BBCD618">
            <w:pPr>
              <w:pStyle w:val="4"/>
              <w:bidi w:val="0"/>
              <w:rPr>
                <w:rFonts w:hint="eastAsia" w:ascii="宋体" w:hAnsi="宋体" w:eastAsia="宋体" w:cs="宋体"/>
                <w:color w:val="auto"/>
                <w:sz w:val="28"/>
                <w:szCs w:val="28"/>
                <w:highlight w:val="none"/>
                <w:vertAlign w:val="baseline"/>
                <w:lang w:val="en-US" w:eastAsia="zh-CN"/>
              </w:rPr>
            </w:pPr>
          </w:p>
        </w:tc>
        <w:tc>
          <w:tcPr>
            <w:tcW w:w="1548" w:type="dxa"/>
          </w:tcPr>
          <w:p w14:paraId="5486D340">
            <w:pPr>
              <w:pStyle w:val="4"/>
              <w:bidi w:val="0"/>
              <w:rPr>
                <w:rFonts w:hint="eastAsia" w:ascii="宋体" w:hAnsi="宋体" w:eastAsia="宋体" w:cs="宋体"/>
                <w:color w:val="auto"/>
                <w:sz w:val="28"/>
                <w:szCs w:val="28"/>
                <w:highlight w:val="none"/>
                <w:vertAlign w:val="baseline"/>
                <w:lang w:val="en-US" w:eastAsia="zh-CN"/>
              </w:rPr>
            </w:pPr>
          </w:p>
        </w:tc>
      </w:tr>
    </w:tbl>
    <w:p w14:paraId="2160657B">
      <w:pPr>
        <w:rPr>
          <w:rFonts w:hint="eastAsia"/>
          <w:b/>
          <w:bCs/>
          <w:color w:val="auto"/>
          <w:sz w:val="24"/>
          <w:szCs w:val="32"/>
          <w:highlight w:val="none"/>
          <w:lang w:val="en-US" w:eastAsia="zh-CN"/>
        </w:rPr>
      </w:pPr>
    </w:p>
    <w:p w14:paraId="3BB14F62">
      <w:pPr>
        <w:rPr>
          <w:rFonts w:hint="default"/>
          <w:b/>
          <w:bCs/>
          <w:color w:val="auto"/>
          <w:sz w:val="24"/>
          <w:szCs w:val="32"/>
          <w:highlight w:val="none"/>
          <w:lang w:val="en-US" w:eastAsia="zh-CN"/>
        </w:rPr>
      </w:pPr>
      <w:r>
        <w:rPr>
          <w:rFonts w:hint="eastAsia"/>
          <w:b/>
          <w:bCs/>
          <w:color w:val="auto"/>
          <w:sz w:val="24"/>
          <w:szCs w:val="32"/>
          <w:highlight w:val="none"/>
          <w:lang w:val="en-US" w:eastAsia="zh-CN"/>
        </w:rPr>
        <w:t>表后附人员的身份证、资格证书（如有）、职业证书（如有）、社保（自有人员提供）、聘书（外聘人员提供）扫描件</w:t>
      </w:r>
    </w:p>
    <w:p w14:paraId="11B63E4F">
      <w:pPr>
        <w:rPr>
          <w:rFonts w:hint="default"/>
          <w:color w:val="auto"/>
          <w:highlight w:val="none"/>
          <w:lang w:val="en-US" w:eastAsia="zh-CN"/>
        </w:rPr>
      </w:pPr>
    </w:p>
    <w:p w14:paraId="6BAEF135">
      <w:pPr>
        <w:rPr>
          <w:rFonts w:hint="eastAsia" w:ascii="宋体" w:hAnsi="宋体" w:eastAsia="宋体" w:cs="宋体"/>
          <w:color w:val="auto"/>
          <w:sz w:val="28"/>
          <w:szCs w:val="28"/>
          <w:highlight w:val="none"/>
          <w:lang w:val="en-US" w:eastAsia="zh-CN"/>
        </w:rPr>
      </w:pPr>
    </w:p>
    <w:p w14:paraId="703B730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6BE6783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6081A0AD">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134F8C23">
      <w:pPr>
        <w:rPr>
          <w:rFonts w:hint="eastAsia"/>
          <w:color w:val="auto"/>
          <w:highlight w:val="none"/>
          <w:lang w:val="en-US" w:eastAsia="zh-CN"/>
        </w:rPr>
      </w:pPr>
    </w:p>
    <w:p w14:paraId="23581F4E">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附件15 </w:t>
      </w:r>
      <w:bookmarkStart w:id="409" w:name="_Toc22090"/>
      <w:bookmarkStart w:id="410" w:name="_Toc23809"/>
      <w:r>
        <w:rPr>
          <w:rFonts w:hint="eastAsia" w:ascii="宋体" w:hAnsi="宋体" w:eastAsia="宋体" w:cs="宋体"/>
          <w:color w:val="auto"/>
          <w:sz w:val="28"/>
          <w:szCs w:val="28"/>
          <w:highlight w:val="none"/>
          <w:lang w:val="en-US" w:eastAsia="zh-CN"/>
        </w:rPr>
        <w:t>投标人业绩情况表</w:t>
      </w:r>
    </w:p>
    <w:tbl>
      <w:tblPr>
        <w:tblStyle w:val="48"/>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464"/>
        <w:gridCol w:w="1233"/>
        <w:gridCol w:w="1298"/>
        <w:gridCol w:w="1373"/>
        <w:gridCol w:w="1524"/>
        <w:gridCol w:w="946"/>
        <w:gridCol w:w="681"/>
      </w:tblGrid>
      <w:tr w14:paraId="2338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1377" w:type="dxa"/>
            <w:shd w:val="clear" w:color="auto" w:fill="auto"/>
            <w:noWrap w:val="0"/>
            <w:vAlign w:val="center"/>
          </w:tcPr>
          <w:p w14:paraId="31D206B5">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年份</w:t>
            </w:r>
          </w:p>
        </w:tc>
        <w:tc>
          <w:tcPr>
            <w:tcW w:w="1464" w:type="dxa"/>
            <w:shd w:val="clear" w:color="auto" w:fill="auto"/>
            <w:noWrap w:val="0"/>
            <w:vAlign w:val="center"/>
          </w:tcPr>
          <w:p w14:paraId="0C6DA526">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项目名称</w:t>
            </w:r>
          </w:p>
        </w:tc>
        <w:tc>
          <w:tcPr>
            <w:tcW w:w="1233" w:type="dxa"/>
            <w:shd w:val="clear" w:color="auto" w:fill="auto"/>
            <w:noWrap w:val="0"/>
            <w:vAlign w:val="center"/>
          </w:tcPr>
          <w:p w14:paraId="39D1556D">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服务内容</w:t>
            </w:r>
          </w:p>
        </w:tc>
        <w:tc>
          <w:tcPr>
            <w:tcW w:w="1298" w:type="dxa"/>
            <w:shd w:val="clear" w:color="auto" w:fill="auto"/>
            <w:noWrap w:val="0"/>
            <w:vAlign w:val="center"/>
          </w:tcPr>
          <w:p w14:paraId="01CAD367">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合同总价（万元）</w:t>
            </w:r>
          </w:p>
        </w:tc>
        <w:tc>
          <w:tcPr>
            <w:tcW w:w="1373" w:type="dxa"/>
            <w:shd w:val="clear" w:color="auto" w:fill="auto"/>
            <w:noWrap w:val="0"/>
            <w:vAlign w:val="center"/>
          </w:tcPr>
          <w:p w14:paraId="3C9E4020">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使用单位名称</w:t>
            </w:r>
          </w:p>
        </w:tc>
        <w:tc>
          <w:tcPr>
            <w:tcW w:w="1524" w:type="dxa"/>
            <w:shd w:val="clear" w:color="auto" w:fill="auto"/>
            <w:noWrap w:val="0"/>
            <w:vAlign w:val="center"/>
          </w:tcPr>
          <w:p w14:paraId="4521103B">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使用单位联系人及电话</w:t>
            </w:r>
          </w:p>
        </w:tc>
        <w:tc>
          <w:tcPr>
            <w:tcW w:w="946" w:type="dxa"/>
            <w:shd w:val="clear" w:color="auto" w:fill="auto"/>
            <w:noWrap w:val="0"/>
            <w:vAlign w:val="center"/>
          </w:tcPr>
          <w:p w14:paraId="5E983EE6">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是否投入使用</w:t>
            </w:r>
          </w:p>
        </w:tc>
        <w:tc>
          <w:tcPr>
            <w:tcW w:w="681" w:type="dxa"/>
            <w:shd w:val="clear" w:color="auto" w:fill="auto"/>
            <w:noWrap w:val="0"/>
            <w:vAlign w:val="center"/>
          </w:tcPr>
          <w:p w14:paraId="31B751E7">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tc>
      </w:tr>
      <w:tr w14:paraId="286B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7" w:type="dxa"/>
            <w:noWrap w:val="0"/>
            <w:vAlign w:val="center"/>
          </w:tcPr>
          <w:p w14:paraId="00FE601F">
            <w:pPr>
              <w:jc w:val="center"/>
              <w:rPr>
                <w:rFonts w:hint="eastAsia" w:ascii="宋体" w:hAnsi="宋体" w:cs="宋体"/>
                <w:color w:val="auto"/>
                <w:sz w:val="24"/>
                <w:highlight w:val="none"/>
              </w:rPr>
            </w:pPr>
            <w:r>
              <w:rPr>
                <w:rFonts w:hint="eastAsia" w:ascii="宋体" w:hAnsi="宋体" w:cs="宋体"/>
                <w:color w:val="auto"/>
                <w:sz w:val="24"/>
                <w:highlight w:val="none"/>
              </w:rPr>
              <w:t>20  年</w:t>
            </w:r>
          </w:p>
        </w:tc>
        <w:tc>
          <w:tcPr>
            <w:tcW w:w="1464" w:type="dxa"/>
            <w:noWrap w:val="0"/>
            <w:vAlign w:val="center"/>
          </w:tcPr>
          <w:p w14:paraId="7D9AF177">
            <w:pPr>
              <w:jc w:val="center"/>
              <w:rPr>
                <w:rFonts w:hint="eastAsia" w:ascii="宋体" w:hAnsi="宋体" w:cs="宋体"/>
                <w:color w:val="auto"/>
                <w:sz w:val="24"/>
                <w:highlight w:val="none"/>
              </w:rPr>
            </w:pPr>
          </w:p>
        </w:tc>
        <w:tc>
          <w:tcPr>
            <w:tcW w:w="1233" w:type="dxa"/>
            <w:noWrap w:val="0"/>
            <w:vAlign w:val="center"/>
          </w:tcPr>
          <w:p w14:paraId="44F73323">
            <w:pPr>
              <w:jc w:val="center"/>
              <w:rPr>
                <w:rFonts w:hint="eastAsia" w:ascii="宋体" w:hAnsi="宋体" w:cs="宋体"/>
                <w:color w:val="auto"/>
                <w:sz w:val="24"/>
                <w:highlight w:val="none"/>
              </w:rPr>
            </w:pPr>
          </w:p>
        </w:tc>
        <w:tc>
          <w:tcPr>
            <w:tcW w:w="1298" w:type="dxa"/>
            <w:noWrap w:val="0"/>
            <w:vAlign w:val="center"/>
          </w:tcPr>
          <w:p w14:paraId="4F0084DD">
            <w:pPr>
              <w:jc w:val="center"/>
              <w:rPr>
                <w:rFonts w:hint="eastAsia" w:ascii="宋体" w:hAnsi="宋体" w:cs="宋体"/>
                <w:color w:val="auto"/>
                <w:sz w:val="24"/>
                <w:highlight w:val="none"/>
              </w:rPr>
            </w:pPr>
          </w:p>
        </w:tc>
        <w:tc>
          <w:tcPr>
            <w:tcW w:w="1373" w:type="dxa"/>
            <w:noWrap w:val="0"/>
            <w:vAlign w:val="center"/>
          </w:tcPr>
          <w:p w14:paraId="4560490E">
            <w:pPr>
              <w:jc w:val="center"/>
              <w:rPr>
                <w:rFonts w:hint="eastAsia" w:ascii="宋体" w:hAnsi="宋体" w:cs="宋体"/>
                <w:color w:val="auto"/>
                <w:sz w:val="24"/>
                <w:highlight w:val="none"/>
              </w:rPr>
            </w:pPr>
          </w:p>
        </w:tc>
        <w:tc>
          <w:tcPr>
            <w:tcW w:w="1524" w:type="dxa"/>
            <w:noWrap w:val="0"/>
            <w:vAlign w:val="center"/>
          </w:tcPr>
          <w:p w14:paraId="3E31500F">
            <w:pPr>
              <w:jc w:val="center"/>
              <w:rPr>
                <w:rFonts w:hint="eastAsia" w:ascii="宋体" w:hAnsi="宋体" w:cs="宋体"/>
                <w:color w:val="auto"/>
                <w:sz w:val="24"/>
                <w:highlight w:val="none"/>
              </w:rPr>
            </w:pPr>
          </w:p>
        </w:tc>
        <w:tc>
          <w:tcPr>
            <w:tcW w:w="946" w:type="dxa"/>
            <w:noWrap w:val="0"/>
            <w:vAlign w:val="center"/>
          </w:tcPr>
          <w:p w14:paraId="583434AD">
            <w:pPr>
              <w:jc w:val="center"/>
              <w:rPr>
                <w:rFonts w:hint="eastAsia" w:ascii="宋体" w:hAnsi="宋体" w:cs="宋体"/>
                <w:color w:val="auto"/>
                <w:sz w:val="24"/>
                <w:highlight w:val="none"/>
              </w:rPr>
            </w:pPr>
          </w:p>
        </w:tc>
        <w:tc>
          <w:tcPr>
            <w:tcW w:w="681" w:type="dxa"/>
            <w:noWrap w:val="0"/>
            <w:vAlign w:val="center"/>
          </w:tcPr>
          <w:p w14:paraId="19650450">
            <w:pPr>
              <w:jc w:val="center"/>
              <w:rPr>
                <w:rFonts w:hint="eastAsia" w:ascii="宋体" w:hAnsi="宋体" w:cs="宋体"/>
                <w:color w:val="auto"/>
                <w:sz w:val="24"/>
                <w:highlight w:val="none"/>
              </w:rPr>
            </w:pPr>
          </w:p>
        </w:tc>
      </w:tr>
      <w:tr w14:paraId="7439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7" w:type="dxa"/>
            <w:noWrap w:val="0"/>
            <w:vAlign w:val="center"/>
          </w:tcPr>
          <w:p w14:paraId="3E624759">
            <w:pPr>
              <w:jc w:val="center"/>
              <w:rPr>
                <w:rFonts w:hint="eastAsia" w:ascii="宋体" w:hAnsi="宋体" w:cs="宋体"/>
                <w:color w:val="auto"/>
                <w:sz w:val="24"/>
                <w:highlight w:val="none"/>
              </w:rPr>
            </w:pPr>
          </w:p>
        </w:tc>
        <w:tc>
          <w:tcPr>
            <w:tcW w:w="1464" w:type="dxa"/>
            <w:noWrap w:val="0"/>
            <w:vAlign w:val="center"/>
          </w:tcPr>
          <w:p w14:paraId="008ACC7D">
            <w:pPr>
              <w:jc w:val="center"/>
              <w:rPr>
                <w:rFonts w:hint="eastAsia" w:ascii="宋体" w:hAnsi="宋体" w:cs="宋体"/>
                <w:color w:val="auto"/>
                <w:sz w:val="24"/>
                <w:highlight w:val="none"/>
              </w:rPr>
            </w:pPr>
          </w:p>
        </w:tc>
        <w:tc>
          <w:tcPr>
            <w:tcW w:w="1233" w:type="dxa"/>
            <w:noWrap w:val="0"/>
            <w:vAlign w:val="center"/>
          </w:tcPr>
          <w:p w14:paraId="2C06FFEC">
            <w:pPr>
              <w:jc w:val="center"/>
              <w:rPr>
                <w:rFonts w:hint="eastAsia" w:ascii="宋体" w:hAnsi="宋体" w:cs="宋体"/>
                <w:color w:val="auto"/>
                <w:sz w:val="24"/>
                <w:highlight w:val="none"/>
              </w:rPr>
            </w:pPr>
          </w:p>
        </w:tc>
        <w:tc>
          <w:tcPr>
            <w:tcW w:w="1298" w:type="dxa"/>
            <w:noWrap w:val="0"/>
            <w:vAlign w:val="center"/>
          </w:tcPr>
          <w:p w14:paraId="521C02EF">
            <w:pPr>
              <w:jc w:val="center"/>
              <w:rPr>
                <w:rFonts w:hint="eastAsia" w:ascii="宋体" w:hAnsi="宋体" w:cs="宋体"/>
                <w:color w:val="auto"/>
                <w:sz w:val="24"/>
                <w:highlight w:val="none"/>
              </w:rPr>
            </w:pPr>
          </w:p>
        </w:tc>
        <w:tc>
          <w:tcPr>
            <w:tcW w:w="1373" w:type="dxa"/>
            <w:noWrap w:val="0"/>
            <w:vAlign w:val="center"/>
          </w:tcPr>
          <w:p w14:paraId="7588BF27">
            <w:pPr>
              <w:jc w:val="center"/>
              <w:rPr>
                <w:rFonts w:hint="eastAsia" w:ascii="宋体" w:hAnsi="宋体" w:cs="宋体"/>
                <w:color w:val="auto"/>
                <w:sz w:val="24"/>
                <w:highlight w:val="none"/>
              </w:rPr>
            </w:pPr>
          </w:p>
        </w:tc>
        <w:tc>
          <w:tcPr>
            <w:tcW w:w="1524" w:type="dxa"/>
            <w:noWrap w:val="0"/>
            <w:vAlign w:val="center"/>
          </w:tcPr>
          <w:p w14:paraId="0B2C3634">
            <w:pPr>
              <w:jc w:val="center"/>
              <w:rPr>
                <w:rFonts w:hint="eastAsia" w:ascii="宋体" w:hAnsi="宋体" w:cs="宋体"/>
                <w:color w:val="auto"/>
                <w:sz w:val="24"/>
                <w:highlight w:val="none"/>
              </w:rPr>
            </w:pPr>
          </w:p>
        </w:tc>
        <w:tc>
          <w:tcPr>
            <w:tcW w:w="946" w:type="dxa"/>
            <w:noWrap w:val="0"/>
            <w:vAlign w:val="center"/>
          </w:tcPr>
          <w:p w14:paraId="6BBD24C0">
            <w:pPr>
              <w:jc w:val="center"/>
              <w:rPr>
                <w:rFonts w:hint="eastAsia" w:ascii="宋体" w:hAnsi="宋体" w:cs="宋体"/>
                <w:color w:val="auto"/>
                <w:sz w:val="24"/>
                <w:highlight w:val="none"/>
              </w:rPr>
            </w:pPr>
          </w:p>
        </w:tc>
        <w:tc>
          <w:tcPr>
            <w:tcW w:w="681" w:type="dxa"/>
            <w:noWrap w:val="0"/>
            <w:vAlign w:val="center"/>
          </w:tcPr>
          <w:p w14:paraId="78B9E1CB">
            <w:pPr>
              <w:jc w:val="center"/>
              <w:rPr>
                <w:rFonts w:hint="eastAsia" w:ascii="宋体" w:hAnsi="宋体" w:cs="宋体"/>
                <w:color w:val="auto"/>
                <w:sz w:val="24"/>
                <w:highlight w:val="none"/>
              </w:rPr>
            </w:pPr>
          </w:p>
        </w:tc>
      </w:tr>
      <w:tr w14:paraId="0EAA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7" w:type="dxa"/>
            <w:noWrap w:val="0"/>
            <w:vAlign w:val="center"/>
          </w:tcPr>
          <w:p w14:paraId="57097A9F">
            <w:pPr>
              <w:jc w:val="center"/>
              <w:rPr>
                <w:rFonts w:hint="eastAsia" w:ascii="宋体" w:hAnsi="宋体" w:cs="宋体"/>
                <w:color w:val="auto"/>
                <w:sz w:val="24"/>
                <w:highlight w:val="none"/>
              </w:rPr>
            </w:pPr>
            <w:r>
              <w:rPr>
                <w:rFonts w:hint="eastAsia" w:ascii="宋体" w:hAnsi="宋体" w:cs="宋体"/>
                <w:color w:val="auto"/>
                <w:sz w:val="24"/>
                <w:highlight w:val="none"/>
              </w:rPr>
              <w:t>20  年</w:t>
            </w:r>
          </w:p>
        </w:tc>
        <w:tc>
          <w:tcPr>
            <w:tcW w:w="1464" w:type="dxa"/>
            <w:noWrap w:val="0"/>
            <w:vAlign w:val="center"/>
          </w:tcPr>
          <w:p w14:paraId="2D4A6171">
            <w:pPr>
              <w:jc w:val="center"/>
              <w:rPr>
                <w:rFonts w:hint="eastAsia" w:ascii="宋体" w:hAnsi="宋体" w:cs="宋体"/>
                <w:color w:val="auto"/>
                <w:sz w:val="24"/>
                <w:highlight w:val="none"/>
              </w:rPr>
            </w:pPr>
          </w:p>
        </w:tc>
        <w:tc>
          <w:tcPr>
            <w:tcW w:w="1233" w:type="dxa"/>
            <w:noWrap w:val="0"/>
            <w:vAlign w:val="center"/>
          </w:tcPr>
          <w:p w14:paraId="527DF441">
            <w:pPr>
              <w:jc w:val="center"/>
              <w:rPr>
                <w:rFonts w:hint="eastAsia" w:ascii="宋体" w:hAnsi="宋体" w:cs="宋体"/>
                <w:color w:val="auto"/>
                <w:sz w:val="24"/>
                <w:highlight w:val="none"/>
              </w:rPr>
            </w:pPr>
          </w:p>
        </w:tc>
        <w:tc>
          <w:tcPr>
            <w:tcW w:w="1298" w:type="dxa"/>
            <w:noWrap w:val="0"/>
            <w:vAlign w:val="center"/>
          </w:tcPr>
          <w:p w14:paraId="2D5401E2">
            <w:pPr>
              <w:jc w:val="center"/>
              <w:rPr>
                <w:rFonts w:hint="eastAsia" w:ascii="宋体" w:hAnsi="宋体" w:cs="宋体"/>
                <w:color w:val="auto"/>
                <w:sz w:val="24"/>
                <w:highlight w:val="none"/>
              </w:rPr>
            </w:pPr>
          </w:p>
        </w:tc>
        <w:tc>
          <w:tcPr>
            <w:tcW w:w="1373" w:type="dxa"/>
            <w:noWrap w:val="0"/>
            <w:vAlign w:val="center"/>
          </w:tcPr>
          <w:p w14:paraId="2DE70C1C">
            <w:pPr>
              <w:jc w:val="center"/>
              <w:rPr>
                <w:rFonts w:hint="eastAsia" w:ascii="宋体" w:hAnsi="宋体" w:cs="宋体"/>
                <w:color w:val="auto"/>
                <w:sz w:val="24"/>
                <w:highlight w:val="none"/>
              </w:rPr>
            </w:pPr>
          </w:p>
        </w:tc>
        <w:tc>
          <w:tcPr>
            <w:tcW w:w="1524" w:type="dxa"/>
            <w:noWrap w:val="0"/>
            <w:vAlign w:val="center"/>
          </w:tcPr>
          <w:p w14:paraId="604C3C31">
            <w:pPr>
              <w:jc w:val="center"/>
              <w:rPr>
                <w:rFonts w:hint="eastAsia" w:ascii="宋体" w:hAnsi="宋体" w:cs="宋体"/>
                <w:color w:val="auto"/>
                <w:sz w:val="24"/>
                <w:highlight w:val="none"/>
              </w:rPr>
            </w:pPr>
          </w:p>
        </w:tc>
        <w:tc>
          <w:tcPr>
            <w:tcW w:w="946" w:type="dxa"/>
            <w:noWrap w:val="0"/>
            <w:vAlign w:val="center"/>
          </w:tcPr>
          <w:p w14:paraId="298B117B">
            <w:pPr>
              <w:jc w:val="center"/>
              <w:rPr>
                <w:rFonts w:hint="eastAsia" w:ascii="宋体" w:hAnsi="宋体" w:cs="宋体"/>
                <w:color w:val="auto"/>
                <w:sz w:val="24"/>
                <w:highlight w:val="none"/>
              </w:rPr>
            </w:pPr>
          </w:p>
        </w:tc>
        <w:tc>
          <w:tcPr>
            <w:tcW w:w="681" w:type="dxa"/>
            <w:noWrap w:val="0"/>
            <w:vAlign w:val="center"/>
          </w:tcPr>
          <w:p w14:paraId="789BF92E">
            <w:pPr>
              <w:jc w:val="center"/>
              <w:rPr>
                <w:rFonts w:hint="eastAsia" w:ascii="宋体" w:hAnsi="宋体" w:cs="宋体"/>
                <w:color w:val="auto"/>
                <w:sz w:val="24"/>
                <w:highlight w:val="none"/>
              </w:rPr>
            </w:pPr>
          </w:p>
        </w:tc>
      </w:tr>
      <w:tr w14:paraId="5217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7" w:type="dxa"/>
            <w:noWrap w:val="0"/>
            <w:vAlign w:val="center"/>
          </w:tcPr>
          <w:p w14:paraId="105198BD">
            <w:pPr>
              <w:jc w:val="center"/>
              <w:rPr>
                <w:rFonts w:hint="eastAsia" w:ascii="宋体" w:hAnsi="宋体" w:cs="宋体"/>
                <w:color w:val="auto"/>
                <w:sz w:val="24"/>
                <w:highlight w:val="none"/>
              </w:rPr>
            </w:pPr>
          </w:p>
        </w:tc>
        <w:tc>
          <w:tcPr>
            <w:tcW w:w="1464" w:type="dxa"/>
            <w:noWrap w:val="0"/>
            <w:vAlign w:val="center"/>
          </w:tcPr>
          <w:p w14:paraId="14F4024A">
            <w:pPr>
              <w:jc w:val="center"/>
              <w:rPr>
                <w:rFonts w:hint="eastAsia" w:ascii="宋体" w:hAnsi="宋体" w:cs="宋体"/>
                <w:color w:val="auto"/>
                <w:sz w:val="24"/>
                <w:highlight w:val="none"/>
              </w:rPr>
            </w:pPr>
          </w:p>
        </w:tc>
        <w:tc>
          <w:tcPr>
            <w:tcW w:w="1233" w:type="dxa"/>
            <w:noWrap w:val="0"/>
            <w:vAlign w:val="center"/>
          </w:tcPr>
          <w:p w14:paraId="1EB45EC9">
            <w:pPr>
              <w:jc w:val="center"/>
              <w:rPr>
                <w:rFonts w:hint="eastAsia" w:ascii="宋体" w:hAnsi="宋体" w:cs="宋体"/>
                <w:color w:val="auto"/>
                <w:sz w:val="24"/>
                <w:highlight w:val="none"/>
              </w:rPr>
            </w:pPr>
          </w:p>
        </w:tc>
        <w:tc>
          <w:tcPr>
            <w:tcW w:w="1298" w:type="dxa"/>
            <w:noWrap w:val="0"/>
            <w:vAlign w:val="center"/>
          </w:tcPr>
          <w:p w14:paraId="3D68C57E">
            <w:pPr>
              <w:jc w:val="center"/>
              <w:rPr>
                <w:rFonts w:hint="eastAsia" w:ascii="宋体" w:hAnsi="宋体" w:cs="宋体"/>
                <w:color w:val="auto"/>
                <w:sz w:val="24"/>
                <w:highlight w:val="none"/>
              </w:rPr>
            </w:pPr>
          </w:p>
        </w:tc>
        <w:tc>
          <w:tcPr>
            <w:tcW w:w="1373" w:type="dxa"/>
            <w:noWrap w:val="0"/>
            <w:vAlign w:val="center"/>
          </w:tcPr>
          <w:p w14:paraId="65261DB5">
            <w:pPr>
              <w:jc w:val="center"/>
              <w:rPr>
                <w:rFonts w:hint="eastAsia" w:ascii="宋体" w:hAnsi="宋体" w:cs="宋体"/>
                <w:color w:val="auto"/>
                <w:sz w:val="24"/>
                <w:highlight w:val="none"/>
              </w:rPr>
            </w:pPr>
          </w:p>
        </w:tc>
        <w:tc>
          <w:tcPr>
            <w:tcW w:w="1524" w:type="dxa"/>
            <w:noWrap w:val="0"/>
            <w:vAlign w:val="center"/>
          </w:tcPr>
          <w:p w14:paraId="72A1C887">
            <w:pPr>
              <w:jc w:val="center"/>
              <w:rPr>
                <w:rFonts w:hint="eastAsia" w:ascii="宋体" w:hAnsi="宋体" w:cs="宋体"/>
                <w:color w:val="auto"/>
                <w:sz w:val="24"/>
                <w:highlight w:val="none"/>
              </w:rPr>
            </w:pPr>
          </w:p>
        </w:tc>
        <w:tc>
          <w:tcPr>
            <w:tcW w:w="946" w:type="dxa"/>
            <w:noWrap w:val="0"/>
            <w:vAlign w:val="center"/>
          </w:tcPr>
          <w:p w14:paraId="297135C8">
            <w:pPr>
              <w:jc w:val="center"/>
              <w:rPr>
                <w:rFonts w:hint="eastAsia" w:ascii="宋体" w:hAnsi="宋体" w:cs="宋体"/>
                <w:color w:val="auto"/>
                <w:sz w:val="24"/>
                <w:highlight w:val="none"/>
              </w:rPr>
            </w:pPr>
          </w:p>
        </w:tc>
        <w:tc>
          <w:tcPr>
            <w:tcW w:w="681" w:type="dxa"/>
            <w:noWrap w:val="0"/>
            <w:vAlign w:val="center"/>
          </w:tcPr>
          <w:p w14:paraId="5E12D69F">
            <w:pPr>
              <w:jc w:val="center"/>
              <w:rPr>
                <w:rFonts w:hint="eastAsia" w:ascii="宋体" w:hAnsi="宋体" w:cs="宋体"/>
                <w:color w:val="auto"/>
                <w:sz w:val="24"/>
                <w:highlight w:val="none"/>
              </w:rPr>
            </w:pPr>
          </w:p>
        </w:tc>
      </w:tr>
      <w:tr w14:paraId="50CB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377" w:type="dxa"/>
            <w:noWrap w:val="0"/>
            <w:vAlign w:val="center"/>
          </w:tcPr>
          <w:p w14:paraId="4B34BCCE">
            <w:pPr>
              <w:jc w:val="center"/>
              <w:rPr>
                <w:rFonts w:hint="eastAsia" w:ascii="宋体" w:hAnsi="宋体" w:cs="宋体"/>
                <w:color w:val="auto"/>
                <w:sz w:val="24"/>
                <w:highlight w:val="none"/>
              </w:rPr>
            </w:pPr>
            <w:r>
              <w:rPr>
                <w:rFonts w:hint="eastAsia" w:ascii="宋体" w:hAnsi="宋体" w:cs="宋体"/>
                <w:color w:val="auto"/>
                <w:sz w:val="24"/>
                <w:highlight w:val="none"/>
              </w:rPr>
              <w:t>20  年</w:t>
            </w:r>
          </w:p>
        </w:tc>
        <w:tc>
          <w:tcPr>
            <w:tcW w:w="1464" w:type="dxa"/>
            <w:noWrap w:val="0"/>
            <w:vAlign w:val="center"/>
          </w:tcPr>
          <w:p w14:paraId="03040377">
            <w:pPr>
              <w:jc w:val="center"/>
              <w:rPr>
                <w:rFonts w:hint="eastAsia" w:ascii="宋体" w:hAnsi="宋体" w:cs="宋体"/>
                <w:color w:val="auto"/>
                <w:sz w:val="24"/>
                <w:highlight w:val="none"/>
              </w:rPr>
            </w:pPr>
          </w:p>
        </w:tc>
        <w:tc>
          <w:tcPr>
            <w:tcW w:w="1233" w:type="dxa"/>
            <w:noWrap w:val="0"/>
            <w:vAlign w:val="center"/>
          </w:tcPr>
          <w:p w14:paraId="3B7E5C9F">
            <w:pPr>
              <w:jc w:val="center"/>
              <w:rPr>
                <w:rFonts w:hint="eastAsia" w:ascii="宋体" w:hAnsi="宋体" w:cs="宋体"/>
                <w:color w:val="auto"/>
                <w:sz w:val="24"/>
                <w:highlight w:val="none"/>
              </w:rPr>
            </w:pPr>
          </w:p>
        </w:tc>
        <w:tc>
          <w:tcPr>
            <w:tcW w:w="1298" w:type="dxa"/>
            <w:noWrap w:val="0"/>
            <w:vAlign w:val="center"/>
          </w:tcPr>
          <w:p w14:paraId="497C93F8">
            <w:pPr>
              <w:jc w:val="center"/>
              <w:rPr>
                <w:rFonts w:hint="eastAsia" w:ascii="宋体" w:hAnsi="宋体" w:cs="宋体"/>
                <w:color w:val="auto"/>
                <w:sz w:val="24"/>
                <w:highlight w:val="none"/>
              </w:rPr>
            </w:pPr>
          </w:p>
        </w:tc>
        <w:tc>
          <w:tcPr>
            <w:tcW w:w="1373" w:type="dxa"/>
            <w:noWrap w:val="0"/>
            <w:vAlign w:val="center"/>
          </w:tcPr>
          <w:p w14:paraId="563CFF0C">
            <w:pPr>
              <w:jc w:val="center"/>
              <w:rPr>
                <w:rFonts w:hint="eastAsia" w:ascii="宋体" w:hAnsi="宋体" w:cs="宋体"/>
                <w:color w:val="auto"/>
                <w:sz w:val="24"/>
                <w:highlight w:val="none"/>
              </w:rPr>
            </w:pPr>
          </w:p>
        </w:tc>
        <w:tc>
          <w:tcPr>
            <w:tcW w:w="1524" w:type="dxa"/>
            <w:noWrap w:val="0"/>
            <w:vAlign w:val="center"/>
          </w:tcPr>
          <w:p w14:paraId="53072C31">
            <w:pPr>
              <w:jc w:val="center"/>
              <w:rPr>
                <w:rFonts w:hint="eastAsia" w:ascii="宋体" w:hAnsi="宋体" w:cs="宋体"/>
                <w:color w:val="auto"/>
                <w:sz w:val="24"/>
                <w:highlight w:val="none"/>
              </w:rPr>
            </w:pPr>
          </w:p>
        </w:tc>
        <w:tc>
          <w:tcPr>
            <w:tcW w:w="946" w:type="dxa"/>
            <w:noWrap w:val="0"/>
            <w:vAlign w:val="center"/>
          </w:tcPr>
          <w:p w14:paraId="1AF71EC2">
            <w:pPr>
              <w:jc w:val="center"/>
              <w:rPr>
                <w:rFonts w:hint="eastAsia" w:ascii="宋体" w:hAnsi="宋体" w:cs="宋体"/>
                <w:color w:val="auto"/>
                <w:sz w:val="24"/>
                <w:highlight w:val="none"/>
              </w:rPr>
            </w:pPr>
          </w:p>
        </w:tc>
        <w:tc>
          <w:tcPr>
            <w:tcW w:w="681" w:type="dxa"/>
            <w:noWrap w:val="0"/>
            <w:vAlign w:val="center"/>
          </w:tcPr>
          <w:p w14:paraId="202DD5CE">
            <w:pPr>
              <w:jc w:val="center"/>
              <w:rPr>
                <w:rFonts w:hint="eastAsia" w:ascii="宋体" w:hAnsi="宋体" w:cs="宋体"/>
                <w:color w:val="auto"/>
                <w:sz w:val="24"/>
                <w:highlight w:val="none"/>
              </w:rPr>
            </w:pPr>
          </w:p>
        </w:tc>
      </w:tr>
      <w:tr w14:paraId="7553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377" w:type="dxa"/>
            <w:noWrap w:val="0"/>
            <w:vAlign w:val="center"/>
          </w:tcPr>
          <w:p w14:paraId="059FE18E">
            <w:pPr>
              <w:jc w:val="center"/>
              <w:rPr>
                <w:rFonts w:hint="eastAsia" w:ascii="宋体" w:hAnsi="宋体" w:cs="宋体"/>
                <w:color w:val="auto"/>
                <w:sz w:val="24"/>
                <w:highlight w:val="none"/>
              </w:rPr>
            </w:pPr>
          </w:p>
        </w:tc>
        <w:tc>
          <w:tcPr>
            <w:tcW w:w="1464" w:type="dxa"/>
            <w:noWrap w:val="0"/>
            <w:vAlign w:val="center"/>
          </w:tcPr>
          <w:p w14:paraId="551344BE">
            <w:pPr>
              <w:jc w:val="center"/>
              <w:rPr>
                <w:rFonts w:hint="eastAsia" w:ascii="宋体" w:hAnsi="宋体" w:cs="宋体"/>
                <w:color w:val="auto"/>
                <w:sz w:val="24"/>
                <w:highlight w:val="none"/>
              </w:rPr>
            </w:pPr>
          </w:p>
        </w:tc>
        <w:tc>
          <w:tcPr>
            <w:tcW w:w="1233" w:type="dxa"/>
            <w:noWrap w:val="0"/>
            <w:vAlign w:val="center"/>
          </w:tcPr>
          <w:p w14:paraId="34DF5037">
            <w:pPr>
              <w:jc w:val="center"/>
              <w:rPr>
                <w:rFonts w:hint="eastAsia" w:ascii="宋体" w:hAnsi="宋体" w:cs="宋体"/>
                <w:color w:val="auto"/>
                <w:sz w:val="24"/>
                <w:highlight w:val="none"/>
              </w:rPr>
            </w:pPr>
          </w:p>
        </w:tc>
        <w:tc>
          <w:tcPr>
            <w:tcW w:w="1298" w:type="dxa"/>
            <w:noWrap w:val="0"/>
            <w:vAlign w:val="center"/>
          </w:tcPr>
          <w:p w14:paraId="0749F135">
            <w:pPr>
              <w:jc w:val="center"/>
              <w:rPr>
                <w:rFonts w:hint="eastAsia" w:ascii="宋体" w:hAnsi="宋体" w:cs="宋体"/>
                <w:color w:val="auto"/>
                <w:sz w:val="24"/>
                <w:highlight w:val="none"/>
              </w:rPr>
            </w:pPr>
          </w:p>
        </w:tc>
        <w:tc>
          <w:tcPr>
            <w:tcW w:w="1373" w:type="dxa"/>
            <w:noWrap w:val="0"/>
            <w:vAlign w:val="center"/>
          </w:tcPr>
          <w:p w14:paraId="72BE0289">
            <w:pPr>
              <w:jc w:val="center"/>
              <w:rPr>
                <w:rFonts w:hint="eastAsia" w:ascii="宋体" w:hAnsi="宋体" w:cs="宋体"/>
                <w:color w:val="auto"/>
                <w:sz w:val="24"/>
                <w:highlight w:val="none"/>
              </w:rPr>
            </w:pPr>
          </w:p>
        </w:tc>
        <w:tc>
          <w:tcPr>
            <w:tcW w:w="1524" w:type="dxa"/>
            <w:noWrap w:val="0"/>
            <w:vAlign w:val="center"/>
          </w:tcPr>
          <w:p w14:paraId="528E54F0">
            <w:pPr>
              <w:jc w:val="center"/>
              <w:rPr>
                <w:rFonts w:hint="eastAsia" w:ascii="宋体" w:hAnsi="宋体" w:cs="宋体"/>
                <w:color w:val="auto"/>
                <w:sz w:val="24"/>
                <w:highlight w:val="none"/>
              </w:rPr>
            </w:pPr>
          </w:p>
        </w:tc>
        <w:tc>
          <w:tcPr>
            <w:tcW w:w="946" w:type="dxa"/>
            <w:noWrap w:val="0"/>
            <w:vAlign w:val="center"/>
          </w:tcPr>
          <w:p w14:paraId="36EC924A">
            <w:pPr>
              <w:jc w:val="center"/>
              <w:rPr>
                <w:rFonts w:hint="eastAsia" w:ascii="宋体" w:hAnsi="宋体" w:cs="宋体"/>
                <w:color w:val="auto"/>
                <w:sz w:val="24"/>
                <w:highlight w:val="none"/>
              </w:rPr>
            </w:pPr>
          </w:p>
        </w:tc>
        <w:tc>
          <w:tcPr>
            <w:tcW w:w="681" w:type="dxa"/>
            <w:noWrap w:val="0"/>
            <w:vAlign w:val="center"/>
          </w:tcPr>
          <w:p w14:paraId="4D8C3201">
            <w:pPr>
              <w:jc w:val="center"/>
              <w:rPr>
                <w:rFonts w:hint="eastAsia" w:ascii="宋体" w:hAnsi="宋体" w:cs="宋体"/>
                <w:color w:val="auto"/>
                <w:sz w:val="24"/>
                <w:highlight w:val="none"/>
              </w:rPr>
            </w:pPr>
          </w:p>
        </w:tc>
      </w:tr>
    </w:tbl>
    <w:p w14:paraId="756B4E16">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p>
    <w:p w14:paraId="3AA837E6">
      <w:pPr>
        <w:pStyle w:val="485"/>
        <w:keepNext w:val="0"/>
        <w:keepLines w:val="0"/>
        <w:pageBreakBefore w:val="0"/>
        <w:widowControl/>
        <w:numPr>
          <w:ilvl w:val="0"/>
          <w:numId w:val="84"/>
        </w:numPr>
        <w:shd w:val="clear"/>
        <w:tabs>
          <w:tab w:val="left" w:pos="420"/>
          <w:tab w:val="left" w:pos="630"/>
        </w:tabs>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请根据所投标的产品型号填报上述业绩。并非投标人的任何设备的供货业绩。</w:t>
      </w:r>
    </w:p>
    <w:p w14:paraId="225D0EC0">
      <w:pPr>
        <w:pStyle w:val="485"/>
        <w:keepNext w:val="0"/>
        <w:keepLines w:val="0"/>
        <w:pageBreakBefore w:val="0"/>
        <w:widowControl/>
        <w:numPr>
          <w:ilvl w:val="0"/>
          <w:numId w:val="84"/>
        </w:numPr>
        <w:shd w:val="clear"/>
        <w:tabs>
          <w:tab w:val="left" w:pos="420"/>
          <w:tab w:val="left" w:pos="630"/>
        </w:tabs>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此表后附合同协议书或中标通知书或中标公告截图扫描件等。</w:t>
      </w:r>
    </w:p>
    <w:p w14:paraId="43CB270F">
      <w:pPr>
        <w:pStyle w:val="485"/>
        <w:keepNext w:val="0"/>
        <w:keepLines w:val="0"/>
        <w:pageBreakBefore w:val="0"/>
        <w:widowControl/>
        <w:numPr>
          <w:ilvl w:val="0"/>
          <w:numId w:val="84"/>
        </w:numPr>
        <w:shd w:val="clear"/>
        <w:tabs>
          <w:tab w:val="left" w:pos="420"/>
          <w:tab w:val="left" w:pos="630"/>
        </w:tabs>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相同型号设备的业绩数量最多填写3项。没有业绩的可以不填写。</w:t>
      </w:r>
    </w:p>
    <w:p w14:paraId="598A6393">
      <w:pPr>
        <w:pStyle w:val="485"/>
        <w:keepNext w:val="0"/>
        <w:keepLines w:val="0"/>
        <w:pageBreakBefore w:val="0"/>
        <w:widowControl/>
        <w:numPr>
          <w:ilvl w:val="0"/>
          <w:numId w:val="84"/>
        </w:numPr>
        <w:shd w:val="clear"/>
        <w:tabs>
          <w:tab w:val="left" w:pos="420"/>
          <w:tab w:val="left" w:pos="630"/>
        </w:tabs>
        <w:kinsoku/>
        <w:wordWrap/>
        <w:overflowPunct/>
        <w:topLinePunct w:val="0"/>
        <w:autoSpaceDE/>
        <w:autoSpaceDN/>
        <w:bidi w:val="0"/>
        <w:adjustRightInd/>
        <w:snapToGrid/>
        <w:spacing w:line="240" w:lineRule="auto"/>
        <w:ind w:left="0" w:leftChars="0" w:firstLine="425" w:firstLineChars="0"/>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正在执行的类似业绩需标明执行状态，投标人需在备注栏填写合同执行的状态，如：设计联络阶段、供货阶段、供货完毕阶段、联调联试阶段等。</w:t>
      </w:r>
    </w:p>
    <w:p w14:paraId="02726294">
      <w:pPr>
        <w:pStyle w:val="485"/>
        <w:shd w:val="clear"/>
        <w:ind w:firstLine="480"/>
        <w:rPr>
          <w:rFonts w:hint="eastAsia" w:ascii="宋体" w:hAnsi="宋体" w:eastAsia="宋体" w:cs="宋体"/>
          <w:color w:val="auto"/>
          <w:highlight w:val="none"/>
        </w:rPr>
      </w:pPr>
    </w:p>
    <w:p w14:paraId="24C92A1D">
      <w:pPr>
        <w:pStyle w:val="485"/>
        <w:shd w:val="clear"/>
        <w:rPr>
          <w:rFonts w:hint="eastAsia" w:ascii="宋体" w:hAnsi="宋体" w:eastAsia="宋体" w:cs="宋体"/>
          <w:color w:val="auto"/>
          <w:highlight w:val="none"/>
        </w:rPr>
      </w:pPr>
    </w:p>
    <w:p w14:paraId="0841D3C2">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7FC17E0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6E042E33">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0D188B8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5C200773">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p>
    <w:p w14:paraId="056DB80D">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5FC8E0F1">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附件16 需要采购人提供的附加条件</w:t>
      </w:r>
    </w:p>
    <w:tbl>
      <w:tblPr>
        <w:tblStyle w:val="48"/>
        <w:tblW w:w="794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84"/>
        <w:gridCol w:w="6462"/>
      </w:tblGrid>
      <w:tr w14:paraId="5AD6E2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2" w:hRule="atLeast"/>
          <w:jc w:val="center"/>
        </w:trPr>
        <w:tc>
          <w:tcPr>
            <w:tcW w:w="1484" w:type="dxa"/>
            <w:vAlign w:val="center"/>
          </w:tcPr>
          <w:p w14:paraId="2C0B0597">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6462" w:type="dxa"/>
            <w:vAlign w:val="center"/>
          </w:tcPr>
          <w:p w14:paraId="11F45C43">
            <w:pPr>
              <w:pStyle w:val="485"/>
              <w:shd w:val="clea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投标人需要采购人提供的附加条件</w:t>
            </w:r>
          </w:p>
        </w:tc>
      </w:tr>
      <w:tr w14:paraId="049CD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2" w:hRule="atLeast"/>
          <w:jc w:val="center"/>
        </w:trPr>
        <w:tc>
          <w:tcPr>
            <w:tcW w:w="1484" w:type="dxa"/>
            <w:vAlign w:val="center"/>
          </w:tcPr>
          <w:p w14:paraId="3AE33AB9">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462" w:type="dxa"/>
            <w:vAlign w:val="center"/>
          </w:tcPr>
          <w:p w14:paraId="01A5EBAA">
            <w:pPr>
              <w:shd w:val="clear"/>
              <w:jc w:val="center"/>
              <w:rPr>
                <w:rFonts w:hint="eastAsia" w:ascii="宋体" w:hAnsi="宋体" w:eastAsia="宋体" w:cs="宋体"/>
                <w:color w:val="auto"/>
                <w:sz w:val="21"/>
                <w:szCs w:val="21"/>
                <w:highlight w:val="none"/>
              </w:rPr>
            </w:pPr>
          </w:p>
        </w:tc>
      </w:tr>
      <w:tr w14:paraId="229CFC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2" w:hRule="atLeast"/>
          <w:jc w:val="center"/>
        </w:trPr>
        <w:tc>
          <w:tcPr>
            <w:tcW w:w="1484" w:type="dxa"/>
            <w:vAlign w:val="center"/>
          </w:tcPr>
          <w:p w14:paraId="263685F4">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462" w:type="dxa"/>
            <w:vAlign w:val="center"/>
          </w:tcPr>
          <w:p w14:paraId="4580E838">
            <w:pPr>
              <w:shd w:val="clear"/>
              <w:jc w:val="center"/>
              <w:rPr>
                <w:rFonts w:hint="eastAsia" w:ascii="宋体" w:hAnsi="宋体" w:eastAsia="宋体" w:cs="宋体"/>
                <w:color w:val="auto"/>
                <w:sz w:val="21"/>
                <w:szCs w:val="21"/>
                <w:highlight w:val="none"/>
              </w:rPr>
            </w:pPr>
          </w:p>
        </w:tc>
      </w:tr>
      <w:tr w14:paraId="1830DD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1484" w:type="dxa"/>
            <w:vAlign w:val="center"/>
          </w:tcPr>
          <w:p w14:paraId="65974669">
            <w:pPr>
              <w:pStyle w:val="485"/>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6462" w:type="dxa"/>
            <w:vAlign w:val="center"/>
          </w:tcPr>
          <w:p w14:paraId="647097EE">
            <w:pPr>
              <w:shd w:val="clear"/>
              <w:jc w:val="center"/>
              <w:rPr>
                <w:rFonts w:hint="eastAsia" w:ascii="宋体" w:hAnsi="宋体" w:eastAsia="宋体" w:cs="宋体"/>
                <w:color w:val="auto"/>
                <w:sz w:val="21"/>
                <w:szCs w:val="21"/>
                <w:highlight w:val="none"/>
              </w:rPr>
            </w:pPr>
          </w:p>
        </w:tc>
      </w:tr>
    </w:tbl>
    <w:p w14:paraId="1EFF877E">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注：投标人完成本项目需要采购人配合或提供的条件必须在上表列出，否则将视为投标人同意按现有条件完成本项目。没有内容可以填写“无”。如上表所列附加条件含有采购人不能接受的，将被视为投标无效。</w:t>
      </w:r>
    </w:p>
    <w:p w14:paraId="21E3B087">
      <w:pPr>
        <w:pStyle w:val="485"/>
        <w:shd w:val="clear"/>
        <w:rPr>
          <w:rFonts w:hint="eastAsia" w:ascii="宋体" w:hAnsi="宋体" w:eastAsia="宋体" w:cs="宋体"/>
          <w:color w:val="auto"/>
          <w:highlight w:val="none"/>
        </w:rPr>
      </w:pPr>
    </w:p>
    <w:p w14:paraId="221CD333">
      <w:pPr>
        <w:pStyle w:val="485"/>
        <w:shd w:val="clear"/>
        <w:rPr>
          <w:rFonts w:hint="eastAsia" w:ascii="宋体" w:hAnsi="宋体" w:eastAsia="宋体" w:cs="宋体"/>
          <w:color w:val="auto"/>
          <w:highlight w:val="none"/>
        </w:rPr>
      </w:pPr>
    </w:p>
    <w:p w14:paraId="789BF98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439E2633">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2187ABC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日期： 年 月 日</w:t>
      </w:r>
    </w:p>
    <w:p w14:paraId="27EDCEB9">
      <w:pPr>
        <w:shd w:val="clear"/>
        <w:spacing w:line="360" w:lineRule="auto"/>
        <w:rPr>
          <w:rFonts w:hint="eastAsia" w:ascii="宋体" w:hAnsi="宋体" w:eastAsia="宋体" w:cs="宋体"/>
          <w:b/>
          <w:color w:val="auto"/>
          <w:sz w:val="28"/>
          <w:szCs w:val="28"/>
          <w:highlight w:val="none"/>
        </w:rPr>
      </w:pPr>
    </w:p>
    <w:p w14:paraId="0245EDC6">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附件17 拟派服务实施团队表</w:t>
      </w:r>
    </w:p>
    <w:tbl>
      <w:tblPr>
        <w:tblStyle w:val="49"/>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1203"/>
        <w:gridCol w:w="1638"/>
        <w:gridCol w:w="2120"/>
        <w:gridCol w:w="2277"/>
        <w:gridCol w:w="1333"/>
      </w:tblGrid>
      <w:tr w14:paraId="49AC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shd w:val="clear" w:color="auto" w:fill="auto"/>
            <w:noWrap w:val="0"/>
            <w:vAlign w:val="center"/>
          </w:tcPr>
          <w:p w14:paraId="6F74478F">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1203" w:type="dxa"/>
            <w:shd w:val="clear" w:color="auto" w:fill="auto"/>
            <w:noWrap w:val="0"/>
            <w:vAlign w:val="center"/>
          </w:tcPr>
          <w:p w14:paraId="1B95A57E">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姓名</w:t>
            </w:r>
          </w:p>
        </w:tc>
        <w:tc>
          <w:tcPr>
            <w:tcW w:w="1638" w:type="dxa"/>
            <w:shd w:val="clear" w:color="auto" w:fill="auto"/>
            <w:noWrap w:val="0"/>
            <w:vAlign w:val="center"/>
          </w:tcPr>
          <w:p w14:paraId="1E9C3806">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本项目中服务岗位</w:t>
            </w:r>
          </w:p>
        </w:tc>
        <w:tc>
          <w:tcPr>
            <w:tcW w:w="2120" w:type="dxa"/>
            <w:shd w:val="clear" w:color="auto" w:fill="auto"/>
            <w:noWrap w:val="0"/>
            <w:vAlign w:val="center"/>
          </w:tcPr>
          <w:p w14:paraId="3840E0F5">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专业技术资格</w:t>
            </w:r>
          </w:p>
        </w:tc>
        <w:tc>
          <w:tcPr>
            <w:tcW w:w="2277" w:type="dxa"/>
            <w:shd w:val="clear" w:color="auto" w:fill="auto"/>
            <w:noWrap w:val="0"/>
            <w:vAlign w:val="center"/>
          </w:tcPr>
          <w:p w14:paraId="27F1770D">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拟在本项目中的工作内容</w:t>
            </w:r>
          </w:p>
        </w:tc>
        <w:tc>
          <w:tcPr>
            <w:tcW w:w="1333" w:type="dxa"/>
            <w:shd w:val="clear" w:color="auto" w:fill="auto"/>
            <w:noWrap w:val="0"/>
            <w:vAlign w:val="center"/>
          </w:tcPr>
          <w:p w14:paraId="3BF73428">
            <w:pPr>
              <w:shd w:val="clear"/>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tc>
      </w:tr>
      <w:tr w14:paraId="1F27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noWrap w:val="0"/>
            <w:vAlign w:val="center"/>
          </w:tcPr>
          <w:p w14:paraId="3E44E78D">
            <w:pPr>
              <w:pStyle w:val="284"/>
              <w:snapToGrid w:val="0"/>
              <w:spacing w:line="360" w:lineRule="auto"/>
              <w:rPr>
                <w:rFonts w:hint="eastAsia" w:ascii="宋体" w:hAnsi="宋体" w:cs="宋体"/>
                <w:color w:val="auto"/>
                <w:szCs w:val="24"/>
                <w:highlight w:val="none"/>
              </w:rPr>
            </w:pPr>
          </w:p>
        </w:tc>
        <w:tc>
          <w:tcPr>
            <w:tcW w:w="1203" w:type="dxa"/>
            <w:noWrap w:val="0"/>
            <w:vAlign w:val="center"/>
          </w:tcPr>
          <w:p w14:paraId="25DC6FC7">
            <w:pPr>
              <w:pStyle w:val="284"/>
              <w:snapToGrid w:val="0"/>
              <w:spacing w:line="360" w:lineRule="auto"/>
              <w:rPr>
                <w:rFonts w:hint="eastAsia" w:ascii="宋体" w:hAnsi="宋体" w:cs="宋体"/>
                <w:color w:val="auto"/>
                <w:szCs w:val="24"/>
                <w:highlight w:val="none"/>
              </w:rPr>
            </w:pPr>
          </w:p>
        </w:tc>
        <w:tc>
          <w:tcPr>
            <w:tcW w:w="1638" w:type="dxa"/>
            <w:noWrap w:val="0"/>
            <w:vAlign w:val="center"/>
          </w:tcPr>
          <w:p w14:paraId="60576361">
            <w:pPr>
              <w:pStyle w:val="284"/>
              <w:snapToGrid w:val="0"/>
              <w:spacing w:line="360" w:lineRule="auto"/>
              <w:rPr>
                <w:rFonts w:hint="eastAsia" w:ascii="宋体" w:hAnsi="宋体" w:cs="宋体"/>
                <w:color w:val="auto"/>
                <w:szCs w:val="24"/>
                <w:highlight w:val="none"/>
              </w:rPr>
            </w:pPr>
          </w:p>
        </w:tc>
        <w:tc>
          <w:tcPr>
            <w:tcW w:w="2120" w:type="dxa"/>
            <w:noWrap w:val="0"/>
            <w:vAlign w:val="center"/>
          </w:tcPr>
          <w:p w14:paraId="39F2E4D2">
            <w:pPr>
              <w:pStyle w:val="284"/>
              <w:snapToGrid w:val="0"/>
              <w:spacing w:line="360" w:lineRule="auto"/>
              <w:rPr>
                <w:rFonts w:hint="eastAsia" w:ascii="宋体" w:hAnsi="宋体" w:cs="宋体"/>
                <w:color w:val="auto"/>
                <w:szCs w:val="24"/>
                <w:highlight w:val="none"/>
              </w:rPr>
            </w:pPr>
          </w:p>
        </w:tc>
        <w:tc>
          <w:tcPr>
            <w:tcW w:w="2277" w:type="dxa"/>
            <w:noWrap w:val="0"/>
            <w:vAlign w:val="center"/>
          </w:tcPr>
          <w:p w14:paraId="2D6065E3">
            <w:pPr>
              <w:pStyle w:val="284"/>
              <w:snapToGrid w:val="0"/>
              <w:spacing w:line="360" w:lineRule="auto"/>
              <w:rPr>
                <w:rFonts w:hint="eastAsia" w:ascii="宋体" w:hAnsi="宋体" w:cs="宋体"/>
                <w:color w:val="auto"/>
                <w:szCs w:val="24"/>
                <w:highlight w:val="none"/>
              </w:rPr>
            </w:pPr>
          </w:p>
        </w:tc>
        <w:tc>
          <w:tcPr>
            <w:tcW w:w="1333" w:type="dxa"/>
            <w:noWrap w:val="0"/>
            <w:vAlign w:val="center"/>
          </w:tcPr>
          <w:p w14:paraId="2323E292">
            <w:pPr>
              <w:pStyle w:val="284"/>
              <w:snapToGrid w:val="0"/>
              <w:spacing w:line="360" w:lineRule="auto"/>
              <w:rPr>
                <w:rFonts w:hint="eastAsia" w:ascii="宋体" w:hAnsi="宋体" w:cs="宋体"/>
                <w:color w:val="auto"/>
                <w:szCs w:val="24"/>
                <w:highlight w:val="none"/>
              </w:rPr>
            </w:pPr>
          </w:p>
        </w:tc>
      </w:tr>
      <w:tr w14:paraId="2C5A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noWrap w:val="0"/>
            <w:vAlign w:val="center"/>
          </w:tcPr>
          <w:p w14:paraId="3AE40C60">
            <w:pPr>
              <w:pStyle w:val="284"/>
              <w:snapToGrid w:val="0"/>
              <w:spacing w:line="360" w:lineRule="auto"/>
              <w:rPr>
                <w:rFonts w:hint="eastAsia" w:ascii="宋体" w:hAnsi="宋体" w:cs="宋体"/>
                <w:color w:val="auto"/>
                <w:szCs w:val="24"/>
                <w:highlight w:val="none"/>
              </w:rPr>
            </w:pPr>
          </w:p>
        </w:tc>
        <w:tc>
          <w:tcPr>
            <w:tcW w:w="1203" w:type="dxa"/>
            <w:noWrap w:val="0"/>
            <w:vAlign w:val="center"/>
          </w:tcPr>
          <w:p w14:paraId="390DFD38">
            <w:pPr>
              <w:pStyle w:val="284"/>
              <w:snapToGrid w:val="0"/>
              <w:spacing w:line="360" w:lineRule="auto"/>
              <w:rPr>
                <w:rFonts w:hint="eastAsia" w:ascii="宋体" w:hAnsi="宋体" w:cs="宋体"/>
                <w:color w:val="auto"/>
                <w:szCs w:val="24"/>
                <w:highlight w:val="none"/>
              </w:rPr>
            </w:pPr>
          </w:p>
        </w:tc>
        <w:tc>
          <w:tcPr>
            <w:tcW w:w="1638" w:type="dxa"/>
            <w:noWrap w:val="0"/>
            <w:vAlign w:val="center"/>
          </w:tcPr>
          <w:p w14:paraId="68BCE681">
            <w:pPr>
              <w:pStyle w:val="284"/>
              <w:snapToGrid w:val="0"/>
              <w:spacing w:line="360" w:lineRule="auto"/>
              <w:rPr>
                <w:rFonts w:hint="eastAsia" w:ascii="宋体" w:hAnsi="宋体" w:cs="宋体"/>
                <w:color w:val="auto"/>
                <w:szCs w:val="24"/>
                <w:highlight w:val="none"/>
              </w:rPr>
            </w:pPr>
          </w:p>
        </w:tc>
        <w:tc>
          <w:tcPr>
            <w:tcW w:w="2120" w:type="dxa"/>
            <w:noWrap w:val="0"/>
            <w:vAlign w:val="center"/>
          </w:tcPr>
          <w:p w14:paraId="2CF5AE20">
            <w:pPr>
              <w:pStyle w:val="284"/>
              <w:snapToGrid w:val="0"/>
              <w:spacing w:line="360" w:lineRule="auto"/>
              <w:rPr>
                <w:rFonts w:hint="eastAsia" w:ascii="宋体" w:hAnsi="宋体" w:cs="宋体"/>
                <w:color w:val="auto"/>
                <w:szCs w:val="24"/>
                <w:highlight w:val="none"/>
              </w:rPr>
            </w:pPr>
          </w:p>
        </w:tc>
        <w:tc>
          <w:tcPr>
            <w:tcW w:w="2277" w:type="dxa"/>
            <w:noWrap w:val="0"/>
            <w:vAlign w:val="center"/>
          </w:tcPr>
          <w:p w14:paraId="621CC86E">
            <w:pPr>
              <w:pStyle w:val="284"/>
              <w:snapToGrid w:val="0"/>
              <w:spacing w:line="360" w:lineRule="auto"/>
              <w:rPr>
                <w:rFonts w:hint="eastAsia" w:ascii="宋体" w:hAnsi="宋体" w:cs="宋体"/>
                <w:color w:val="auto"/>
                <w:szCs w:val="24"/>
                <w:highlight w:val="none"/>
              </w:rPr>
            </w:pPr>
          </w:p>
        </w:tc>
        <w:tc>
          <w:tcPr>
            <w:tcW w:w="1333" w:type="dxa"/>
            <w:noWrap w:val="0"/>
            <w:vAlign w:val="center"/>
          </w:tcPr>
          <w:p w14:paraId="71BD18EB">
            <w:pPr>
              <w:pStyle w:val="284"/>
              <w:snapToGrid w:val="0"/>
              <w:spacing w:line="360" w:lineRule="auto"/>
              <w:rPr>
                <w:rFonts w:hint="eastAsia" w:ascii="宋体" w:hAnsi="宋体" w:cs="宋体"/>
                <w:color w:val="auto"/>
                <w:szCs w:val="24"/>
                <w:highlight w:val="none"/>
              </w:rPr>
            </w:pPr>
          </w:p>
        </w:tc>
      </w:tr>
      <w:tr w14:paraId="083C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noWrap w:val="0"/>
            <w:vAlign w:val="center"/>
          </w:tcPr>
          <w:p w14:paraId="4AF8EF6E">
            <w:pPr>
              <w:pStyle w:val="284"/>
              <w:snapToGrid w:val="0"/>
              <w:spacing w:line="360" w:lineRule="auto"/>
              <w:rPr>
                <w:rFonts w:hint="eastAsia" w:ascii="宋体" w:hAnsi="宋体" w:cs="宋体"/>
                <w:color w:val="auto"/>
                <w:szCs w:val="24"/>
                <w:highlight w:val="none"/>
              </w:rPr>
            </w:pPr>
          </w:p>
        </w:tc>
        <w:tc>
          <w:tcPr>
            <w:tcW w:w="1203" w:type="dxa"/>
            <w:noWrap w:val="0"/>
            <w:vAlign w:val="center"/>
          </w:tcPr>
          <w:p w14:paraId="276FDFDD">
            <w:pPr>
              <w:pStyle w:val="284"/>
              <w:snapToGrid w:val="0"/>
              <w:spacing w:line="360" w:lineRule="auto"/>
              <w:rPr>
                <w:rFonts w:hint="eastAsia" w:ascii="宋体" w:hAnsi="宋体" w:cs="宋体"/>
                <w:color w:val="auto"/>
                <w:szCs w:val="24"/>
                <w:highlight w:val="none"/>
              </w:rPr>
            </w:pPr>
          </w:p>
        </w:tc>
        <w:tc>
          <w:tcPr>
            <w:tcW w:w="1638" w:type="dxa"/>
            <w:noWrap w:val="0"/>
            <w:vAlign w:val="center"/>
          </w:tcPr>
          <w:p w14:paraId="1B273A14">
            <w:pPr>
              <w:pStyle w:val="284"/>
              <w:snapToGrid w:val="0"/>
              <w:spacing w:line="360" w:lineRule="auto"/>
              <w:rPr>
                <w:rFonts w:hint="eastAsia" w:ascii="宋体" w:hAnsi="宋体" w:cs="宋体"/>
                <w:color w:val="auto"/>
                <w:szCs w:val="24"/>
                <w:highlight w:val="none"/>
              </w:rPr>
            </w:pPr>
          </w:p>
        </w:tc>
        <w:tc>
          <w:tcPr>
            <w:tcW w:w="2120" w:type="dxa"/>
            <w:noWrap w:val="0"/>
            <w:vAlign w:val="center"/>
          </w:tcPr>
          <w:p w14:paraId="23C6A622">
            <w:pPr>
              <w:pStyle w:val="284"/>
              <w:snapToGrid w:val="0"/>
              <w:spacing w:line="360" w:lineRule="auto"/>
              <w:rPr>
                <w:rFonts w:hint="eastAsia" w:ascii="宋体" w:hAnsi="宋体" w:cs="宋体"/>
                <w:color w:val="auto"/>
                <w:szCs w:val="24"/>
                <w:highlight w:val="none"/>
              </w:rPr>
            </w:pPr>
          </w:p>
        </w:tc>
        <w:tc>
          <w:tcPr>
            <w:tcW w:w="2277" w:type="dxa"/>
            <w:noWrap w:val="0"/>
            <w:vAlign w:val="center"/>
          </w:tcPr>
          <w:p w14:paraId="760FC05B">
            <w:pPr>
              <w:pStyle w:val="284"/>
              <w:snapToGrid w:val="0"/>
              <w:spacing w:line="360" w:lineRule="auto"/>
              <w:rPr>
                <w:rFonts w:hint="eastAsia" w:ascii="宋体" w:hAnsi="宋体" w:cs="宋体"/>
                <w:color w:val="auto"/>
                <w:szCs w:val="24"/>
                <w:highlight w:val="none"/>
              </w:rPr>
            </w:pPr>
          </w:p>
        </w:tc>
        <w:tc>
          <w:tcPr>
            <w:tcW w:w="1333" w:type="dxa"/>
            <w:noWrap w:val="0"/>
            <w:vAlign w:val="center"/>
          </w:tcPr>
          <w:p w14:paraId="176268AF">
            <w:pPr>
              <w:pStyle w:val="284"/>
              <w:snapToGrid w:val="0"/>
              <w:spacing w:line="360" w:lineRule="auto"/>
              <w:rPr>
                <w:rFonts w:hint="eastAsia" w:ascii="宋体" w:hAnsi="宋体" w:cs="宋体"/>
                <w:color w:val="auto"/>
                <w:szCs w:val="24"/>
                <w:highlight w:val="none"/>
              </w:rPr>
            </w:pPr>
          </w:p>
        </w:tc>
      </w:tr>
      <w:tr w14:paraId="09E7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noWrap w:val="0"/>
            <w:vAlign w:val="center"/>
          </w:tcPr>
          <w:p w14:paraId="058B8DB3">
            <w:pPr>
              <w:pStyle w:val="284"/>
              <w:snapToGrid w:val="0"/>
              <w:spacing w:line="360" w:lineRule="auto"/>
              <w:rPr>
                <w:rFonts w:hint="eastAsia" w:ascii="宋体" w:hAnsi="宋体" w:cs="宋体"/>
                <w:color w:val="auto"/>
                <w:szCs w:val="24"/>
                <w:highlight w:val="none"/>
              </w:rPr>
            </w:pPr>
          </w:p>
        </w:tc>
        <w:tc>
          <w:tcPr>
            <w:tcW w:w="1203" w:type="dxa"/>
            <w:noWrap w:val="0"/>
            <w:vAlign w:val="center"/>
          </w:tcPr>
          <w:p w14:paraId="06977430">
            <w:pPr>
              <w:pStyle w:val="284"/>
              <w:snapToGrid w:val="0"/>
              <w:spacing w:line="360" w:lineRule="auto"/>
              <w:rPr>
                <w:rFonts w:hint="eastAsia" w:ascii="宋体" w:hAnsi="宋体" w:cs="宋体"/>
                <w:color w:val="auto"/>
                <w:szCs w:val="24"/>
                <w:highlight w:val="none"/>
              </w:rPr>
            </w:pPr>
          </w:p>
        </w:tc>
        <w:tc>
          <w:tcPr>
            <w:tcW w:w="1638" w:type="dxa"/>
            <w:noWrap w:val="0"/>
            <w:vAlign w:val="center"/>
          </w:tcPr>
          <w:p w14:paraId="7795692B">
            <w:pPr>
              <w:pStyle w:val="284"/>
              <w:snapToGrid w:val="0"/>
              <w:spacing w:line="360" w:lineRule="auto"/>
              <w:rPr>
                <w:rFonts w:hint="eastAsia" w:ascii="宋体" w:hAnsi="宋体" w:cs="宋体"/>
                <w:color w:val="auto"/>
                <w:szCs w:val="24"/>
                <w:highlight w:val="none"/>
              </w:rPr>
            </w:pPr>
          </w:p>
        </w:tc>
        <w:tc>
          <w:tcPr>
            <w:tcW w:w="2120" w:type="dxa"/>
            <w:noWrap w:val="0"/>
            <w:vAlign w:val="center"/>
          </w:tcPr>
          <w:p w14:paraId="70325C5D">
            <w:pPr>
              <w:pStyle w:val="284"/>
              <w:snapToGrid w:val="0"/>
              <w:spacing w:line="360" w:lineRule="auto"/>
              <w:rPr>
                <w:rFonts w:hint="eastAsia" w:ascii="宋体" w:hAnsi="宋体" w:cs="宋体"/>
                <w:color w:val="auto"/>
                <w:szCs w:val="24"/>
                <w:highlight w:val="none"/>
              </w:rPr>
            </w:pPr>
          </w:p>
        </w:tc>
        <w:tc>
          <w:tcPr>
            <w:tcW w:w="2277" w:type="dxa"/>
            <w:noWrap w:val="0"/>
            <w:vAlign w:val="center"/>
          </w:tcPr>
          <w:p w14:paraId="368FF4B1">
            <w:pPr>
              <w:pStyle w:val="284"/>
              <w:snapToGrid w:val="0"/>
              <w:spacing w:line="360" w:lineRule="auto"/>
              <w:rPr>
                <w:rFonts w:hint="eastAsia" w:ascii="宋体" w:hAnsi="宋体" w:cs="宋体"/>
                <w:color w:val="auto"/>
                <w:szCs w:val="24"/>
                <w:highlight w:val="none"/>
              </w:rPr>
            </w:pPr>
          </w:p>
        </w:tc>
        <w:tc>
          <w:tcPr>
            <w:tcW w:w="1333" w:type="dxa"/>
            <w:noWrap w:val="0"/>
            <w:vAlign w:val="center"/>
          </w:tcPr>
          <w:p w14:paraId="3EDC9CAD">
            <w:pPr>
              <w:pStyle w:val="284"/>
              <w:snapToGrid w:val="0"/>
              <w:spacing w:line="360" w:lineRule="auto"/>
              <w:rPr>
                <w:rFonts w:hint="eastAsia" w:ascii="宋体" w:hAnsi="宋体" w:cs="宋体"/>
                <w:color w:val="auto"/>
                <w:szCs w:val="24"/>
                <w:highlight w:val="none"/>
              </w:rPr>
            </w:pPr>
          </w:p>
        </w:tc>
      </w:tr>
      <w:tr w14:paraId="08B3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noWrap w:val="0"/>
            <w:vAlign w:val="center"/>
          </w:tcPr>
          <w:p w14:paraId="27E135D3">
            <w:pPr>
              <w:pStyle w:val="284"/>
              <w:snapToGrid w:val="0"/>
              <w:spacing w:line="360" w:lineRule="auto"/>
              <w:rPr>
                <w:rFonts w:hint="eastAsia" w:ascii="宋体" w:hAnsi="宋体" w:cs="宋体"/>
                <w:color w:val="auto"/>
                <w:szCs w:val="24"/>
                <w:highlight w:val="none"/>
              </w:rPr>
            </w:pPr>
          </w:p>
        </w:tc>
        <w:tc>
          <w:tcPr>
            <w:tcW w:w="1203" w:type="dxa"/>
            <w:noWrap w:val="0"/>
            <w:vAlign w:val="center"/>
          </w:tcPr>
          <w:p w14:paraId="59C4D4DC">
            <w:pPr>
              <w:pStyle w:val="284"/>
              <w:snapToGrid w:val="0"/>
              <w:spacing w:line="360" w:lineRule="auto"/>
              <w:rPr>
                <w:rFonts w:hint="eastAsia" w:ascii="宋体" w:hAnsi="宋体" w:cs="宋体"/>
                <w:color w:val="auto"/>
                <w:szCs w:val="24"/>
                <w:highlight w:val="none"/>
              </w:rPr>
            </w:pPr>
          </w:p>
        </w:tc>
        <w:tc>
          <w:tcPr>
            <w:tcW w:w="1638" w:type="dxa"/>
            <w:noWrap w:val="0"/>
            <w:vAlign w:val="center"/>
          </w:tcPr>
          <w:p w14:paraId="40028EEB">
            <w:pPr>
              <w:pStyle w:val="284"/>
              <w:snapToGrid w:val="0"/>
              <w:spacing w:line="360" w:lineRule="auto"/>
              <w:rPr>
                <w:rFonts w:hint="eastAsia" w:ascii="宋体" w:hAnsi="宋体" w:cs="宋体"/>
                <w:color w:val="auto"/>
                <w:szCs w:val="24"/>
                <w:highlight w:val="none"/>
              </w:rPr>
            </w:pPr>
          </w:p>
        </w:tc>
        <w:tc>
          <w:tcPr>
            <w:tcW w:w="2120" w:type="dxa"/>
            <w:noWrap w:val="0"/>
            <w:vAlign w:val="center"/>
          </w:tcPr>
          <w:p w14:paraId="2933986D">
            <w:pPr>
              <w:pStyle w:val="284"/>
              <w:snapToGrid w:val="0"/>
              <w:spacing w:line="360" w:lineRule="auto"/>
              <w:rPr>
                <w:rFonts w:hint="eastAsia" w:ascii="宋体" w:hAnsi="宋体" w:cs="宋体"/>
                <w:color w:val="auto"/>
                <w:szCs w:val="24"/>
                <w:highlight w:val="none"/>
              </w:rPr>
            </w:pPr>
          </w:p>
        </w:tc>
        <w:tc>
          <w:tcPr>
            <w:tcW w:w="2277" w:type="dxa"/>
            <w:noWrap w:val="0"/>
            <w:vAlign w:val="center"/>
          </w:tcPr>
          <w:p w14:paraId="5A7B9A52">
            <w:pPr>
              <w:pStyle w:val="284"/>
              <w:snapToGrid w:val="0"/>
              <w:spacing w:line="360" w:lineRule="auto"/>
              <w:rPr>
                <w:rFonts w:hint="eastAsia" w:ascii="宋体" w:hAnsi="宋体" w:cs="宋体"/>
                <w:color w:val="auto"/>
                <w:szCs w:val="24"/>
                <w:highlight w:val="none"/>
              </w:rPr>
            </w:pPr>
          </w:p>
        </w:tc>
        <w:tc>
          <w:tcPr>
            <w:tcW w:w="1333" w:type="dxa"/>
            <w:noWrap w:val="0"/>
            <w:vAlign w:val="center"/>
          </w:tcPr>
          <w:p w14:paraId="386FECE4">
            <w:pPr>
              <w:pStyle w:val="284"/>
              <w:snapToGrid w:val="0"/>
              <w:spacing w:line="360" w:lineRule="auto"/>
              <w:rPr>
                <w:rFonts w:hint="eastAsia" w:ascii="宋体" w:hAnsi="宋体" w:cs="宋体"/>
                <w:color w:val="auto"/>
                <w:szCs w:val="24"/>
                <w:highlight w:val="none"/>
              </w:rPr>
            </w:pPr>
          </w:p>
        </w:tc>
      </w:tr>
    </w:tbl>
    <w:p w14:paraId="0EB9E3F2">
      <w:pPr>
        <w:pStyle w:val="485"/>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注：投标人应附相应的证明材料扫描件（如：相关资格证书或技术职称等，如无可以只附身份证扫描件）</w:t>
      </w:r>
    </w:p>
    <w:p w14:paraId="1877494B">
      <w:pPr>
        <w:pStyle w:val="485"/>
        <w:numPr>
          <w:ilvl w:val="0"/>
          <w:numId w:val="0"/>
        </w:numPr>
        <w:shd w:val="clear"/>
        <w:rPr>
          <w:rFonts w:hint="eastAsia" w:ascii="宋体" w:hAnsi="宋体" w:eastAsia="宋体" w:cs="宋体"/>
          <w:b w:val="0"/>
          <w:bCs w:val="0"/>
          <w:color w:val="auto"/>
          <w:kern w:val="2"/>
          <w:sz w:val="18"/>
          <w:szCs w:val="18"/>
          <w:highlight w:val="none"/>
          <w:lang w:val="en-US" w:eastAsia="zh-CN" w:bidi="ar-SA"/>
        </w:rPr>
      </w:pPr>
    </w:p>
    <w:p w14:paraId="794BEE30">
      <w:pPr>
        <w:pStyle w:val="485"/>
        <w:shd w:val="clear"/>
        <w:rPr>
          <w:rFonts w:hint="eastAsia" w:ascii="宋体" w:hAnsi="宋体" w:eastAsia="宋体" w:cs="宋体"/>
          <w:color w:val="auto"/>
          <w:highlight w:val="none"/>
        </w:rPr>
      </w:pPr>
    </w:p>
    <w:p w14:paraId="4F8C240A">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投标人法定代表人（或法定代表人授权代表）（电子签名）：</w:t>
      </w:r>
    </w:p>
    <w:p w14:paraId="20C5B42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投标人名称（电子公章）：</w:t>
      </w:r>
    </w:p>
    <w:p w14:paraId="0CC7483B">
      <w:pPr>
        <w:keepNext w:val="0"/>
        <w:keepLines w:val="0"/>
        <w:pageBreakBefore w:val="0"/>
        <w:widowControl w:val="0"/>
        <w:shd w:val="clear"/>
        <w:kinsoku/>
        <w:wordWrap/>
        <w:overflowPunct/>
        <w:topLinePunct w:val="0"/>
        <w:autoSpaceDE w:val="0"/>
        <w:autoSpaceDN w:val="0"/>
        <w:bidi w:val="0"/>
        <w:adjustRightInd w:val="0"/>
        <w:snapToGrid w:val="0"/>
        <w:spacing w:line="360" w:lineRule="auto"/>
        <w:ind w:left="3795" w:leftChars="0" w:hanging="3795" w:hangingChars="1800"/>
        <w:jc w:val="left"/>
        <w:textAlignment w:val="auto"/>
        <w:rPr>
          <w:rFonts w:hint="eastAsia" w:ascii="宋体" w:hAnsi="宋体" w:eastAsia="宋体" w:cs="宋体"/>
          <w:b/>
          <w:color w:val="auto"/>
          <w:sz w:val="28"/>
          <w:szCs w:val="28"/>
          <w:highlight w:val="none"/>
        </w:rPr>
      </w:pPr>
      <w:r>
        <w:rPr>
          <w:rFonts w:hint="eastAsia" w:ascii="宋体" w:hAnsi="宋体" w:eastAsia="宋体" w:cs="宋体"/>
          <w:b/>
          <w:bCs/>
          <w:color w:val="auto"/>
          <w:kern w:val="0"/>
          <w:sz w:val="21"/>
          <w:szCs w:val="21"/>
          <w:highlight w:val="none"/>
        </w:rPr>
        <w:t>日期： 年 月 日</w:t>
      </w:r>
    </w:p>
    <w:p w14:paraId="52ADCE3B">
      <w:pPr>
        <w:pStyle w:val="4"/>
        <w:bidi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附件18 投标人其他承诺及声明（如有）</w:t>
      </w:r>
    </w:p>
    <w:p w14:paraId="0C3457A4">
      <w:pPr>
        <w:shd w:val="clear"/>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408"/>
    <w:bookmarkEnd w:id="409"/>
    <w:bookmarkEnd w:id="410"/>
    <w:p w14:paraId="5531E1D4">
      <w:pPr>
        <w:pStyle w:val="2"/>
        <w:shd w:val="clear"/>
        <w:bidi w:val="0"/>
        <w:ind w:left="0" w:leftChars="0" w:firstLine="0" w:firstLineChars="0"/>
        <w:jc w:val="center"/>
        <w:rPr>
          <w:rFonts w:hint="eastAsia" w:ascii="宋体" w:hAnsi="宋体" w:eastAsia="宋体" w:cs="宋体"/>
          <w:color w:val="auto"/>
          <w:highlight w:val="none"/>
        </w:rPr>
      </w:pPr>
      <w:bookmarkStart w:id="411" w:name="_Toc28825"/>
      <w:bookmarkStart w:id="412" w:name="_Toc29143"/>
      <w:bookmarkStart w:id="413" w:name="_Toc13451"/>
      <w:r>
        <w:rPr>
          <w:rFonts w:hint="eastAsia" w:ascii="宋体" w:hAnsi="宋体" w:eastAsia="宋体" w:cs="宋体"/>
          <w:color w:val="auto"/>
          <w:highlight w:val="none"/>
        </w:rPr>
        <w:t xml:space="preserve">第七章 </w:t>
      </w:r>
      <w:bookmarkEnd w:id="411"/>
      <w:r>
        <w:rPr>
          <w:rFonts w:hint="eastAsia" w:ascii="宋体" w:hAnsi="宋体" w:eastAsia="宋体" w:cs="宋体"/>
          <w:color w:val="auto"/>
          <w:highlight w:val="none"/>
        </w:rPr>
        <w:t>附件</w:t>
      </w:r>
      <w:bookmarkEnd w:id="412"/>
      <w:bookmarkEnd w:id="413"/>
    </w:p>
    <w:p w14:paraId="29061B6F">
      <w:pPr>
        <w:pStyle w:val="4"/>
        <w:bidi w:val="0"/>
        <w:rPr>
          <w:rFonts w:hint="eastAsia" w:ascii="宋体" w:hAnsi="宋体" w:eastAsia="宋体" w:cs="宋体"/>
          <w:color w:val="auto"/>
          <w:highlight w:val="none"/>
        </w:rPr>
      </w:pPr>
      <w:bookmarkStart w:id="414" w:name="_Toc20834"/>
      <w:bookmarkStart w:id="415" w:name="_Toc18241"/>
      <w:r>
        <w:rPr>
          <w:rFonts w:hint="eastAsia" w:ascii="宋体" w:hAnsi="宋体" w:eastAsia="宋体" w:cs="宋体"/>
          <w:color w:val="auto"/>
          <w:highlight w:val="none"/>
          <w:lang w:val="en-US" w:eastAsia="zh-CN"/>
        </w:rPr>
        <w:t>附件1：</w:t>
      </w:r>
      <w:r>
        <w:rPr>
          <w:rFonts w:hint="eastAsia" w:ascii="宋体" w:hAnsi="宋体" w:eastAsia="宋体" w:cs="宋体"/>
          <w:color w:val="auto"/>
          <w:highlight w:val="none"/>
        </w:rPr>
        <w:t>质疑函范本</w:t>
      </w:r>
      <w:bookmarkEnd w:id="414"/>
      <w:bookmarkEnd w:id="415"/>
    </w:p>
    <w:p w14:paraId="4919F742">
      <w:pPr>
        <w:shd w:val="clear"/>
        <w:adjustRightInd w:val="0"/>
        <w:snapToGrid w:val="0"/>
        <w:spacing w:line="360" w:lineRule="auto"/>
        <w:rPr>
          <w:rFonts w:hint="eastAsia" w:ascii="宋体" w:hAnsi="宋体" w:eastAsia="宋体" w:cs="宋体"/>
          <w:color w:val="auto"/>
          <w:sz w:val="21"/>
          <w:szCs w:val="21"/>
          <w:highlight w:val="none"/>
        </w:rPr>
      </w:pPr>
      <w:bookmarkStart w:id="416" w:name="_Toc16097"/>
      <w:bookmarkStart w:id="417" w:name="_Toc1166"/>
      <w:r>
        <w:rPr>
          <w:rFonts w:hint="eastAsia" w:ascii="宋体" w:hAnsi="宋体" w:eastAsia="宋体" w:cs="宋体"/>
          <w:color w:val="auto"/>
          <w:sz w:val="21"/>
          <w:szCs w:val="21"/>
          <w:highlight w:val="none"/>
        </w:rPr>
        <w:t>一、质疑</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基本信息</w:t>
      </w:r>
      <w:bookmarkEnd w:id="416"/>
      <w:bookmarkEnd w:id="417"/>
    </w:p>
    <w:p w14:paraId="25D302E4">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dotted"/>
        </w:rPr>
        <w:t xml:space="preserve">                                        </w:t>
      </w:r>
    </w:p>
    <w:p w14:paraId="61D55C1A">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p>
    <w:p w14:paraId="4D16B47F">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p>
    <w:p w14:paraId="54E06BFC">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dotted"/>
        </w:rPr>
        <w:t xml:space="preserve">                                          </w:t>
      </w:r>
    </w:p>
    <w:p w14:paraId="0CD3A137">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 xml:space="preserve"> </w:t>
      </w:r>
    </w:p>
    <w:p w14:paraId="71A6954A">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p>
    <w:p w14:paraId="7D18355A">
      <w:pPr>
        <w:shd w:val="clear"/>
        <w:adjustRightInd w:val="0"/>
        <w:snapToGrid w:val="0"/>
        <w:spacing w:line="360" w:lineRule="auto"/>
        <w:rPr>
          <w:rFonts w:hint="eastAsia" w:ascii="宋体" w:hAnsi="宋体" w:eastAsia="宋体" w:cs="宋体"/>
          <w:color w:val="auto"/>
          <w:sz w:val="21"/>
          <w:szCs w:val="21"/>
          <w:highlight w:val="none"/>
        </w:rPr>
      </w:pPr>
      <w:bookmarkStart w:id="418" w:name="_Toc9697"/>
      <w:bookmarkStart w:id="419" w:name="_Toc27356"/>
      <w:r>
        <w:rPr>
          <w:rFonts w:hint="eastAsia" w:ascii="宋体" w:hAnsi="宋体" w:eastAsia="宋体" w:cs="宋体"/>
          <w:color w:val="auto"/>
          <w:sz w:val="21"/>
          <w:szCs w:val="21"/>
          <w:highlight w:val="none"/>
        </w:rPr>
        <w:t>二、质疑项目基本情况</w:t>
      </w:r>
      <w:bookmarkEnd w:id="418"/>
      <w:bookmarkEnd w:id="419"/>
    </w:p>
    <w:p w14:paraId="6287EB14">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dotted"/>
        </w:rPr>
        <w:t xml:space="preserve">                                      </w:t>
      </w:r>
    </w:p>
    <w:p w14:paraId="73DE4172">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dotted"/>
        </w:rPr>
        <w:t xml:space="preserve">                 </w:t>
      </w:r>
    </w:p>
    <w:p w14:paraId="01DEC9CC">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dotted"/>
        </w:rPr>
        <w:t xml:space="preserve">                                         </w:t>
      </w:r>
    </w:p>
    <w:p w14:paraId="0C5AD2BF">
      <w:pPr>
        <w:shd w:val="clea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dotted"/>
        </w:rPr>
        <w:t xml:space="preserve">                                           </w:t>
      </w:r>
    </w:p>
    <w:p w14:paraId="3C50CFC5">
      <w:pPr>
        <w:shd w:val="clear"/>
        <w:adjustRightInd w:val="0"/>
        <w:snapToGrid w:val="0"/>
        <w:spacing w:line="360" w:lineRule="auto"/>
        <w:rPr>
          <w:rFonts w:hint="eastAsia" w:ascii="宋体" w:hAnsi="宋体" w:eastAsia="宋体" w:cs="宋体"/>
          <w:color w:val="auto"/>
          <w:sz w:val="21"/>
          <w:szCs w:val="21"/>
          <w:highlight w:val="none"/>
        </w:rPr>
      </w:pPr>
      <w:bookmarkStart w:id="420" w:name="_Toc32517"/>
      <w:bookmarkStart w:id="421" w:name="_Toc273"/>
      <w:r>
        <w:rPr>
          <w:rFonts w:hint="eastAsia" w:ascii="宋体" w:hAnsi="宋体" w:eastAsia="宋体" w:cs="宋体"/>
          <w:color w:val="auto"/>
          <w:sz w:val="21"/>
          <w:szCs w:val="21"/>
          <w:highlight w:val="none"/>
        </w:rPr>
        <w:t>三、质疑事项具体内容</w:t>
      </w:r>
      <w:bookmarkEnd w:id="420"/>
      <w:bookmarkEnd w:id="421"/>
    </w:p>
    <w:p w14:paraId="081961F1">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dotted"/>
        </w:rPr>
        <w:t xml:space="preserve">                                         </w:t>
      </w:r>
    </w:p>
    <w:p w14:paraId="6A4CA436">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dotted"/>
        </w:rPr>
        <w:t xml:space="preserve">                                          </w:t>
      </w:r>
    </w:p>
    <w:p w14:paraId="73473E83">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dotted"/>
        </w:rPr>
        <w:t xml:space="preserve">                                          </w:t>
      </w:r>
    </w:p>
    <w:p w14:paraId="307FD29F">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质疑事项2</w:t>
      </w:r>
    </w:p>
    <w:p w14:paraId="366BC027">
      <w:pPr>
        <w:shd w:val="clear"/>
        <w:adjustRightInd w:val="0"/>
        <w:snapToGrid w:val="0"/>
        <w:spacing w:line="360" w:lineRule="auto"/>
        <w:rPr>
          <w:rFonts w:hint="eastAsia" w:ascii="宋体" w:hAnsi="宋体" w:eastAsia="宋体" w:cs="宋体"/>
          <w:color w:val="auto"/>
          <w:sz w:val="21"/>
          <w:szCs w:val="21"/>
          <w:highlight w:val="none"/>
        </w:rPr>
      </w:pPr>
      <w:bookmarkStart w:id="422" w:name="_Toc18475"/>
      <w:bookmarkStart w:id="423" w:name="_Toc8953"/>
      <w:r>
        <w:rPr>
          <w:rFonts w:hint="eastAsia" w:ascii="宋体" w:hAnsi="宋体" w:eastAsia="宋体" w:cs="宋体"/>
          <w:color w:val="auto"/>
          <w:sz w:val="21"/>
          <w:szCs w:val="21"/>
          <w:highlight w:val="none"/>
        </w:rPr>
        <w:t>四、与质疑事项相关的质疑请求</w:t>
      </w:r>
      <w:bookmarkEnd w:id="422"/>
      <w:bookmarkEnd w:id="423"/>
    </w:p>
    <w:p w14:paraId="29BC623F">
      <w:pPr>
        <w:shd w:val="clea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dotted"/>
        </w:rPr>
        <w:t xml:space="preserve">                                               </w:t>
      </w:r>
    </w:p>
    <w:p w14:paraId="5D608EFA">
      <w:pPr>
        <w:shd w:val="clea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4EC4A886">
      <w:pPr>
        <w:shd w:val="clea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417ED0A0">
      <w:pPr>
        <w:shd w:val="clear"/>
        <w:rPr>
          <w:rFonts w:hint="eastAsia" w:ascii="宋体" w:hAnsi="宋体" w:eastAsia="宋体" w:cs="宋体"/>
          <w:bCs/>
          <w:color w:val="auto"/>
          <w:sz w:val="21"/>
          <w:szCs w:val="21"/>
          <w:highlight w:val="none"/>
        </w:rPr>
      </w:pPr>
    </w:p>
    <w:p w14:paraId="113397DC">
      <w:pPr>
        <w:shd w:val="clear"/>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质疑函制作说明：</w:t>
      </w:r>
    </w:p>
    <w:p w14:paraId="619CA316">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1.</w:t>
      </w:r>
      <w:r>
        <w:rPr>
          <w:rFonts w:hint="eastAsia" w:ascii="宋体" w:hAnsi="宋体" w:eastAsia="宋体" w:cs="宋体"/>
          <w:b/>
          <w:bCs w:val="0"/>
          <w:color w:val="auto"/>
          <w:sz w:val="18"/>
          <w:szCs w:val="18"/>
          <w:highlight w:val="none"/>
          <w:lang w:eastAsia="zh-CN"/>
        </w:rPr>
        <w:t>投标人</w:t>
      </w:r>
      <w:r>
        <w:rPr>
          <w:rFonts w:hint="eastAsia" w:ascii="宋体" w:hAnsi="宋体" w:eastAsia="宋体" w:cs="宋体"/>
          <w:b/>
          <w:bCs w:val="0"/>
          <w:color w:val="auto"/>
          <w:sz w:val="18"/>
          <w:szCs w:val="18"/>
          <w:highlight w:val="none"/>
        </w:rPr>
        <w:t>提出质疑时，应提交质疑函和必要的证明材料。</w:t>
      </w:r>
    </w:p>
    <w:p w14:paraId="0B8F774D">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2.质疑</w:t>
      </w:r>
      <w:r>
        <w:rPr>
          <w:rFonts w:hint="eastAsia" w:ascii="宋体" w:hAnsi="宋体" w:eastAsia="宋体" w:cs="宋体"/>
          <w:b/>
          <w:bCs w:val="0"/>
          <w:color w:val="auto"/>
          <w:sz w:val="18"/>
          <w:szCs w:val="18"/>
          <w:highlight w:val="none"/>
          <w:lang w:eastAsia="zh-CN"/>
        </w:rPr>
        <w:t>投标人</w:t>
      </w:r>
      <w:r>
        <w:rPr>
          <w:rFonts w:hint="eastAsia" w:ascii="宋体" w:hAnsi="宋体" w:eastAsia="宋体" w:cs="宋体"/>
          <w:b/>
          <w:bCs w:val="0"/>
          <w:color w:val="auto"/>
          <w:sz w:val="18"/>
          <w:szCs w:val="18"/>
          <w:highlight w:val="none"/>
        </w:rPr>
        <w:t>若委托代理人进行质疑的，质疑函应按要求列明“授权代表”的有关内容，并在附件中提交由质疑</w:t>
      </w:r>
      <w:r>
        <w:rPr>
          <w:rFonts w:hint="eastAsia" w:ascii="宋体" w:hAnsi="宋体" w:eastAsia="宋体" w:cs="宋体"/>
          <w:b/>
          <w:bCs w:val="0"/>
          <w:color w:val="auto"/>
          <w:kern w:val="0"/>
          <w:sz w:val="18"/>
          <w:szCs w:val="18"/>
          <w:highlight w:val="none"/>
          <w:lang w:eastAsia="zh-CN"/>
        </w:rPr>
        <w:t>投标人</w:t>
      </w:r>
      <w:r>
        <w:rPr>
          <w:rFonts w:hint="eastAsia" w:ascii="宋体" w:hAnsi="宋体" w:eastAsia="宋体" w:cs="宋体"/>
          <w:b/>
          <w:bCs w:val="0"/>
          <w:color w:val="auto"/>
          <w:kern w:val="0"/>
          <w:sz w:val="18"/>
          <w:szCs w:val="18"/>
          <w:highlight w:val="none"/>
        </w:rPr>
        <w:t>签署的授权委托书。授权委托书应载明代理人的姓名或者名称、代理事项、具体权限、期限和相关事项。</w:t>
      </w:r>
    </w:p>
    <w:p w14:paraId="5E5DB77E">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3.质疑</w:t>
      </w:r>
      <w:r>
        <w:rPr>
          <w:rFonts w:hint="eastAsia" w:ascii="宋体" w:hAnsi="宋体" w:eastAsia="宋体" w:cs="宋体"/>
          <w:b/>
          <w:bCs w:val="0"/>
          <w:color w:val="auto"/>
          <w:sz w:val="18"/>
          <w:szCs w:val="18"/>
          <w:highlight w:val="none"/>
          <w:lang w:eastAsia="zh-CN"/>
        </w:rPr>
        <w:t>投标人</w:t>
      </w:r>
      <w:r>
        <w:rPr>
          <w:rFonts w:hint="eastAsia" w:ascii="宋体" w:hAnsi="宋体" w:eastAsia="宋体" w:cs="宋体"/>
          <w:b/>
          <w:bCs w:val="0"/>
          <w:color w:val="auto"/>
          <w:sz w:val="18"/>
          <w:szCs w:val="18"/>
          <w:highlight w:val="none"/>
        </w:rPr>
        <w:t>若对项目的某一分包进行质疑，质疑函中应列明具体分包号。</w:t>
      </w:r>
    </w:p>
    <w:p w14:paraId="77DD2742">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4.质疑函的质疑事项应具体、明确，并有必要的事实依据和法律依据。</w:t>
      </w:r>
    </w:p>
    <w:p w14:paraId="296B7927">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5.质疑函的质疑请求应与质疑事项相关。</w:t>
      </w:r>
    </w:p>
    <w:p w14:paraId="442EA096">
      <w:pPr>
        <w:widowControl/>
        <w:shd w:val="clear"/>
        <w:ind w:firstLine="361" w:firstLineChars="200"/>
        <w:jc w:val="lef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6.质疑</w:t>
      </w:r>
      <w:r>
        <w:rPr>
          <w:rFonts w:hint="eastAsia" w:ascii="宋体" w:hAnsi="宋体" w:eastAsia="宋体" w:cs="宋体"/>
          <w:b/>
          <w:bCs w:val="0"/>
          <w:color w:val="auto"/>
          <w:sz w:val="18"/>
          <w:szCs w:val="18"/>
          <w:highlight w:val="none"/>
          <w:lang w:eastAsia="zh-CN"/>
        </w:rPr>
        <w:t>投标人</w:t>
      </w:r>
      <w:r>
        <w:rPr>
          <w:rFonts w:hint="eastAsia" w:ascii="宋体" w:hAnsi="宋体" w:eastAsia="宋体" w:cs="宋体"/>
          <w:b/>
          <w:bCs w:val="0"/>
          <w:color w:val="auto"/>
          <w:sz w:val="18"/>
          <w:szCs w:val="18"/>
          <w:highlight w:val="none"/>
        </w:rPr>
        <w:t>为自然人的，质疑函应由本人签字；质疑</w:t>
      </w:r>
      <w:r>
        <w:rPr>
          <w:rFonts w:hint="eastAsia" w:ascii="宋体" w:hAnsi="宋体" w:eastAsia="宋体" w:cs="宋体"/>
          <w:b/>
          <w:bCs w:val="0"/>
          <w:color w:val="auto"/>
          <w:sz w:val="18"/>
          <w:szCs w:val="18"/>
          <w:highlight w:val="none"/>
          <w:lang w:eastAsia="zh-CN"/>
        </w:rPr>
        <w:t>投标人</w:t>
      </w:r>
      <w:r>
        <w:rPr>
          <w:rFonts w:hint="eastAsia" w:ascii="宋体" w:hAnsi="宋体" w:eastAsia="宋体" w:cs="宋体"/>
          <w:b/>
          <w:bCs w:val="0"/>
          <w:color w:val="auto"/>
          <w:sz w:val="18"/>
          <w:szCs w:val="18"/>
          <w:highlight w:val="none"/>
        </w:rPr>
        <w:t>为法人或者其他组织的，质疑函应由法定代表人、主要负责人，或者其授权代表签字或者盖章，并加盖公章。</w:t>
      </w:r>
    </w:p>
    <w:p w14:paraId="56007848">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附件2：政府采购促进中小企业发展管理办法</w:t>
      </w:r>
    </w:p>
    <w:p w14:paraId="5EC72AEA">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center"/>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财库〔2020〕46 号</w:t>
      </w:r>
    </w:p>
    <w:p w14:paraId="520344E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第一条 为了发挥政府采购的政策功能，促进中小企业健康发展，根据《中华人民共和国政府采购法》、《中华人民共和国中小企业促进法》 等有关法律法规，制定本办法。</w:t>
      </w:r>
    </w:p>
    <w:p w14:paraId="23585DD3">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第二条 本办法所称中小企业，是指在中华人民共和国境内依法设立，依据国务院批准的中小企 业划分标准确定的中型企业、小型企业和微型企业，但与大企业的负责人为同一人，或者与大企业 存在直接控股、管理关系的除外。</w:t>
      </w:r>
    </w:p>
    <w:p w14:paraId="2FC287A6">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符合中小企业划分标准的个体工商户，在政府采购活动中视同中小企业。</w:t>
      </w:r>
    </w:p>
    <w:p w14:paraId="2F6FE58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第三条 采购人在政府采购活动中应当通过加强采购需求管理，落实预留采购份额、价格评审优惠、优先采购等措施，提高中小企业在政府采购中的份额，支持中小企业发展。</w:t>
      </w:r>
    </w:p>
    <w:p w14:paraId="077FE3CC">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第四条 在政府采购活动中，</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提供的货物、工程或者服务符合下列情形的，享受本办法规定的中小企业扶持政策：</w:t>
      </w:r>
    </w:p>
    <w:p w14:paraId="27F15EB9">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（一）在货物采购项目中，货物由中小企业制造，即货物由中小企业生产且使用该中小企业商号或者注册商标；</w:t>
      </w:r>
    </w:p>
    <w:p w14:paraId="1090DDE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 在工程采购项目中，工程由中小企业承建，即工程施工单位为中小企业；</w:t>
      </w:r>
    </w:p>
    <w:p w14:paraId="647753B3">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 在服务采购项目中，服务由中小企业承接，即提供服务的人员为中小企业依照《中华人民共和国劳动合同法》订立劳动合同的从业人员。</w:t>
      </w:r>
    </w:p>
    <w:p w14:paraId="690882B9">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在货物采购项目中，</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提供的货物既有中小企业制造货物，也有大型企业制造货物的，不 享受本办法规定的中小企业扶持政策。</w:t>
      </w:r>
    </w:p>
    <w:p w14:paraId="6619FC84">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以联合体形式参加政府采购活动，联合体各方均为中小企业的，联合体视同中小企业。其中， 联合体各方均为小微企业的，联合体视同小微企业。</w:t>
      </w:r>
    </w:p>
    <w:p w14:paraId="6BF3235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第五条 采购人在政府采购活动中应当合理确定采购项目的采购需求，不得以企业注册资本、资产总额、营业收入、从业人员、利润、纳税额等规模条件和财务指标作为</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的资格要求或者评审因素，不得在企业股权结构、经营年限等方面对中小企业实行差别待遇或者歧视待遇。</w:t>
      </w:r>
    </w:p>
    <w:p w14:paraId="5A3E075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第六条 主管预算单位应当组织评估本部门及所属单位政府采购项目，统筹制定面向中小企业预 留采购份额的具体方案，对适宜由中小企业提供的采购项目和采购包，预留采购份额专门面向中小 企业采购，并在政府采购预算中单独列示。</w:t>
      </w:r>
    </w:p>
    <w:p w14:paraId="7529B33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符合下列情形之一的，可不专门面向中小企业预留采购份额：</w:t>
      </w:r>
    </w:p>
    <w:p w14:paraId="022A851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（一）法律法规和国家有关政策明确规定优先或者应当面向事业单位、社会组织等非企业主体采购的；</w:t>
      </w:r>
    </w:p>
    <w:p w14:paraId="463F41F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 因确需使用不可替代的专利、专有技术，基础设施限制，或者提供特定公共服务等原因，只能从中小企业之外的</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处采购的；</w:t>
      </w:r>
    </w:p>
    <w:p w14:paraId="062F64F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 按照本办法规定预留采购份额无法确保充分供应、充分竞争，或者存在可能影响政府采购目标实现的情形；</w:t>
      </w:r>
    </w:p>
    <w:p w14:paraId="0625016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（四） 框架协议采购项目；</w:t>
      </w:r>
    </w:p>
    <w:p w14:paraId="13D363AE">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（五） 省级以上人民政府财政部门规定的其他情形。</w:t>
      </w:r>
    </w:p>
    <w:p w14:paraId="60BE0EA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除上述情形外，其他均为适宜由中小企业提供的情形。</w:t>
      </w:r>
    </w:p>
    <w:p w14:paraId="04C87ADB">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第七条 采购限额标准以上，200万元以下的货物和服务采购项目、400万元以下的工程采购项目，适宜由中小企业提供的，采购人应当专门面向中小企业采购。</w:t>
      </w:r>
    </w:p>
    <w:p w14:paraId="072030D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第八条 超过200万元的货物和服务采购项目、超过400万元的工程采购项目中适宜由中小企业提供的，预留该部分采购项目预算总额的 30%以上专门面向中小企业采购，其中预留给小微企业的比例不低于60%。预留份额通过下列措施进行：</w:t>
      </w:r>
    </w:p>
    <w:p w14:paraId="2525B514">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（一）将采购项目整体或者设置采购包专门面向中小企业采购；</w:t>
      </w:r>
    </w:p>
    <w:p w14:paraId="327BA57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（二）要求</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以联合体形式参加采购活动，且联合体中中小企业承担的部分达到一定比例；</w:t>
      </w:r>
    </w:p>
    <w:p w14:paraId="225949CE">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（三）要求获得采购合同的</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将采购项目中的一定比例分包给一家或者多家中小企业。</w:t>
      </w:r>
    </w:p>
    <w:p w14:paraId="14D36A0C">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组成联合体或者接受分包合同的中小企业与联合体内其他企业、分包企业之间不得存在直接控 股、管理关系。</w:t>
      </w:r>
    </w:p>
    <w:p w14:paraId="77A2D27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第九条 对于经主管预算单位统筹后未预留份额专门面向中小企业采购的采购项目，以及预留份额项目中的非预留部分采购包，采购人、采购代理机构应当对符合本办法规定的小微企业报价给予 6%</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10%（工程项目为 3%</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5%）的扣除，用扣除后的价格参加评审。适用招标投标法的政府采购工程建设项目，采用综合评估法但未采用低价优先法计算价格分的，评标时应当在采用原报价进行评分的基础上增加其价格得分的 3%</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5%作为其价格分。</w:t>
      </w:r>
    </w:p>
    <w:p w14:paraId="13C426BB">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30%以上的，采购人、采购代理机构应当对联合体或者大中型企业的报价给予2%</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3%（工程项目为 1%</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2%）的扣除，用扣除后的价格参加评审。适用招标投标法的政府采购工程建设项目，采用综合评估法但未采用低价优先法计算价格分的，评标时应当在采用原报价进行评分的基础上增加其价格得分的 1%</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2%作为其价格分。组成联合体或者接受分包的小微企业与联合体内其他企业、分包企业之间存在直接控股、管理关系的</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不享受价格扣除优惠政策。</w:t>
      </w:r>
    </w:p>
    <w:p w14:paraId="314FFA3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732F88D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第十条 采购人应当严格按照本办法规定和主管预算单位制定的预留采购份额具体方案开展采购活动。预留份额的采购项目或者采购包，通过发布公告方式邀请</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后，符合资格条件的中小企业数量不足3家的，应当中止采购活动，视同未预留份额的采购项目或者采购包，按照本办法第九条有关规定重新组织采购活动。</w:t>
      </w:r>
    </w:p>
    <w:p w14:paraId="79599F96">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第十一条 中小企业参加政府采购活动，应当出具本办法规定的《中小企业声明函》 （附 1） ，否则不得享受相关中小企业扶持政策。任何单位和个人不得要求</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提供《中小企业声明函》 之 外的中小企业身份证明文件。</w:t>
      </w:r>
    </w:p>
    <w:p w14:paraId="6490ACE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第十二条 采购项目涉及中小企业采购的，采购文件应当明确以下内容：</w:t>
      </w:r>
    </w:p>
    <w:p w14:paraId="28F8932A">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（一）预留份额的采购项目或者采购包，明确该项目或相关采购包专门面向中小企业采购，以 及相关标的及预算金额；</w:t>
      </w:r>
    </w:p>
    <w:p w14:paraId="6CC4C8A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（二）要求以联合体形式参加或者合同分包的，明确联合协议或者分包意向协议中中小企业合同金额应当达到的比例，并作为</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资格条件；</w:t>
      </w:r>
    </w:p>
    <w:p w14:paraId="6D5B352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（三）非预留份额的采购项目或者采购包，明确有关价格扣除比例或者价格分加分比例；</w:t>
      </w:r>
    </w:p>
    <w:p w14:paraId="3340569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（四）规定依据本办法规定享受扶持政策获得政府采购合同的，小微企业不得将合同分包给大中型企业，中型企业不得将合同分包给大型企业；</w:t>
      </w:r>
    </w:p>
    <w:p w14:paraId="574DDAA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（五）采购人认为具备相关条件的，明确对中小企业在资金支付期限、预付款比例等方面的优惠措施；</w:t>
      </w:r>
    </w:p>
    <w:p w14:paraId="59034D7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（六）明确采购标的对应的中小企业划分标准所属行业；</w:t>
      </w:r>
    </w:p>
    <w:p w14:paraId="6750F08B">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（七）法律法规和省级以上人民政府财政部门规定的其他事项。</w:t>
      </w:r>
    </w:p>
    <w:p w14:paraId="3526DE8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第十三条 中标、成交</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享受本办法规定的中小企业扶持政策的，采购人、采购代理机构应当随中标、成交结果公开中标、成交</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的《中小企业声明函》 。</w:t>
      </w:r>
    </w:p>
    <w:p w14:paraId="71E57FB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适用招标投标法的政府采购工程建设项目，应当在公示中标候选人时公开中标候选人的《中小企业声明函》 。</w:t>
      </w:r>
    </w:p>
    <w:p w14:paraId="0E260A8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D29FAD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第十五条 鼓励各地区、各部门在采购活动中允许中小企业引入信用担保手段，为中小企业在投标（响应）保证、履约保证等方面提供专业化服务。鼓励中小企业依法合规通过政府采购合同融资。</w:t>
      </w:r>
    </w:p>
    <w:p w14:paraId="4AE65B7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第十六条 政府采购监督检查、投诉处理及政府采购行政处罚中对中小企业的认定，由货物制造商或者工程、服务</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注册登记所在地的县级以上人民政府中小企业主管部门负责。</w:t>
      </w:r>
    </w:p>
    <w:p w14:paraId="5BECA409">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中小企业主管部门应当在收到财政部门或者有关招标投标行政监督部门关于协助开展中小企业认定函后10个工作日内做出书面答复。</w:t>
      </w:r>
    </w:p>
    <w:p w14:paraId="55B1BED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第十七条 各地区、各部门应当对涉及中小企业采购的预算项目实施全过程绩效管理，合理设置绩效目标和指标，落实扶持中小企业有关政策要求，定期开展绩效监控和评价，强化绩效评价结果应用。</w:t>
      </w:r>
    </w:p>
    <w:p w14:paraId="51EBAB81">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554CABB3">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第十九条  采购人未按本办法规定为中小企业预留采购份额，采购人、采购代理机构未按照本办法规定要求实施价格扣除或者价格分加分的，属于未按照规定执行政府采购政策，依照《中华人民共和国政府采购法》 等国家有关规定追究法律责任。</w:t>
      </w:r>
    </w:p>
    <w:p w14:paraId="23AC8BC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 xml:space="preserve">第二十条 </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按照本办法规定提供声明函内容不实的，属于提供虚假材料谋取中标、成交，依照《中华人民共和国政府采购法》 等国家有关规定追究相应责任。</w:t>
      </w:r>
    </w:p>
    <w:p w14:paraId="446BDA5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适用招标投标法的政府采购工程建设项目，</w:t>
      </w:r>
      <w:r>
        <w:rPr>
          <w:rFonts w:hint="eastAsia" w:ascii="宋体" w:hAnsi="宋体" w:eastAsia="宋体" w:cs="宋体"/>
          <w:color w:val="auto"/>
          <w:spacing w:val="0"/>
          <w:w w:val="100"/>
          <w:kern w:val="2"/>
          <w:position w:val="0"/>
          <w:sz w:val="21"/>
          <w:szCs w:val="21"/>
          <w:highlight w:val="none"/>
          <w:lang w:eastAsia="zh-CN"/>
        </w:rPr>
        <w:t>供应商</w:t>
      </w:r>
      <w:r>
        <w:rPr>
          <w:rFonts w:hint="eastAsia" w:ascii="宋体" w:hAnsi="宋体" w:eastAsia="宋体" w:cs="宋体"/>
          <w:color w:val="auto"/>
          <w:spacing w:val="0"/>
          <w:w w:val="100"/>
          <w:kern w:val="2"/>
          <w:position w:val="0"/>
          <w:sz w:val="21"/>
          <w:szCs w:val="21"/>
          <w:highlight w:val="none"/>
        </w:rPr>
        <w:t>按照本办法规定提供声明函内容不实的，属于弄虚作假骗取中标，依照《中华人民共和国招标投标法》 等国家有关规定追究相应责任。</w:t>
      </w:r>
    </w:p>
    <w:p w14:paraId="5137F6A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第二十一条 财政部门、中小企业主管部门及其工作人员在履行职责中违反本办法规定及存在其他滥用职权、玩忽职守、徇私舞弊等违法违纪行为的，依照《中华人民共和国政府采购法》 、《中华人民共和国公务员法》 、 《中华人民共和</w:t>
      </w:r>
      <w:r>
        <w:rPr>
          <w:rFonts w:hint="eastAsia" w:ascii="宋体" w:hAnsi="宋体" w:eastAsia="宋体" w:cs="宋体"/>
          <w:color w:val="auto"/>
          <w:spacing w:val="0"/>
          <w:w w:val="100"/>
          <w:kern w:val="2"/>
          <w:position w:val="0"/>
          <w:sz w:val="21"/>
          <w:szCs w:val="21"/>
          <w:highlight w:val="none"/>
        </w:rPr>
        <w:fldChar w:fldCharType="begin"/>
      </w:r>
      <w:r>
        <w:rPr>
          <w:rFonts w:hint="eastAsia" w:ascii="宋体" w:hAnsi="宋体" w:eastAsia="宋体" w:cs="宋体"/>
          <w:color w:val="auto"/>
          <w:spacing w:val="0"/>
          <w:w w:val="100"/>
          <w:kern w:val="2"/>
          <w:position w:val="0"/>
          <w:sz w:val="21"/>
          <w:szCs w:val="21"/>
          <w:highlight w:val="none"/>
        </w:rPr>
        <w:instrText xml:space="preserve"> HYPERLINK "http://10.162.100.18:168/golaw?dbnm=gjfg&amp;flid=1129012015130679" </w:instrText>
      </w:r>
      <w:r>
        <w:rPr>
          <w:rFonts w:hint="eastAsia" w:ascii="宋体" w:hAnsi="宋体" w:eastAsia="宋体" w:cs="宋体"/>
          <w:color w:val="auto"/>
          <w:spacing w:val="0"/>
          <w:w w:val="100"/>
          <w:kern w:val="2"/>
          <w:position w:val="0"/>
          <w:sz w:val="21"/>
          <w:szCs w:val="21"/>
          <w:highlight w:val="none"/>
        </w:rPr>
        <w:fldChar w:fldCharType="separate"/>
      </w:r>
      <w:r>
        <w:rPr>
          <w:rFonts w:hint="eastAsia" w:ascii="宋体" w:hAnsi="宋体" w:eastAsia="宋体" w:cs="宋体"/>
          <w:color w:val="auto"/>
          <w:spacing w:val="0"/>
          <w:w w:val="100"/>
          <w:kern w:val="2"/>
          <w:position w:val="0"/>
          <w:sz w:val="21"/>
          <w:szCs w:val="21"/>
          <w:highlight w:val="none"/>
        </w:rPr>
        <w:t>国监察法</w:t>
      </w:r>
      <w:r>
        <w:rPr>
          <w:rFonts w:hint="eastAsia" w:ascii="宋体" w:hAnsi="宋体" w:eastAsia="宋体" w:cs="宋体"/>
          <w:color w:val="auto"/>
          <w:spacing w:val="0"/>
          <w:w w:val="100"/>
          <w:kern w:val="2"/>
          <w:position w:val="0"/>
          <w:sz w:val="21"/>
          <w:szCs w:val="21"/>
          <w:highlight w:val="none"/>
          <w:lang w:eastAsia="zh-CN"/>
        </w:rPr>
        <w:t>》《</w:t>
      </w:r>
      <w:r>
        <w:rPr>
          <w:rFonts w:hint="eastAsia" w:ascii="宋体" w:hAnsi="宋体" w:eastAsia="宋体" w:cs="宋体"/>
          <w:color w:val="auto"/>
          <w:spacing w:val="0"/>
          <w:w w:val="100"/>
          <w:kern w:val="2"/>
          <w:position w:val="0"/>
          <w:sz w:val="21"/>
          <w:szCs w:val="21"/>
          <w:highlight w:val="none"/>
        </w:rPr>
        <w:t>中华人民共和国政府采购法实施条例》</w:t>
      </w:r>
      <w:r>
        <w:rPr>
          <w:rFonts w:hint="eastAsia" w:ascii="宋体" w:hAnsi="宋体" w:eastAsia="宋体" w:cs="宋体"/>
          <w:color w:val="auto"/>
          <w:spacing w:val="0"/>
          <w:w w:val="100"/>
          <w:kern w:val="2"/>
          <w:position w:val="0"/>
          <w:sz w:val="21"/>
          <w:szCs w:val="21"/>
          <w:highlight w:val="none"/>
        </w:rPr>
        <w:fldChar w:fldCharType="end"/>
      </w:r>
      <w:r>
        <w:rPr>
          <w:rFonts w:hint="eastAsia" w:ascii="宋体" w:hAnsi="宋体" w:eastAsia="宋体" w:cs="宋体"/>
          <w:color w:val="auto"/>
          <w:spacing w:val="0"/>
          <w:w w:val="100"/>
          <w:kern w:val="2"/>
          <w:position w:val="0"/>
          <w:sz w:val="21"/>
          <w:szCs w:val="21"/>
          <w:highlight w:val="none"/>
        </w:rPr>
        <w:t>等国家有关规定追究相应责任； 涉嫌犯罪的，依法移送有关国家机关处理。</w:t>
      </w:r>
    </w:p>
    <w:p w14:paraId="406E5F7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lang w:val="en-US" w:eastAsia="zh-CN"/>
        </w:rPr>
      </w:pPr>
      <w:r>
        <w:rPr>
          <w:rFonts w:hint="eastAsia" w:ascii="宋体" w:hAnsi="宋体" w:eastAsia="宋体" w:cs="宋体"/>
          <w:color w:val="auto"/>
          <w:spacing w:val="0"/>
          <w:w w:val="100"/>
          <w:kern w:val="2"/>
          <w:position w:val="0"/>
          <w:sz w:val="21"/>
          <w:szCs w:val="21"/>
          <w:highlight w:val="none"/>
          <w:lang w:eastAsia="zh-CN"/>
        </w:rPr>
        <w:t>第二十二条</w:t>
      </w:r>
      <w:r>
        <w:rPr>
          <w:rFonts w:hint="eastAsia" w:ascii="宋体" w:hAnsi="宋体" w:eastAsia="宋体" w:cs="宋体"/>
          <w:color w:val="auto"/>
          <w:spacing w:val="0"/>
          <w:w w:val="100"/>
          <w:kern w:val="2"/>
          <w:position w:val="0"/>
          <w:sz w:val="21"/>
          <w:szCs w:val="21"/>
          <w:highlight w:val="none"/>
          <w:lang w:val="en-US" w:eastAsia="zh-CN"/>
        </w:rPr>
        <w:t xml:space="preserve"> 对外援助项目、国家相关资格或者资质管理制度另有规定的项目，不适用本办法。</w:t>
      </w:r>
    </w:p>
    <w:p w14:paraId="58DD942F">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b w:val="0"/>
          <w:bCs/>
          <w:color w:val="auto"/>
          <w:spacing w:val="0"/>
          <w:w w:val="100"/>
          <w:kern w:val="2"/>
          <w:position w:val="0"/>
          <w:sz w:val="21"/>
          <w:szCs w:val="21"/>
          <w:highlight w:val="none"/>
          <w:lang w:val="en-US" w:eastAsia="zh-CN"/>
        </w:rPr>
      </w:pPr>
      <w:r>
        <w:rPr>
          <w:rFonts w:hint="eastAsia" w:ascii="宋体" w:hAnsi="宋体" w:eastAsia="宋体" w:cs="宋体"/>
          <w:b w:val="0"/>
          <w:bCs/>
          <w:color w:val="auto"/>
          <w:spacing w:val="0"/>
          <w:w w:val="100"/>
          <w:kern w:val="2"/>
          <w:position w:val="0"/>
          <w:sz w:val="21"/>
          <w:szCs w:val="21"/>
          <w:highlight w:val="none"/>
          <w:lang w:val="en-US" w:eastAsia="zh-CN"/>
        </w:rPr>
        <w:t>第二十三条 关于视同中小企业的其他主体的政府采购扶持政策，由财政部会同有关部门另行规定。</w:t>
      </w:r>
    </w:p>
    <w:p w14:paraId="6B0E5E3A">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b w:val="0"/>
          <w:bCs/>
          <w:color w:val="auto"/>
          <w:spacing w:val="0"/>
          <w:w w:val="100"/>
          <w:kern w:val="2"/>
          <w:position w:val="0"/>
          <w:sz w:val="21"/>
          <w:szCs w:val="21"/>
          <w:highlight w:val="none"/>
          <w:lang w:val="en-US" w:eastAsia="zh-CN"/>
        </w:rPr>
      </w:pPr>
      <w:r>
        <w:rPr>
          <w:rFonts w:hint="eastAsia" w:ascii="宋体" w:hAnsi="宋体" w:eastAsia="宋体" w:cs="宋体"/>
          <w:b w:val="0"/>
          <w:bCs/>
          <w:color w:val="auto"/>
          <w:spacing w:val="0"/>
          <w:w w:val="100"/>
          <w:kern w:val="2"/>
          <w:position w:val="0"/>
          <w:sz w:val="21"/>
          <w:szCs w:val="21"/>
          <w:highlight w:val="none"/>
          <w:lang w:val="en-US" w:eastAsia="zh-CN"/>
        </w:rPr>
        <w:t>第二十四条 省级财政部门可以会同中小企业主管部门根据本办法的规定制定具体实施办法。</w:t>
      </w:r>
    </w:p>
    <w:p w14:paraId="3F477AD2">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b w:val="0"/>
          <w:bCs/>
          <w:color w:val="auto"/>
          <w:spacing w:val="0"/>
          <w:w w:val="100"/>
          <w:kern w:val="2"/>
          <w:position w:val="0"/>
          <w:sz w:val="21"/>
          <w:szCs w:val="21"/>
          <w:highlight w:val="none"/>
          <w:lang w:val="en-US" w:eastAsia="zh-CN"/>
        </w:rPr>
      </w:pPr>
      <w:r>
        <w:rPr>
          <w:rFonts w:hint="eastAsia" w:ascii="宋体" w:hAnsi="宋体" w:eastAsia="宋体" w:cs="宋体"/>
          <w:b w:val="0"/>
          <w:bCs/>
          <w:color w:val="auto"/>
          <w:spacing w:val="0"/>
          <w:w w:val="100"/>
          <w:kern w:val="2"/>
          <w:position w:val="0"/>
          <w:sz w:val="21"/>
          <w:szCs w:val="21"/>
          <w:highlight w:val="none"/>
          <w:lang w:val="en-US" w:eastAsia="zh-CN"/>
        </w:rPr>
        <w:t>第二十五条 本办法自2021年1月1日起施行。《财政部工业和信息化部关于印发〈政府采购促进中小企业发展暂行办法〉的通知》（财库﹝2011﹞181号同时废止。</w:t>
      </w:r>
    </w:p>
    <w:p w14:paraId="3BA36600">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b w:val="0"/>
          <w:bCs/>
          <w:color w:val="auto"/>
          <w:spacing w:val="0"/>
          <w:w w:val="100"/>
          <w:kern w:val="2"/>
          <w:position w:val="0"/>
          <w:sz w:val="21"/>
          <w:szCs w:val="21"/>
          <w:highlight w:val="none"/>
          <w:lang w:val="en-US" w:eastAsia="zh-CN"/>
        </w:rPr>
      </w:pPr>
    </w:p>
    <w:p w14:paraId="6F9AE301">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lang w:val="en-US" w:eastAsia="zh-CN"/>
        </w:rPr>
      </w:pPr>
    </w:p>
    <w:p w14:paraId="6F73C6B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lang w:eastAsia="zh-CN"/>
        </w:rPr>
      </w:pPr>
      <w:r>
        <w:rPr>
          <w:rFonts w:hint="eastAsia" w:ascii="宋体" w:hAnsi="宋体" w:eastAsia="宋体" w:cs="宋体"/>
          <w:color w:val="auto"/>
          <w:spacing w:val="0"/>
          <w:w w:val="100"/>
          <w:kern w:val="2"/>
          <w:position w:val="0"/>
          <w:sz w:val="21"/>
          <w:szCs w:val="21"/>
          <w:highlight w:val="none"/>
          <w:lang w:eastAsia="zh-CN"/>
        </w:rPr>
        <w:br w:type="page"/>
      </w:r>
    </w:p>
    <w:p w14:paraId="2D06D599">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附件3：财政部 司法部关于政府采购支持监狱企业发展有关问题的通知</w:t>
      </w:r>
    </w:p>
    <w:p w14:paraId="7110D7D3">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center"/>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(财库〔2014〕 68 号)</w:t>
      </w:r>
    </w:p>
    <w:p w14:paraId="36461F9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党中央有关部门，国务院各部委、各直属机构，全国人大常委会办公厅，全国政协办公厅，</w:t>
      </w:r>
      <w:r>
        <w:rPr>
          <w:rFonts w:hint="eastAsia" w:ascii="宋体" w:hAnsi="宋体" w:eastAsia="宋体" w:cs="宋体"/>
          <w:color w:val="auto"/>
          <w:spacing w:val="0"/>
          <w:w w:val="100"/>
          <w:kern w:val="2"/>
          <w:position w:val="0"/>
          <w:sz w:val="21"/>
          <w:szCs w:val="21"/>
          <w:highlight w:val="none"/>
          <w:lang w:eastAsia="zh-CN"/>
        </w:rPr>
        <w:t>高级</w:t>
      </w:r>
      <w:r>
        <w:rPr>
          <w:rFonts w:hint="eastAsia" w:ascii="宋体" w:hAnsi="宋体" w:eastAsia="宋体" w:cs="宋体"/>
          <w:color w:val="auto"/>
          <w:spacing w:val="0"/>
          <w:w w:val="100"/>
          <w:kern w:val="2"/>
          <w:position w:val="0"/>
          <w:sz w:val="21"/>
          <w:szCs w:val="21"/>
          <w:highlight w:val="none"/>
        </w:rPr>
        <w:t>法院，高检院，有关人民团体，中央国家机关政府采购中心，中共中央直属机关采购中心，全国人大机关采购中心，各省、自治区、直辖市、计划单列市财政厅（局）、司法厅（局） ，新疆生产建设兵团 财务局、司法局、监狱管理局：</w:t>
      </w:r>
    </w:p>
    <w:p w14:paraId="7CF735FD">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14:paraId="570DD1A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9ACCCA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二、在政府采购活动中，监狱企业视同小型、微型企业，享受预留份额、评审中价格扣除等政府采购促进中小企业发展的政府采购政策。向监狱企业采购的金额，计入面向中小企业采购的统计数据。</w:t>
      </w:r>
    </w:p>
    <w:p w14:paraId="0C7D164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三、各地区、各部门要积极通过预留采购份额支持监狱企业。有制服采购项目的部门，应加强对政府采购预算和计划编制工作的统筹，预留本部门制服采购项目预算总额的 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3497B0B9">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四、各地区可以结合本地区实际，对监狱企业生产的办公用品、家具用具、车辆维修和提供的保养服务、消防设备等，提出预留份额等政府采购支持措施，加大对监狱企业产品的采购力度。</w:t>
      </w:r>
    </w:p>
    <w:p w14:paraId="446F4728">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BD1168C">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80" w:firstLineChars="200"/>
        <w:jc w:val="both"/>
        <w:textAlignment w:val="auto"/>
        <w:outlineLvl w:val="9"/>
        <w:rPr>
          <w:rFonts w:hint="eastAsia" w:ascii="宋体" w:hAnsi="宋体" w:eastAsia="宋体" w:cs="宋体"/>
          <w:color w:val="auto"/>
          <w:spacing w:val="0"/>
          <w:w w:val="100"/>
          <w:kern w:val="2"/>
          <w:position w:val="0"/>
          <w:sz w:val="24"/>
          <w:szCs w:val="24"/>
          <w:highlight w:val="none"/>
        </w:rPr>
      </w:pPr>
      <w:r>
        <w:rPr>
          <w:rFonts w:hint="eastAsia" w:ascii="宋体" w:hAnsi="宋体" w:eastAsia="宋体" w:cs="宋体"/>
          <w:color w:val="auto"/>
          <w:spacing w:val="0"/>
          <w:w w:val="100"/>
          <w:kern w:val="2"/>
          <w:position w:val="0"/>
          <w:sz w:val="24"/>
          <w:szCs w:val="24"/>
          <w:highlight w:val="none"/>
        </w:rPr>
        <w:br w:type="page"/>
      </w:r>
    </w:p>
    <w:p w14:paraId="78A4D06D">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附件4：中小企业划型标准规定</w:t>
      </w:r>
    </w:p>
    <w:p w14:paraId="3777FBC4">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一、根据《中华人民共和国中小企业促进法》 和《国务院关于进一步促进中小企业发展的若干意见》(国发〔2009〕36 号)，制定本规定。</w:t>
      </w:r>
    </w:p>
    <w:p w14:paraId="0C137EC1">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二、中小企业划分为中型、小型、微型三种类型，具体标准根据企业从业人员、营业收入、资产总额等指标，结合行业特点制定。</w:t>
      </w:r>
    </w:p>
    <w:p w14:paraId="1DFAA655">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三、本规定适用的行业包括：农、林、牧、渔业，工业（包括采矿业，制造业，电力、热力、燃气及水生产和供应业），建筑业，批发业，零售业，交通运输业（不含铁路运输业） ，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0716B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四、各行业划型标准为：</w:t>
      </w:r>
    </w:p>
    <w:p w14:paraId="3EFDE5E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（一）农、林、牧、渔业。营业收入 20000 万元以下的为中小微型企业。其中，营业收入 500 万元及以上的为中型企业，营业收入 50 万元及以上的为小型企业，营业收入 50 万元以下的为微型企业。</w:t>
      </w:r>
    </w:p>
    <w:p w14:paraId="048925B3">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（二）工业。从业人员 1000 人以下或营业收入 40000 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p>
    <w:p w14:paraId="56CBBC7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（三）建筑业。营业收入 80000 万元以下或资产总额 80000 万元以下的为中小微型企业。其中，营业收入 6000 万元及以上，且资产总额 5000 万元及以上的为中型企业； 营业收入 300 万元及以上，且资产总额 300 万元及以上的为小型企业；营业收入 300 万元以下或资产总额 300 万元以下的为微型企业。</w:t>
      </w:r>
    </w:p>
    <w:p w14:paraId="782D442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（四）批发业。从业人员 200 人以下或营业收入 40000 万元以下的为中小微型企业。其中，从业人员 20 人及以上，且营业收入 5000 万元及以上的为中型企业；从业人员 5 人及以上，且营业收入1000万元及以上的为小型企业；从业人员 5 人以下或营业收入 1000 万元以下的为微型企业。</w:t>
      </w:r>
    </w:p>
    <w:p w14:paraId="4616260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（五）零售业。从业人员 300 人以下或营业收入 20000 万元以下的为中小微型企业。其中，从业人员 50 人及以上，且营业收入 500 万元及以上的为中型企业；从业人员 10 人及以上，且营业收入100 万元及以上的为小型企业；从业人员 10 人以下或营业收入 100 万元以下的为微型企业。</w:t>
      </w:r>
    </w:p>
    <w:p w14:paraId="2B59EFDE">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（六） 交通运输业。从业人员 1000 人以下或营业收入 30000 万元以下的为中小微型企业。其中，从业人员 300人及以上，且营业收入 3000 万元及以上的为中型企业；从业人员 20 人及以上，且营业收入 200 万元及以上的为小型企业；从业人员 20 人以下或营业收入 200 万元以下的为微型企业。</w:t>
      </w:r>
    </w:p>
    <w:p w14:paraId="6063969E">
      <w:pPr>
        <w:pStyle w:val="5"/>
        <w:keepNext w:val="0"/>
        <w:keepLines w:val="0"/>
        <w:pageBreakBefore w:val="0"/>
        <w:widowControl w:val="0"/>
        <w:shd w:val="clear"/>
        <w:kinsoku/>
        <w:wordWrap/>
        <w:overflowPunct/>
        <w:topLinePunct w:val="0"/>
        <w:autoSpaceDE/>
        <w:autoSpaceDN/>
        <w:bidi w:val="0"/>
        <w:adjustRightInd/>
        <w:snapToGrid/>
        <w:spacing w:before="0" w:beforeLines="0" w:after="0" w:afterLines="0" w:line="400" w:lineRule="exact"/>
        <w:ind w:left="0" w:leftChars="0" w:right="0" w:rightChars="0" w:firstLine="420" w:firstLineChars="200"/>
        <w:jc w:val="both"/>
        <w:textAlignment w:val="auto"/>
        <w:outlineLvl w:val="9"/>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（七）仓储业。从业人员 200 人以下或营业收入 30000 万元以下的为中小微型企业。其中，从业人员 100 人及以上，且营业收入 1000 万元及以上的为中型企业；从业人员 20 人及以上，且营业收入100 万元及以上的为小型企业；从业人员 20 人以下或营业收入 100 万元以下的为微型企业。</w:t>
      </w:r>
    </w:p>
    <w:p w14:paraId="6DC91752">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（八）邮政业。从业人员 1000 人以下或营业收入 30000 万元以下的为中小微型企业。其中，从业人员 300 人及以上，且营业收入 2000 万元及以上的为中型企业；从业人员 20 人及以上，且营业收入100万元及以上的为小型企业；从业人员 20人以下或营业收入 100 万元以下的为微型企业。</w:t>
      </w:r>
    </w:p>
    <w:p w14:paraId="102F4EBC">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（九）住宿业。从业人员 300 人以下或营业收入 10000 万元以下的为中小微型企业。其中，从业人员 100 人及以上，且营业收入 2000 万元及以上的为中型企业；从业人员 10 人及以上，且营业 收入100 万元及以上的为小型企业；从业人员 10 人以下或营业收入 100 万元以下的为微型企业。</w:t>
      </w:r>
    </w:p>
    <w:p w14:paraId="418CA649">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（十）餐饮业。从业人员 300 人以下或营业收入 10000 万元以下的为中小微型企业。其中，从业人员 100 人及以上，且营业收入 2000 万元及以上的为中型企业；从业人员 10 人及以上，且营业收入100 万元及以上的为小型企业；从业人员 10 人以下或营业收入 100 万元以下的为微型企业。</w:t>
      </w:r>
    </w:p>
    <w:p w14:paraId="76220284">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（十一）信息传输业。从业人员 2000 人以下或营业收入 100000 万元以下的为中小微型企业。其中，从业人员 100 人及以上，且营业收入 1000 万元及以上的为中型企业； 从业人员 10 人及以上，且营业收入 100 万元及以上的为小型企业；从业人员 10 人以下或营业收入 100 万元以下的为微型企业。</w:t>
      </w:r>
    </w:p>
    <w:p w14:paraId="0F24D3EE">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（十二）软件和信息技术服务业。从业人员 300 人以下或营业收入 10000 万元以下的为中小微型企业。其中，从业人员100 人及以上，且营业收入 1000 万元及以上的为中型企业；从业人员 10人及以上，且营业收入 50 万元及以上的为小型企业；从业人员 10 人以下或营业收入 50 万元以下的为微型企业。</w:t>
      </w:r>
    </w:p>
    <w:p w14:paraId="612A1751">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（十三） 房地产开发经营。营业收入 200000 万元以下或资产总额 10000 万元以下的为中小微型企业。其中，营业收入1000 万元及以上，且资产总额 5000 万元及以上的为中型企业；营业收入 100 万元及以上，且资产总额 2000 万元及以上的为小型企业；营业收入 100 万元以下或资产总额 2000 万元以下的为微型企业。</w:t>
      </w:r>
    </w:p>
    <w:p w14:paraId="254F7FCA">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（十四） 物业管理。从业人员 1000 人以下或营业收入 5000 万元以下的为中小微型企业。其中，从业人员 300 人及以上，且营业收入 1000 万元及以上的为中型企业；从业人员 100 人及以上，且营 业收入500 万元及以上的为小型企业；从业人员 100 人以下或营业收入 500 万元以下的为微型企业。</w:t>
      </w:r>
    </w:p>
    <w:p w14:paraId="1D82708A">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（十五） 租赁和商务服务业。从业人员 300 人以下或资产总额 120000 万元以下的为中小微型企 业。其中，从业人员 100 人及以上，且资产总额 8000 万元及以上的为中型企业；从业人员 10 人及以上，且资产总额 100 万元及以上的为小型企业；从业人员 10 人以下或资产总额 100 万元以下的为 微型企业。</w:t>
      </w:r>
    </w:p>
    <w:p w14:paraId="4979136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（十六）其他未列明行业。从业人员 300 人以下的为中小微型企业。其中，从业人员 100 人及以上的为中型企业；从业人员 10 人及以上的为小型企业；从业人员 10 人以下的为微型企业。</w:t>
      </w:r>
    </w:p>
    <w:p w14:paraId="5C145F17">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五、企业类型的划分以统计部门的统计数据为依据。</w:t>
      </w:r>
    </w:p>
    <w:p w14:paraId="66E62581">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六、本规定适用于在中华人民共和国境内依法设立的各类所有制和各种组织形式的企业。个体工商户和本规定以外的行业，参照本规定进行划型。</w:t>
      </w:r>
    </w:p>
    <w:p w14:paraId="2303CC38">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97AE7F0">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八、本规定由工业和信息化部、国家统计局会同有关部门根据《国民经济行业分类》 修订情况 和企业发展变化情况适时修订。</w:t>
      </w:r>
    </w:p>
    <w:p w14:paraId="058E712F">
      <w:pPr>
        <w:keepNext w:val="0"/>
        <w:keepLines w:val="0"/>
        <w:pageBreakBefore w:val="0"/>
        <w:widowControl w:val="0"/>
        <w:shd w:val="clear"/>
        <w:kinsoku/>
        <w:wordWrap/>
        <w:overflowPunct/>
        <w:topLinePunct w:val="0"/>
        <w:autoSpaceDE/>
        <w:autoSpaceDN/>
        <w:bidi w:val="0"/>
        <w:adjustRightInd/>
        <w:snapToGrid/>
        <w:spacing w:before="0" w:beforeLines="0" w:line="400" w:lineRule="exact"/>
        <w:ind w:left="0" w:leftChars="0" w:right="0" w:rightChars="0" w:firstLine="420" w:firstLineChars="200"/>
        <w:jc w:val="both"/>
        <w:textAlignment w:val="auto"/>
        <w:outlineLvl w:val="9"/>
        <w:rPr>
          <w:rFonts w:hint="eastAsia" w:ascii="宋体" w:hAnsi="宋体" w:eastAsia="宋体" w:cs="宋体"/>
          <w:color w:val="auto"/>
          <w:spacing w:val="0"/>
          <w:w w:val="100"/>
          <w:kern w:val="2"/>
          <w:position w:val="0"/>
          <w:sz w:val="21"/>
          <w:szCs w:val="21"/>
          <w:highlight w:val="none"/>
        </w:rPr>
      </w:pPr>
      <w:r>
        <w:rPr>
          <w:rFonts w:hint="eastAsia" w:ascii="宋体" w:hAnsi="宋体" w:eastAsia="宋体" w:cs="宋体"/>
          <w:color w:val="auto"/>
          <w:spacing w:val="0"/>
          <w:w w:val="100"/>
          <w:kern w:val="2"/>
          <w:position w:val="0"/>
          <w:sz w:val="21"/>
          <w:szCs w:val="21"/>
          <w:highlight w:val="none"/>
        </w:rPr>
        <w:t>九、本规定由工业和信息化部、国家统计局会同有关部门负责解释。</w:t>
      </w:r>
    </w:p>
    <w:p w14:paraId="6882D0D9">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bookmarkStart w:id="424" w:name="_bookmark4"/>
      <w:bookmarkEnd w:id="424"/>
      <w:r>
        <w:rPr>
          <w:rFonts w:hint="eastAsia" w:ascii="宋体" w:hAnsi="宋体" w:eastAsia="宋体" w:cs="宋体"/>
          <w:b w:val="0"/>
          <w:bCs/>
          <w:color w:val="auto"/>
          <w:spacing w:val="0"/>
          <w:w w:val="100"/>
          <w:kern w:val="2"/>
          <w:position w:val="0"/>
          <w:sz w:val="21"/>
          <w:szCs w:val="21"/>
          <w:highlight w:val="none"/>
        </w:rPr>
        <w:t>十、本规定自发布之日起执行，原国家经贸委、原国家计委、财政部和国家统计局 2003 年颁布 的《中小企业标准暂行规定》 同时废止。</w:t>
      </w:r>
    </w:p>
    <w:p w14:paraId="2EA5F3C4">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73409EFE">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41AC5BF1">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624E7E69">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1787A7D9">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144CE417">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10B04185">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28872738">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088978DD">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5743A421">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779A885C">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4DD3B303">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394F442B">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附件5：国务院办公厅关于在政府采购中实施本国产品标准及相关政策的通知</w:t>
      </w:r>
    </w:p>
    <w:p w14:paraId="6160EE4C">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各省、自治区、直辖市人民政府，国务院各部委、各直属机构：</w:t>
      </w:r>
    </w:p>
    <w:p w14:paraId="216512DF">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74EF0CB0">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一、本国产品标准</w:t>
      </w:r>
    </w:p>
    <w:p w14:paraId="0556F2E7">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本国产品应当符合以下条件：</w:t>
      </w:r>
    </w:p>
    <w:p w14:paraId="0A1C498F">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（一）在中国境内生产</w:t>
      </w:r>
    </w:p>
    <w:p w14:paraId="76CFE747">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产品应当在中国境内生产，即在中华人民共和国关境内实现从原材料、组件到产品的属性改变。</w:t>
      </w:r>
    </w:p>
    <w:p w14:paraId="7A70CBB1">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属性改变是指经过制造、加工或者组装等工序，产生完全不同于原材料、组件的新产品，并具有新的名称和特征（用途）。属性改变不包括以下细微操作：</w:t>
      </w:r>
    </w:p>
    <w:p w14:paraId="35C1AD3F">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1.为确保产品在运输或者储存期间保持某种状态而进行的操作；</w:t>
      </w:r>
    </w:p>
    <w:p w14:paraId="30917FB7">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2.为产品运输或者销售进行的包装或者展示；</w:t>
      </w:r>
    </w:p>
    <w:p w14:paraId="4B829DD4">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3.在产品或者其包装上粘贴或者印刷品牌、标志、标识以及其他用于区别的标记；</w:t>
      </w:r>
    </w:p>
    <w:p w14:paraId="63FAA94F">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4.简单的上漆、磨光和分装；</w:t>
      </w:r>
    </w:p>
    <w:p w14:paraId="5B8B9842">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5.其他不属于属性改变的情形。</w:t>
      </w:r>
    </w:p>
    <w:p w14:paraId="63258245">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（二）在中国境内生产的组件成本占比达到规定比例</w:t>
      </w:r>
    </w:p>
    <w:p w14:paraId="604E877E">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产品在中国境内生产的组件成本占比应当达到规定比例，计算公式为：</w:t>
      </w:r>
    </w:p>
    <w:p w14:paraId="1CDCCF8F">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drawing>
          <wp:inline distT="0" distB="0" distL="114300" distR="114300">
            <wp:extent cx="2733675" cy="390525"/>
            <wp:effectExtent l="0" t="0" r="9525" b="571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1"/>
                    <a:stretch>
                      <a:fillRect/>
                    </a:stretch>
                  </pic:blipFill>
                  <pic:spPr>
                    <a:xfrm>
                      <a:off x="0" y="0"/>
                      <a:ext cx="2733675" cy="390525"/>
                    </a:xfrm>
                    <a:prstGeom prst="rect">
                      <a:avLst/>
                    </a:prstGeom>
                    <a:noFill/>
                    <a:ln w="9525">
                      <a:noFill/>
                    </a:ln>
                  </pic:spPr>
                </pic:pic>
              </a:graphicData>
            </a:graphic>
          </wp:inline>
        </w:drawing>
      </w:r>
    </w:p>
    <w:p w14:paraId="6F198A43">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73EA155">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（三）特定产品的关键组件、关键工序符合相关要求</w:t>
      </w:r>
    </w:p>
    <w:p w14:paraId="301E0A57">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对特定产品，在符合本通知第一条第（一）项和第（二）项条件的基础上，应当符合财政部会同有关行业主管部门确定的其关键组件、关键工序在中国境内生产、完成等要求。</w:t>
      </w:r>
    </w:p>
    <w:p w14:paraId="73B77AD6">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051F9BC">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二、本国产品标准的适用范围</w:t>
      </w:r>
    </w:p>
    <w:p w14:paraId="62A0A279">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B46A75">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三、对本国产品的支持政策</w:t>
      </w:r>
    </w:p>
    <w:p w14:paraId="0C0847BB">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政府采购活动中既有本国产品又有非本国产品参与竞争的，依法对本国产品给予价格评审优惠，对本国产品的报价给予20%的价格扣除，用扣除后的价格参与评审。</w:t>
      </w:r>
    </w:p>
    <w:p w14:paraId="7A1354A1">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B1505CA">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四、政策执行要求</w:t>
      </w:r>
    </w:p>
    <w:p w14:paraId="3184957A">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（一）产品在中国境内生产的组件成本核算规则。产品在中国境内生产的组件成本，按照《中国境内生产的组件成本核算基本规则》（见附件1）计算。</w:t>
      </w:r>
    </w:p>
    <w:p w14:paraId="43C2577A">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280C07F8">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采购人、采购代理机构应当随中标、成交结果同时公告中标、成交供应商提供的《声明函》或有关证明文件。</w:t>
      </w:r>
    </w:p>
    <w:p w14:paraId="22C9BA6B">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011DB9D5">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（四）中华人民共和国缔结或者共同参加的国际条约、协定对政府采购中本国产品政策另有规定的，按照有关条约、协定执行。</w:t>
      </w:r>
    </w:p>
    <w:p w14:paraId="12733024">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五、争议处理</w:t>
      </w:r>
    </w:p>
    <w:p w14:paraId="5F4CD382">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15776A7F">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（一）政府采购投诉处理、监督检查中，对产品或组件是否在中国境内生产存在争议的，按照以下原则处理：</w:t>
      </w:r>
    </w:p>
    <w:p w14:paraId="3C2D2835">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420CD04A">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2DEF8356">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A05C4BA">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2415EF99">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2A1B152">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本通知自2026年1月1日起施行。</w:t>
      </w:r>
    </w:p>
    <w:p w14:paraId="7D7351A0">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附件：1.中国境内生产的组件成本核算基本规则</w:t>
      </w:r>
    </w:p>
    <w:p w14:paraId="3A22C38C">
      <w:pPr>
        <w:pStyle w:val="28"/>
        <w:shd w:val="clear"/>
        <w:spacing w:line="360" w:lineRule="auto"/>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　　　2.关于符合本国产品标准的声明函</w:t>
      </w:r>
    </w:p>
    <w:p w14:paraId="4BB7FB82">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rPr>
          <w:rFonts w:hint="eastAsia" w:ascii="宋体" w:hAnsi="宋体" w:eastAsia="宋体" w:cs="宋体"/>
          <w:i w:val="0"/>
          <w:iCs w:val="0"/>
          <w:caps w:val="0"/>
          <w:color w:val="auto"/>
          <w:spacing w:val="0"/>
          <w:sz w:val="19"/>
          <w:szCs w:val="19"/>
          <w:highlight w:val="none"/>
        </w:rPr>
      </w:pPr>
      <w:r>
        <w:rPr>
          <w:rStyle w:val="51"/>
          <w:rFonts w:hint="eastAsia" w:ascii="宋体" w:hAnsi="宋体" w:eastAsia="宋体" w:cs="宋体"/>
          <w:i w:val="0"/>
          <w:iCs w:val="0"/>
          <w:caps w:val="0"/>
          <w:color w:val="auto"/>
          <w:spacing w:val="0"/>
          <w:sz w:val="19"/>
          <w:szCs w:val="19"/>
          <w:highlight w:val="none"/>
          <w:shd w:val="clear" w:fill="FFFFFF"/>
        </w:rPr>
        <w:t>附件1</w:t>
      </w:r>
    </w:p>
    <w:p w14:paraId="3C418FA5">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4731AC7">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jc w:val="center"/>
        <w:rPr>
          <w:rFonts w:hint="eastAsia" w:ascii="宋体" w:hAnsi="宋体" w:eastAsia="宋体" w:cs="宋体"/>
          <w:i w:val="0"/>
          <w:iCs w:val="0"/>
          <w:caps w:val="0"/>
          <w:color w:val="auto"/>
          <w:spacing w:val="0"/>
          <w:sz w:val="28"/>
          <w:szCs w:val="28"/>
          <w:highlight w:val="none"/>
        </w:rPr>
      </w:pPr>
      <w:r>
        <w:rPr>
          <w:rStyle w:val="51"/>
          <w:rFonts w:hint="eastAsia" w:ascii="宋体" w:hAnsi="宋体" w:eastAsia="宋体" w:cs="宋体"/>
          <w:i w:val="0"/>
          <w:iCs w:val="0"/>
          <w:caps w:val="0"/>
          <w:color w:val="auto"/>
          <w:spacing w:val="0"/>
          <w:sz w:val="28"/>
          <w:szCs w:val="28"/>
          <w:highlight w:val="none"/>
          <w:shd w:val="clear" w:fill="FFFFFF"/>
        </w:rPr>
        <w:t>中国境内生产的组件成本核算基本规则</w:t>
      </w:r>
    </w:p>
    <w:p w14:paraId="1284ADA1">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A3B3EB9">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9EC9EF7">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一、产品的一级组件是指直接组成产品的组件。产品的二级组件是指直接组成产品一级组件的组件。一级组件不可分解的，视同二级组件。</w:t>
      </w:r>
    </w:p>
    <w:p w14:paraId="0DE53107">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二、二级组件在中国境内生产的，其全部成本计入中国境内生产的组件成本；二级组件不在中国境内生产的，其成本不计入中国境内生产的组件成本。</w:t>
      </w:r>
    </w:p>
    <w:p w14:paraId="375B2337">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三、产品总成本和组件成本以相关会计核算数据、采购合同、进货记录等为基础进行计算。</w:t>
      </w:r>
    </w:p>
    <w:p w14:paraId="49B17754">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四、需要对成本核算规则予以进一步明确的其他有关事项，由财政部会同有关部门另行规定。</w:t>
      </w:r>
    </w:p>
    <w:p w14:paraId="2A82096B">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673B8CFF">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13010699">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60A857F1">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6CC19F4C">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75992E2">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106CA48D">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7AD0703B">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7AF9A3D4">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7585706">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5F244F4">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7FF1D29A">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1653B65B">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F946925">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5ABAC0F">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8C6D49B">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0B3F020">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1C42932">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B76CEEC">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5302E40A">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50972921">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5B163F8">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4080E128">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rPr>
          <w:rFonts w:hint="eastAsia" w:ascii="宋体" w:hAnsi="宋体" w:eastAsia="宋体" w:cs="宋体"/>
          <w:i w:val="0"/>
          <w:iCs w:val="0"/>
          <w:caps w:val="0"/>
          <w:color w:val="auto"/>
          <w:spacing w:val="0"/>
          <w:sz w:val="19"/>
          <w:szCs w:val="19"/>
          <w:highlight w:val="none"/>
        </w:rPr>
      </w:pPr>
      <w:r>
        <w:rPr>
          <w:rStyle w:val="51"/>
          <w:rFonts w:hint="eastAsia" w:ascii="宋体" w:hAnsi="宋体" w:eastAsia="宋体" w:cs="宋体"/>
          <w:i w:val="0"/>
          <w:iCs w:val="0"/>
          <w:caps w:val="0"/>
          <w:color w:val="auto"/>
          <w:spacing w:val="0"/>
          <w:sz w:val="19"/>
          <w:szCs w:val="19"/>
          <w:highlight w:val="none"/>
          <w:shd w:val="clear" w:fill="FFFFFF"/>
        </w:rPr>
        <w:t>附件2</w:t>
      </w:r>
    </w:p>
    <w:p w14:paraId="097E301D">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53CD221D">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jc w:val="center"/>
        <w:rPr>
          <w:rFonts w:hint="eastAsia" w:ascii="宋体" w:hAnsi="宋体" w:eastAsia="宋体" w:cs="宋体"/>
          <w:i w:val="0"/>
          <w:iCs w:val="0"/>
          <w:caps w:val="0"/>
          <w:color w:val="auto"/>
          <w:spacing w:val="0"/>
          <w:sz w:val="28"/>
          <w:szCs w:val="28"/>
          <w:highlight w:val="none"/>
        </w:rPr>
      </w:pPr>
      <w:r>
        <w:rPr>
          <w:rStyle w:val="51"/>
          <w:rFonts w:hint="eastAsia" w:ascii="宋体" w:hAnsi="宋体" w:eastAsia="宋体" w:cs="宋体"/>
          <w:i w:val="0"/>
          <w:iCs w:val="0"/>
          <w:caps w:val="0"/>
          <w:color w:val="auto"/>
          <w:spacing w:val="0"/>
          <w:sz w:val="28"/>
          <w:szCs w:val="28"/>
          <w:highlight w:val="none"/>
          <w:shd w:val="clear" w:fill="FFFFFF"/>
        </w:rPr>
        <w:t>关于符合本国产品标准的声明函</w:t>
      </w:r>
    </w:p>
    <w:p w14:paraId="227A9E04">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29906F17">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51C2E8CF">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1.（产品名称1）1，生产厂为（厂名）2，厂址为（生产厂址）。（产品名称1）的中国境内生产的组件成本占比≥（规定比例）3。（产品名称1）的（关键组件）4在中国境内生产。（产品名称1）的（关键工序）5在中国境内完成。</w:t>
      </w:r>
    </w:p>
    <w:p w14:paraId="5888E60F">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2.（产品名称2），生产厂为（厂名），厂址为（生产厂址）。（产品名称2）的中国境内生产的组件成本占比≥（规定比例）。（产品名称2）的（关键组件）在中国境内生产。（产品名称2）的（关键工序）在中国境内完成。</w:t>
      </w:r>
    </w:p>
    <w:p w14:paraId="72B16E01">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w:t>
      </w:r>
    </w:p>
    <w:p w14:paraId="7836F48F">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本公司（单位）对上述声明内容的真实性负责。如有虚假，愿承担相应法律责任。</w:t>
      </w:r>
    </w:p>
    <w:p w14:paraId="5C6DDDED">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公司（单位）名称（盖章）：      </w:t>
      </w:r>
    </w:p>
    <w:p w14:paraId="142BF92F">
      <w:pPr>
        <w:pStyle w:val="28"/>
        <w:shd w:val="clear"/>
        <w:spacing w:line="360" w:lineRule="auto"/>
        <w:jc w:val="left"/>
        <w:rPr>
          <w:rFonts w:hint="eastAsia" w:ascii="宋体" w:hAnsi="宋体" w:eastAsia="宋体" w:cs="宋体"/>
          <w:b w:val="0"/>
          <w:bCs/>
          <w:color w:val="auto"/>
          <w:spacing w:val="0"/>
          <w:w w:val="100"/>
          <w:kern w:val="2"/>
          <w:position w:val="0"/>
          <w:sz w:val="21"/>
          <w:szCs w:val="21"/>
          <w:highlight w:val="none"/>
        </w:rPr>
      </w:pPr>
      <w:r>
        <w:rPr>
          <w:rFonts w:hint="eastAsia" w:ascii="宋体" w:hAnsi="宋体" w:eastAsia="宋体" w:cs="宋体"/>
          <w:b w:val="0"/>
          <w:bCs/>
          <w:color w:val="auto"/>
          <w:spacing w:val="0"/>
          <w:w w:val="100"/>
          <w:kern w:val="2"/>
          <w:position w:val="0"/>
          <w:sz w:val="21"/>
          <w:szCs w:val="21"/>
          <w:highlight w:val="none"/>
        </w:rPr>
        <w:t>日期：　　　　　年　　月　日    </w:t>
      </w:r>
    </w:p>
    <w:p w14:paraId="53B60F74">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665C9C99">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p>
    <w:p w14:paraId="082BFF59">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_____________________________</w:t>
      </w:r>
    </w:p>
    <w:p w14:paraId="464F90C5">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1.产品如有型号，请在“产品名称”栏一并填写。</w:t>
      </w:r>
    </w:p>
    <w:p w14:paraId="67C8288C">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2.生产厂名与厂址应与生产厂营业执照载明的相关信息保持一致。</w:t>
      </w:r>
    </w:p>
    <w:p w14:paraId="0E8DA349">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3.该产品的中国境内生产的组件成本占比相关要求实施前，“规定比例”栏可不填，下同。</w:t>
      </w:r>
    </w:p>
    <w:p w14:paraId="5F02B764">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4.该产品的关键组件要求实施前，“关键组件”栏可不填，下同。</w:t>
      </w:r>
    </w:p>
    <w:p w14:paraId="64E419D2">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420"/>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color w:val="auto"/>
          <w:spacing w:val="0"/>
          <w:sz w:val="19"/>
          <w:szCs w:val="19"/>
          <w:highlight w:val="none"/>
          <w:shd w:val="clear" w:fill="FFFFFF"/>
        </w:rPr>
        <w:t>5.该产品的关键工序要求实施前，“关键工序”栏可不填，下同。</w:t>
      </w:r>
    </w:p>
    <w:p w14:paraId="7C903C8E">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39C7B37B">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7CEDDBF8">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05DBCBED">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68111A43">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22A46AA4">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7EB5D7D0">
      <w:pPr>
        <w:pStyle w:val="4"/>
        <w:jc w:val="both"/>
        <w:rPr>
          <w:rFonts w:ascii="仿宋" w:hAnsi="仿宋" w:eastAsia="仿宋" w:cs="仿宋"/>
          <w:i w:val="0"/>
          <w:iCs w:val="0"/>
          <w:caps w:val="0"/>
          <w:color w:val="auto"/>
          <w:spacing w:val="0"/>
          <w:sz w:val="22"/>
          <w:szCs w:val="22"/>
          <w:highlight w:val="none"/>
          <w:u w:val="none"/>
        </w:rPr>
      </w:pPr>
      <w:r>
        <w:rPr>
          <w:rFonts w:hint="eastAsia" w:ascii="宋体" w:hAnsi="宋体" w:eastAsia="宋体" w:cs="宋体"/>
          <w:color w:val="auto"/>
          <w:sz w:val="28"/>
          <w:szCs w:val="28"/>
          <w:highlight w:val="none"/>
          <w:lang w:val="en-US" w:eastAsia="zh-CN"/>
        </w:rPr>
        <w:t>附件6：</w:t>
      </w:r>
      <w:r>
        <w:rPr>
          <w:rFonts w:hint="eastAsia" w:ascii="宋体" w:hAnsi="宋体" w:eastAsia="宋体" w:cs="宋体"/>
          <w:i w:val="0"/>
          <w:iCs w:val="0"/>
          <w:caps w:val="0"/>
          <w:color w:val="auto"/>
          <w:spacing w:val="0"/>
          <w:kern w:val="2"/>
          <w:sz w:val="28"/>
          <w:szCs w:val="28"/>
          <w:highlight w:val="none"/>
          <w:shd w:val="clear" w:color="auto" w:fill="auto"/>
          <w:vertAlign w:val="baseline"/>
          <w:lang w:val="en-US" w:eastAsia="zh-CN" w:bidi="ar"/>
        </w:rPr>
        <w:t>关于推动解决政府采购异常低价问题的通知（</w:t>
      </w:r>
      <w:r>
        <w:rPr>
          <w:rFonts w:hint="eastAsia" w:ascii="仿宋" w:hAnsi="仿宋" w:eastAsia="仿宋" w:cs="仿宋"/>
          <w:i w:val="0"/>
          <w:iCs w:val="0"/>
          <w:caps w:val="0"/>
          <w:color w:val="auto"/>
          <w:spacing w:val="0"/>
          <w:kern w:val="0"/>
          <w:sz w:val="24"/>
          <w:szCs w:val="24"/>
          <w:highlight w:val="none"/>
          <w:u w:val="none"/>
          <w:shd w:val="clear" w:color="auto" w:fill="FFFFFF"/>
          <w:vertAlign w:val="baseline"/>
          <w:lang w:val="en-US" w:eastAsia="zh-CN" w:bidi="ar"/>
        </w:rPr>
        <w:t> </w:t>
      </w:r>
      <w:r>
        <w:rPr>
          <w:rFonts w:hint="eastAsia" w:ascii="仿宋" w:hAnsi="仿宋" w:eastAsia="仿宋" w:cs="仿宋"/>
          <w:b/>
          <w:bCs/>
          <w:i w:val="0"/>
          <w:iCs w:val="0"/>
          <w:caps w:val="0"/>
          <w:color w:val="auto"/>
          <w:spacing w:val="0"/>
          <w:kern w:val="0"/>
          <w:sz w:val="24"/>
          <w:szCs w:val="24"/>
          <w:highlight w:val="none"/>
          <w:u w:val="none"/>
          <w:shd w:val="clear" w:color="auto" w:fill="FFFFFF"/>
          <w:vertAlign w:val="baseline"/>
          <w:lang w:val="en-US" w:eastAsia="zh-CN" w:bidi="ar"/>
        </w:rPr>
        <w:t>财库〔2026〕2号）</w:t>
      </w:r>
    </w:p>
    <w:p w14:paraId="7FCDA2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default" w:ascii="Calibri" w:hAnsi="Calibri" w:cs="Calibri"/>
          <w:color w:val="auto"/>
          <w:sz w:val="21"/>
          <w:szCs w:val="21"/>
          <w:highlight w:val="none"/>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各中央预算单位，各省、自治区、直辖市、计划单列市财政厅（局），新疆生产建设兵团财政局：</w:t>
      </w:r>
    </w:p>
    <w:p w14:paraId="34B480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为整治政府采购领域“内卷式”竞争，形成优质优价、良性竞争的市场秩序，现就推动解决政府采购异常低价问题有关事项通知如下：</w:t>
      </w:r>
    </w:p>
    <w:p w14:paraId="1E9DE29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一、加强政府采购需求管理</w:t>
      </w:r>
    </w:p>
    <w:p w14:paraId="05F0D9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5732CF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2AD50C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30A2B2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二、强化政府采购异常低价审查</w:t>
      </w:r>
    </w:p>
    <w:p w14:paraId="49529C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（一）采购人应当在采购文件中明确，政府采购评审中出现下列情形之一的，评审委员会应当启动异常低价投标（响应）审查程序：</w:t>
      </w:r>
    </w:p>
    <w:p w14:paraId="4C4112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1.投标（响应）报价低于全部通过符合性审查供应商投标（响应）报价平均值50%的，即投标（响应）报价〈全部通过符合性审查供应商投标（响应）报价平均值×50%；</w:t>
      </w:r>
    </w:p>
    <w:p w14:paraId="3DA55D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2.投标（响应）报价低于通过符合性审查的次低报价供应商投标（响应）报价50%的，即投标（响应）报价〈通过符合性审查的次低报价供应商投标（响应）报价×50%；</w:t>
      </w:r>
    </w:p>
    <w:p w14:paraId="733E389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3.投标（响应）报价低于采购项目最高限价45%的，即投标（响应）报价〈采购项目最高限价×45%；</w:t>
      </w:r>
    </w:p>
    <w:p w14:paraId="07058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4.评审委员会基于专业判断，认为供应商报价过低，有可能影响产品质量或者不能诚信履约的其他情形。</w:t>
      </w:r>
    </w:p>
    <w:p w14:paraId="64175B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采购人可以结合具体项目实际情况，提高上述第1项至第3项中启动异常低价投标（响应）审查的数值标准，但是最高不得超过65%。</w:t>
      </w:r>
    </w:p>
    <w:p w14:paraId="745620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相关法律法规对供应商报价有规定的，从其规定。</w:t>
      </w:r>
    </w:p>
    <w:p w14:paraId="297055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175F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4B49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2C967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C59F7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0D76B1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三、加强政府采购履约验收管理</w:t>
      </w:r>
    </w:p>
    <w:p w14:paraId="44C283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19EA6A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68FE3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baseline"/>
        <w:rPr>
          <w:rFonts w:hint="default" w:ascii="Calibri" w:hAnsi="Calibri" w:cs="Calibri"/>
          <w:color w:val="auto"/>
          <w:sz w:val="21"/>
          <w:szCs w:val="21"/>
          <w:highlight w:val="none"/>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本通知自2026年2月1日起施行。 </w:t>
      </w:r>
    </w:p>
    <w:p w14:paraId="3E31A3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color w:val="auto"/>
          <w:sz w:val="21"/>
          <w:szCs w:val="21"/>
          <w:highlight w:val="none"/>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val="en-US" w:eastAsia="zh-CN" w:bidi="ar"/>
        </w:rPr>
        <w:t> </w:t>
      </w:r>
    </w:p>
    <w:p w14:paraId="4AE0AD36">
      <w:pPr>
        <w:spacing w:line="360" w:lineRule="auto"/>
        <w:ind w:firstLine="640"/>
        <w:jc w:val="right"/>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bidi="ar"/>
        </w:rPr>
        <w:t>财政部</w:t>
      </w:r>
    </w:p>
    <w:p w14:paraId="382B5060">
      <w:pPr>
        <w:spacing w:line="360" w:lineRule="auto"/>
        <w:ind w:firstLine="640"/>
        <w:jc w:val="right"/>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i w:val="0"/>
          <w:iCs w:val="0"/>
          <w:caps w:val="0"/>
          <w:color w:val="auto"/>
          <w:spacing w:val="0"/>
          <w:kern w:val="0"/>
          <w:sz w:val="21"/>
          <w:szCs w:val="21"/>
          <w:highlight w:val="none"/>
          <w:u w:val="none"/>
          <w:shd w:val="clear" w:color="auto" w:fill="FFFFFF"/>
          <w:vertAlign w:val="baseline"/>
          <w:lang w:bidi="ar"/>
        </w:rPr>
        <w:t>2026年1月14日</w:t>
      </w:r>
    </w:p>
    <w:p w14:paraId="21A7E52E">
      <w:pPr>
        <w:pStyle w:val="28"/>
        <w:shd w:val="clear"/>
        <w:spacing w:line="360" w:lineRule="auto"/>
        <w:ind w:firstLine="420" w:firstLineChars="200"/>
        <w:rPr>
          <w:rFonts w:hint="eastAsia" w:ascii="宋体" w:hAnsi="宋体" w:eastAsia="宋体" w:cs="宋体"/>
          <w:b w:val="0"/>
          <w:bCs/>
          <w:color w:val="auto"/>
          <w:spacing w:val="0"/>
          <w:w w:val="100"/>
          <w:kern w:val="2"/>
          <w:position w:val="0"/>
          <w:sz w:val="21"/>
          <w:szCs w:val="21"/>
          <w:highlight w:val="none"/>
        </w:rPr>
      </w:pPr>
    </w:p>
    <w:p w14:paraId="18879FEB">
      <w:pPr>
        <w:rPr>
          <w:color w:val="auto"/>
          <w:highlight w:val="none"/>
        </w:rPr>
      </w:pPr>
    </w:p>
    <w:sectPr>
      <w:footerReference r:id="rId8" w:type="default"/>
      <w:pgSz w:w="11906" w:h="16838"/>
      <w:pgMar w:top="1417" w:right="1417" w:bottom="1417" w:left="1417" w:header="851" w:footer="992" w:gutter="0"/>
      <w:pgNumType w:fmt="decimal"/>
      <w:cols w:space="0" w:num="1"/>
      <w:rtlGutter w:val="0"/>
      <w:docGrid w:type="lines"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1" w:fontKey="{3285DF3F-93F2-4634-AAF8-4443068C1D8F}"/>
  </w:font>
  <w:font w:name="Cambria">
    <w:panose1 w:val="02040503050406030204"/>
    <w:charset w:val="00"/>
    <w:family w:val="roman"/>
    <w:pitch w:val="default"/>
    <w:sig w:usb0="E00006FF" w:usb1="400004FF" w:usb2="00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Arial Unicode MS">
    <w:panose1 w:val="020B0604020202020204"/>
    <w:charset w:val="86"/>
    <w:family w:val="swiss"/>
    <w:pitch w:val="default"/>
    <w:sig w:usb0="FFFFFFFF" w:usb1="E9FFFFFF" w:usb2="0000003F" w:usb3="00000000" w:csb0="603F01FF" w:csb1="FFFF0000"/>
  </w:font>
  <w:font w:name="Univers">
    <w:panose1 w:val="020B060302020203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1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D7597B59-3EBB-411F-BFCD-034E8115F28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7D9A4">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89081">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8D8F2">
    <w:pPr>
      <w:pStyle w:val="3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0D063">
                          <w:pPr>
                            <w:pStyle w:val="3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8B0D063">
                    <w:pPr>
                      <w:pStyle w:val="34"/>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3116C">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35DCD">
                          <w:pPr>
                            <w:pStyle w:val="3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D235DCD">
                    <w:pPr>
                      <w:pStyle w:val="3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E6EE9">
    <w:pPr>
      <w:pStyle w:val="34"/>
      <w:ind w:firstLine="90" w:firstLineChars="5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E3549">
                          <w:pPr>
                            <w:pStyle w:val="34"/>
                          </w:pPr>
                          <w:r>
                            <w:fldChar w:fldCharType="begin"/>
                          </w:r>
                          <w:r>
                            <w:instrText xml:space="preserve"> PAGE  \* MERGEFORMAT </w:instrText>
                          </w:r>
                          <w:r>
                            <w:fldChar w:fldCharType="separate"/>
                          </w:r>
                          <w:r>
                            <w:t>180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ABE3549">
                    <w:pPr>
                      <w:pStyle w:val="34"/>
                    </w:pPr>
                    <w:r>
                      <w:fldChar w:fldCharType="begin"/>
                    </w:r>
                    <w:r>
                      <w:instrText xml:space="preserve"> PAGE  \* MERGEFORMAT </w:instrText>
                    </w:r>
                    <w:r>
                      <w:fldChar w:fldCharType="separate"/>
                    </w:r>
                    <w:r>
                      <w:t>180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51B95">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E446B"/>
    <w:multiLevelType w:val="singleLevel"/>
    <w:tmpl w:val="806E446B"/>
    <w:lvl w:ilvl="0" w:tentative="0">
      <w:start w:val="1"/>
      <w:numFmt w:val="decimal"/>
      <w:lvlText w:val="(%1)"/>
      <w:lvlJc w:val="left"/>
      <w:pPr>
        <w:ind w:left="425" w:hanging="425"/>
      </w:pPr>
      <w:rPr>
        <w:rFonts w:hint="default"/>
      </w:rPr>
    </w:lvl>
  </w:abstractNum>
  <w:abstractNum w:abstractNumId="1">
    <w:nsid w:val="827D70FB"/>
    <w:multiLevelType w:val="singleLevel"/>
    <w:tmpl w:val="827D70FB"/>
    <w:lvl w:ilvl="0" w:tentative="0">
      <w:start w:val="1"/>
      <w:numFmt w:val="decimal"/>
      <w:lvlText w:val="(%1)"/>
      <w:lvlJc w:val="left"/>
      <w:pPr>
        <w:ind w:left="425" w:hanging="425"/>
      </w:pPr>
      <w:rPr>
        <w:rFonts w:hint="default"/>
      </w:rPr>
    </w:lvl>
  </w:abstractNum>
  <w:abstractNum w:abstractNumId="2">
    <w:nsid w:val="8B75225F"/>
    <w:multiLevelType w:val="singleLevel"/>
    <w:tmpl w:val="8B75225F"/>
    <w:lvl w:ilvl="0" w:tentative="0">
      <w:start w:val="1"/>
      <w:numFmt w:val="decimal"/>
      <w:lvlText w:val="(%1)"/>
      <w:lvlJc w:val="left"/>
      <w:pPr>
        <w:ind w:left="425" w:hanging="425"/>
      </w:pPr>
      <w:rPr>
        <w:rFonts w:hint="default"/>
      </w:rPr>
    </w:lvl>
  </w:abstractNum>
  <w:abstractNum w:abstractNumId="3">
    <w:nsid w:val="90AEFF4C"/>
    <w:multiLevelType w:val="singleLevel"/>
    <w:tmpl w:val="90AEFF4C"/>
    <w:lvl w:ilvl="0" w:tentative="0">
      <w:start w:val="1"/>
      <w:numFmt w:val="decimal"/>
      <w:lvlText w:val="(%1)"/>
      <w:lvlJc w:val="left"/>
      <w:pPr>
        <w:ind w:left="425" w:hanging="425"/>
      </w:pPr>
      <w:rPr>
        <w:rFonts w:hint="default"/>
      </w:rPr>
    </w:lvl>
  </w:abstractNum>
  <w:abstractNum w:abstractNumId="4">
    <w:nsid w:val="91B41449"/>
    <w:multiLevelType w:val="singleLevel"/>
    <w:tmpl w:val="91B41449"/>
    <w:lvl w:ilvl="0" w:tentative="0">
      <w:start w:val="1"/>
      <w:numFmt w:val="decimal"/>
      <w:lvlText w:val="(%1)"/>
      <w:lvlJc w:val="left"/>
      <w:pPr>
        <w:ind w:left="425" w:hanging="425"/>
      </w:pPr>
      <w:rPr>
        <w:rFonts w:hint="default"/>
      </w:rPr>
    </w:lvl>
  </w:abstractNum>
  <w:abstractNum w:abstractNumId="5">
    <w:nsid w:val="9BE29E98"/>
    <w:multiLevelType w:val="singleLevel"/>
    <w:tmpl w:val="9BE29E98"/>
    <w:lvl w:ilvl="0" w:tentative="0">
      <w:start w:val="1"/>
      <w:numFmt w:val="decimal"/>
      <w:lvlText w:val="(%1)"/>
      <w:lvlJc w:val="left"/>
      <w:pPr>
        <w:ind w:left="425" w:hanging="425"/>
      </w:pPr>
      <w:rPr>
        <w:rFonts w:hint="default"/>
      </w:rPr>
    </w:lvl>
  </w:abstractNum>
  <w:abstractNum w:abstractNumId="6">
    <w:nsid w:val="9C98983B"/>
    <w:multiLevelType w:val="singleLevel"/>
    <w:tmpl w:val="9C98983B"/>
    <w:lvl w:ilvl="0" w:tentative="0">
      <w:start w:val="1"/>
      <w:numFmt w:val="decimal"/>
      <w:lvlText w:val="(%1)"/>
      <w:lvlJc w:val="left"/>
      <w:pPr>
        <w:ind w:left="425" w:hanging="425"/>
      </w:pPr>
      <w:rPr>
        <w:rFonts w:hint="default"/>
      </w:rPr>
    </w:lvl>
  </w:abstractNum>
  <w:abstractNum w:abstractNumId="7">
    <w:nsid w:val="9ED9A4BD"/>
    <w:multiLevelType w:val="singleLevel"/>
    <w:tmpl w:val="9ED9A4BD"/>
    <w:lvl w:ilvl="0" w:tentative="0">
      <w:start w:val="1"/>
      <w:numFmt w:val="decimal"/>
      <w:lvlText w:val="(%1)"/>
      <w:lvlJc w:val="left"/>
      <w:pPr>
        <w:ind w:left="425" w:hanging="425"/>
      </w:pPr>
      <w:rPr>
        <w:rFonts w:hint="default"/>
      </w:rPr>
    </w:lvl>
  </w:abstractNum>
  <w:abstractNum w:abstractNumId="8">
    <w:nsid w:val="A1E378EC"/>
    <w:multiLevelType w:val="singleLevel"/>
    <w:tmpl w:val="A1E378EC"/>
    <w:lvl w:ilvl="0" w:tentative="0">
      <w:start w:val="1"/>
      <w:numFmt w:val="decimal"/>
      <w:lvlText w:val="(%1)"/>
      <w:lvlJc w:val="left"/>
      <w:pPr>
        <w:ind w:left="425" w:hanging="425"/>
      </w:pPr>
      <w:rPr>
        <w:rFonts w:hint="default"/>
      </w:rPr>
    </w:lvl>
  </w:abstractNum>
  <w:abstractNum w:abstractNumId="9">
    <w:nsid w:val="A997A092"/>
    <w:multiLevelType w:val="singleLevel"/>
    <w:tmpl w:val="A997A092"/>
    <w:lvl w:ilvl="0" w:tentative="0">
      <w:start w:val="1"/>
      <w:numFmt w:val="decimal"/>
      <w:lvlText w:val="(%1)"/>
      <w:lvlJc w:val="left"/>
      <w:pPr>
        <w:ind w:left="425" w:hanging="425"/>
      </w:pPr>
      <w:rPr>
        <w:rFonts w:hint="default"/>
      </w:rPr>
    </w:lvl>
  </w:abstractNum>
  <w:abstractNum w:abstractNumId="10">
    <w:nsid w:val="AD9337FC"/>
    <w:multiLevelType w:val="singleLevel"/>
    <w:tmpl w:val="AD9337FC"/>
    <w:lvl w:ilvl="0" w:tentative="0">
      <w:start w:val="1"/>
      <w:numFmt w:val="decimal"/>
      <w:lvlText w:val="(%1)"/>
      <w:lvlJc w:val="left"/>
      <w:pPr>
        <w:ind w:left="425" w:hanging="425"/>
      </w:pPr>
      <w:rPr>
        <w:rFonts w:hint="default"/>
      </w:rPr>
    </w:lvl>
  </w:abstractNum>
  <w:abstractNum w:abstractNumId="11">
    <w:nsid w:val="B0FBAC4D"/>
    <w:multiLevelType w:val="singleLevel"/>
    <w:tmpl w:val="B0FBAC4D"/>
    <w:lvl w:ilvl="0" w:tentative="0">
      <w:start w:val="1"/>
      <w:numFmt w:val="decimal"/>
      <w:lvlText w:val="(%1)"/>
      <w:lvlJc w:val="left"/>
      <w:pPr>
        <w:ind w:left="425" w:hanging="425"/>
      </w:pPr>
      <w:rPr>
        <w:rFonts w:hint="default"/>
      </w:rPr>
    </w:lvl>
  </w:abstractNum>
  <w:abstractNum w:abstractNumId="12">
    <w:nsid w:val="B167C5CF"/>
    <w:multiLevelType w:val="singleLevel"/>
    <w:tmpl w:val="B167C5CF"/>
    <w:lvl w:ilvl="0" w:tentative="0">
      <w:start w:val="1"/>
      <w:numFmt w:val="decimal"/>
      <w:lvlText w:val="(%1)"/>
      <w:lvlJc w:val="left"/>
      <w:pPr>
        <w:ind w:left="425" w:hanging="425"/>
      </w:pPr>
      <w:rPr>
        <w:rFonts w:hint="default"/>
      </w:rPr>
    </w:lvl>
  </w:abstractNum>
  <w:abstractNum w:abstractNumId="13">
    <w:nsid w:val="B3071026"/>
    <w:multiLevelType w:val="singleLevel"/>
    <w:tmpl w:val="B3071026"/>
    <w:lvl w:ilvl="0" w:tentative="0">
      <w:start w:val="1"/>
      <w:numFmt w:val="decimal"/>
      <w:lvlText w:val="(%1)"/>
      <w:lvlJc w:val="left"/>
      <w:pPr>
        <w:ind w:left="425" w:hanging="425"/>
      </w:pPr>
      <w:rPr>
        <w:rFonts w:hint="default"/>
      </w:rPr>
    </w:lvl>
  </w:abstractNum>
  <w:abstractNum w:abstractNumId="14">
    <w:nsid w:val="B4F776B4"/>
    <w:multiLevelType w:val="singleLevel"/>
    <w:tmpl w:val="B4F776B4"/>
    <w:lvl w:ilvl="0" w:tentative="0">
      <w:start w:val="1"/>
      <w:numFmt w:val="decimal"/>
      <w:lvlText w:val="(%1)"/>
      <w:lvlJc w:val="left"/>
      <w:pPr>
        <w:ind w:left="425" w:hanging="425"/>
      </w:pPr>
      <w:rPr>
        <w:rFonts w:hint="default"/>
      </w:rPr>
    </w:lvl>
  </w:abstractNum>
  <w:abstractNum w:abstractNumId="15">
    <w:nsid w:val="B6C68C03"/>
    <w:multiLevelType w:val="singleLevel"/>
    <w:tmpl w:val="B6C68C03"/>
    <w:lvl w:ilvl="0" w:tentative="0">
      <w:start w:val="1"/>
      <w:numFmt w:val="decimal"/>
      <w:lvlText w:val="(%1)"/>
      <w:lvlJc w:val="left"/>
      <w:pPr>
        <w:ind w:left="425" w:hanging="425"/>
      </w:pPr>
      <w:rPr>
        <w:rFonts w:hint="default"/>
      </w:rPr>
    </w:lvl>
  </w:abstractNum>
  <w:abstractNum w:abstractNumId="16">
    <w:nsid w:val="B88114A6"/>
    <w:multiLevelType w:val="singleLevel"/>
    <w:tmpl w:val="B88114A6"/>
    <w:lvl w:ilvl="0" w:tentative="0">
      <w:start w:val="1"/>
      <w:numFmt w:val="decimal"/>
      <w:lvlText w:val="(%1)"/>
      <w:lvlJc w:val="left"/>
      <w:pPr>
        <w:ind w:left="425" w:hanging="425"/>
      </w:pPr>
      <w:rPr>
        <w:rFonts w:hint="default"/>
      </w:rPr>
    </w:lvl>
  </w:abstractNum>
  <w:abstractNum w:abstractNumId="17">
    <w:nsid w:val="BFCB702F"/>
    <w:multiLevelType w:val="singleLevel"/>
    <w:tmpl w:val="BFCB702F"/>
    <w:lvl w:ilvl="0" w:tentative="0">
      <w:start w:val="1"/>
      <w:numFmt w:val="decimal"/>
      <w:lvlText w:val="(%1)"/>
      <w:lvlJc w:val="left"/>
      <w:pPr>
        <w:ind w:left="425" w:hanging="425"/>
      </w:pPr>
      <w:rPr>
        <w:rFonts w:hint="default"/>
      </w:rPr>
    </w:lvl>
  </w:abstractNum>
  <w:abstractNum w:abstractNumId="18">
    <w:nsid w:val="C1DF7AC4"/>
    <w:multiLevelType w:val="singleLevel"/>
    <w:tmpl w:val="C1DF7AC4"/>
    <w:lvl w:ilvl="0" w:tentative="0">
      <w:start w:val="1"/>
      <w:numFmt w:val="decimal"/>
      <w:lvlText w:val="(%1)"/>
      <w:lvlJc w:val="left"/>
      <w:pPr>
        <w:ind w:left="425" w:hanging="425"/>
      </w:pPr>
      <w:rPr>
        <w:rFonts w:hint="default"/>
      </w:rPr>
    </w:lvl>
  </w:abstractNum>
  <w:abstractNum w:abstractNumId="19">
    <w:nsid w:val="C78DF45D"/>
    <w:multiLevelType w:val="singleLevel"/>
    <w:tmpl w:val="C78DF45D"/>
    <w:lvl w:ilvl="0" w:tentative="0">
      <w:start w:val="1"/>
      <w:numFmt w:val="decimal"/>
      <w:lvlText w:val="%1."/>
      <w:lvlJc w:val="left"/>
      <w:pPr>
        <w:ind w:left="425" w:hanging="425"/>
      </w:pPr>
      <w:rPr>
        <w:rFonts w:hint="default"/>
      </w:rPr>
    </w:lvl>
  </w:abstractNum>
  <w:abstractNum w:abstractNumId="20">
    <w:nsid w:val="C97D4367"/>
    <w:multiLevelType w:val="singleLevel"/>
    <w:tmpl w:val="C97D4367"/>
    <w:lvl w:ilvl="0" w:tentative="0">
      <w:start w:val="1"/>
      <w:numFmt w:val="decimal"/>
      <w:lvlText w:val="(%1)"/>
      <w:lvlJc w:val="left"/>
      <w:pPr>
        <w:ind w:left="425" w:hanging="425"/>
      </w:pPr>
      <w:rPr>
        <w:rFonts w:hint="default"/>
      </w:rPr>
    </w:lvl>
  </w:abstractNum>
  <w:abstractNum w:abstractNumId="21">
    <w:nsid w:val="CC792B65"/>
    <w:multiLevelType w:val="singleLevel"/>
    <w:tmpl w:val="CC792B65"/>
    <w:lvl w:ilvl="0" w:tentative="0">
      <w:start w:val="1"/>
      <w:numFmt w:val="decimal"/>
      <w:lvlText w:val="(%1)"/>
      <w:lvlJc w:val="left"/>
      <w:pPr>
        <w:ind w:left="425" w:hanging="425"/>
      </w:pPr>
      <w:rPr>
        <w:rFonts w:hint="default"/>
      </w:rPr>
    </w:lvl>
  </w:abstractNum>
  <w:abstractNum w:abstractNumId="22">
    <w:nsid w:val="CCB04C5B"/>
    <w:multiLevelType w:val="singleLevel"/>
    <w:tmpl w:val="CCB04C5B"/>
    <w:lvl w:ilvl="0" w:tentative="0">
      <w:start w:val="1"/>
      <w:numFmt w:val="decimal"/>
      <w:lvlText w:val="(%1)"/>
      <w:lvlJc w:val="left"/>
      <w:pPr>
        <w:ind w:left="425" w:hanging="425"/>
      </w:pPr>
      <w:rPr>
        <w:rFonts w:hint="default"/>
      </w:rPr>
    </w:lvl>
  </w:abstractNum>
  <w:abstractNum w:abstractNumId="23">
    <w:nsid w:val="D6514B59"/>
    <w:multiLevelType w:val="singleLevel"/>
    <w:tmpl w:val="D6514B59"/>
    <w:lvl w:ilvl="0" w:tentative="0">
      <w:start w:val="1"/>
      <w:numFmt w:val="decimal"/>
      <w:lvlText w:val="%1."/>
      <w:lvlJc w:val="left"/>
      <w:pPr>
        <w:ind w:left="425" w:hanging="425"/>
      </w:pPr>
      <w:rPr>
        <w:rFonts w:hint="default"/>
      </w:rPr>
    </w:lvl>
  </w:abstractNum>
  <w:abstractNum w:abstractNumId="24">
    <w:nsid w:val="D8E96680"/>
    <w:multiLevelType w:val="singleLevel"/>
    <w:tmpl w:val="D8E96680"/>
    <w:lvl w:ilvl="0" w:tentative="0">
      <w:start w:val="1"/>
      <w:numFmt w:val="decimal"/>
      <w:lvlText w:val="(%1)"/>
      <w:lvlJc w:val="left"/>
      <w:pPr>
        <w:ind w:left="425" w:hanging="425"/>
      </w:pPr>
      <w:rPr>
        <w:rFonts w:hint="default"/>
      </w:rPr>
    </w:lvl>
  </w:abstractNum>
  <w:abstractNum w:abstractNumId="25">
    <w:nsid w:val="D8FF141E"/>
    <w:multiLevelType w:val="singleLevel"/>
    <w:tmpl w:val="D8FF141E"/>
    <w:lvl w:ilvl="0" w:tentative="0">
      <w:start w:val="1"/>
      <w:numFmt w:val="decimal"/>
      <w:lvlText w:val="%1."/>
      <w:lvlJc w:val="left"/>
      <w:pPr>
        <w:ind w:left="425" w:hanging="425"/>
      </w:pPr>
      <w:rPr>
        <w:rFonts w:hint="default"/>
      </w:rPr>
    </w:lvl>
  </w:abstractNum>
  <w:abstractNum w:abstractNumId="26">
    <w:nsid w:val="E6D30775"/>
    <w:multiLevelType w:val="singleLevel"/>
    <w:tmpl w:val="E6D30775"/>
    <w:lvl w:ilvl="0" w:tentative="0">
      <w:start w:val="1"/>
      <w:numFmt w:val="decimal"/>
      <w:lvlText w:val="(%1)"/>
      <w:lvlJc w:val="left"/>
      <w:pPr>
        <w:ind w:left="425" w:hanging="425"/>
      </w:pPr>
      <w:rPr>
        <w:rFonts w:hint="default"/>
      </w:rPr>
    </w:lvl>
  </w:abstractNum>
  <w:abstractNum w:abstractNumId="27">
    <w:nsid w:val="EB9301CC"/>
    <w:multiLevelType w:val="singleLevel"/>
    <w:tmpl w:val="EB9301CC"/>
    <w:lvl w:ilvl="0" w:tentative="0">
      <w:start w:val="1"/>
      <w:numFmt w:val="decimal"/>
      <w:lvlText w:val="(%1)"/>
      <w:lvlJc w:val="left"/>
      <w:pPr>
        <w:ind w:left="425" w:hanging="425"/>
      </w:pPr>
      <w:rPr>
        <w:rFonts w:hint="default"/>
      </w:rPr>
    </w:lvl>
  </w:abstractNum>
  <w:abstractNum w:abstractNumId="28">
    <w:nsid w:val="EC09E727"/>
    <w:multiLevelType w:val="singleLevel"/>
    <w:tmpl w:val="EC09E727"/>
    <w:lvl w:ilvl="0" w:tentative="0">
      <w:start w:val="1"/>
      <w:numFmt w:val="decimal"/>
      <w:lvlText w:val="%1."/>
      <w:lvlJc w:val="left"/>
      <w:pPr>
        <w:ind w:left="425" w:hanging="425"/>
      </w:pPr>
      <w:rPr>
        <w:rFonts w:hint="default"/>
      </w:rPr>
    </w:lvl>
  </w:abstractNum>
  <w:abstractNum w:abstractNumId="29">
    <w:nsid w:val="EDE1EA10"/>
    <w:multiLevelType w:val="singleLevel"/>
    <w:tmpl w:val="EDE1EA10"/>
    <w:lvl w:ilvl="0" w:tentative="0">
      <w:start w:val="1"/>
      <w:numFmt w:val="decimal"/>
      <w:lvlText w:val="(%1)"/>
      <w:lvlJc w:val="left"/>
      <w:pPr>
        <w:ind w:left="425" w:hanging="425"/>
      </w:pPr>
      <w:rPr>
        <w:rFonts w:hint="default"/>
      </w:rPr>
    </w:lvl>
  </w:abstractNum>
  <w:abstractNum w:abstractNumId="30">
    <w:nsid w:val="EE733EED"/>
    <w:multiLevelType w:val="singleLevel"/>
    <w:tmpl w:val="EE733EED"/>
    <w:lvl w:ilvl="0" w:tentative="0">
      <w:start w:val="1"/>
      <w:numFmt w:val="chineseCounting"/>
      <w:suff w:val="nothing"/>
      <w:lvlText w:val="（%1）"/>
      <w:lvlJc w:val="left"/>
      <w:rPr>
        <w:rFonts w:hint="eastAsia"/>
      </w:rPr>
    </w:lvl>
  </w:abstractNum>
  <w:abstractNum w:abstractNumId="31">
    <w:nsid w:val="EE78AF04"/>
    <w:multiLevelType w:val="singleLevel"/>
    <w:tmpl w:val="EE78AF04"/>
    <w:lvl w:ilvl="0" w:tentative="0">
      <w:start w:val="1"/>
      <w:numFmt w:val="decimal"/>
      <w:lvlText w:val="(%1)"/>
      <w:lvlJc w:val="left"/>
      <w:pPr>
        <w:ind w:left="425" w:hanging="425"/>
      </w:pPr>
      <w:rPr>
        <w:rFonts w:hint="default"/>
      </w:rPr>
    </w:lvl>
  </w:abstractNum>
  <w:abstractNum w:abstractNumId="32">
    <w:nsid w:val="EF323D85"/>
    <w:multiLevelType w:val="singleLevel"/>
    <w:tmpl w:val="EF323D85"/>
    <w:lvl w:ilvl="0" w:tentative="0">
      <w:start w:val="1"/>
      <w:numFmt w:val="decimal"/>
      <w:lvlText w:val="(%1)"/>
      <w:lvlJc w:val="left"/>
      <w:pPr>
        <w:ind w:left="425" w:hanging="425"/>
      </w:pPr>
      <w:rPr>
        <w:rFonts w:hint="default"/>
      </w:rPr>
    </w:lvl>
  </w:abstractNum>
  <w:abstractNum w:abstractNumId="33">
    <w:nsid w:val="F1748743"/>
    <w:multiLevelType w:val="singleLevel"/>
    <w:tmpl w:val="F1748743"/>
    <w:lvl w:ilvl="0" w:tentative="0">
      <w:start w:val="1"/>
      <w:numFmt w:val="decimal"/>
      <w:lvlText w:val="(%1)"/>
      <w:lvlJc w:val="left"/>
      <w:pPr>
        <w:ind w:left="425" w:hanging="425"/>
      </w:pPr>
      <w:rPr>
        <w:rFonts w:hint="default"/>
      </w:rPr>
    </w:lvl>
  </w:abstractNum>
  <w:abstractNum w:abstractNumId="34">
    <w:nsid w:val="F43477E0"/>
    <w:multiLevelType w:val="singleLevel"/>
    <w:tmpl w:val="F43477E0"/>
    <w:lvl w:ilvl="0" w:tentative="0">
      <w:start w:val="1"/>
      <w:numFmt w:val="decimal"/>
      <w:lvlText w:val="(%1)"/>
      <w:lvlJc w:val="left"/>
      <w:pPr>
        <w:ind w:left="425" w:hanging="425"/>
      </w:pPr>
      <w:rPr>
        <w:rFonts w:hint="default"/>
      </w:rPr>
    </w:lvl>
  </w:abstractNum>
  <w:abstractNum w:abstractNumId="35">
    <w:nsid w:val="F72C21CF"/>
    <w:multiLevelType w:val="singleLevel"/>
    <w:tmpl w:val="F72C21CF"/>
    <w:lvl w:ilvl="0" w:tentative="0">
      <w:start w:val="1"/>
      <w:numFmt w:val="decimal"/>
      <w:lvlText w:val="(%1)"/>
      <w:lvlJc w:val="left"/>
      <w:pPr>
        <w:ind w:left="425" w:hanging="425"/>
      </w:pPr>
      <w:rPr>
        <w:rFonts w:hint="default"/>
      </w:rPr>
    </w:lvl>
  </w:abstractNum>
  <w:abstractNum w:abstractNumId="36">
    <w:nsid w:val="F8EFF054"/>
    <w:multiLevelType w:val="singleLevel"/>
    <w:tmpl w:val="F8EFF054"/>
    <w:lvl w:ilvl="0" w:tentative="0">
      <w:start w:val="1"/>
      <w:numFmt w:val="decimal"/>
      <w:lvlText w:val="(%1)"/>
      <w:lvlJc w:val="left"/>
      <w:pPr>
        <w:ind w:left="425" w:hanging="425"/>
      </w:pPr>
      <w:rPr>
        <w:rFonts w:hint="default"/>
      </w:rPr>
    </w:lvl>
  </w:abstractNum>
  <w:abstractNum w:abstractNumId="37">
    <w:nsid w:val="F9BBCFCE"/>
    <w:multiLevelType w:val="singleLevel"/>
    <w:tmpl w:val="F9BBCFCE"/>
    <w:lvl w:ilvl="0" w:tentative="0">
      <w:start w:val="1"/>
      <w:numFmt w:val="decimal"/>
      <w:lvlText w:val="(%1)"/>
      <w:lvlJc w:val="left"/>
      <w:pPr>
        <w:ind w:left="425" w:hanging="425"/>
      </w:pPr>
      <w:rPr>
        <w:rFonts w:hint="default"/>
      </w:rPr>
    </w:lvl>
  </w:abstractNum>
  <w:abstractNum w:abstractNumId="38">
    <w:nsid w:val="FF33A736"/>
    <w:multiLevelType w:val="multilevel"/>
    <w:tmpl w:val="FF33A736"/>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39">
    <w:nsid w:val="00000001"/>
    <w:multiLevelType w:val="multilevel"/>
    <w:tmpl w:val="00000001"/>
    <w:lvl w:ilvl="0" w:tentative="0">
      <w:start w:val="1"/>
      <w:numFmt w:val="decimal"/>
      <w:lvlText w:val="%1"/>
      <w:lvlJc w:val="left"/>
      <w:pPr>
        <w:tabs>
          <w:tab w:val="left" w:pos="1134"/>
        </w:tabs>
        <w:ind w:left="1134" w:hanging="1134"/>
      </w:pPr>
      <w:rPr>
        <w:rFonts w:hint="default" w:ascii="宋体" w:hAnsi="宋体" w:eastAsia="宋体" w:cstheme="majorEastAsia"/>
        <w:sz w:val="21"/>
        <w:szCs w:val="21"/>
      </w:rPr>
    </w:lvl>
    <w:lvl w:ilvl="1" w:tentative="0">
      <w:start w:val="1"/>
      <w:numFmt w:val="decimal"/>
      <w:lvlText w:val="%1.%2"/>
      <w:lvlJc w:val="left"/>
      <w:pPr>
        <w:tabs>
          <w:tab w:val="left" w:pos="1134"/>
        </w:tabs>
        <w:ind w:left="1134" w:hanging="1134"/>
      </w:pPr>
      <w:rPr>
        <w:rFonts w:hint="default" w:ascii="宋体" w:hAnsi="宋体" w:eastAsia="宋体" w:cstheme="majorEastAsia"/>
        <w:color w:val="auto"/>
        <w:sz w:val="21"/>
        <w:szCs w:val="21"/>
      </w:rPr>
    </w:lvl>
    <w:lvl w:ilvl="2" w:tentative="0">
      <w:start w:val="1"/>
      <w:numFmt w:val="decimal"/>
      <w:lvlText w:val="%1.%2.%3"/>
      <w:lvlJc w:val="left"/>
      <w:pPr>
        <w:tabs>
          <w:tab w:val="left" w:pos="1134"/>
        </w:tabs>
        <w:ind w:left="1134" w:hanging="1134"/>
      </w:pPr>
      <w:rPr>
        <w:rFonts w:hint="default" w:ascii="宋体" w:hAnsi="宋体" w:eastAsia="宋体" w:cstheme="minorEastAsia"/>
        <w:sz w:val="21"/>
        <w:szCs w:val="21"/>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40">
    <w:nsid w:val="00000005"/>
    <w:multiLevelType w:val="multilevel"/>
    <w:tmpl w:val="00000005"/>
    <w:lvl w:ilvl="0" w:tentative="0">
      <w:start w:val="1"/>
      <w:numFmt w:val="decimal"/>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41">
    <w:nsid w:val="00000007"/>
    <w:multiLevelType w:val="multilevel"/>
    <w:tmpl w:val="00000007"/>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2">
    <w:nsid w:val="0000000B"/>
    <w:multiLevelType w:val="multilevel"/>
    <w:tmpl w:val="0000000B"/>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43">
    <w:nsid w:val="0000000D"/>
    <w:multiLevelType w:val="singleLevel"/>
    <w:tmpl w:val="0000000D"/>
    <w:lvl w:ilvl="0" w:tentative="0">
      <w:start w:val="1"/>
      <w:numFmt w:val="decimal"/>
      <w:lvlText w:val="%1."/>
      <w:lvlJc w:val="left"/>
      <w:pPr>
        <w:ind w:left="425" w:hanging="425"/>
      </w:pPr>
      <w:rPr>
        <w:rFonts w:hint="default"/>
      </w:rPr>
    </w:lvl>
  </w:abstractNum>
  <w:abstractNum w:abstractNumId="44">
    <w:nsid w:val="027E2039"/>
    <w:multiLevelType w:val="singleLevel"/>
    <w:tmpl w:val="027E2039"/>
    <w:lvl w:ilvl="0" w:tentative="0">
      <w:start w:val="1"/>
      <w:numFmt w:val="decimal"/>
      <w:lvlText w:val="(%1)"/>
      <w:lvlJc w:val="left"/>
      <w:pPr>
        <w:ind w:left="425" w:hanging="425"/>
      </w:pPr>
      <w:rPr>
        <w:rFonts w:hint="default"/>
      </w:rPr>
    </w:lvl>
  </w:abstractNum>
  <w:abstractNum w:abstractNumId="45">
    <w:nsid w:val="0320D211"/>
    <w:multiLevelType w:val="singleLevel"/>
    <w:tmpl w:val="0320D211"/>
    <w:lvl w:ilvl="0" w:tentative="0">
      <w:start w:val="1"/>
      <w:numFmt w:val="decimal"/>
      <w:lvlText w:val="(%1)"/>
      <w:lvlJc w:val="left"/>
      <w:pPr>
        <w:ind w:left="425" w:hanging="425"/>
      </w:pPr>
      <w:rPr>
        <w:rFonts w:hint="default"/>
      </w:rPr>
    </w:lvl>
  </w:abstractNum>
  <w:abstractNum w:abstractNumId="46">
    <w:nsid w:val="0A401DB6"/>
    <w:multiLevelType w:val="multilevel"/>
    <w:tmpl w:val="0A401DB6"/>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7">
    <w:nsid w:val="0B333D20"/>
    <w:multiLevelType w:val="singleLevel"/>
    <w:tmpl w:val="0B333D20"/>
    <w:lvl w:ilvl="0" w:tentative="0">
      <w:start w:val="1"/>
      <w:numFmt w:val="decimal"/>
      <w:lvlText w:val="(%1)"/>
      <w:lvlJc w:val="left"/>
      <w:pPr>
        <w:ind w:left="425" w:hanging="425"/>
      </w:pPr>
      <w:rPr>
        <w:rFonts w:hint="default"/>
      </w:rPr>
    </w:lvl>
  </w:abstractNum>
  <w:abstractNum w:abstractNumId="48">
    <w:nsid w:val="0CF2478C"/>
    <w:multiLevelType w:val="singleLevel"/>
    <w:tmpl w:val="0CF2478C"/>
    <w:lvl w:ilvl="0" w:tentative="0">
      <w:start w:val="1"/>
      <w:numFmt w:val="decimal"/>
      <w:lvlText w:val="(%1)"/>
      <w:lvlJc w:val="left"/>
      <w:pPr>
        <w:ind w:left="425" w:hanging="425"/>
      </w:pPr>
      <w:rPr>
        <w:rFonts w:hint="default"/>
      </w:rPr>
    </w:lvl>
  </w:abstractNum>
  <w:abstractNum w:abstractNumId="49">
    <w:nsid w:val="10292E89"/>
    <w:multiLevelType w:val="singleLevel"/>
    <w:tmpl w:val="10292E89"/>
    <w:lvl w:ilvl="0" w:tentative="0">
      <w:start w:val="1"/>
      <w:numFmt w:val="chineseCounting"/>
      <w:suff w:val="nothing"/>
      <w:lvlText w:val="（%1）"/>
      <w:lvlJc w:val="left"/>
      <w:rPr>
        <w:rFonts w:hint="eastAsia"/>
      </w:rPr>
    </w:lvl>
  </w:abstractNum>
  <w:abstractNum w:abstractNumId="50">
    <w:nsid w:val="15AA0A76"/>
    <w:multiLevelType w:val="singleLevel"/>
    <w:tmpl w:val="15AA0A76"/>
    <w:lvl w:ilvl="0" w:tentative="0">
      <w:start w:val="1"/>
      <w:numFmt w:val="decimal"/>
      <w:suff w:val="nothing"/>
      <w:lvlText w:val="（%1）"/>
      <w:lvlJc w:val="left"/>
    </w:lvl>
  </w:abstractNum>
  <w:abstractNum w:abstractNumId="51">
    <w:nsid w:val="1631AFF6"/>
    <w:multiLevelType w:val="singleLevel"/>
    <w:tmpl w:val="1631AFF6"/>
    <w:lvl w:ilvl="0" w:tentative="0">
      <w:start w:val="1"/>
      <w:numFmt w:val="decimal"/>
      <w:lvlText w:val="(%1)"/>
      <w:lvlJc w:val="left"/>
      <w:pPr>
        <w:ind w:left="425" w:hanging="425"/>
      </w:pPr>
      <w:rPr>
        <w:rFonts w:hint="default"/>
      </w:rPr>
    </w:lvl>
  </w:abstractNum>
  <w:abstractNum w:abstractNumId="52">
    <w:nsid w:val="1A055E02"/>
    <w:multiLevelType w:val="singleLevel"/>
    <w:tmpl w:val="1A055E02"/>
    <w:lvl w:ilvl="0" w:tentative="0">
      <w:start w:val="1"/>
      <w:numFmt w:val="decimal"/>
      <w:lvlText w:val="(%1)"/>
      <w:lvlJc w:val="left"/>
      <w:pPr>
        <w:ind w:left="425" w:hanging="425"/>
      </w:pPr>
      <w:rPr>
        <w:rFonts w:hint="default"/>
      </w:rPr>
    </w:lvl>
  </w:abstractNum>
  <w:abstractNum w:abstractNumId="53">
    <w:nsid w:val="2018CFE4"/>
    <w:multiLevelType w:val="singleLevel"/>
    <w:tmpl w:val="2018CFE4"/>
    <w:lvl w:ilvl="0" w:tentative="0">
      <w:start w:val="1"/>
      <w:numFmt w:val="decimal"/>
      <w:lvlText w:val="(%1)"/>
      <w:lvlJc w:val="left"/>
      <w:pPr>
        <w:ind w:left="425" w:hanging="425"/>
      </w:pPr>
      <w:rPr>
        <w:rFonts w:hint="default"/>
      </w:rPr>
    </w:lvl>
  </w:abstractNum>
  <w:abstractNum w:abstractNumId="54">
    <w:nsid w:val="22DD36E8"/>
    <w:multiLevelType w:val="singleLevel"/>
    <w:tmpl w:val="22DD36E8"/>
    <w:lvl w:ilvl="0" w:tentative="0">
      <w:start w:val="1"/>
      <w:numFmt w:val="decimal"/>
      <w:lvlText w:val="(%1)"/>
      <w:lvlJc w:val="left"/>
      <w:pPr>
        <w:ind w:left="425" w:hanging="425"/>
      </w:pPr>
      <w:rPr>
        <w:rFonts w:hint="default"/>
      </w:rPr>
    </w:lvl>
  </w:abstractNum>
  <w:abstractNum w:abstractNumId="55">
    <w:nsid w:val="257A273C"/>
    <w:multiLevelType w:val="singleLevel"/>
    <w:tmpl w:val="257A273C"/>
    <w:lvl w:ilvl="0" w:tentative="0">
      <w:start w:val="1"/>
      <w:numFmt w:val="decimal"/>
      <w:lvlText w:val="(%1)"/>
      <w:lvlJc w:val="left"/>
      <w:pPr>
        <w:ind w:left="425" w:hanging="425"/>
      </w:pPr>
      <w:rPr>
        <w:rFonts w:hint="default"/>
      </w:rPr>
    </w:lvl>
  </w:abstractNum>
  <w:abstractNum w:abstractNumId="56">
    <w:nsid w:val="32852CC2"/>
    <w:multiLevelType w:val="singleLevel"/>
    <w:tmpl w:val="32852CC2"/>
    <w:lvl w:ilvl="0" w:tentative="0">
      <w:start w:val="1"/>
      <w:numFmt w:val="decimal"/>
      <w:lvlText w:val="(%1)"/>
      <w:lvlJc w:val="left"/>
      <w:pPr>
        <w:ind w:left="425" w:hanging="425"/>
      </w:pPr>
      <w:rPr>
        <w:rFonts w:hint="default"/>
      </w:rPr>
    </w:lvl>
  </w:abstractNum>
  <w:abstractNum w:abstractNumId="57">
    <w:nsid w:val="33B4EC91"/>
    <w:multiLevelType w:val="singleLevel"/>
    <w:tmpl w:val="33B4EC91"/>
    <w:lvl w:ilvl="0" w:tentative="0">
      <w:start w:val="5"/>
      <w:numFmt w:val="chineseCounting"/>
      <w:suff w:val="space"/>
      <w:lvlText w:val="第%1章"/>
      <w:lvlJc w:val="left"/>
      <w:rPr>
        <w:rFonts w:hint="eastAsia"/>
      </w:rPr>
    </w:lvl>
  </w:abstractNum>
  <w:abstractNum w:abstractNumId="58">
    <w:nsid w:val="34F35CEF"/>
    <w:multiLevelType w:val="singleLevel"/>
    <w:tmpl w:val="34F35CEF"/>
    <w:lvl w:ilvl="0" w:tentative="0">
      <w:start w:val="1"/>
      <w:numFmt w:val="decimal"/>
      <w:lvlText w:val="(%1)"/>
      <w:lvlJc w:val="left"/>
      <w:pPr>
        <w:ind w:left="425" w:hanging="425"/>
      </w:pPr>
      <w:rPr>
        <w:rFonts w:hint="default"/>
      </w:rPr>
    </w:lvl>
  </w:abstractNum>
  <w:abstractNum w:abstractNumId="59">
    <w:nsid w:val="36A10D4A"/>
    <w:multiLevelType w:val="singleLevel"/>
    <w:tmpl w:val="36A10D4A"/>
    <w:lvl w:ilvl="0" w:tentative="0">
      <w:start w:val="1"/>
      <w:numFmt w:val="decimal"/>
      <w:lvlText w:val="(%1)"/>
      <w:lvlJc w:val="left"/>
      <w:pPr>
        <w:ind w:left="425" w:hanging="425"/>
      </w:pPr>
      <w:rPr>
        <w:rFonts w:hint="default"/>
      </w:rPr>
    </w:lvl>
  </w:abstractNum>
  <w:abstractNum w:abstractNumId="60">
    <w:nsid w:val="37C7475E"/>
    <w:multiLevelType w:val="singleLevel"/>
    <w:tmpl w:val="37C7475E"/>
    <w:lvl w:ilvl="0" w:tentative="0">
      <w:start w:val="1"/>
      <w:numFmt w:val="decimal"/>
      <w:suff w:val="nothing"/>
      <w:lvlText w:val="（%1）"/>
      <w:lvlJc w:val="left"/>
    </w:lvl>
  </w:abstractNum>
  <w:abstractNum w:abstractNumId="61">
    <w:nsid w:val="3921566C"/>
    <w:multiLevelType w:val="singleLevel"/>
    <w:tmpl w:val="3921566C"/>
    <w:lvl w:ilvl="0" w:tentative="0">
      <w:start w:val="1"/>
      <w:numFmt w:val="chineseCounting"/>
      <w:suff w:val="nothing"/>
      <w:lvlText w:val="%1、"/>
      <w:lvlJc w:val="left"/>
      <w:pPr>
        <w:ind w:left="0" w:firstLine="420"/>
      </w:pPr>
      <w:rPr>
        <w:rFonts w:hint="eastAsia"/>
      </w:rPr>
    </w:lvl>
  </w:abstractNum>
  <w:abstractNum w:abstractNumId="6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4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3">
    <w:nsid w:val="4F75DF6E"/>
    <w:multiLevelType w:val="singleLevel"/>
    <w:tmpl w:val="4F75DF6E"/>
    <w:lvl w:ilvl="0" w:tentative="0">
      <w:start w:val="1"/>
      <w:numFmt w:val="decimal"/>
      <w:lvlText w:val="(%1)"/>
      <w:lvlJc w:val="left"/>
      <w:pPr>
        <w:ind w:left="425" w:hanging="425"/>
      </w:pPr>
      <w:rPr>
        <w:rFonts w:hint="default"/>
      </w:rPr>
    </w:lvl>
  </w:abstractNum>
  <w:abstractNum w:abstractNumId="64">
    <w:nsid w:val="4FB7663F"/>
    <w:multiLevelType w:val="singleLevel"/>
    <w:tmpl w:val="4FB7663F"/>
    <w:lvl w:ilvl="0" w:tentative="0">
      <w:start w:val="1"/>
      <w:numFmt w:val="decimal"/>
      <w:lvlText w:val="(%1)"/>
      <w:lvlJc w:val="left"/>
      <w:pPr>
        <w:ind w:left="425" w:hanging="425"/>
      </w:pPr>
      <w:rPr>
        <w:rFonts w:hint="default"/>
      </w:rPr>
    </w:lvl>
  </w:abstractNum>
  <w:abstractNum w:abstractNumId="65">
    <w:nsid w:val="52790AB9"/>
    <w:multiLevelType w:val="singleLevel"/>
    <w:tmpl w:val="52790AB9"/>
    <w:lvl w:ilvl="0" w:tentative="0">
      <w:start w:val="1"/>
      <w:numFmt w:val="decimal"/>
      <w:lvlText w:val="(%1)"/>
      <w:lvlJc w:val="left"/>
      <w:pPr>
        <w:ind w:left="425" w:hanging="425"/>
      </w:pPr>
      <w:rPr>
        <w:rFonts w:hint="default"/>
      </w:rPr>
    </w:lvl>
  </w:abstractNum>
  <w:abstractNum w:abstractNumId="66">
    <w:nsid w:val="53144B0C"/>
    <w:multiLevelType w:val="singleLevel"/>
    <w:tmpl w:val="53144B0C"/>
    <w:lvl w:ilvl="0" w:tentative="0">
      <w:start w:val="1"/>
      <w:numFmt w:val="decimal"/>
      <w:lvlText w:val="(%1)"/>
      <w:lvlJc w:val="left"/>
      <w:pPr>
        <w:ind w:left="425" w:hanging="425"/>
      </w:pPr>
      <w:rPr>
        <w:rFonts w:hint="default"/>
      </w:rPr>
    </w:lvl>
  </w:abstractNum>
  <w:abstractNum w:abstractNumId="67">
    <w:nsid w:val="559A3509"/>
    <w:multiLevelType w:val="singleLevel"/>
    <w:tmpl w:val="559A3509"/>
    <w:lvl w:ilvl="0" w:tentative="0">
      <w:start w:val="1"/>
      <w:numFmt w:val="decimal"/>
      <w:lvlText w:val="(%1)"/>
      <w:lvlJc w:val="left"/>
      <w:pPr>
        <w:ind w:left="425" w:hanging="425"/>
      </w:pPr>
      <w:rPr>
        <w:rFonts w:hint="default"/>
      </w:rPr>
    </w:lvl>
  </w:abstractNum>
  <w:abstractNum w:abstractNumId="68">
    <w:nsid w:val="56C14DA9"/>
    <w:multiLevelType w:val="singleLevel"/>
    <w:tmpl w:val="56C14DA9"/>
    <w:lvl w:ilvl="0" w:tentative="0">
      <w:start w:val="1"/>
      <w:numFmt w:val="decimal"/>
      <w:suff w:val="nothing"/>
      <w:lvlText w:val="（%1）"/>
      <w:lvlJc w:val="left"/>
    </w:lvl>
  </w:abstractNum>
  <w:abstractNum w:abstractNumId="69">
    <w:nsid w:val="57271D66"/>
    <w:multiLevelType w:val="singleLevel"/>
    <w:tmpl w:val="57271D66"/>
    <w:lvl w:ilvl="0" w:tentative="0">
      <w:start w:val="1"/>
      <w:numFmt w:val="decimal"/>
      <w:lvlText w:val="(%1)"/>
      <w:lvlJc w:val="left"/>
      <w:pPr>
        <w:ind w:left="425" w:hanging="425"/>
      </w:pPr>
      <w:rPr>
        <w:rFonts w:hint="default"/>
      </w:rPr>
    </w:lvl>
  </w:abstractNum>
  <w:abstractNum w:abstractNumId="70">
    <w:nsid w:val="57404AE8"/>
    <w:multiLevelType w:val="singleLevel"/>
    <w:tmpl w:val="57404AE8"/>
    <w:lvl w:ilvl="0" w:tentative="0">
      <w:start w:val="1"/>
      <w:numFmt w:val="decimal"/>
      <w:lvlText w:val="(%1)"/>
      <w:lvlJc w:val="left"/>
      <w:pPr>
        <w:ind w:left="425" w:hanging="425"/>
      </w:pPr>
      <w:rPr>
        <w:rFonts w:hint="default"/>
      </w:rPr>
    </w:lvl>
  </w:abstractNum>
  <w:abstractNum w:abstractNumId="71">
    <w:nsid w:val="58AB5922"/>
    <w:multiLevelType w:val="singleLevel"/>
    <w:tmpl w:val="58AB5922"/>
    <w:lvl w:ilvl="0" w:tentative="0">
      <w:start w:val="1"/>
      <w:numFmt w:val="decimal"/>
      <w:lvlText w:val="%1)"/>
      <w:lvlJc w:val="left"/>
      <w:pPr>
        <w:ind w:left="425" w:hanging="425"/>
      </w:pPr>
      <w:rPr>
        <w:rFonts w:hint="default"/>
      </w:rPr>
    </w:lvl>
  </w:abstractNum>
  <w:abstractNum w:abstractNumId="72">
    <w:nsid w:val="5CFE6BD6"/>
    <w:multiLevelType w:val="singleLevel"/>
    <w:tmpl w:val="5CFE6BD6"/>
    <w:lvl w:ilvl="0" w:tentative="0">
      <w:start w:val="1"/>
      <w:numFmt w:val="decimal"/>
      <w:lvlText w:val="%1."/>
      <w:lvlJc w:val="left"/>
      <w:pPr>
        <w:ind w:left="425" w:hanging="425"/>
      </w:pPr>
      <w:rPr>
        <w:rFonts w:hint="default"/>
      </w:rPr>
    </w:lvl>
  </w:abstractNum>
  <w:abstractNum w:abstractNumId="73">
    <w:nsid w:val="5E44856B"/>
    <w:multiLevelType w:val="singleLevel"/>
    <w:tmpl w:val="5E44856B"/>
    <w:lvl w:ilvl="0" w:tentative="0">
      <w:start w:val="1"/>
      <w:numFmt w:val="decimal"/>
      <w:lvlText w:val="(%1)"/>
      <w:lvlJc w:val="left"/>
      <w:pPr>
        <w:ind w:left="425" w:hanging="425"/>
      </w:pPr>
      <w:rPr>
        <w:rFonts w:hint="default"/>
      </w:rPr>
    </w:lvl>
  </w:abstractNum>
  <w:abstractNum w:abstractNumId="74">
    <w:nsid w:val="5F0629B7"/>
    <w:multiLevelType w:val="singleLevel"/>
    <w:tmpl w:val="5F0629B7"/>
    <w:lvl w:ilvl="0" w:tentative="0">
      <w:start w:val="1"/>
      <w:numFmt w:val="chineseCounting"/>
      <w:suff w:val="nothing"/>
      <w:lvlText w:val="（%1）"/>
      <w:lvlJc w:val="left"/>
      <w:pPr>
        <w:ind w:left="0" w:firstLine="420"/>
      </w:pPr>
      <w:rPr>
        <w:rFonts w:hint="eastAsia"/>
      </w:rPr>
    </w:lvl>
  </w:abstractNum>
  <w:abstractNum w:abstractNumId="75">
    <w:nsid w:val="6498795A"/>
    <w:multiLevelType w:val="singleLevel"/>
    <w:tmpl w:val="6498795A"/>
    <w:lvl w:ilvl="0" w:tentative="0">
      <w:start w:val="1"/>
      <w:numFmt w:val="decimal"/>
      <w:lvlText w:val="(%1)"/>
      <w:lvlJc w:val="left"/>
      <w:pPr>
        <w:ind w:left="425" w:hanging="425"/>
      </w:pPr>
      <w:rPr>
        <w:rFonts w:hint="default"/>
      </w:rPr>
    </w:lvl>
  </w:abstractNum>
  <w:abstractNum w:abstractNumId="76">
    <w:nsid w:val="652F32FD"/>
    <w:multiLevelType w:val="singleLevel"/>
    <w:tmpl w:val="652F32FD"/>
    <w:lvl w:ilvl="0" w:tentative="0">
      <w:start w:val="1"/>
      <w:numFmt w:val="decimal"/>
      <w:lvlText w:val="(%1)"/>
      <w:lvlJc w:val="left"/>
      <w:pPr>
        <w:ind w:left="425" w:hanging="425"/>
      </w:pPr>
      <w:rPr>
        <w:rFonts w:hint="default"/>
      </w:rPr>
    </w:lvl>
  </w:abstractNum>
  <w:abstractNum w:abstractNumId="77">
    <w:nsid w:val="6568D315"/>
    <w:multiLevelType w:val="singleLevel"/>
    <w:tmpl w:val="6568D315"/>
    <w:lvl w:ilvl="0" w:tentative="0">
      <w:start w:val="1"/>
      <w:numFmt w:val="decimal"/>
      <w:lvlText w:val="(%1)"/>
      <w:lvlJc w:val="left"/>
      <w:pPr>
        <w:ind w:left="425" w:hanging="425"/>
      </w:pPr>
      <w:rPr>
        <w:rFonts w:hint="default"/>
      </w:rPr>
    </w:lvl>
  </w:abstractNum>
  <w:abstractNum w:abstractNumId="78">
    <w:nsid w:val="667D0BC7"/>
    <w:multiLevelType w:val="singleLevel"/>
    <w:tmpl w:val="667D0BC7"/>
    <w:lvl w:ilvl="0" w:tentative="0">
      <w:start w:val="1"/>
      <w:numFmt w:val="decimal"/>
      <w:lvlText w:val="(%1)"/>
      <w:lvlJc w:val="left"/>
      <w:pPr>
        <w:ind w:left="425" w:hanging="425"/>
      </w:pPr>
      <w:rPr>
        <w:rFonts w:hint="default"/>
      </w:rPr>
    </w:lvl>
  </w:abstractNum>
  <w:abstractNum w:abstractNumId="79">
    <w:nsid w:val="6E8462FD"/>
    <w:multiLevelType w:val="singleLevel"/>
    <w:tmpl w:val="6E8462FD"/>
    <w:lvl w:ilvl="0" w:tentative="0">
      <w:start w:val="1"/>
      <w:numFmt w:val="decimal"/>
      <w:lvlText w:val="(%1)"/>
      <w:lvlJc w:val="left"/>
      <w:pPr>
        <w:ind w:left="425" w:hanging="425"/>
      </w:pPr>
      <w:rPr>
        <w:rFonts w:hint="default"/>
      </w:rPr>
    </w:lvl>
  </w:abstractNum>
  <w:abstractNum w:abstractNumId="80">
    <w:nsid w:val="764603A1"/>
    <w:multiLevelType w:val="singleLevel"/>
    <w:tmpl w:val="764603A1"/>
    <w:lvl w:ilvl="0" w:tentative="0">
      <w:start w:val="1"/>
      <w:numFmt w:val="decimal"/>
      <w:lvlText w:val="(%1)"/>
      <w:lvlJc w:val="left"/>
      <w:pPr>
        <w:ind w:left="425" w:hanging="425"/>
      </w:pPr>
      <w:rPr>
        <w:rFonts w:hint="default"/>
      </w:rPr>
    </w:lvl>
  </w:abstractNum>
  <w:abstractNum w:abstractNumId="81">
    <w:nsid w:val="7A57DD71"/>
    <w:multiLevelType w:val="singleLevel"/>
    <w:tmpl w:val="7A57DD71"/>
    <w:lvl w:ilvl="0" w:tentative="0">
      <w:start w:val="1"/>
      <w:numFmt w:val="decimal"/>
      <w:lvlText w:val="(%1)"/>
      <w:lvlJc w:val="left"/>
      <w:pPr>
        <w:ind w:left="425" w:hanging="425"/>
      </w:pPr>
      <w:rPr>
        <w:rFonts w:hint="default"/>
      </w:rPr>
    </w:lvl>
  </w:abstractNum>
  <w:abstractNum w:abstractNumId="82">
    <w:nsid w:val="7D8632D5"/>
    <w:multiLevelType w:val="singleLevel"/>
    <w:tmpl w:val="7D8632D5"/>
    <w:lvl w:ilvl="0" w:tentative="0">
      <w:start w:val="1"/>
      <w:numFmt w:val="decimal"/>
      <w:lvlText w:val="(%1)"/>
      <w:lvlJc w:val="left"/>
      <w:pPr>
        <w:ind w:left="425" w:hanging="425"/>
      </w:pPr>
      <w:rPr>
        <w:rFonts w:hint="default"/>
      </w:rPr>
    </w:lvl>
  </w:abstractNum>
  <w:abstractNum w:abstractNumId="83">
    <w:nsid w:val="7F7575B5"/>
    <w:multiLevelType w:val="singleLevel"/>
    <w:tmpl w:val="7F7575B5"/>
    <w:lvl w:ilvl="0" w:tentative="0">
      <w:start w:val="1"/>
      <w:numFmt w:val="decimal"/>
      <w:suff w:val="nothing"/>
      <w:lvlText w:val="（%1）"/>
      <w:lvlJc w:val="left"/>
    </w:lvl>
  </w:abstractNum>
  <w:num w:numId="1">
    <w:abstractNumId w:val="62"/>
  </w:num>
  <w:num w:numId="2">
    <w:abstractNumId w:val="30"/>
  </w:num>
  <w:num w:numId="3">
    <w:abstractNumId w:val="49"/>
  </w:num>
  <w:num w:numId="4">
    <w:abstractNumId w:val="68"/>
  </w:num>
  <w:num w:numId="5">
    <w:abstractNumId w:val="61"/>
  </w:num>
  <w:num w:numId="6">
    <w:abstractNumId w:val="39"/>
  </w:num>
  <w:num w:numId="7">
    <w:abstractNumId w:val="42"/>
  </w:num>
  <w:num w:numId="8">
    <w:abstractNumId w:val="40"/>
  </w:num>
  <w:num w:numId="9">
    <w:abstractNumId w:val="41"/>
  </w:num>
  <w:num w:numId="10">
    <w:abstractNumId w:val="50"/>
  </w:num>
  <w:num w:numId="11">
    <w:abstractNumId w:val="83"/>
  </w:num>
  <w:num w:numId="12">
    <w:abstractNumId w:val="60"/>
  </w:num>
  <w:num w:numId="13">
    <w:abstractNumId w:val="19"/>
  </w:num>
  <w:num w:numId="14">
    <w:abstractNumId w:val="43"/>
  </w:num>
  <w:num w:numId="15">
    <w:abstractNumId w:val="71"/>
  </w:num>
  <w:num w:numId="16">
    <w:abstractNumId w:val="28"/>
  </w:num>
  <w:num w:numId="17">
    <w:abstractNumId w:val="57"/>
  </w:num>
  <w:num w:numId="18">
    <w:abstractNumId w:val="74"/>
  </w:num>
  <w:num w:numId="19">
    <w:abstractNumId w:val="23"/>
  </w:num>
  <w:num w:numId="20">
    <w:abstractNumId w:val="34"/>
  </w:num>
  <w:num w:numId="21">
    <w:abstractNumId w:val="7"/>
  </w:num>
  <w:num w:numId="22">
    <w:abstractNumId w:val="25"/>
  </w:num>
  <w:num w:numId="23">
    <w:abstractNumId w:val="65"/>
  </w:num>
  <w:num w:numId="24">
    <w:abstractNumId w:val="15"/>
  </w:num>
  <w:num w:numId="25">
    <w:abstractNumId w:val="1"/>
  </w:num>
  <w:num w:numId="26">
    <w:abstractNumId w:val="36"/>
  </w:num>
  <w:num w:numId="27">
    <w:abstractNumId w:val="77"/>
  </w:num>
  <w:num w:numId="28">
    <w:abstractNumId w:val="32"/>
  </w:num>
  <w:num w:numId="29">
    <w:abstractNumId w:val="26"/>
  </w:num>
  <w:num w:numId="30">
    <w:abstractNumId w:val="78"/>
  </w:num>
  <w:num w:numId="31">
    <w:abstractNumId w:val="75"/>
  </w:num>
  <w:num w:numId="32">
    <w:abstractNumId w:val="0"/>
  </w:num>
  <w:num w:numId="33">
    <w:abstractNumId w:val="67"/>
  </w:num>
  <w:num w:numId="34">
    <w:abstractNumId w:val="73"/>
  </w:num>
  <w:num w:numId="35">
    <w:abstractNumId w:val="8"/>
  </w:num>
  <w:num w:numId="36">
    <w:abstractNumId w:val="81"/>
  </w:num>
  <w:num w:numId="37">
    <w:abstractNumId w:val="66"/>
  </w:num>
  <w:num w:numId="38">
    <w:abstractNumId w:val="5"/>
  </w:num>
  <w:num w:numId="39">
    <w:abstractNumId w:val="59"/>
  </w:num>
  <w:num w:numId="40">
    <w:abstractNumId w:val="53"/>
  </w:num>
  <w:num w:numId="41">
    <w:abstractNumId w:val="51"/>
  </w:num>
  <w:num w:numId="42">
    <w:abstractNumId w:val="52"/>
  </w:num>
  <w:num w:numId="43">
    <w:abstractNumId w:val="56"/>
  </w:num>
  <w:num w:numId="44">
    <w:abstractNumId w:val="11"/>
  </w:num>
  <w:num w:numId="45">
    <w:abstractNumId w:val="45"/>
  </w:num>
  <w:num w:numId="46">
    <w:abstractNumId w:val="76"/>
  </w:num>
  <w:num w:numId="47">
    <w:abstractNumId w:val="4"/>
  </w:num>
  <w:num w:numId="48">
    <w:abstractNumId w:val="79"/>
  </w:num>
  <w:num w:numId="49">
    <w:abstractNumId w:val="63"/>
  </w:num>
  <w:num w:numId="50">
    <w:abstractNumId w:val="69"/>
  </w:num>
  <w:num w:numId="51">
    <w:abstractNumId w:val="22"/>
  </w:num>
  <w:num w:numId="52">
    <w:abstractNumId w:val="17"/>
  </w:num>
  <w:num w:numId="53">
    <w:abstractNumId w:val="80"/>
  </w:num>
  <w:num w:numId="54">
    <w:abstractNumId w:val="13"/>
  </w:num>
  <w:num w:numId="55">
    <w:abstractNumId w:val="27"/>
  </w:num>
  <w:num w:numId="56">
    <w:abstractNumId w:val="35"/>
  </w:num>
  <w:num w:numId="57">
    <w:abstractNumId w:val="33"/>
  </w:num>
  <w:num w:numId="58">
    <w:abstractNumId w:val="9"/>
  </w:num>
  <w:num w:numId="59">
    <w:abstractNumId w:val="64"/>
  </w:num>
  <w:num w:numId="60">
    <w:abstractNumId w:val="2"/>
  </w:num>
  <w:num w:numId="61">
    <w:abstractNumId w:val="31"/>
  </w:num>
  <w:num w:numId="62">
    <w:abstractNumId w:val="44"/>
  </w:num>
  <w:num w:numId="63">
    <w:abstractNumId w:val="3"/>
  </w:num>
  <w:num w:numId="64">
    <w:abstractNumId w:val="14"/>
  </w:num>
  <w:num w:numId="65">
    <w:abstractNumId w:val="20"/>
  </w:num>
  <w:num w:numId="66">
    <w:abstractNumId w:val="6"/>
  </w:num>
  <w:num w:numId="67">
    <w:abstractNumId w:val="55"/>
  </w:num>
  <w:num w:numId="68">
    <w:abstractNumId w:val="70"/>
  </w:num>
  <w:num w:numId="69">
    <w:abstractNumId w:val="10"/>
  </w:num>
  <w:num w:numId="70">
    <w:abstractNumId w:val="21"/>
  </w:num>
  <w:num w:numId="71">
    <w:abstractNumId w:val="18"/>
  </w:num>
  <w:num w:numId="72">
    <w:abstractNumId w:val="12"/>
  </w:num>
  <w:num w:numId="73">
    <w:abstractNumId w:val="46"/>
  </w:num>
  <w:num w:numId="74">
    <w:abstractNumId w:val="38"/>
  </w:num>
  <w:num w:numId="75">
    <w:abstractNumId w:val="47"/>
  </w:num>
  <w:num w:numId="76">
    <w:abstractNumId w:val="24"/>
  </w:num>
  <w:num w:numId="77">
    <w:abstractNumId w:val="37"/>
  </w:num>
  <w:num w:numId="78">
    <w:abstractNumId w:val="82"/>
  </w:num>
  <w:num w:numId="79">
    <w:abstractNumId w:val="48"/>
  </w:num>
  <w:num w:numId="80">
    <w:abstractNumId w:val="16"/>
  </w:num>
  <w:num w:numId="81">
    <w:abstractNumId w:val="54"/>
  </w:num>
  <w:num w:numId="82">
    <w:abstractNumId w:val="29"/>
  </w:num>
  <w:num w:numId="83">
    <w:abstractNumId w:val="58"/>
  </w:num>
  <w:num w:numId="84">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19"/>
  <w:drawingGridHorizontalSpacing w:val="210"/>
  <w:drawingGridVerticalSpacing w:val="162"/>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1NzQ0NWU4NDNkOWMzOTAwNzFlYzQ4MTRhMDRmODEifQ=="/>
  </w:docVars>
  <w:rsids>
    <w:rsidRoot w:val="00000000"/>
    <w:rsid w:val="000374EA"/>
    <w:rsid w:val="001578D9"/>
    <w:rsid w:val="005F481F"/>
    <w:rsid w:val="00896EC4"/>
    <w:rsid w:val="00C91C98"/>
    <w:rsid w:val="00D86DF1"/>
    <w:rsid w:val="00D91EDB"/>
    <w:rsid w:val="013F7A9A"/>
    <w:rsid w:val="01443BEC"/>
    <w:rsid w:val="015707CE"/>
    <w:rsid w:val="01615A50"/>
    <w:rsid w:val="017C6D0A"/>
    <w:rsid w:val="017E192E"/>
    <w:rsid w:val="01A71FD9"/>
    <w:rsid w:val="01A746B1"/>
    <w:rsid w:val="01E66FA5"/>
    <w:rsid w:val="022033DE"/>
    <w:rsid w:val="02E16285"/>
    <w:rsid w:val="02F92A97"/>
    <w:rsid w:val="0340726B"/>
    <w:rsid w:val="03576F66"/>
    <w:rsid w:val="035E1CD5"/>
    <w:rsid w:val="03600455"/>
    <w:rsid w:val="0365456D"/>
    <w:rsid w:val="036C5AA6"/>
    <w:rsid w:val="03836A76"/>
    <w:rsid w:val="039C12FD"/>
    <w:rsid w:val="03A456C1"/>
    <w:rsid w:val="03C10461"/>
    <w:rsid w:val="03C60450"/>
    <w:rsid w:val="04072115"/>
    <w:rsid w:val="04602495"/>
    <w:rsid w:val="04623E3F"/>
    <w:rsid w:val="0471630E"/>
    <w:rsid w:val="04A730FC"/>
    <w:rsid w:val="04AC7935"/>
    <w:rsid w:val="04BA3565"/>
    <w:rsid w:val="04ED4A97"/>
    <w:rsid w:val="050842EA"/>
    <w:rsid w:val="050F0C5E"/>
    <w:rsid w:val="056239E2"/>
    <w:rsid w:val="05777F14"/>
    <w:rsid w:val="05CE0B92"/>
    <w:rsid w:val="05E76E48"/>
    <w:rsid w:val="06193506"/>
    <w:rsid w:val="063F113E"/>
    <w:rsid w:val="0676641E"/>
    <w:rsid w:val="068D4C2D"/>
    <w:rsid w:val="068E5516"/>
    <w:rsid w:val="069A795A"/>
    <w:rsid w:val="06B238FA"/>
    <w:rsid w:val="06BB2083"/>
    <w:rsid w:val="06D27AF8"/>
    <w:rsid w:val="06FA18AB"/>
    <w:rsid w:val="073312BA"/>
    <w:rsid w:val="07433EF7"/>
    <w:rsid w:val="07524AC0"/>
    <w:rsid w:val="07775550"/>
    <w:rsid w:val="078838E3"/>
    <w:rsid w:val="0794743D"/>
    <w:rsid w:val="07BE5FBE"/>
    <w:rsid w:val="07EB3A46"/>
    <w:rsid w:val="07FB7AA4"/>
    <w:rsid w:val="08154250"/>
    <w:rsid w:val="083D5422"/>
    <w:rsid w:val="08457BE0"/>
    <w:rsid w:val="08556700"/>
    <w:rsid w:val="086419B7"/>
    <w:rsid w:val="088D5AD5"/>
    <w:rsid w:val="08CA76C1"/>
    <w:rsid w:val="08CE0B9B"/>
    <w:rsid w:val="09060B09"/>
    <w:rsid w:val="090917CB"/>
    <w:rsid w:val="09145EE1"/>
    <w:rsid w:val="093C7064"/>
    <w:rsid w:val="09563B8E"/>
    <w:rsid w:val="098D5F59"/>
    <w:rsid w:val="09A72C5F"/>
    <w:rsid w:val="09A80FE4"/>
    <w:rsid w:val="09B30424"/>
    <w:rsid w:val="09E35B78"/>
    <w:rsid w:val="09E900F9"/>
    <w:rsid w:val="0A1F0C00"/>
    <w:rsid w:val="0A53598C"/>
    <w:rsid w:val="0A6908D9"/>
    <w:rsid w:val="0A7049FD"/>
    <w:rsid w:val="0A726EFC"/>
    <w:rsid w:val="0A7C65AC"/>
    <w:rsid w:val="0A884B66"/>
    <w:rsid w:val="0A8D7D86"/>
    <w:rsid w:val="0A9521E2"/>
    <w:rsid w:val="0A970956"/>
    <w:rsid w:val="0B2527F9"/>
    <w:rsid w:val="0B3D1B83"/>
    <w:rsid w:val="0B4328AD"/>
    <w:rsid w:val="0B644366"/>
    <w:rsid w:val="0B684935"/>
    <w:rsid w:val="0B924F14"/>
    <w:rsid w:val="0B995809"/>
    <w:rsid w:val="0BB73761"/>
    <w:rsid w:val="0BF72CEF"/>
    <w:rsid w:val="0BFD5196"/>
    <w:rsid w:val="0C673F81"/>
    <w:rsid w:val="0C895E65"/>
    <w:rsid w:val="0CB0527B"/>
    <w:rsid w:val="0CC54B85"/>
    <w:rsid w:val="0CE42333"/>
    <w:rsid w:val="0D074274"/>
    <w:rsid w:val="0D1A4075"/>
    <w:rsid w:val="0D230698"/>
    <w:rsid w:val="0D6B2CC2"/>
    <w:rsid w:val="0D931277"/>
    <w:rsid w:val="0D9A50E8"/>
    <w:rsid w:val="0DAE533D"/>
    <w:rsid w:val="0DAF5FE6"/>
    <w:rsid w:val="0DCD2858"/>
    <w:rsid w:val="0DD52CE6"/>
    <w:rsid w:val="0DE4788A"/>
    <w:rsid w:val="0E110D22"/>
    <w:rsid w:val="0E236EFA"/>
    <w:rsid w:val="0E4137B5"/>
    <w:rsid w:val="0E4447A8"/>
    <w:rsid w:val="0E546048"/>
    <w:rsid w:val="0E7224F8"/>
    <w:rsid w:val="0E8F2773"/>
    <w:rsid w:val="0E936C8D"/>
    <w:rsid w:val="0EB360A5"/>
    <w:rsid w:val="0EC86A0D"/>
    <w:rsid w:val="0ED939EE"/>
    <w:rsid w:val="0F1467D4"/>
    <w:rsid w:val="0F4277E5"/>
    <w:rsid w:val="0F4B5E65"/>
    <w:rsid w:val="0F697E5D"/>
    <w:rsid w:val="0F751969"/>
    <w:rsid w:val="0F87579E"/>
    <w:rsid w:val="0F8C280E"/>
    <w:rsid w:val="0FCC5ADB"/>
    <w:rsid w:val="10414420"/>
    <w:rsid w:val="104650B3"/>
    <w:rsid w:val="10536835"/>
    <w:rsid w:val="10723DDF"/>
    <w:rsid w:val="10790550"/>
    <w:rsid w:val="10991047"/>
    <w:rsid w:val="10B434F4"/>
    <w:rsid w:val="10CA330D"/>
    <w:rsid w:val="10D4498D"/>
    <w:rsid w:val="10D46BEA"/>
    <w:rsid w:val="10FB1B17"/>
    <w:rsid w:val="114535BD"/>
    <w:rsid w:val="116D4F9F"/>
    <w:rsid w:val="11A72525"/>
    <w:rsid w:val="11C52024"/>
    <w:rsid w:val="11CC5B8C"/>
    <w:rsid w:val="11DA3722"/>
    <w:rsid w:val="11EB6DF4"/>
    <w:rsid w:val="11FD5C45"/>
    <w:rsid w:val="123553DF"/>
    <w:rsid w:val="12680B5D"/>
    <w:rsid w:val="127C7A20"/>
    <w:rsid w:val="12865C3B"/>
    <w:rsid w:val="12A41349"/>
    <w:rsid w:val="13270F23"/>
    <w:rsid w:val="133434C0"/>
    <w:rsid w:val="13A445CA"/>
    <w:rsid w:val="13D95FA0"/>
    <w:rsid w:val="13EB7EFF"/>
    <w:rsid w:val="140E1078"/>
    <w:rsid w:val="14BF71E2"/>
    <w:rsid w:val="14C022D9"/>
    <w:rsid w:val="14F15E1C"/>
    <w:rsid w:val="15106767"/>
    <w:rsid w:val="1537321C"/>
    <w:rsid w:val="15391A5F"/>
    <w:rsid w:val="15396F94"/>
    <w:rsid w:val="158D4B45"/>
    <w:rsid w:val="159468C1"/>
    <w:rsid w:val="15D612E1"/>
    <w:rsid w:val="15EB1732"/>
    <w:rsid w:val="16084060"/>
    <w:rsid w:val="161672D6"/>
    <w:rsid w:val="161A600B"/>
    <w:rsid w:val="164D5BED"/>
    <w:rsid w:val="166C6737"/>
    <w:rsid w:val="167918B3"/>
    <w:rsid w:val="168B1A72"/>
    <w:rsid w:val="169F72CB"/>
    <w:rsid w:val="16A14884"/>
    <w:rsid w:val="17084E70"/>
    <w:rsid w:val="17105F90"/>
    <w:rsid w:val="17D254A3"/>
    <w:rsid w:val="17D32BDC"/>
    <w:rsid w:val="17D3547E"/>
    <w:rsid w:val="17DC75AF"/>
    <w:rsid w:val="1815568F"/>
    <w:rsid w:val="18283147"/>
    <w:rsid w:val="182A265F"/>
    <w:rsid w:val="18363FFF"/>
    <w:rsid w:val="184F0345"/>
    <w:rsid w:val="18695DE3"/>
    <w:rsid w:val="187C3D68"/>
    <w:rsid w:val="18A43C7A"/>
    <w:rsid w:val="18AC1086"/>
    <w:rsid w:val="18FA2EDF"/>
    <w:rsid w:val="19122391"/>
    <w:rsid w:val="19550115"/>
    <w:rsid w:val="197131A1"/>
    <w:rsid w:val="198278F6"/>
    <w:rsid w:val="199302EE"/>
    <w:rsid w:val="199649B5"/>
    <w:rsid w:val="19A55097"/>
    <w:rsid w:val="19D379B8"/>
    <w:rsid w:val="19E336CB"/>
    <w:rsid w:val="19E44366"/>
    <w:rsid w:val="1A0620F9"/>
    <w:rsid w:val="1A257974"/>
    <w:rsid w:val="1A5447DE"/>
    <w:rsid w:val="1A741CF7"/>
    <w:rsid w:val="1A842784"/>
    <w:rsid w:val="1A9C791D"/>
    <w:rsid w:val="1AA54C29"/>
    <w:rsid w:val="1ABF6B58"/>
    <w:rsid w:val="1ADA3A7F"/>
    <w:rsid w:val="1B0F3BEC"/>
    <w:rsid w:val="1B132AFA"/>
    <w:rsid w:val="1B1E3089"/>
    <w:rsid w:val="1B1E53EC"/>
    <w:rsid w:val="1B263BB1"/>
    <w:rsid w:val="1B2C60FD"/>
    <w:rsid w:val="1B4B1DA6"/>
    <w:rsid w:val="1B642891"/>
    <w:rsid w:val="1BC23BDF"/>
    <w:rsid w:val="1C057BD0"/>
    <w:rsid w:val="1C1844C9"/>
    <w:rsid w:val="1C3C0370"/>
    <w:rsid w:val="1C404676"/>
    <w:rsid w:val="1C5B5A42"/>
    <w:rsid w:val="1C672639"/>
    <w:rsid w:val="1C6C5731"/>
    <w:rsid w:val="1C850D11"/>
    <w:rsid w:val="1C9D301D"/>
    <w:rsid w:val="1CB17D58"/>
    <w:rsid w:val="1CB93D33"/>
    <w:rsid w:val="1CC57360"/>
    <w:rsid w:val="1CDC1A13"/>
    <w:rsid w:val="1D2437DE"/>
    <w:rsid w:val="1D387F98"/>
    <w:rsid w:val="1D430810"/>
    <w:rsid w:val="1DAA1F5B"/>
    <w:rsid w:val="1DAB4D3C"/>
    <w:rsid w:val="1DCC5EBC"/>
    <w:rsid w:val="1DD20A0F"/>
    <w:rsid w:val="1DE3308C"/>
    <w:rsid w:val="1DF26E18"/>
    <w:rsid w:val="1E7077C3"/>
    <w:rsid w:val="1E8578BB"/>
    <w:rsid w:val="1EB9030D"/>
    <w:rsid w:val="1EE72742"/>
    <w:rsid w:val="1EF6206B"/>
    <w:rsid w:val="1F001DEB"/>
    <w:rsid w:val="1F384D30"/>
    <w:rsid w:val="1F441F84"/>
    <w:rsid w:val="1F4D3D68"/>
    <w:rsid w:val="1F941823"/>
    <w:rsid w:val="1F957481"/>
    <w:rsid w:val="1F9C6A9E"/>
    <w:rsid w:val="1FA457AB"/>
    <w:rsid w:val="1FB83691"/>
    <w:rsid w:val="2016796F"/>
    <w:rsid w:val="203A3BD2"/>
    <w:rsid w:val="205D59B9"/>
    <w:rsid w:val="208D02F8"/>
    <w:rsid w:val="20A26336"/>
    <w:rsid w:val="20D3029D"/>
    <w:rsid w:val="210459B8"/>
    <w:rsid w:val="21104C44"/>
    <w:rsid w:val="21494E34"/>
    <w:rsid w:val="215F1ED7"/>
    <w:rsid w:val="21F00955"/>
    <w:rsid w:val="21F26E49"/>
    <w:rsid w:val="22194776"/>
    <w:rsid w:val="222D6D29"/>
    <w:rsid w:val="2238734A"/>
    <w:rsid w:val="223D2150"/>
    <w:rsid w:val="224F3AF6"/>
    <w:rsid w:val="226E284B"/>
    <w:rsid w:val="227D11B4"/>
    <w:rsid w:val="22A46395"/>
    <w:rsid w:val="22AB1854"/>
    <w:rsid w:val="22C977AC"/>
    <w:rsid w:val="22FB0946"/>
    <w:rsid w:val="23170B30"/>
    <w:rsid w:val="2331727F"/>
    <w:rsid w:val="234573C4"/>
    <w:rsid w:val="238D3D60"/>
    <w:rsid w:val="239B0AC9"/>
    <w:rsid w:val="23F6158E"/>
    <w:rsid w:val="23FC5FA3"/>
    <w:rsid w:val="24083684"/>
    <w:rsid w:val="24433734"/>
    <w:rsid w:val="24460EAD"/>
    <w:rsid w:val="244A6AC8"/>
    <w:rsid w:val="24794D69"/>
    <w:rsid w:val="24C601A6"/>
    <w:rsid w:val="252F1CAC"/>
    <w:rsid w:val="25324034"/>
    <w:rsid w:val="25563610"/>
    <w:rsid w:val="25636076"/>
    <w:rsid w:val="25695674"/>
    <w:rsid w:val="25755DC7"/>
    <w:rsid w:val="26161C39"/>
    <w:rsid w:val="263527F3"/>
    <w:rsid w:val="26445799"/>
    <w:rsid w:val="265E3A70"/>
    <w:rsid w:val="26676225"/>
    <w:rsid w:val="267725CE"/>
    <w:rsid w:val="26AF3988"/>
    <w:rsid w:val="26DF3206"/>
    <w:rsid w:val="26EC0C32"/>
    <w:rsid w:val="272829C1"/>
    <w:rsid w:val="275E4DF0"/>
    <w:rsid w:val="275F6D2E"/>
    <w:rsid w:val="276854B7"/>
    <w:rsid w:val="2769252C"/>
    <w:rsid w:val="278D3BAC"/>
    <w:rsid w:val="27AC4AD7"/>
    <w:rsid w:val="27D50342"/>
    <w:rsid w:val="281A103A"/>
    <w:rsid w:val="282C3699"/>
    <w:rsid w:val="28631BDF"/>
    <w:rsid w:val="286839C1"/>
    <w:rsid w:val="2891704F"/>
    <w:rsid w:val="28A00A79"/>
    <w:rsid w:val="28B54DB0"/>
    <w:rsid w:val="29015BC3"/>
    <w:rsid w:val="292F44DF"/>
    <w:rsid w:val="29470146"/>
    <w:rsid w:val="29550A43"/>
    <w:rsid w:val="2958389D"/>
    <w:rsid w:val="295A5D35"/>
    <w:rsid w:val="29BF14DC"/>
    <w:rsid w:val="29D05CC2"/>
    <w:rsid w:val="29D36969"/>
    <w:rsid w:val="29EC0622"/>
    <w:rsid w:val="2A731D21"/>
    <w:rsid w:val="2AA607D0"/>
    <w:rsid w:val="2AB1341B"/>
    <w:rsid w:val="2AF312F3"/>
    <w:rsid w:val="2B3A1BFB"/>
    <w:rsid w:val="2B5B5A5F"/>
    <w:rsid w:val="2B7D297C"/>
    <w:rsid w:val="2BE409B7"/>
    <w:rsid w:val="2C1D7C6F"/>
    <w:rsid w:val="2C542624"/>
    <w:rsid w:val="2C8D7EA6"/>
    <w:rsid w:val="2CAE175C"/>
    <w:rsid w:val="2CB96DB1"/>
    <w:rsid w:val="2CC05517"/>
    <w:rsid w:val="2CF05A49"/>
    <w:rsid w:val="2D200796"/>
    <w:rsid w:val="2D562E6F"/>
    <w:rsid w:val="2DB52BFD"/>
    <w:rsid w:val="2DBB077A"/>
    <w:rsid w:val="2DC154FE"/>
    <w:rsid w:val="2DD52E33"/>
    <w:rsid w:val="2DDA25AC"/>
    <w:rsid w:val="2DFD6A0B"/>
    <w:rsid w:val="2E03208E"/>
    <w:rsid w:val="2E3D769E"/>
    <w:rsid w:val="2E426A62"/>
    <w:rsid w:val="2E597998"/>
    <w:rsid w:val="2E834C1A"/>
    <w:rsid w:val="2EC56D2E"/>
    <w:rsid w:val="2EDF63AA"/>
    <w:rsid w:val="2EF74361"/>
    <w:rsid w:val="2F2720EA"/>
    <w:rsid w:val="2F2D4036"/>
    <w:rsid w:val="2F2F7265"/>
    <w:rsid w:val="2F4D18B2"/>
    <w:rsid w:val="2F646C9E"/>
    <w:rsid w:val="2FF747F4"/>
    <w:rsid w:val="30090C97"/>
    <w:rsid w:val="300C7328"/>
    <w:rsid w:val="302959D3"/>
    <w:rsid w:val="30685783"/>
    <w:rsid w:val="309D08C8"/>
    <w:rsid w:val="30A532D8"/>
    <w:rsid w:val="30A71AE3"/>
    <w:rsid w:val="30A95A67"/>
    <w:rsid w:val="30D156A4"/>
    <w:rsid w:val="31091D92"/>
    <w:rsid w:val="310A747F"/>
    <w:rsid w:val="31116D99"/>
    <w:rsid w:val="31324444"/>
    <w:rsid w:val="3138415A"/>
    <w:rsid w:val="313B24B0"/>
    <w:rsid w:val="31440D43"/>
    <w:rsid w:val="3148766A"/>
    <w:rsid w:val="31531031"/>
    <w:rsid w:val="31633AA7"/>
    <w:rsid w:val="31700989"/>
    <w:rsid w:val="31940C65"/>
    <w:rsid w:val="31B37BF7"/>
    <w:rsid w:val="31BA4361"/>
    <w:rsid w:val="31BC29CD"/>
    <w:rsid w:val="31C205E6"/>
    <w:rsid w:val="320E4E98"/>
    <w:rsid w:val="325F7434"/>
    <w:rsid w:val="32704370"/>
    <w:rsid w:val="328238D1"/>
    <w:rsid w:val="32AF303B"/>
    <w:rsid w:val="32BA4FA1"/>
    <w:rsid w:val="32E71C05"/>
    <w:rsid w:val="32F32A21"/>
    <w:rsid w:val="32FA7647"/>
    <w:rsid w:val="330C6DDF"/>
    <w:rsid w:val="33407EE8"/>
    <w:rsid w:val="33423448"/>
    <w:rsid w:val="337B2E7B"/>
    <w:rsid w:val="339C6C14"/>
    <w:rsid w:val="33B645E2"/>
    <w:rsid w:val="34215A65"/>
    <w:rsid w:val="343E15FA"/>
    <w:rsid w:val="34514C73"/>
    <w:rsid w:val="347F0978"/>
    <w:rsid w:val="3497617E"/>
    <w:rsid w:val="349C1920"/>
    <w:rsid w:val="34C05919"/>
    <w:rsid w:val="35036D30"/>
    <w:rsid w:val="3524459F"/>
    <w:rsid w:val="352E5F92"/>
    <w:rsid w:val="35375F36"/>
    <w:rsid w:val="35A14ECE"/>
    <w:rsid w:val="35A34C73"/>
    <w:rsid w:val="35AD6EB7"/>
    <w:rsid w:val="35E14DB3"/>
    <w:rsid w:val="35E656FC"/>
    <w:rsid w:val="36034F57"/>
    <w:rsid w:val="36372C24"/>
    <w:rsid w:val="36380CE0"/>
    <w:rsid w:val="368C4D1E"/>
    <w:rsid w:val="36F94AFE"/>
    <w:rsid w:val="3705466E"/>
    <w:rsid w:val="37441A9D"/>
    <w:rsid w:val="3754059A"/>
    <w:rsid w:val="3757357E"/>
    <w:rsid w:val="37682E1D"/>
    <w:rsid w:val="379E73FF"/>
    <w:rsid w:val="37A90660"/>
    <w:rsid w:val="37B62852"/>
    <w:rsid w:val="3821176A"/>
    <w:rsid w:val="38671376"/>
    <w:rsid w:val="391E50B5"/>
    <w:rsid w:val="39324E64"/>
    <w:rsid w:val="39430379"/>
    <w:rsid w:val="39597B8B"/>
    <w:rsid w:val="39657AA9"/>
    <w:rsid w:val="39820561"/>
    <w:rsid w:val="39BA70D7"/>
    <w:rsid w:val="39C178B9"/>
    <w:rsid w:val="39CC2DEE"/>
    <w:rsid w:val="39D06C0B"/>
    <w:rsid w:val="3A110B07"/>
    <w:rsid w:val="3A5F0287"/>
    <w:rsid w:val="3A7C154E"/>
    <w:rsid w:val="3A9610E1"/>
    <w:rsid w:val="3ACA3C80"/>
    <w:rsid w:val="3AD2756C"/>
    <w:rsid w:val="3AF22237"/>
    <w:rsid w:val="3B182C9D"/>
    <w:rsid w:val="3B651444"/>
    <w:rsid w:val="3B726358"/>
    <w:rsid w:val="3B934DA1"/>
    <w:rsid w:val="3BA743A8"/>
    <w:rsid w:val="3BB15A0F"/>
    <w:rsid w:val="3BD258C9"/>
    <w:rsid w:val="3BF9665A"/>
    <w:rsid w:val="3C945CB8"/>
    <w:rsid w:val="3CA122C4"/>
    <w:rsid w:val="3CBA010B"/>
    <w:rsid w:val="3CBA021E"/>
    <w:rsid w:val="3CC27D17"/>
    <w:rsid w:val="3CD00B52"/>
    <w:rsid w:val="3CFB6404"/>
    <w:rsid w:val="3D08531B"/>
    <w:rsid w:val="3D101FEB"/>
    <w:rsid w:val="3D247251"/>
    <w:rsid w:val="3D2902E7"/>
    <w:rsid w:val="3D396A37"/>
    <w:rsid w:val="3D4C0E81"/>
    <w:rsid w:val="3D956BAE"/>
    <w:rsid w:val="3DAF0EF1"/>
    <w:rsid w:val="3DBE051E"/>
    <w:rsid w:val="3DC3734E"/>
    <w:rsid w:val="3DC660E6"/>
    <w:rsid w:val="3E5535C2"/>
    <w:rsid w:val="3E645E2F"/>
    <w:rsid w:val="3E6825A2"/>
    <w:rsid w:val="3EAB58E0"/>
    <w:rsid w:val="3F063FF5"/>
    <w:rsid w:val="3F2A1578"/>
    <w:rsid w:val="3F2C7C27"/>
    <w:rsid w:val="3F336E77"/>
    <w:rsid w:val="3F3901BE"/>
    <w:rsid w:val="3F3B39B5"/>
    <w:rsid w:val="3F5723AF"/>
    <w:rsid w:val="3F587DA3"/>
    <w:rsid w:val="3FB928FC"/>
    <w:rsid w:val="3FC67037"/>
    <w:rsid w:val="3FF94882"/>
    <w:rsid w:val="40034BA7"/>
    <w:rsid w:val="40354D62"/>
    <w:rsid w:val="404509E5"/>
    <w:rsid w:val="40462CCC"/>
    <w:rsid w:val="40880C4C"/>
    <w:rsid w:val="40932967"/>
    <w:rsid w:val="40D4055A"/>
    <w:rsid w:val="40FB141E"/>
    <w:rsid w:val="41003DB0"/>
    <w:rsid w:val="410A78B3"/>
    <w:rsid w:val="410F7001"/>
    <w:rsid w:val="4116128A"/>
    <w:rsid w:val="41576390"/>
    <w:rsid w:val="41742748"/>
    <w:rsid w:val="41886A2A"/>
    <w:rsid w:val="41D56DEF"/>
    <w:rsid w:val="41FF4F3E"/>
    <w:rsid w:val="421309EA"/>
    <w:rsid w:val="42150EB8"/>
    <w:rsid w:val="426074A6"/>
    <w:rsid w:val="427C7D09"/>
    <w:rsid w:val="428A7B91"/>
    <w:rsid w:val="42953641"/>
    <w:rsid w:val="42C321B2"/>
    <w:rsid w:val="431E0128"/>
    <w:rsid w:val="43622D69"/>
    <w:rsid w:val="43664E65"/>
    <w:rsid w:val="43917E18"/>
    <w:rsid w:val="43B82C9E"/>
    <w:rsid w:val="43D804C6"/>
    <w:rsid w:val="43DA6296"/>
    <w:rsid w:val="441F03FD"/>
    <w:rsid w:val="44677388"/>
    <w:rsid w:val="449B3437"/>
    <w:rsid w:val="44A616A1"/>
    <w:rsid w:val="44A667A7"/>
    <w:rsid w:val="44F24E0A"/>
    <w:rsid w:val="44FD4ADE"/>
    <w:rsid w:val="45737E49"/>
    <w:rsid w:val="45A04342"/>
    <w:rsid w:val="45B47DEE"/>
    <w:rsid w:val="45F45E51"/>
    <w:rsid w:val="45F66C17"/>
    <w:rsid w:val="460F0B8E"/>
    <w:rsid w:val="462C3E28"/>
    <w:rsid w:val="463B6080"/>
    <w:rsid w:val="464A753F"/>
    <w:rsid w:val="46576F0B"/>
    <w:rsid w:val="466E61EE"/>
    <w:rsid w:val="468E4AE3"/>
    <w:rsid w:val="46D70238"/>
    <w:rsid w:val="46DC7CEB"/>
    <w:rsid w:val="46F732B1"/>
    <w:rsid w:val="47097BFA"/>
    <w:rsid w:val="472B386C"/>
    <w:rsid w:val="47426DF8"/>
    <w:rsid w:val="47560017"/>
    <w:rsid w:val="475A7FF4"/>
    <w:rsid w:val="4760218C"/>
    <w:rsid w:val="478E6772"/>
    <w:rsid w:val="47925F0D"/>
    <w:rsid w:val="47973C0D"/>
    <w:rsid w:val="47F92430"/>
    <w:rsid w:val="47FD1C99"/>
    <w:rsid w:val="48185B57"/>
    <w:rsid w:val="481B23A6"/>
    <w:rsid w:val="482F5C59"/>
    <w:rsid w:val="48B06F92"/>
    <w:rsid w:val="48BC2DE1"/>
    <w:rsid w:val="48FE50FE"/>
    <w:rsid w:val="490D7CA5"/>
    <w:rsid w:val="49211C3E"/>
    <w:rsid w:val="49535B70"/>
    <w:rsid w:val="49AE6685"/>
    <w:rsid w:val="49B303BC"/>
    <w:rsid w:val="4A0155CC"/>
    <w:rsid w:val="4A0368E5"/>
    <w:rsid w:val="4A1E725F"/>
    <w:rsid w:val="4A2F4538"/>
    <w:rsid w:val="4A520AB3"/>
    <w:rsid w:val="4A607445"/>
    <w:rsid w:val="4AB92C27"/>
    <w:rsid w:val="4AF408A2"/>
    <w:rsid w:val="4B121E1D"/>
    <w:rsid w:val="4B1F03FF"/>
    <w:rsid w:val="4B427C4A"/>
    <w:rsid w:val="4B456E31"/>
    <w:rsid w:val="4B8B2A40"/>
    <w:rsid w:val="4BAF0679"/>
    <w:rsid w:val="4BC50527"/>
    <w:rsid w:val="4C227327"/>
    <w:rsid w:val="4C467815"/>
    <w:rsid w:val="4C55061B"/>
    <w:rsid w:val="4C8E7C4D"/>
    <w:rsid w:val="4C940979"/>
    <w:rsid w:val="4C9C4149"/>
    <w:rsid w:val="4CC77104"/>
    <w:rsid w:val="4CD62D3F"/>
    <w:rsid w:val="4D072EF9"/>
    <w:rsid w:val="4D2413AC"/>
    <w:rsid w:val="4D3D2DBF"/>
    <w:rsid w:val="4D4A49E0"/>
    <w:rsid w:val="4D654A1C"/>
    <w:rsid w:val="4D903FFE"/>
    <w:rsid w:val="4DE619F9"/>
    <w:rsid w:val="4E543238"/>
    <w:rsid w:val="4E670DAE"/>
    <w:rsid w:val="4E6920B3"/>
    <w:rsid w:val="4E7A131D"/>
    <w:rsid w:val="4E854A1D"/>
    <w:rsid w:val="4EC32B6F"/>
    <w:rsid w:val="4EFD45B3"/>
    <w:rsid w:val="4F547732"/>
    <w:rsid w:val="4F7B0E4F"/>
    <w:rsid w:val="4F917597"/>
    <w:rsid w:val="4FA57B82"/>
    <w:rsid w:val="4FB11910"/>
    <w:rsid w:val="4FB31841"/>
    <w:rsid w:val="4FCC68D7"/>
    <w:rsid w:val="4FCE41A2"/>
    <w:rsid w:val="4FE01BF9"/>
    <w:rsid w:val="4FEA34A9"/>
    <w:rsid w:val="500104BA"/>
    <w:rsid w:val="500951DA"/>
    <w:rsid w:val="501F6CE9"/>
    <w:rsid w:val="507E34D2"/>
    <w:rsid w:val="508B20D6"/>
    <w:rsid w:val="508C4769"/>
    <w:rsid w:val="508E17B8"/>
    <w:rsid w:val="50997B8D"/>
    <w:rsid w:val="50B079EF"/>
    <w:rsid w:val="50D13F4A"/>
    <w:rsid w:val="50D43A3A"/>
    <w:rsid w:val="50FD0003"/>
    <w:rsid w:val="511D718F"/>
    <w:rsid w:val="51684FF7"/>
    <w:rsid w:val="51751BD9"/>
    <w:rsid w:val="518A6F8B"/>
    <w:rsid w:val="51A923EB"/>
    <w:rsid w:val="51C22951"/>
    <w:rsid w:val="51D252FC"/>
    <w:rsid w:val="51DE4358"/>
    <w:rsid w:val="51F24D8E"/>
    <w:rsid w:val="521D477A"/>
    <w:rsid w:val="524F1B41"/>
    <w:rsid w:val="52A116FA"/>
    <w:rsid w:val="52BD5F36"/>
    <w:rsid w:val="53053B16"/>
    <w:rsid w:val="532A610A"/>
    <w:rsid w:val="53302EC3"/>
    <w:rsid w:val="53594454"/>
    <w:rsid w:val="536F35A6"/>
    <w:rsid w:val="53A0483E"/>
    <w:rsid w:val="53CB4330"/>
    <w:rsid w:val="541741D6"/>
    <w:rsid w:val="542F66D8"/>
    <w:rsid w:val="543547C4"/>
    <w:rsid w:val="5437274A"/>
    <w:rsid w:val="543F151A"/>
    <w:rsid w:val="54714A29"/>
    <w:rsid w:val="547E650D"/>
    <w:rsid w:val="548B2D87"/>
    <w:rsid w:val="54BC6CBF"/>
    <w:rsid w:val="54C3004D"/>
    <w:rsid w:val="54CA2509"/>
    <w:rsid w:val="54CA432C"/>
    <w:rsid w:val="54E7478C"/>
    <w:rsid w:val="54F0487F"/>
    <w:rsid w:val="54F372B3"/>
    <w:rsid w:val="54F4122A"/>
    <w:rsid w:val="551B202C"/>
    <w:rsid w:val="55264E71"/>
    <w:rsid w:val="552A53FF"/>
    <w:rsid w:val="5558300C"/>
    <w:rsid w:val="557D4E75"/>
    <w:rsid w:val="55A10B0C"/>
    <w:rsid w:val="55AA6B17"/>
    <w:rsid w:val="55B13EB6"/>
    <w:rsid w:val="55BB1615"/>
    <w:rsid w:val="55BD524D"/>
    <w:rsid w:val="55BF3B93"/>
    <w:rsid w:val="55C104B2"/>
    <w:rsid w:val="55C220B3"/>
    <w:rsid w:val="55DD0976"/>
    <w:rsid w:val="55DD6EED"/>
    <w:rsid w:val="56066443"/>
    <w:rsid w:val="56407A11"/>
    <w:rsid w:val="566B44F9"/>
    <w:rsid w:val="566B62A7"/>
    <w:rsid w:val="56722A47"/>
    <w:rsid w:val="567315FF"/>
    <w:rsid w:val="568455BA"/>
    <w:rsid w:val="56BF369A"/>
    <w:rsid w:val="56F62932"/>
    <w:rsid w:val="56FD5545"/>
    <w:rsid w:val="5714693E"/>
    <w:rsid w:val="571C57F3"/>
    <w:rsid w:val="571D1142"/>
    <w:rsid w:val="57212008"/>
    <w:rsid w:val="57462870"/>
    <w:rsid w:val="57742011"/>
    <w:rsid w:val="57767D99"/>
    <w:rsid w:val="5790120E"/>
    <w:rsid w:val="57940981"/>
    <w:rsid w:val="57A47B2A"/>
    <w:rsid w:val="57A9647A"/>
    <w:rsid w:val="57C02C1F"/>
    <w:rsid w:val="57DB22A2"/>
    <w:rsid w:val="57EB3AB7"/>
    <w:rsid w:val="58247A34"/>
    <w:rsid w:val="583B614D"/>
    <w:rsid w:val="584E5E80"/>
    <w:rsid w:val="58981663"/>
    <w:rsid w:val="589A11ED"/>
    <w:rsid w:val="58A66629"/>
    <w:rsid w:val="592766C4"/>
    <w:rsid w:val="59380668"/>
    <w:rsid w:val="59505C28"/>
    <w:rsid w:val="59837DAB"/>
    <w:rsid w:val="59E72A43"/>
    <w:rsid w:val="5A4455DB"/>
    <w:rsid w:val="5A44578C"/>
    <w:rsid w:val="5A51593C"/>
    <w:rsid w:val="5A685562"/>
    <w:rsid w:val="5A767910"/>
    <w:rsid w:val="5A7B2DD8"/>
    <w:rsid w:val="5A81253D"/>
    <w:rsid w:val="5AFB2552"/>
    <w:rsid w:val="5B0054C6"/>
    <w:rsid w:val="5B0920E0"/>
    <w:rsid w:val="5B2D7C08"/>
    <w:rsid w:val="5B543852"/>
    <w:rsid w:val="5B5F2152"/>
    <w:rsid w:val="5B864E83"/>
    <w:rsid w:val="5BA858A7"/>
    <w:rsid w:val="5BE15701"/>
    <w:rsid w:val="5BE74621"/>
    <w:rsid w:val="5BEA4111"/>
    <w:rsid w:val="5BF07652"/>
    <w:rsid w:val="5C140B75"/>
    <w:rsid w:val="5C1E6167"/>
    <w:rsid w:val="5C763BF7"/>
    <w:rsid w:val="5C781AA7"/>
    <w:rsid w:val="5C8D4EED"/>
    <w:rsid w:val="5CAE778C"/>
    <w:rsid w:val="5CB702A9"/>
    <w:rsid w:val="5CBB7A90"/>
    <w:rsid w:val="5CCB0921"/>
    <w:rsid w:val="5CEB0141"/>
    <w:rsid w:val="5CF8285E"/>
    <w:rsid w:val="5D105DFA"/>
    <w:rsid w:val="5D181620"/>
    <w:rsid w:val="5D2751BA"/>
    <w:rsid w:val="5D2E45A0"/>
    <w:rsid w:val="5D4D1AA2"/>
    <w:rsid w:val="5D7F667F"/>
    <w:rsid w:val="5D844819"/>
    <w:rsid w:val="5D8F59DB"/>
    <w:rsid w:val="5DA525A3"/>
    <w:rsid w:val="5DD605FF"/>
    <w:rsid w:val="5DF52528"/>
    <w:rsid w:val="5E1634A3"/>
    <w:rsid w:val="5E214762"/>
    <w:rsid w:val="5E43047A"/>
    <w:rsid w:val="5E7561A4"/>
    <w:rsid w:val="5E80174A"/>
    <w:rsid w:val="5ED4576B"/>
    <w:rsid w:val="5ED83A53"/>
    <w:rsid w:val="5F13397F"/>
    <w:rsid w:val="5F195795"/>
    <w:rsid w:val="5F1C6CD8"/>
    <w:rsid w:val="5F296CFF"/>
    <w:rsid w:val="5F2C355E"/>
    <w:rsid w:val="5F2F2EB8"/>
    <w:rsid w:val="5F324C8B"/>
    <w:rsid w:val="5F4D5338"/>
    <w:rsid w:val="5F4E11E7"/>
    <w:rsid w:val="5FA16C3A"/>
    <w:rsid w:val="5FA23A48"/>
    <w:rsid w:val="5FC0575F"/>
    <w:rsid w:val="5FD21144"/>
    <w:rsid w:val="5FD41360"/>
    <w:rsid w:val="606C05CE"/>
    <w:rsid w:val="607B1FFF"/>
    <w:rsid w:val="608368E3"/>
    <w:rsid w:val="60895CED"/>
    <w:rsid w:val="60AB6E42"/>
    <w:rsid w:val="60AC035C"/>
    <w:rsid w:val="60BE6C3B"/>
    <w:rsid w:val="60D46627"/>
    <w:rsid w:val="610408B9"/>
    <w:rsid w:val="61227E69"/>
    <w:rsid w:val="612973CE"/>
    <w:rsid w:val="612A6751"/>
    <w:rsid w:val="613D1187"/>
    <w:rsid w:val="61461DEA"/>
    <w:rsid w:val="61775AA1"/>
    <w:rsid w:val="6184677C"/>
    <w:rsid w:val="61860438"/>
    <w:rsid w:val="61A345C0"/>
    <w:rsid w:val="61B51779"/>
    <w:rsid w:val="61C06A8D"/>
    <w:rsid w:val="61E41603"/>
    <w:rsid w:val="6224228D"/>
    <w:rsid w:val="625247BE"/>
    <w:rsid w:val="625F30F4"/>
    <w:rsid w:val="627562FB"/>
    <w:rsid w:val="628F32BF"/>
    <w:rsid w:val="62A80F69"/>
    <w:rsid w:val="62D12DDB"/>
    <w:rsid w:val="62E32AFD"/>
    <w:rsid w:val="62E419D3"/>
    <w:rsid w:val="62F51069"/>
    <w:rsid w:val="637328AD"/>
    <w:rsid w:val="639840F5"/>
    <w:rsid w:val="63A8690E"/>
    <w:rsid w:val="63CE2A52"/>
    <w:rsid w:val="63CE5BCA"/>
    <w:rsid w:val="63E53F33"/>
    <w:rsid w:val="63E7059E"/>
    <w:rsid w:val="64230C8E"/>
    <w:rsid w:val="643A3A59"/>
    <w:rsid w:val="64646CC1"/>
    <w:rsid w:val="64673277"/>
    <w:rsid w:val="646D768E"/>
    <w:rsid w:val="6490794A"/>
    <w:rsid w:val="64964E36"/>
    <w:rsid w:val="64A5552C"/>
    <w:rsid w:val="64AD3F2E"/>
    <w:rsid w:val="64C22114"/>
    <w:rsid w:val="64CD5684"/>
    <w:rsid w:val="64DA381C"/>
    <w:rsid w:val="64F32289"/>
    <w:rsid w:val="6521764F"/>
    <w:rsid w:val="652E65D2"/>
    <w:rsid w:val="657F3B1C"/>
    <w:rsid w:val="659E3066"/>
    <w:rsid w:val="65AA1556"/>
    <w:rsid w:val="65E73470"/>
    <w:rsid w:val="66362AC3"/>
    <w:rsid w:val="66707FEA"/>
    <w:rsid w:val="66726677"/>
    <w:rsid w:val="66804D45"/>
    <w:rsid w:val="668A7384"/>
    <w:rsid w:val="66BC5441"/>
    <w:rsid w:val="672469A5"/>
    <w:rsid w:val="673335DC"/>
    <w:rsid w:val="674341FD"/>
    <w:rsid w:val="674943E2"/>
    <w:rsid w:val="676A5208"/>
    <w:rsid w:val="67727023"/>
    <w:rsid w:val="67AD6DE0"/>
    <w:rsid w:val="67D141C2"/>
    <w:rsid w:val="68014DCE"/>
    <w:rsid w:val="681E3709"/>
    <w:rsid w:val="6830347C"/>
    <w:rsid w:val="686F7E78"/>
    <w:rsid w:val="687D2860"/>
    <w:rsid w:val="68BE670A"/>
    <w:rsid w:val="68C1407D"/>
    <w:rsid w:val="68E83A44"/>
    <w:rsid w:val="691809D5"/>
    <w:rsid w:val="69496146"/>
    <w:rsid w:val="697B691B"/>
    <w:rsid w:val="698461EC"/>
    <w:rsid w:val="69D65C6C"/>
    <w:rsid w:val="69E447B5"/>
    <w:rsid w:val="69FE3239"/>
    <w:rsid w:val="6A0D3D09"/>
    <w:rsid w:val="6A132F25"/>
    <w:rsid w:val="6A2E5867"/>
    <w:rsid w:val="6A33268F"/>
    <w:rsid w:val="6A8E3EA0"/>
    <w:rsid w:val="6A9C0CCD"/>
    <w:rsid w:val="6AAD21A4"/>
    <w:rsid w:val="6AB53B3C"/>
    <w:rsid w:val="6B914B24"/>
    <w:rsid w:val="6BA92E11"/>
    <w:rsid w:val="6BAC3CEF"/>
    <w:rsid w:val="6BD527F5"/>
    <w:rsid w:val="6BDA1819"/>
    <w:rsid w:val="6BE648F5"/>
    <w:rsid w:val="6BEB2BC4"/>
    <w:rsid w:val="6C12358E"/>
    <w:rsid w:val="6C153629"/>
    <w:rsid w:val="6C3F09B0"/>
    <w:rsid w:val="6C7F08A6"/>
    <w:rsid w:val="6C8753A4"/>
    <w:rsid w:val="6C8B561E"/>
    <w:rsid w:val="6C920E9E"/>
    <w:rsid w:val="6C9521F3"/>
    <w:rsid w:val="6CA32A49"/>
    <w:rsid w:val="6CA85897"/>
    <w:rsid w:val="6CCB42C0"/>
    <w:rsid w:val="6CD24E7A"/>
    <w:rsid w:val="6CD550FC"/>
    <w:rsid w:val="6D057DF8"/>
    <w:rsid w:val="6D09543D"/>
    <w:rsid w:val="6D194857"/>
    <w:rsid w:val="6D1F6276"/>
    <w:rsid w:val="6D417909"/>
    <w:rsid w:val="6D484324"/>
    <w:rsid w:val="6D611D5A"/>
    <w:rsid w:val="6D67188D"/>
    <w:rsid w:val="6D7A4EE1"/>
    <w:rsid w:val="6DAB2E3F"/>
    <w:rsid w:val="6DAC0B3C"/>
    <w:rsid w:val="6DC10AC9"/>
    <w:rsid w:val="6DCA78FF"/>
    <w:rsid w:val="6DD644F6"/>
    <w:rsid w:val="6E1B63AC"/>
    <w:rsid w:val="6E296D1B"/>
    <w:rsid w:val="6E2E1D28"/>
    <w:rsid w:val="6E5F44BF"/>
    <w:rsid w:val="6E6C09B6"/>
    <w:rsid w:val="6ECB58D1"/>
    <w:rsid w:val="6ECD793C"/>
    <w:rsid w:val="6ECE5145"/>
    <w:rsid w:val="6EEF60FD"/>
    <w:rsid w:val="6EFF7A7C"/>
    <w:rsid w:val="6F2C09EF"/>
    <w:rsid w:val="6F640130"/>
    <w:rsid w:val="6F767B41"/>
    <w:rsid w:val="6F8275FE"/>
    <w:rsid w:val="6FB60C00"/>
    <w:rsid w:val="6FBC38BE"/>
    <w:rsid w:val="6FC620DD"/>
    <w:rsid w:val="6FC7490F"/>
    <w:rsid w:val="6FD0236F"/>
    <w:rsid w:val="6FD3085D"/>
    <w:rsid w:val="70115F80"/>
    <w:rsid w:val="709826C3"/>
    <w:rsid w:val="70983CE4"/>
    <w:rsid w:val="70AD6CD3"/>
    <w:rsid w:val="70CB669B"/>
    <w:rsid w:val="70D363B7"/>
    <w:rsid w:val="70D859B1"/>
    <w:rsid w:val="70E25A9A"/>
    <w:rsid w:val="70E67ED5"/>
    <w:rsid w:val="710F044A"/>
    <w:rsid w:val="717E613F"/>
    <w:rsid w:val="71A37ADC"/>
    <w:rsid w:val="71C942C6"/>
    <w:rsid w:val="72135D18"/>
    <w:rsid w:val="7252521E"/>
    <w:rsid w:val="728704B4"/>
    <w:rsid w:val="72C9287B"/>
    <w:rsid w:val="72F13B80"/>
    <w:rsid w:val="72FF5B16"/>
    <w:rsid w:val="730F0E54"/>
    <w:rsid w:val="733F7F91"/>
    <w:rsid w:val="7343581A"/>
    <w:rsid w:val="734E4B2E"/>
    <w:rsid w:val="736862CE"/>
    <w:rsid w:val="737427E7"/>
    <w:rsid w:val="73905DAB"/>
    <w:rsid w:val="73CA3A53"/>
    <w:rsid w:val="73CB1207"/>
    <w:rsid w:val="74101F1C"/>
    <w:rsid w:val="741915E0"/>
    <w:rsid w:val="741C66FA"/>
    <w:rsid w:val="74412E70"/>
    <w:rsid w:val="7463430B"/>
    <w:rsid w:val="747B3829"/>
    <w:rsid w:val="74824B95"/>
    <w:rsid w:val="74847AF9"/>
    <w:rsid w:val="748B4462"/>
    <w:rsid w:val="74A32239"/>
    <w:rsid w:val="74C27582"/>
    <w:rsid w:val="74F040EF"/>
    <w:rsid w:val="752B58B2"/>
    <w:rsid w:val="75764E33"/>
    <w:rsid w:val="758331B5"/>
    <w:rsid w:val="75A86958"/>
    <w:rsid w:val="75D91A00"/>
    <w:rsid w:val="76163B9B"/>
    <w:rsid w:val="76464DAE"/>
    <w:rsid w:val="766512EC"/>
    <w:rsid w:val="76673ED6"/>
    <w:rsid w:val="76870A83"/>
    <w:rsid w:val="76AE6010"/>
    <w:rsid w:val="77264145"/>
    <w:rsid w:val="775B2321"/>
    <w:rsid w:val="77640E3E"/>
    <w:rsid w:val="778D2C5B"/>
    <w:rsid w:val="77AB11E2"/>
    <w:rsid w:val="77BB21A7"/>
    <w:rsid w:val="77E632A6"/>
    <w:rsid w:val="784462B1"/>
    <w:rsid w:val="78543C7A"/>
    <w:rsid w:val="788D1127"/>
    <w:rsid w:val="78BC2826"/>
    <w:rsid w:val="78C52B82"/>
    <w:rsid w:val="78D14237"/>
    <w:rsid w:val="79053EE1"/>
    <w:rsid w:val="79294AE0"/>
    <w:rsid w:val="79304172"/>
    <w:rsid w:val="79871FB9"/>
    <w:rsid w:val="79A149AA"/>
    <w:rsid w:val="79A25384"/>
    <w:rsid w:val="79B7342D"/>
    <w:rsid w:val="79DE5D75"/>
    <w:rsid w:val="79EB757B"/>
    <w:rsid w:val="7A081773"/>
    <w:rsid w:val="7A1545F8"/>
    <w:rsid w:val="7AAA3078"/>
    <w:rsid w:val="7AF2701A"/>
    <w:rsid w:val="7B0B0558"/>
    <w:rsid w:val="7B0D56DC"/>
    <w:rsid w:val="7B4C77FE"/>
    <w:rsid w:val="7B5F5B2A"/>
    <w:rsid w:val="7B780AEF"/>
    <w:rsid w:val="7B94617F"/>
    <w:rsid w:val="7B9A1458"/>
    <w:rsid w:val="7BAD2A8A"/>
    <w:rsid w:val="7BD01932"/>
    <w:rsid w:val="7BD067C5"/>
    <w:rsid w:val="7BE23A22"/>
    <w:rsid w:val="7BF44A23"/>
    <w:rsid w:val="7C5E2BFE"/>
    <w:rsid w:val="7C634BC2"/>
    <w:rsid w:val="7C6424A8"/>
    <w:rsid w:val="7C8F7C71"/>
    <w:rsid w:val="7D032E2D"/>
    <w:rsid w:val="7D115D5F"/>
    <w:rsid w:val="7D16490F"/>
    <w:rsid w:val="7D42177A"/>
    <w:rsid w:val="7D7750E8"/>
    <w:rsid w:val="7D847936"/>
    <w:rsid w:val="7DA857A6"/>
    <w:rsid w:val="7DF9223C"/>
    <w:rsid w:val="7E254463"/>
    <w:rsid w:val="7E33504C"/>
    <w:rsid w:val="7EBD792C"/>
    <w:rsid w:val="7EC0068F"/>
    <w:rsid w:val="7F051474"/>
    <w:rsid w:val="7F0E232F"/>
    <w:rsid w:val="7F132988"/>
    <w:rsid w:val="7F4968F3"/>
    <w:rsid w:val="7F8942F0"/>
    <w:rsid w:val="7F982722"/>
    <w:rsid w:val="7FA320C0"/>
    <w:rsid w:val="7FBC5C32"/>
    <w:rsid w:val="7FD06A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65"/>
    <w:autoRedefine/>
    <w:qFormat/>
    <w:uiPriority w:val="0"/>
    <w:pPr>
      <w:keepNext/>
      <w:keepLines/>
      <w:tabs>
        <w:tab w:val="left" w:pos="1440"/>
      </w:tabs>
      <w:spacing w:before="340" w:after="330" w:line="576" w:lineRule="auto"/>
      <w:ind w:left="432" w:hanging="432"/>
      <w:outlineLvl w:val="0"/>
    </w:pPr>
    <w:rPr>
      <w:b/>
      <w:bCs/>
      <w:kern w:val="44"/>
      <w:sz w:val="44"/>
      <w:szCs w:val="44"/>
    </w:rPr>
  </w:style>
  <w:style w:type="paragraph" w:styleId="4">
    <w:name w:val="heading 2"/>
    <w:basedOn w:val="5"/>
    <w:next w:val="1"/>
    <w:link w:val="66"/>
    <w:autoRedefine/>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3"/>
    <w:link w:val="67"/>
    <w:autoRedefine/>
    <w:qFormat/>
    <w:uiPriority w:val="0"/>
    <w:pPr>
      <w:keepNext/>
      <w:keepLines/>
      <w:spacing w:before="260" w:after="260" w:line="416" w:lineRule="auto"/>
      <w:outlineLvl w:val="2"/>
    </w:pPr>
    <w:rPr>
      <w:b/>
      <w:bCs/>
      <w:sz w:val="32"/>
      <w:szCs w:val="32"/>
    </w:rPr>
  </w:style>
  <w:style w:type="paragraph" w:styleId="7">
    <w:name w:val="heading 4"/>
    <w:basedOn w:val="1"/>
    <w:next w:val="3"/>
    <w:link w:val="68"/>
    <w:autoRedefine/>
    <w:qFormat/>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3"/>
    <w:link w:val="380"/>
    <w:autoRedefine/>
    <w:qFormat/>
    <w:uiPriority w:val="0"/>
    <w:pPr>
      <w:keepNext/>
      <w:keepLines/>
      <w:tabs>
        <w:tab w:val="left" w:pos="1008"/>
      </w:tabs>
      <w:spacing w:before="280" w:after="290" w:line="372" w:lineRule="auto"/>
      <w:ind w:left="1008" w:hanging="1008"/>
      <w:outlineLvl w:val="4"/>
    </w:pPr>
    <w:rPr>
      <w:b/>
      <w:bCs/>
      <w:sz w:val="28"/>
      <w:szCs w:val="28"/>
    </w:rPr>
  </w:style>
  <w:style w:type="paragraph" w:styleId="9">
    <w:name w:val="heading 6"/>
    <w:basedOn w:val="1"/>
    <w:next w:val="3"/>
    <w:link w:val="70"/>
    <w:autoRedefine/>
    <w:qFormat/>
    <w:uiPriority w:val="0"/>
    <w:pPr>
      <w:keepNext/>
      <w:keepLines/>
      <w:tabs>
        <w:tab w:val="left" w:pos="1152"/>
      </w:tabs>
      <w:spacing w:before="240" w:after="64" w:line="317" w:lineRule="auto"/>
      <w:ind w:left="1152" w:hanging="1152"/>
      <w:outlineLvl w:val="5"/>
    </w:pPr>
    <w:rPr>
      <w:rFonts w:ascii="Arial" w:hAnsi="Arial" w:eastAsia="黑体"/>
      <w:b/>
      <w:sz w:val="24"/>
    </w:rPr>
  </w:style>
  <w:style w:type="paragraph" w:styleId="10">
    <w:name w:val="heading 7"/>
    <w:basedOn w:val="1"/>
    <w:next w:val="3"/>
    <w:link w:val="71"/>
    <w:autoRedefine/>
    <w:qFormat/>
    <w:uiPriority w:val="0"/>
    <w:pPr>
      <w:keepNext/>
      <w:keepLines/>
      <w:tabs>
        <w:tab w:val="left" w:pos="1296"/>
      </w:tabs>
      <w:spacing w:before="240" w:after="64" w:line="317" w:lineRule="auto"/>
      <w:ind w:left="1296" w:hanging="1296"/>
      <w:outlineLvl w:val="6"/>
    </w:pPr>
    <w:rPr>
      <w:b/>
      <w:sz w:val="24"/>
    </w:rPr>
  </w:style>
  <w:style w:type="paragraph" w:styleId="11">
    <w:name w:val="heading 8"/>
    <w:basedOn w:val="1"/>
    <w:next w:val="1"/>
    <w:link w:val="72"/>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2">
    <w:name w:val="heading 9"/>
    <w:basedOn w:val="1"/>
    <w:next w:val="1"/>
    <w:link w:val="73"/>
    <w:autoRedefine/>
    <w:qFormat/>
    <w:uiPriority w:val="0"/>
    <w:pPr>
      <w:keepNext/>
      <w:keepLines/>
      <w:tabs>
        <w:tab w:val="left" w:pos="1584"/>
      </w:tabs>
      <w:spacing w:before="240" w:after="64" w:line="317" w:lineRule="auto"/>
      <w:ind w:left="1584" w:hanging="1584"/>
      <w:outlineLvl w:val="8"/>
    </w:pPr>
    <w:rPr>
      <w:rFonts w:ascii="Arial" w:hAnsi="Arial" w:eastAsia="黑体"/>
    </w:rPr>
  </w:style>
  <w:style w:type="character" w:default="1" w:styleId="50">
    <w:name w:val="Default Paragraph Font"/>
    <w:autoRedefine/>
    <w:unhideWhenUsed/>
    <w:qFormat/>
    <w:uiPriority w:val="1"/>
  </w:style>
  <w:style w:type="table" w:default="1" w:styleId="48">
    <w:name w:val="Normal Table"/>
    <w:autoRedefine/>
    <w:unhideWhenUsed/>
    <w:qFormat/>
    <w:uiPriority w:val="99"/>
    <w:tblPr>
      <w:tblCellMar>
        <w:top w:w="0" w:type="dxa"/>
        <w:left w:w="108" w:type="dxa"/>
        <w:bottom w:w="0" w:type="dxa"/>
        <w:right w:w="108" w:type="dxa"/>
      </w:tblCellMar>
    </w:tblPr>
  </w:style>
  <w:style w:type="paragraph" w:customStyle="1" w:styleId="3">
    <w:name w:val="标书正文"/>
    <w:basedOn w:val="1"/>
    <w:autoRedefine/>
    <w:qFormat/>
    <w:uiPriority w:val="0"/>
    <w:pPr>
      <w:spacing w:before="100" w:after="100" w:line="440" w:lineRule="atLeast"/>
      <w:ind w:left="176" w:firstLine="200" w:firstLineChars="200"/>
      <w:jc w:val="left"/>
    </w:pPr>
    <w:rPr>
      <w:rFonts w:ascii="宋体" w:hAnsi="宋体"/>
      <w:color w:val="7030A0"/>
      <w:spacing w:val="20"/>
      <w:sz w:val="24"/>
    </w:rPr>
  </w:style>
  <w:style w:type="paragraph" w:styleId="5">
    <w:name w:val="Body Text"/>
    <w:basedOn w:val="1"/>
    <w:next w:val="1"/>
    <w:link w:val="78"/>
    <w:autoRedefine/>
    <w:qFormat/>
    <w:uiPriority w:val="0"/>
    <w:pPr>
      <w:spacing w:line="360" w:lineRule="auto"/>
    </w:pPr>
  </w:style>
  <w:style w:type="paragraph" w:styleId="13">
    <w:name w:val="toc 7"/>
    <w:basedOn w:val="1"/>
    <w:next w:val="1"/>
    <w:autoRedefine/>
    <w:qFormat/>
    <w:uiPriority w:val="0"/>
    <w:pPr>
      <w:ind w:left="1260"/>
      <w:jc w:val="left"/>
    </w:pPr>
    <w:rPr>
      <w:sz w:val="18"/>
      <w:szCs w:val="18"/>
    </w:rPr>
  </w:style>
  <w:style w:type="paragraph" w:styleId="14">
    <w:name w:val="List Bullet 4"/>
    <w:basedOn w:val="1"/>
    <w:autoRedefine/>
    <w:qFormat/>
    <w:uiPriority w:val="0"/>
    <w:pPr>
      <w:tabs>
        <w:tab w:val="left" w:pos="1620"/>
      </w:tabs>
      <w:spacing w:line="360" w:lineRule="auto"/>
      <w:ind w:left="1620" w:hanging="360"/>
      <w:jc w:val="left"/>
    </w:pPr>
    <w:rPr>
      <w:rFonts w:ascii="宋体" w:hAnsi="宋体"/>
      <w:color w:val="7030A0"/>
      <w:sz w:val="24"/>
      <w:szCs w:val="20"/>
    </w:rPr>
  </w:style>
  <w:style w:type="paragraph" w:styleId="15">
    <w:name w:val="List Number"/>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6">
    <w:name w:val="Normal Indent"/>
    <w:basedOn w:val="1"/>
    <w:autoRedefine/>
    <w:unhideWhenUsed/>
    <w:qFormat/>
    <w:uiPriority w:val="99"/>
    <w:pPr>
      <w:ind w:firstLine="420" w:firstLineChars="200"/>
    </w:pPr>
  </w:style>
  <w:style w:type="paragraph" w:styleId="17">
    <w:name w:val="caption"/>
    <w:basedOn w:val="1"/>
    <w:next w:val="1"/>
    <w:link w:val="84"/>
    <w:autoRedefine/>
    <w:qFormat/>
    <w:uiPriority w:val="0"/>
    <w:pPr>
      <w:ind w:firstLine="6290" w:firstLineChars="2282"/>
    </w:pPr>
    <w:rPr>
      <w:b/>
      <w:bCs/>
      <w:color w:val="000080"/>
      <w:sz w:val="28"/>
    </w:rPr>
  </w:style>
  <w:style w:type="paragraph" w:styleId="18">
    <w:name w:val="List Bullet"/>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9">
    <w:name w:val="Document Map"/>
    <w:basedOn w:val="1"/>
    <w:unhideWhenUsed/>
    <w:qFormat/>
    <w:uiPriority w:val="99"/>
    <w:rPr>
      <w:rFonts w:ascii="Microsoft YaHei UI" w:eastAsia="Microsoft YaHei UI"/>
      <w:sz w:val="18"/>
      <w:szCs w:val="18"/>
    </w:rPr>
  </w:style>
  <w:style w:type="paragraph" w:styleId="20">
    <w:name w:val="annotation text"/>
    <w:basedOn w:val="1"/>
    <w:link w:val="75"/>
    <w:autoRedefine/>
    <w:qFormat/>
    <w:uiPriority w:val="0"/>
    <w:pPr>
      <w:jc w:val="left"/>
    </w:pPr>
  </w:style>
  <w:style w:type="paragraph" w:styleId="21">
    <w:name w:val="Body Text 3"/>
    <w:basedOn w:val="1"/>
    <w:qFormat/>
    <w:uiPriority w:val="0"/>
    <w:pPr>
      <w:spacing w:after="120"/>
    </w:pPr>
    <w:rPr>
      <w:rFonts w:ascii="Calibri" w:hAnsi="Calibri" w:eastAsia="宋体" w:cs="Times New Roman"/>
      <w:sz w:val="16"/>
      <w:szCs w:val="16"/>
    </w:rPr>
  </w:style>
  <w:style w:type="paragraph" w:styleId="22">
    <w:name w:val="List Bullet 3"/>
    <w:basedOn w:val="1"/>
    <w:autoRedefine/>
    <w:qFormat/>
    <w:uiPriority w:val="0"/>
    <w:pPr>
      <w:tabs>
        <w:tab w:val="left" w:pos="775"/>
      </w:tabs>
      <w:spacing w:line="360" w:lineRule="auto"/>
      <w:ind w:left="775" w:hanging="360"/>
    </w:pPr>
    <w:rPr>
      <w:kern w:val="0"/>
    </w:rPr>
  </w:style>
  <w:style w:type="paragraph" w:styleId="23">
    <w:name w:val="Body Text Indent"/>
    <w:basedOn w:val="1"/>
    <w:autoRedefine/>
    <w:qFormat/>
    <w:uiPriority w:val="0"/>
    <w:pPr>
      <w:spacing w:after="120"/>
      <w:ind w:left="420" w:leftChars="200"/>
    </w:pPr>
    <w:rPr>
      <w:kern w:val="0"/>
      <w:sz w:val="20"/>
    </w:rPr>
  </w:style>
  <w:style w:type="paragraph" w:styleId="24">
    <w:name w:val="List Bullet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styleId="25">
    <w:name w:val="HTML Address"/>
    <w:basedOn w:val="1"/>
    <w:autoRedefine/>
    <w:qFormat/>
    <w:uiPriority w:val="0"/>
    <w:rPr>
      <w:sz w:val="24"/>
    </w:rPr>
  </w:style>
  <w:style w:type="paragraph" w:styleId="26">
    <w:name w:val="toc 5"/>
    <w:basedOn w:val="1"/>
    <w:next w:val="1"/>
    <w:autoRedefine/>
    <w:qFormat/>
    <w:uiPriority w:val="0"/>
    <w:pPr>
      <w:ind w:left="840"/>
      <w:jc w:val="left"/>
    </w:pPr>
    <w:rPr>
      <w:sz w:val="18"/>
      <w:szCs w:val="18"/>
    </w:rPr>
  </w:style>
  <w:style w:type="paragraph" w:styleId="27">
    <w:name w:val="toc 3"/>
    <w:basedOn w:val="1"/>
    <w:next w:val="1"/>
    <w:autoRedefine/>
    <w:qFormat/>
    <w:uiPriority w:val="0"/>
    <w:pPr>
      <w:tabs>
        <w:tab w:val="left" w:pos="400"/>
        <w:tab w:val="left" w:pos="576"/>
        <w:tab w:val="right" w:leader="dot" w:pos="8778"/>
      </w:tabs>
      <w:ind w:left="10"/>
      <w:jc w:val="center"/>
    </w:pPr>
    <w:rPr>
      <w:rFonts w:ascii="宋体" w:hAnsi="宋体"/>
      <w:b/>
      <w:iCs/>
      <w:sz w:val="24"/>
    </w:rPr>
  </w:style>
  <w:style w:type="paragraph" w:styleId="28">
    <w:name w:val="Plain Text"/>
    <w:basedOn w:val="1"/>
    <w:link w:val="473"/>
    <w:autoRedefine/>
    <w:qFormat/>
    <w:uiPriority w:val="0"/>
    <w:rPr>
      <w:rFonts w:ascii="宋体"/>
      <w:szCs w:val="20"/>
    </w:rPr>
  </w:style>
  <w:style w:type="paragraph" w:styleId="29">
    <w:name w:val="List Bullet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styleId="30">
    <w:name w:val="toc 8"/>
    <w:basedOn w:val="1"/>
    <w:next w:val="1"/>
    <w:autoRedefine/>
    <w:qFormat/>
    <w:uiPriority w:val="0"/>
    <w:pPr>
      <w:ind w:left="1470"/>
      <w:jc w:val="left"/>
    </w:pPr>
    <w:rPr>
      <w:sz w:val="18"/>
      <w:szCs w:val="18"/>
    </w:rPr>
  </w:style>
  <w:style w:type="paragraph" w:styleId="31">
    <w:name w:val="Body Text Indent 2"/>
    <w:basedOn w:val="1"/>
    <w:link w:val="472"/>
    <w:autoRedefine/>
    <w:qFormat/>
    <w:uiPriority w:val="0"/>
    <w:pPr>
      <w:spacing w:after="120" w:line="480" w:lineRule="auto"/>
      <w:ind w:left="420" w:leftChars="200"/>
    </w:pPr>
    <w:rPr>
      <w:rFonts w:asciiTheme="minorHAnsi" w:hAnsiTheme="minorHAnsi" w:eastAsiaTheme="minorEastAsia" w:cstheme="minorBidi"/>
    </w:rPr>
  </w:style>
  <w:style w:type="paragraph" w:styleId="32">
    <w:name w:val="endnote text"/>
    <w:basedOn w:val="1"/>
    <w:link w:val="99"/>
    <w:autoRedefine/>
    <w:qFormat/>
    <w:uiPriority w:val="0"/>
    <w:pPr>
      <w:snapToGrid w:val="0"/>
      <w:spacing w:line="500" w:lineRule="exact"/>
      <w:jc w:val="left"/>
    </w:pPr>
  </w:style>
  <w:style w:type="paragraph" w:styleId="33">
    <w:name w:val="Balloon Text"/>
    <w:basedOn w:val="1"/>
    <w:link w:val="448"/>
    <w:autoRedefine/>
    <w:qFormat/>
    <w:uiPriority w:val="0"/>
    <w:rPr>
      <w:sz w:val="18"/>
      <w:szCs w:val="18"/>
    </w:rPr>
  </w:style>
  <w:style w:type="paragraph" w:styleId="34">
    <w:name w:val="footer"/>
    <w:basedOn w:val="1"/>
    <w:link w:val="100"/>
    <w:autoRedefine/>
    <w:qFormat/>
    <w:uiPriority w:val="0"/>
    <w:pPr>
      <w:tabs>
        <w:tab w:val="center" w:pos="4153"/>
        <w:tab w:val="right" w:pos="8306"/>
      </w:tabs>
      <w:snapToGrid w:val="0"/>
      <w:jc w:val="left"/>
    </w:pPr>
    <w:rPr>
      <w:sz w:val="18"/>
      <w:szCs w:val="18"/>
    </w:rPr>
  </w:style>
  <w:style w:type="paragraph" w:styleId="35">
    <w:name w:val="header"/>
    <w:basedOn w:val="1"/>
    <w:link w:val="103"/>
    <w:autoRedefine/>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autoRedefine/>
    <w:qFormat/>
    <w:uiPriority w:val="0"/>
    <w:pPr>
      <w:tabs>
        <w:tab w:val="right" w:leader="dot" w:pos="8778"/>
      </w:tabs>
      <w:snapToGrid w:val="0"/>
      <w:spacing w:line="360" w:lineRule="auto"/>
      <w:jc w:val="center"/>
    </w:pPr>
    <w:rPr>
      <w:b/>
      <w:bCs/>
      <w:iCs/>
      <w:caps/>
      <w:kern w:val="0"/>
      <w:sz w:val="36"/>
      <w:szCs w:val="36"/>
    </w:rPr>
  </w:style>
  <w:style w:type="paragraph" w:styleId="37">
    <w:name w:val="toc 4"/>
    <w:basedOn w:val="1"/>
    <w:next w:val="1"/>
    <w:autoRedefine/>
    <w:qFormat/>
    <w:uiPriority w:val="0"/>
    <w:pPr>
      <w:ind w:left="630"/>
      <w:jc w:val="left"/>
    </w:pPr>
    <w:rPr>
      <w:sz w:val="18"/>
      <w:szCs w:val="18"/>
    </w:rPr>
  </w:style>
  <w:style w:type="paragraph" w:styleId="38">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39">
    <w:name w:val="footnote text"/>
    <w:basedOn w:val="1"/>
    <w:link w:val="104"/>
    <w:autoRedefine/>
    <w:qFormat/>
    <w:uiPriority w:val="0"/>
    <w:pPr>
      <w:adjustRightInd w:val="0"/>
      <w:spacing w:line="312" w:lineRule="atLeast"/>
      <w:jc w:val="left"/>
      <w:textAlignment w:val="baseline"/>
    </w:pPr>
    <w:rPr>
      <w:sz w:val="18"/>
    </w:rPr>
  </w:style>
  <w:style w:type="paragraph" w:styleId="40">
    <w:name w:val="toc 6"/>
    <w:basedOn w:val="1"/>
    <w:next w:val="1"/>
    <w:autoRedefine/>
    <w:qFormat/>
    <w:uiPriority w:val="0"/>
    <w:pPr>
      <w:ind w:left="1050"/>
      <w:jc w:val="left"/>
    </w:pPr>
    <w:rPr>
      <w:sz w:val="18"/>
      <w:szCs w:val="18"/>
    </w:rPr>
  </w:style>
  <w:style w:type="paragraph" w:styleId="41">
    <w:name w:val="toc 2"/>
    <w:basedOn w:val="1"/>
    <w:next w:val="1"/>
    <w:autoRedefine/>
    <w:qFormat/>
    <w:uiPriority w:val="0"/>
    <w:pPr>
      <w:tabs>
        <w:tab w:val="right" w:leader="dot" w:pos="8778"/>
      </w:tabs>
      <w:ind w:left="23" w:leftChars="9" w:hanging="4" w:hangingChars="2"/>
      <w:jc w:val="left"/>
    </w:pPr>
    <w:rPr>
      <w:smallCaps/>
      <w:sz w:val="20"/>
      <w:szCs w:val="20"/>
    </w:rPr>
  </w:style>
  <w:style w:type="paragraph" w:styleId="42">
    <w:name w:val="toc 9"/>
    <w:basedOn w:val="1"/>
    <w:next w:val="1"/>
    <w:autoRedefine/>
    <w:qFormat/>
    <w:uiPriority w:val="0"/>
    <w:pPr>
      <w:ind w:left="1680"/>
      <w:jc w:val="left"/>
    </w:pPr>
    <w:rPr>
      <w:sz w:val="18"/>
      <w:szCs w:val="18"/>
    </w:rPr>
  </w:style>
  <w:style w:type="paragraph" w:styleId="43">
    <w:name w:val="Body Text 2"/>
    <w:basedOn w:val="1"/>
    <w:autoRedefine/>
    <w:qFormat/>
    <w:uiPriority w:val="0"/>
    <w:pPr>
      <w:jc w:val="left"/>
    </w:pPr>
    <w:rPr>
      <w:rFonts w:ascii="仿宋_GB2312" w:hAnsi="宋体" w:eastAsia="仿宋_GB2312"/>
    </w:rPr>
  </w:style>
  <w:style w:type="paragraph" w:styleId="44">
    <w:name w:val="Normal (Web)"/>
    <w:basedOn w:val="1"/>
    <w:autoRedefine/>
    <w:qFormat/>
    <w:uiPriority w:val="0"/>
    <w:pPr>
      <w:spacing w:beforeAutospacing="1" w:afterAutospacing="1"/>
      <w:jc w:val="left"/>
    </w:pPr>
    <w:rPr>
      <w:kern w:val="0"/>
      <w:sz w:val="24"/>
    </w:rPr>
  </w:style>
  <w:style w:type="paragraph" w:styleId="45">
    <w:name w:val="Title"/>
    <w:basedOn w:val="1"/>
    <w:link w:val="113"/>
    <w:autoRedefine/>
    <w:qFormat/>
    <w:uiPriority w:val="0"/>
    <w:pPr>
      <w:widowControl/>
      <w:spacing w:before="240" w:after="60"/>
      <w:jc w:val="center"/>
      <w:outlineLvl w:val="0"/>
    </w:pPr>
    <w:rPr>
      <w:rFonts w:ascii="Arial" w:hAnsi="Arial" w:eastAsia="楷体_GB2312"/>
      <w:b/>
      <w:sz w:val="32"/>
    </w:rPr>
  </w:style>
  <w:style w:type="paragraph" w:styleId="46">
    <w:name w:val="Body Text First Indent"/>
    <w:basedOn w:val="1"/>
    <w:next w:val="1"/>
    <w:autoRedefine/>
    <w:qFormat/>
    <w:uiPriority w:val="0"/>
    <w:pPr>
      <w:tabs>
        <w:tab w:val="left" w:pos="360"/>
      </w:tabs>
      <w:spacing w:line="220" w:lineRule="exact"/>
      <w:ind w:left="360" w:hanging="360" w:firstLineChars="200"/>
      <w:jc w:val="left"/>
    </w:pPr>
    <w:rPr>
      <w:color w:val="7030A0"/>
    </w:rPr>
  </w:style>
  <w:style w:type="paragraph" w:styleId="47">
    <w:name w:val="Body Text First Indent 2"/>
    <w:basedOn w:val="23"/>
    <w:autoRedefine/>
    <w:qFormat/>
    <w:uiPriority w:val="0"/>
    <w:pPr>
      <w:ind w:firstLine="420" w:firstLineChars="200"/>
    </w:pPr>
  </w:style>
  <w:style w:type="table" w:styleId="49">
    <w:name w:val="Table Grid"/>
    <w:basedOn w:val="4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autoRedefine/>
    <w:qFormat/>
    <w:uiPriority w:val="0"/>
    <w:rPr>
      <w:b/>
      <w:bCs/>
    </w:rPr>
  </w:style>
  <w:style w:type="character" w:styleId="52">
    <w:name w:val="endnote reference"/>
    <w:autoRedefine/>
    <w:qFormat/>
    <w:uiPriority w:val="0"/>
    <w:rPr>
      <w:vertAlign w:val="superscript"/>
    </w:rPr>
  </w:style>
  <w:style w:type="character" w:styleId="53">
    <w:name w:val="FollowedHyperlink"/>
    <w:basedOn w:val="50"/>
    <w:autoRedefine/>
    <w:qFormat/>
    <w:uiPriority w:val="0"/>
    <w:rPr>
      <w:rFonts w:hint="eastAsia" w:ascii="宋体" w:hAnsi="宋体" w:eastAsia="宋体" w:cs="宋体"/>
      <w:color w:val="004A85"/>
      <w:sz w:val="14"/>
      <w:szCs w:val="14"/>
      <w:u w:val="single"/>
    </w:rPr>
  </w:style>
  <w:style w:type="character" w:styleId="54">
    <w:name w:val="Emphasis"/>
    <w:basedOn w:val="50"/>
    <w:autoRedefine/>
    <w:qFormat/>
    <w:uiPriority w:val="0"/>
  </w:style>
  <w:style w:type="character" w:styleId="55">
    <w:name w:val="HTML Definition"/>
    <w:basedOn w:val="50"/>
    <w:autoRedefine/>
    <w:qFormat/>
    <w:uiPriority w:val="0"/>
  </w:style>
  <w:style w:type="character" w:styleId="56">
    <w:name w:val="HTML Variable"/>
    <w:basedOn w:val="50"/>
    <w:autoRedefine/>
    <w:qFormat/>
    <w:uiPriority w:val="0"/>
  </w:style>
  <w:style w:type="character" w:styleId="57">
    <w:name w:val="Hyperlink"/>
    <w:basedOn w:val="50"/>
    <w:autoRedefine/>
    <w:qFormat/>
    <w:uiPriority w:val="0"/>
    <w:rPr>
      <w:rFonts w:hint="eastAsia" w:ascii="宋体" w:hAnsi="宋体" w:eastAsia="宋体" w:cs="宋体"/>
      <w:color w:val="004A85"/>
      <w:sz w:val="14"/>
      <w:szCs w:val="14"/>
      <w:u w:val="single"/>
    </w:rPr>
  </w:style>
  <w:style w:type="character" w:styleId="58">
    <w:name w:val="HTML Code"/>
    <w:basedOn w:val="50"/>
    <w:autoRedefine/>
    <w:qFormat/>
    <w:uiPriority w:val="0"/>
    <w:rPr>
      <w:rFonts w:hint="default" w:ascii="Consolas" w:hAnsi="Consolas" w:eastAsia="Consolas" w:cs="Consolas"/>
      <w:color w:val="C7254E"/>
      <w:sz w:val="21"/>
      <w:szCs w:val="21"/>
      <w:shd w:val="clear" w:color="auto" w:fill="F9F2F4"/>
    </w:rPr>
  </w:style>
  <w:style w:type="character" w:styleId="59">
    <w:name w:val="HTML Cite"/>
    <w:basedOn w:val="50"/>
    <w:autoRedefine/>
    <w:qFormat/>
    <w:uiPriority w:val="0"/>
  </w:style>
  <w:style w:type="character" w:styleId="60">
    <w:name w:val="footnote reference"/>
    <w:autoRedefine/>
    <w:qFormat/>
    <w:uiPriority w:val="0"/>
    <w:rPr>
      <w:vertAlign w:val="superscript"/>
    </w:rPr>
  </w:style>
  <w:style w:type="character" w:styleId="61">
    <w:name w:val="HTML Keyboard"/>
    <w:basedOn w:val="50"/>
    <w:autoRedefine/>
    <w:qFormat/>
    <w:uiPriority w:val="0"/>
    <w:rPr>
      <w:rFonts w:ascii="Consolas" w:hAnsi="Consolas" w:eastAsia="Consolas" w:cs="Consolas"/>
      <w:color w:val="FFFFFF"/>
      <w:sz w:val="21"/>
      <w:szCs w:val="21"/>
      <w:shd w:val="clear" w:color="auto" w:fill="333333"/>
    </w:rPr>
  </w:style>
  <w:style w:type="character" w:styleId="62">
    <w:name w:val="HTML Sample"/>
    <w:basedOn w:val="50"/>
    <w:autoRedefine/>
    <w:qFormat/>
    <w:uiPriority w:val="0"/>
    <w:rPr>
      <w:rFonts w:hint="default" w:ascii="Consolas" w:hAnsi="Consolas" w:eastAsia="Consolas" w:cs="Consolas"/>
      <w:sz w:val="21"/>
      <w:szCs w:val="21"/>
    </w:rPr>
  </w:style>
  <w:style w:type="paragraph" w:customStyle="1" w:styleId="63">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64">
    <w:name w:val="样式 首行缩进:  2 字符"/>
    <w:basedOn w:val="1"/>
    <w:link w:val="385"/>
    <w:autoRedefine/>
    <w:qFormat/>
    <w:uiPriority w:val="0"/>
    <w:pPr>
      <w:spacing w:line="480" w:lineRule="exact"/>
      <w:ind w:firstLine="480" w:firstLineChars="200"/>
      <w:jc w:val="left"/>
    </w:pPr>
    <w:rPr>
      <w:color w:val="7030A0"/>
      <w:sz w:val="24"/>
    </w:rPr>
  </w:style>
  <w:style w:type="character" w:customStyle="1" w:styleId="65">
    <w:name w:val="标题 1 字符"/>
    <w:basedOn w:val="50"/>
    <w:link w:val="2"/>
    <w:autoRedefine/>
    <w:qFormat/>
    <w:uiPriority w:val="0"/>
    <w:rPr>
      <w:rFonts w:ascii="Times New Roman" w:hAnsi="Times New Roman"/>
      <w:b/>
      <w:bCs/>
      <w:kern w:val="44"/>
      <w:sz w:val="44"/>
      <w:szCs w:val="44"/>
    </w:rPr>
  </w:style>
  <w:style w:type="character" w:customStyle="1" w:styleId="66">
    <w:name w:val="标题 2 字符"/>
    <w:basedOn w:val="50"/>
    <w:link w:val="4"/>
    <w:autoRedefine/>
    <w:qFormat/>
    <w:uiPriority w:val="0"/>
    <w:rPr>
      <w:rFonts w:ascii="Arial" w:hAnsi="Arial" w:eastAsia="黑体"/>
      <w:b/>
      <w:bCs/>
      <w:kern w:val="2"/>
      <w:sz w:val="32"/>
      <w:szCs w:val="32"/>
    </w:rPr>
  </w:style>
  <w:style w:type="character" w:customStyle="1" w:styleId="67">
    <w:name w:val="标题 3 字符"/>
    <w:basedOn w:val="50"/>
    <w:link w:val="6"/>
    <w:autoRedefine/>
    <w:qFormat/>
    <w:uiPriority w:val="0"/>
    <w:rPr>
      <w:rFonts w:ascii="Times New Roman" w:hAnsi="Times New Roman"/>
      <w:b/>
      <w:bCs/>
      <w:kern w:val="2"/>
      <w:sz w:val="32"/>
      <w:szCs w:val="32"/>
    </w:rPr>
  </w:style>
  <w:style w:type="character" w:customStyle="1" w:styleId="68">
    <w:name w:val="标题 4 字符"/>
    <w:basedOn w:val="50"/>
    <w:link w:val="7"/>
    <w:autoRedefine/>
    <w:qFormat/>
    <w:uiPriority w:val="0"/>
    <w:rPr>
      <w:rFonts w:ascii="Cambria" w:hAnsi="Cambria" w:eastAsia="宋体" w:cs="Times New Roman"/>
      <w:b/>
      <w:bCs/>
      <w:kern w:val="2"/>
      <w:sz w:val="28"/>
      <w:szCs w:val="28"/>
    </w:rPr>
  </w:style>
  <w:style w:type="character" w:customStyle="1" w:styleId="69">
    <w:name w:val="标题 5 Char"/>
    <w:basedOn w:val="50"/>
    <w:autoRedefine/>
    <w:qFormat/>
    <w:uiPriority w:val="0"/>
    <w:rPr>
      <w:rFonts w:ascii="Times New Roman" w:hAnsi="Times New Roman"/>
      <w:b/>
      <w:bCs/>
      <w:kern w:val="2"/>
      <w:sz w:val="28"/>
      <w:szCs w:val="28"/>
    </w:rPr>
  </w:style>
  <w:style w:type="character" w:customStyle="1" w:styleId="70">
    <w:name w:val="标题 6 字符"/>
    <w:basedOn w:val="50"/>
    <w:link w:val="9"/>
    <w:autoRedefine/>
    <w:qFormat/>
    <w:uiPriority w:val="0"/>
    <w:rPr>
      <w:rFonts w:ascii="Arial" w:hAnsi="Arial" w:eastAsia="黑体"/>
      <w:b/>
      <w:kern w:val="2"/>
      <w:sz w:val="24"/>
    </w:rPr>
  </w:style>
  <w:style w:type="character" w:customStyle="1" w:styleId="71">
    <w:name w:val="标题 7 字符"/>
    <w:basedOn w:val="50"/>
    <w:link w:val="10"/>
    <w:autoRedefine/>
    <w:qFormat/>
    <w:uiPriority w:val="0"/>
    <w:rPr>
      <w:rFonts w:ascii="Times New Roman" w:hAnsi="Times New Roman"/>
      <w:b/>
      <w:kern w:val="2"/>
      <w:sz w:val="24"/>
    </w:rPr>
  </w:style>
  <w:style w:type="character" w:customStyle="1" w:styleId="72">
    <w:name w:val="标题 8 字符"/>
    <w:basedOn w:val="50"/>
    <w:link w:val="11"/>
    <w:autoRedefine/>
    <w:qFormat/>
    <w:uiPriority w:val="0"/>
    <w:rPr>
      <w:rFonts w:ascii="Arial" w:hAnsi="Arial" w:eastAsia="黑体"/>
      <w:kern w:val="2"/>
      <w:sz w:val="24"/>
    </w:rPr>
  </w:style>
  <w:style w:type="character" w:customStyle="1" w:styleId="73">
    <w:name w:val="标题 9 字符"/>
    <w:basedOn w:val="50"/>
    <w:link w:val="12"/>
    <w:autoRedefine/>
    <w:qFormat/>
    <w:uiPriority w:val="0"/>
    <w:rPr>
      <w:rFonts w:ascii="Arial" w:hAnsi="Arial" w:eastAsia="黑体"/>
      <w:kern w:val="2"/>
      <w:sz w:val="21"/>
    </w:rPr>
  </w:style>
  <w:style w:type="character" w:customStyle="1" w:styleId="74">
    <w:name w:val="批注主题 Char"/>
    <w:basedOn w:val="75"/>
    <w:link w:val="76"/>
    <w:autoRedefine/>
    <w:qFormat/>
    <w:uiPriority w:val="0"/>
    <w:rPr>
      <w:rFonts w:ascii="Times New Roman" w:hAnsi="Times New Roman" w:eastAsia="宋体" w:cs="Times New Roman"/>
      <w:b/>
      <w:bCs/>
      <w:kern w:val="2"/>
      <w:sz w:val="21"/>
      <w:szCs w:val="24"/>
    </w:rPr>
  </w:style>
  <w:style w:type="character" w:customStyle="1" w:styleId="75">
    <w:name w:val="批注文字 字符"/>
    <w:basedOn w:val="50"/>
    <w:link w:val="20"/>
    <w:autoRedefine/>
    <w:qFormat/>
    <w:uiPriority w:val="0"/>
    <w:rPr>
      <w:rFonts w:ascii="Times New Roman" w:hAnsi="Times New Roman" w:eastAsia="宋体" w:cs="Times New Roman"/>
      <w:szCs w:val="24"/>
    </w:rPr>
  </w:style>
  <w:style w:type="paragraph" w:customStyle="1" w:styleId="76">
    <w:name w:val="批注主题1"/>
    <w:basedOn w:val="20"/>
    <w:next w:val="20"/>
    <w:link w:val="74"/>
    <w:autoRedefine/>
    <w:qFormat/>
    <w:uiPriority w:val="0"/>
    <w:rPr>
      <w:b/>
      <w:bCs/>
    </w:rPr>
  </w:style>
  <w:style w:type="character" w:customStyle="1" w:styleId="77">
    <w:name w:val="正文首行缩进 Char"/>
    <w:basedOn w:val="78"/>
    <w:link w:val="79"/>
    <w:autoRedefine/>
    <w:qFormat/>
    <w:uiPriority w:val="0"/>
    <w:rPr>
      <w:rFonts w:ascii="Times New Roman" w:hAnsi="Times New Roman"/>
      <w:color w:val="7030A0"/>
      <w:kern w:val="2"/>
      <w:sz w:val="21"/>
      <w:szCs w:val="24"/>
    </w:rPr>
  </w:style>
  <w:style w:type="character" w:customStyle="1" w:styleId="78">
    <w:name w:val="正文文本 字符"/>
    <w:basedOn w:val="50"/>
    <w:link w:val="5"/>
    <w:autoRedefine/>
    <w:qFormat/>
    <w:uiPriority w:val="0"/>
    <w:rPr>
      <w:rFonts w:ascii="Times New Roman" w:hAnsi="Times New Roman"/>
      <w:kern w:val="2"/>
      <w:sz w:val="21"/>
      <w:szCs w:val="24"/>
    </w:rPr>
  </w:style>
  <w:style w:type="paragraph" w:customStyle="1" w:styleId="79">
    <w:name w:val="正文文本首行缩进1"/>
    <w:basedOn w:val="1"/>
    <w:link w:val="77"/>
    <w:autoRedefine/>
    <w:qFormat/>
    <w:uiPriority w:val="0"/>
    <w:pPr>
      <w:tabs>
        <w:tab w:val="left" w:pos="360"/>
      </w:tabs>
      <w:spacing w:line="220" w:lineRule="exact"/>
      <w:ind w:left="360" w:hanging="360" w:firstLineChars="200"/>
      <w:jc w:val="left"/>
    </w:pPr>
    <w:rPr>
      <w:color w:val="7030A0"/>
    </w:rPr>
  </w:style>
  <w:style w:type="character" w:customStyle="1" w:styleId="80">
    <w:name w:val="宏文本 Char"/>
    <w:basedOn w:val="50"/>
    <w:link w:val="81"/>
    <w:autoRedefine/>
    <w:qFormat/>
    <w:uiPriority w:val="0"/>
    <w:rPr>
      <w:rFonts w:ascii="Courier New" w:hAnsi="Courier New" w:cs="Courier New"/>
      <w:kern w:val="2"/>
      <w:sz w:val="24"/>
      <w:szCs w:val="24"/>
      <w:lang w:val="en-US" w:eastAsia="zh-CN" w:bidi="ar-SA"/>
    </w:rPr>
  </w:style>
  <w:style w:type="paragraph" w:customStyle="1" w:styleId="81">
    <w:name w:val="宏文本1"/>
    <w:link w:val="8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82">
    <w:name w:val="正文缩进 Char"/>
    <w:link w:val="83"/>
    <w:autoRedefine/>
    <w:qFormat/>
    <w:uiPriority w:val="0"/>
    <w:rPr>
      <w:rFonts w:ascii="宋体" w:hAnsi="Times New Roman"/>
      <w:sz w:val="24"/>
    </w:rPr>
  </w:style>
  <w:style w:type="paragraph" w:customStyle="1" w:styleId="83">
    <w:name w:val="正文缩进1"/>
    <w:basedOn w:val="1"/>
    <w:next w:val="1"/>
    <w:link w:val="82"/>
    <w:autoRedefine/>
    <w:qFormat/>
    <w:uiPriority w:val="0"/>
    <w:pPr>
      <w:autoSpaceDE w:val="0"/>
      <w:autoSpaceDN w:val="0"/>
      <w:adjustRightInd w:val="0"/>
      <w:spacing w:line="360" w:lineRule="atLeast"/>
      <w:ind w:firstLine="420"/>
      <w:textAlignment w:val="baseline"/>
    </w:pPr>
    <w:rPr>
      <w:rFonts w:ascii="宋体"/>
      <w:sz w:val="24"/>
    </w:rPr>
  </w:style>
  <w:style w:type="character" w:customStyle="1" w:styleId="84">
    <w:name w:val="题注 字符"/>
    <w:link w:val="17"/>
    <w:autoRedefine/>
    <w:qFormat/>
    <w:uiPriority w:val="0"/>
    <w:rPr>
      <w:rFonts w:ascii="Times New Roman" w:hAnsi="Times New Roman"/>
      <w:b/>
      <w:bCs/>
      <w:color w:val="000080"/>
      <w:kern w:val="2"/>
      <w:sz w:val="28"/>
      <w:szCs w:val="24"/>
    </w:rPr>
  </w:style>
  <w:style w:type="character" w:customStyle="1" w:styleId="85">
    <w:name w:val="文档结构图 Char"/>
    <w:basedOn w:val="50"/>
    <w:link w:val="86"/>
    <w:autoRedefine/>
    <w:qFormat/>
    <w:uiPriority w:val="0"/>
    <w:rPr>
      <w:rFonts w:ascii="宋体" w:hAnsi="Times New Roman" w:eastAsia="宋体" w:cs="Times New Roman"/>
      <w:sz w:val="18"/>
      <w:szCs w:val="18"/>
    </w:rPr>
  </w:style>
  <w:style w:type="paragraph" w:customStyle="1" w:styleId="86">
    <w:name w:val="文档结构图1"/>
    <w:basedOn w:val="1"/>
    <w:link w:val="85"/>
    <w:autoRedefine/>
    <w:qFormat/>
    <w:uiPriority w:val="0"/>
    <w:rPr>
      <w:rFonts w:ascii="宋体"/>
      <w:sz w:val="18"/>
      <w:szCs w:val="18"/>
    </w:rPr>
  </w:style>
  <w:style w:type="character" w:customStyle="1" w:styleId="87">
    <w:name w:val="称呼 Char"/>
    <w:basedOn w:val="50"/>
    <w:link w:val="88"/>
    <w:autoRedefine/>
    <w:qFormat/>
    <w:uiPriority w:val="0"/>
    <w:rPr>
      <w:rFonts w:ascii="Times New Roman" w:hAnsi="Times New Roman"/>
      <w:kern w:val="2"/>
      <w:sz w:val="24"/>
    </w:rPr>
  </w:style>
  <w:style w:type="paragraph" w:customStyle="1" w:styleId="88">
    <w:name w:val="称呼1"/>
    <w:basedOn w:val="1"/>
    <w:next w:val="1"/>
    <w:link w:val="87"/>
    <w:autoRedefine/>
    <w:qFormat/>
    <w:uiPriority w:val="0"/>
    <w:rPr>
      <w:sz w:val="24"/>
    </w:rPr>
  </w:style>
  <w:style w:type="character" w:customStyle="1" w:styleId="89">
    <w:name w:val="正文文本 3 Char"/>
    <w:basedOn w:val="50"/>
    <w:link w:val="90"/>
    <w:autoRedefine/>
    <w:qFormat/>
    <w:uiPriority w:val="0"/>
    <w:rPr>
      <w:rFonts w:ascii="Times New Roman" w:hAnsi="Times New Roman"/>
      <w:kern w:val="2"/>
      <w:sz w:val="16"/>
      <w:szCs w:val="16"/>
    </w:rPr>
  </w:style>
  <w:style w:type="paragraph" w:customStyle="1" w:styleId="90">
    <w:name w:val="正文文本 31"/>
    <w:basedOn w:val="1"/>
    <w:link w:val="89"/>
    <w:autoRedefine/>
    <w:qFormat/>
    <w:uiPriority w:val="0"/>
    <w:pPr>
      <w:spacing w:after="120"/>
    </w:pPr>
    <w:rPr>
      <w:sz w:val="16"/>
      <w:szCs w:val="16"/>
    </w:rPr>
  </w:style>
  <w:style w:type="character" w:customStyle="1" w:styleId="91">
    <w:name w:val="正文文本缩进 Char"/>
    <w:basedOn w:val="50"/>
    <w:autoRedefine/>
    <w:qFormat/>
    <w:uiPriority w:val="0"/>
    <w:rPr>
      <w:rFonts w:ascii="Times New Roman" w:hAnsi="Times New Roman"/>
      <w:kern w:val="2"/>
      <w:sz w:val="21"/>
      <w:szCs w:val="24"/>
    </w:rPr>
  </w:style>
  <w:style w:type="paragraph" w:customStyle="1" w:styleId="92">
    <w:name w:val="正文文本缩进1"/>
    <w:basedOn w:val="1"/>
    <w:link w:val="424"/>
    <w:autoRedefine/>
    <w:qFormat/>
    <w:uiPriority w:val="0"/>
    <w:pPr>
      <w:spacing w:line="360" w:lineRule="auto"/>
    </w:pPr>
    <w:rPr>
      <w:rFonts w:ascii="宋体"/>
    </w:rPr>
  </w:style>
  <w:style w:type="character" w:customStyle="1" w:styleId="93">
    <w:name w:val="纯文本 Char"/>
    <w:basedOn w:val="50"/>
    <w:link w:val="94"/>
    <w:autoRedefine/>
    <w:qFormat/>
    <w:uiPriority w:val="0"/>
    <w:rPr>
      <w:rFonts w:ascii="宋体" w:hAnsi="Courier New" w:cs="Courier New"/>
      <w:kern w:val="2"/>
      <w:sz w:val="21"/>
      <w:szCs w:val="21"/>
    </w:rPr>
  </w:style>
  <w:style w:type="paragraph" w:customStyle="1" w:styleId="94">
    <w:name w:val="纯文本1"/>
    <w:basedOn w:val="1"/>
    <w:link w:val="93"/>
    <w:autoRedefine/>
    <w:qFormat/>
    <w:uiPriority w:val="0"/>
    <w:rPr>
      <w:rFonts w:ascii="宋体" w:hAnsi="Courier New" w:cs="Courier New"/>
      <w:szCs w:val="21"/>
    </w:rPr>
  </w:style>
  <w:style w:type="character" w:customStyle="1" w:styleId="95">
    <w:name w:val="日期 Char"/>
    <w:link w:val="96"/>
    <w:autoRedefine/>
    <w:qFormat/>
    <w:uiPriority w:val="0"/>
    <w:rPr>
      <w:rFonts w:eastAsia="楷体_GB2312"/>
      <w:kern w:val="2"/>
      <w:sz w:val="30"/>
    </w:rPr>
  </w:style>
  <w:style w:type="paragraph" w:customStyle="1" w:styleId="96">
    <w:name w:val="日期1"/>
    <w:basedOn w:val="1"/>
    <w:next w:val="1"/>
    <w:link w:val="95"/>
    <w:autoRedefine/>
    <w:qFormat/>
    <w:uiPriority w:val="0"/>
    <w:pPr>
      <w:autoSpaceDE w:val="0"/>
      <w:autoSpaceDN w:val="0"/>
      <w:adjustRightInd w:val="0"/>
      <w:textAlignment w:val="baseline"/>
    </w:pPr>
    <w:rPr>
      <w:rFonts w:eastAsia="楷体_GB2312"/>
      <w:sz w:val="30"/>
    </w:rPr>
  </w:style>
  <w:style w:type="character" w:customStyle="1" w:styleId="97">
    <w:name w:val="正文文本缩进 2 Char"/>
    <w:basedOn w:val="50"/>
    <w:link w:val="98"/>
    <w:autoRedefine/>
    <w:qFormat/>
    <w:uiPriority w:val="0"/>
    <w:rPr>
      <w:rFonts w:ascii="Times New Roman" w:hAnsi="Times New Roman"/>
      <w:kern w:val="2"/>
      <w:sz w:val="21"/>
    </w:rPr>
  </w:style>
  <w:style w:type="paragraph" w:customStyle="1" w:styleId="98">
    <w:name w:val="正文文本缩进 21"/>
    <w:basedOn w:val="1"/>
    <w:link w:val="97"/>
    <w:autoRedefine/>
    <w:qFormat/>
    <w:uiPriority w:val="0"/>
    <w:pPr>
      <w:spacing w:after="120" w:line="480" w:lineRule="auto"/>
      <w:ind w:left="420" w:leftChars="200"/>
    </w:pPr>
  </w:style>
  <w:style w:type="character" w:customStyle="1" w:styleId="99">
    <w:name w:val="尾注文本 字符"/>
    <w:basedOn w:val="50"/>
    <w:link w:val="32"/>
    <w:autoRedefine/>
    <w:qFormat/>
    <w:uiPriority w:val="0"/>
    <w:rPr>
      <w:rFonts w:ascii="Times New Roman" w:hAnsi="Times New Roman"/>
      <w:sz w:val="21"/>
      <w:szCs w:val="24"/>
    </w:rPr>
  </w:style>
  <w:style w:type="character" w:customStyle="1" w:styleId="100">
    <w:name w:val="页脚 字符"/>
    <w:basedOn w:val="50"/>
    <w:link w:val="34"/>
    <w:autoRedefine/>
    <w:qFormat/>
    <w:uiPriority w:val="0"/>
    <w:rPr>
      <w:rFonts w:ascii="Times New Roman" w:hAnsi="Times New Roman"/>
      <w:kern w:val="2"/>
      <w:sz w:val="18"/>
      <w:szCs w:val="18"/>
    </w:rPr>
  </w:style>
  <w:style w:type="character" w:customStyle="1" w:styleId="101">
    <w:name w:val="正文首行缩进 2 Char"/>
    <w:basedOn w:val="91"/>
    <w:link w:val="102"/>
    <w:autoRedefine/>
    <w:qFormat/>
    <w:uiPriority w:val="0"/>
    <w:rPr>
      <w:rFonts w:ascii="宋体" w:hAnsi="宋体"/>
      <w:kern w:val="2"/>
      <w:sz w:val="21"/>
      <w:szCs w:val="24"/>
    </w:rPr>
  </w:style>
  <w:style w:type="paragraph" w:customStyle="1" w:styleId="102">
    <w:name w:val="正文文本首行缩进 21"/>
    <w:basedOn w:val="92"/>
    <w:link w:val="101"/>
    <w:autoRedefine/>
    <w:qFormat/>
    <w:uiPriority w:val="0"/>
    <w:pPr>
      <w:spacing w:after="120" w:line="240" w:lineRule="auto"/>
      <w:ind w:left="420" w:leftChars="200" w:firstLine="200" w:firstLineChars="200"/>
      <w:jc w:val="left"/>
    </w:pPr>
    <w:rPr>
      <w:rFonts w:hAnsi="宋体"/>
    </w:rPr>
  </w:style>
  <w:style w:type="character" w:customStyle="1" w:styleId="103">
    <w:name w:val="页眉 字符"/>
    <w:basedOn w:val="50"/>
    <w:link w:val="35"/>
    <w:autoRedefine/>
    <w:qFormat/>
    <w:uiPriority w:val="0"/>
    <w:rPr>
      <w:rFonts w:ascii="Times New Roman" w:hAnsi="Times New Roman"/>
      <w:kern w:val="2"/>
      <w:sz w:val="18"/>
      <w:szCs w:val="18"/>
    </w:rPr>
  </w:style>
  <w:style w:type="character" w:customStyle="1" w:styleId="104">
    <w:name w:val="脚注文本 字符"/>
    <w:basedOn w:val="50"/>
    <w:link w:val="39"/>
    <w:autoRedefine/>
    <w:qFormat/>
    <w:uiPriority w:val="0"/>
    <w:rPr>
      <w:rFonts w:ascii="Times New Roman" w:hAnsi="Times New Roman"/>
      <w:sz w:val="18"/>
    </w:rPr>
  </w:style>
  <w:style w:type="character" w:customStyle="1" w:styleId="105">
    <w:name w:val="正文文本缩进 3 Char"/>
    <w:basedOn w:val="50"/>
    <w:link w:val="106"/>
    <w:autoRedefine/>
    <w:qFormat/>
    <w:uiPriority w:val="0"/>
    <w:rPr>
      <w:rFonts w:ascii="Times New Roman" w:hAnsi="Times New Roman"/>
      <w:kern w:val="2"/>
      <w:sz w:val="21"/>
    </w:rPr>
  </w:style>
  <w:style w:type="paragraph" w:customStyle="1" w:styleId="106">
    <w:name w:val="正文文本缩进 31"/>
    <w:basedOn w:val="1"/>
    <w:link w:val="105"/>
    <w:autoRedefine/>
    <w:qFormat/>
    <w:uiPriority w:val="0"/>
    <w:pPr>
      <w:ind w:left="1260" w:leftChars="600"/>
    </w:pPr>
  </w:style>
  <w:style w:type="character" w:customStyle="1" w:styleId="107">
    <w:name w:val="正文文本 2 Char"/>
    <w:basedOn w:val="50"/>
    <w:link w:val="108"/>
    <w:autoRedefine/>
    <w:qFormat/>
    <w:uiPriority w:val="0"/>
    <w:rPr>
      <w:rFonts w:ascii="Times New Roman" w:hAnsi="Times New Roman"/>
      <w:kern w:val="2"/>
      <w:sz w:val="21"/>
    </w:rPr>
  </w:style>
  <w:style w:type="paragraph" w:customStyle="1" w:styleId="108">
    <w:name w:val="正文文本 21"/>
    <w:basedOn w:val="1"/>
    <w:link w:val="107"/>
    <w:autoRedefine/>
    <w:qFormat/>
    <w:uiPriority w:val="0"/>
    <w:pPr>
      <w:spacing w:after="120" w:line="480" w:lineRule="auto"/>
    </w:pPr>
  </w:style>
  <w:style w:type="character" w:customStyle="1" w:styleId="109">
    <w:name w:val="信息标题 Char"/>
    <w:basedOn w:val="50"/>
    <w:link w:val="110"/>
    <w:autoRedefine/>
    <w:qFormat/>
    <w:uiPriority w:val="0"/>
    <w:rPr>
      <w:rFonts w:ascii="Arial" w:hAnsi="Arial" w:cs="Arial"/>
      <w:color w:val="7030A0"/>
      <w:kern w:val="2"/>
      <w:sz w:val="24"/>
      <w:szCs w:val="24"/>
      <w:shd w:val="pct20" w:color="auto" w:fill="auto"/>
    </w:rPr>
  </w:style>
  <w:style w:type="paragraph" w:customStyle="1" w:styleId="110">
    <w:name w:val="信息标题1"/>
    <w:basedOn w:val="1"/>
    <w:link w:val="10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sz w:val="24"/>
      <w:shd w:val="pct20" w:color="auto" w:fill="auto"/>
    </w:rPr>
  </w:style>
  <w:style w:type="character" w:customStyle="1" w:styleId="111">
    <w:name w:val="HTML 预设格式 Char"/>
    <w:basedOn w:val="50"/>
    <w:link w:val="112"/>
    <w:autoRedefine/>
    <w:qFormat/>
    <w:uiPriority w:val="0"/>
    <w:rPr>
      <w:rFonts w:ascii="Arial" w:hAnsi="Arial"/>
      <w:sz w:val="21"/>
      <w:szCs w:val="21"/>
    </w:rPr>
  </w:style>
  <w:style w:type="paragraph" w:customStyle="1" w:styleId="112">
    <w:name w:val="HTML 预设格式1"/>
    <w:basedOn w:val="1"/>
    <w:link w:val="11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szCs w:val="21"/>
    </w:rPr>
  </w:style>
  <w:style w:type="character" w:customStyle="1" w:styleId="113">
    <w:name w:val="标题 字符"/>
    <w:basedOn w:val="50"/>
    <w:link w:val="45"/>
    <w:autoRedefine/>
    <w:qFormat/>
    <w:uiPriority w:val="0"/>
    <w:rPr>
      <w:rFonts w:ascii="Arial" w:hAnsi="Arial" w:eastAsia="楷体_GB2312"/>
      <w:b/>
      <w:sz w:val="32"/>
    </w:rPr>
  </w:style>
  <w:style w:type="paragraph" w:customStyle="1" w:styleId="114">
    <w:name w:val="批注框文本 Char Char"/>
    <w:basedOn w:val="1"/>
    <w:link w:val="376"/>
    <w:autoRedefine/>
    <w:qFormat/>
    <w:uiPriority w:val="0"/>
    <w:rPr>
      <w:sz w:val="18"/>
      <w:szCs w:val="18"/>
    </w:rPr>
  </w:style>
  <w:style w:type="paragraph" w:customStyle="1" w:styleId="115">
    <w:name w:val="列表编号 21"/>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customStyle="1" w:styleId="116">
    <w:name w:val="引文目录1"/>
    <w:basedOn w:val="1"/>
    <w:next w:val="1"/>
    <w:autoRedefine/>
    <w:qFormat/>
    <w:uiPriority w:val="0"/>
    <w:pPr>
      <w:spacing w:line="480" w:lineRule="exact"/>
      <w:ind w:left="420" w:leftChars="200" w:firstLine="200" w:firstLineChars="200"/>
      <w:jc w:val="left"/>
    </w:pPr>
    <w:rPr>
      <w:color w:val="7030A0"/>
      <w:sz w:val="24"/>
    </w:rPr>
  </w:style>
  <w:style w:type="paragraph" w:customStyle="1" w:styleId="117">
    <w:name w:val="索引 81"/>
    <w:basedOn w:val="1"/>
    <w:next w:val="1"/>
    <w:autoRedefine/>
    <w:qFormat/>
    <w:uiPriority w:val="0"/>
    <w:pPr>
      <w:spacing w:line="480" w:lineRule="exact"/>
      <w:ind w:left="1400" w:leftChars="1400" w:firstLine="200" w:firstLineChars="200"/>
      <w:jc w:val="left"/>
    </w:pPr>
    <w:rPr>
      <w:color w:val="7030A0"/>
      <w:sz w:val="24"/>
    </w:rPr>
  </w:style>
  <w:style w:type="paragraph" w:customStyle="1" w:styleId="118">
    <w:name w:val="索引 51"/>
    <w:basedOn w:val="1"/>
    <w:next w:val="1"/>
    <w:autoRedefine/>
    <w:qFormat/>
    <w:uiPriority w:val="0"/>
    <w:pPr>
      <w:spacing w:line="480" w:lineRule="exact"/>
      <w:ind w:left="800" w:leftChars="800" w:firstLine="200" w:firstLineChars="200"/>
      <w:jc w:val="left"/>
    </w:pPr>
    <w:rPr>
      <w:color w:val="7030A0"/>
      <w:sz w:val="24"/>
    </w:rPr>
  </w:style>
  <w:style w:type="paragraph" w:customStyle="1" w:styleId="119">
    <w:name w:val="引文目录标题1"/>
    <w:basedOn w:val="1"/>
    <w:next w:val="1"/>
    <w:autoRedefine/>
    <w:qFormat/>
    <w:uiPriority w:val="0"/>
    <w:pPr>
      <w:spacing w:before="120"/>
    </w:pPr>
    <w:rPr>
      <w:rFonts w:ascii="Arial" w:hAnsi="Arial" w:cs="Arial"/>
      <w:sz w:val="24"/>
    </w:rPr>
  </w:style>
  <w:style w:type="paragraph" w:customStyle="1" w:styleId="120">
    <w:name w:val="索引 61"/>
    <w:basedOn w:val="1"/>
    <w:next w:val="1"/>
    <w:autoRedefine/>
    <w:qFormat/>
    <w:uiPriority w:val="0"/>
    <w:pPr>
      <w:spacing w:line="480" w:lineRule="exact"/>
      <w:ind w:left="1000" w:leftChars="1000" w:firstLine="200" w:firstLineChars="200"/>
      <w:jc w:val="left"/>
    </w:pPr>
    <w:rPr>
      <w:color w:val="7030A0"/>
      <w:sz w:val="24"/>
    </w:rPr>
  </w:style>
  <w:style w:type="paragraph" w:customStyle="1" w:styleId="121">
    <w:name w:val="列表编号 31"/>
    <w:basedOn w:val="1"/>
    <w:autoRedefine/>
    <w:qFormat/>
    <w:uiPriority w:val="0"/>
    <w:pPr>
      <w:tabs>
        <w:tab w:val="left" w:pos="1200"/>
      </w:tabs>
      <w:spacing w:line="360" w:lineRule="auto"/>
      <w:ind w:left="1200" w:hanging="360"/>
      <w:jc w:val="left"/>
    </w:pPr>
    <w:rPr>
      <w:rFonts w:ascii="宋体" w:hAnsi="宋体"/>
      <w:color w:val="7030A0"/>
      <w:sz w:val="24"/>
      <w:szCs w:val="20"/>
    </w:rPr>
  </w:style>
  <w:style w:type="paragraph" w:customStyle="1" w:styleId="122">
    <w:name w:val="列表 21"/>
    <w:basedOn w:val="1"/>
    <w:autoRedefine/>
    <w:qFormat/>
    <w:uiPriority w:val="0"/>
    <w:pPr>
      <w:widowControl/>
      <w:ind w:left="840" w:hanging="420"/>
      <w:jc w:val="left"/>
    </w:pPr>
    <w:rPr>
      <w:rFonts w:ascii="宋体"/>
      <w:kern w:val="0"/>
      <w:sz w:val="22"/>
      <w:szCs w:val="20"/>
    </w:rPr>
  </w:style>
  <w:style w:type="paragraph" w:customStyle="1" w:styleId="123">
    <w:name w:val="列表接续1"/>
    <w:basedOn w:val="1"/>
    <w:autoRedefine/>
    <w:qFormat/>
    <w:uiPriority w:val="0"/>
    <w:pPr>
      <w:widowControl/>
      <w:spacing w:after="120"/>
      <w:ind w:left="420"/>
      <w:jc w:val="left"/>
    </w:pPr>
    <w:rPr>
      <w:rFonts w:ascii="宋体"/>
      <w:kern w:val="0"/>
      <w:sz w:val="22"/>
      <w:szCs w:val="20"/>
    </w:rPr>
  </w:style>
  <w:style w:type="paragraph" w:customStyle="1" w:styleId="124">
    <w:name w:val="文本块1"/>
    <w:basedOn w:val="1"/>
    <w:autoRedefine/>
    <w:qFormat/>
    <w:uiPriority w:val="0"/>
    <w:pPr>
      <w:tabs>
        <w:tab w:val="left" w:pos="8364"/>
      </w:tabs>
      <w:ind w:left="840" w:right="-57" w:hanging="300"/>
    </w:pPr>
    <w:rPr>
      <w:rFonts w:ascii="宋体"/>
      <w:szCs w:val="20"/>
    </w:rPr>
  </w:style>
  <w:style w:type="paragraph" w:customStyle="1" w:styleId="125">
    <w:name w:val="索引 41"/>
    <w:basedOn w:val="1"/>
    <w:next w:val="1"/>
    <w:autoRedefine/>
    <w:qFormat/>
    <w:uiPriority w:val="0"/>
    <w:pPr>
      <w:spacing w:line="480" w:lineRule="exact"/>
      <w:ind w:left="600" w:leftChars="600" w:firstLine="200" w:firstLineChars="200"/>
      <w:jc w:val="left"/>
    </w:pPr>
    <w:rPr>
      <w:color w:val="7030A0"/>
      <w:sz w:val="24"/>
    </w:rPr>
  </w:style>
  <w:style w:type="paragraph" w:customStyle="1" w:styleId="126">
    <w:name w:val="列表编号 41"/>
    <w:basedOn w:val="1"/>
    <w:autoRedefine/>
    <w:qFormat/>
    <w:uiPriority w:val="0"/>
    <w:pPr>
      <w:tabs>
        <w:tab w:val="left" w:pos="1620"/>
      </w:tabs>
      <w:spacing w:line="360" w:lineRule="auto"/>
      <w:ind w:left="1620" w:hanging="360"/>
    </w:pPr>
    <w:rPr>
      <w:rFonts w:ascii="宋体" w:hAnsi="宋体"/>
      <w:sz w:val="24"/>
      <w:szCs w:val="20"/>
    </w:rPr>
  </w:style>
  <w:style w:type="paragraph" w:customStyle="1" w:styleId="127">
    <w:name w:val="索引 31"/>
    <w:basedOn w:val="1"/>
    <w:next w:val="1"/>
    <w:autoRedefine/>
    <w:qFormat/>
    <w:uiPriority w:val="0"/>
    <w:pPr>
      <w:spacing w:line="480" w:lineRule="exact"/>
      <w:ind w:left="400" w:leftChars="400" w:firstLine="200" w:firstLineChars="200"/>
      <w:jc w:val="left"/>
    </w:pPr>
    <w:rPr>
      <w:color w:val="7030A0"/>
      <w:sz w:val="24"/>
    </w:rPr>
  </w:style>
  <w:style w:type="paragraph" w:customStyle="1" w:styleId="128">
    <w:name w:val="索引标题1"/>
    <w:basedOn w:val="1"/>
    <w:next w:val="129"/>
    <w:autoRedefine/>
    <w:qFormat/>
    <w:uiPriority w:val="0"/>
  </w:style>
  <w:style w:type="paragraph" w:customStyle="1" w:styleId="129">
    <w:name w:val="索引 11"/>
    <w:basedOn w:val="1"/>
    <w:next w:val="1"/>
    <w:autoRedefine/>
    <w:qFormat/>
    <w:uiPriority w:val="0"/>
    <w:pPr>
      <w:spacing w:line="360" w:lineRule="auto"/>
      <w:ind w:left="1149" w:leftChars="547"/>
    </w:pPr>
    <w:rPr>
      <w:szCs w:val="20"/>
    </w:rPr>
  </w:style>
  <w:style w:type="paragraph" w:customStyle="1" w:styleId="130">
    <w:name w:val="列表编号 51"/>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customStyle="1" w:styleId="131">
    <w:name w:val="列表1"/>
    <w:basedOn w:val="1"/>
    <w:autoRedefine/>
    <w:qFormat/>
    <w:uiPriority w:val="0"/>
    <w:pPr>
      <w:ind w:left="200" w:hanging="200" w:hangingChars="200"/>
    </w:pPr>
    <w:rPr>
      <w:szCs w:val="20"/>
    </w:rPr>
  </w:style>
  <w:style w:type="paragraph" w:customStyle="1" w:styleId="132">
    <w:name w:val="索引 71"/>
    <w:basedOn w:val="1"/>
    <w:next w:val="1"/>
    <w:autoRedefine/>
    <w:qFormat/>
    <w:uiPriority w:val="0"/>
    <w:pPr>
      <w:spacing w:line="480" w:lineRule="exact"/>
      <w:ind w:left="1200" w:leftChars="1200" w:firstLine="200" w:firstLineChars="200"/>
      <w:jc w:val="left"/>
    </w:pPr>
    <w:rPr>
      <w:color w:val="7030A0"/>
      <w:sz w:val="24"/>
    </w:rPr>
  </w:style>
  <w:style w:type="paragraph" w:customStyle="1" w:styleId="133">
    <w:name w:val="索引 91"/>
    <w:basedOn w:val="1"/>
    <w:next w:val="1"/>
    <w:autoRedefine/>
    <w:qFormat/>
    <w:uiPriority w:val="0"/>
    <w:pPr>
      <w:spacing w:line="480" w:lineRule="exact"/>
      <w:ind w:left="1600" w:leftChars="1600" w:firstLine="200" w:firstLineChars="200"/>
      <w:jc w:val="left"/>
    </w:pPr>
    <w:rPr>
      <w:color w:val="7030A0"/>
      <w:sz w:val="24"/>
    </w:rPr>
  </w:style>
  <w:style w:type="paragraph" w:customStyle="1" w:styleId="134">
    <w:name w:val="图表目录1"/>
    <w:basedOn w:val="1"/>
    <w:next w:val="1"/>
    <w:autoRedefine/>
    <w:qFormat/>
    <w:uiPriority w:val="0"/>
    <w:pPr>
      <w:spacing w:line="480" w:lineRule="exact"/>
      <w:ind w:left="200" w:leftChars="200" w:hanging="200" w:hangingChars="200"/>
      <w:jc w:val="left"/>
    </w:pPr>
    <w:rPr>
      <w:color w:val="7030A0"/>
      <w:sz w:val="24"/>
    </w:rPr>
  </w:style>
  <w:style w:type="paragraph" w:customStyle="1" w:styleId="135">
    <w:name w:val="普通(网站)1"/>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索引 21"/>
    <w:basedOn w:val="1"/>
    <w:next w:val="1"/>
    <w:autoRedefine/>
    <w:qFormat/>
    <w:uiPriority w:val="0"/>
    <w:pPr>
      <w:spacing w:line="480" w:lineRule="exact"/>
      <w:ind w:left="200" w:leftChars="200" w:firstLine="200" w:firstLineChars="200"/>
      <w:jc w:val="left"/>
    </w:pPr>
    <w:rPr>
      <w:color w:val="7030A0"/>
      <w:sz w:val="24"/>
    </w:rPr>
  </w:style>
  <w:style w:type="paragraph" w:customStyle="1" w:styleId="137">
    <w:name w:val="标题4"/>
    <w:basedOn w:val="1"/>
    <w:next w:val="1"/>
    <w:autoRedefine/>
    <w:qFormat/>
    <w:uiPriority w:val="0"/>
    <w:pPr>
      <w:keepNext/>
      <w:spacing w:line="360" w:lineRule="auto"/>
      <w:ind w:firstLine="200" w:firstLineChars="200"/>
      <w:jc w:val="left"/>
      <w:outlineLvl w:val="3"/>
    </w:pPr>
    <w:rPr>
      <w:b/>
      <w:kern w:val="0"/>
      <w:sz w:val="30"/>
    </w:rPr>
  </w:style>
  <w:style w:type="paragraph" w:customStyle="1" w:styleId="138">
    <w:name w:val="四级标题格式"/>
    <w:basedOn w:val="7"/>
    <w:link w:val="379"/>
    <w:autoRedefine/>
    <w:qFormat/>
    <w:uiPriority w:val="0"/>
    <w:pPr>
      <w:spacing w:before="0" w:afterLines="100" w:line="240" w:lineRule="auto"/>
      <w:jc w:val="left"/>
    </w:pPr>
    <w:rPr>
      <w:rFonts w:ascii="Times New Roman" w:hAnsi="Times New Roman" w:eastAsia="黑体"/>
    </w:rPr>
  </w:style>
  <w:style w:type="paragraph" w:customStyle="1" w:styleId="139">
    <w:name w:val="标题3"/>
    <w:basedOn w:val="6"/>
    <w:link w:val="382"/>
    <w:autoRedefine/>
    <w:qFormat/>
    <w:uiPriority w:val="0"/>
    <w:pPr>
      <w:tabs>
        <w:tab w:val="left" w:pos="360"/>
        <w:tab w:val="left" w:pos="840"/>
        <w:tab w:val="left" w:pos="2160"/>
      </w:tabs>
      <w:adjustRightInd w:val="0"/>
      <w:spacing w:before="0" w:after="0" w:line="360" w:lineRule="auto"/>
      <w:textAlignment w:val="baseline"/>
    </w:pPr>
    <w:rPr>
      <w:rFonts w:ascii="宋体" w:hAnsi="宋体"/>
      <w:color w:val="92D050"/>
      <w:kern w:val="44"/>
      <w:sz w:val="24"/>
      <w:szCs w:val="21"/>
    </w:rPr>
  </w:style>
  <w:style w:type="paragraph" w:customStyle="1" w:styleId="140">
    <w:name w:val="样式 宋体 行距: 固定值 24 磅"/>
    <w:basedOn w:val="1"/>
    <w:link w:val="384"/>
    <w:autoRedefine/>
    <w:qFormat/>
    <w:uiPriority w:val="0"/>
    <w:pPr>
      <w:spacing w:line="480" w:lineRule="exact"/>
      <w:ind w:firstLine="585" w:firstLineChars="200"/>
      <w:jc w:val="left"/>
    </w:pPr>
    <w:rPr>
      <w:rFonts w:ascii="宋体" w:cs="宋体"/>
      <w:color w:val="7030A0"/>
      <w:sz w:val="28"/>
    </w:rPr>
  </w:style>
  <w:style w:type="paragraph" w:customStyle="1" w:styleId="141">
    <w:name w:val="正文－wjnew"/>
    <w:basedOn w:val="1"/>
    <w:link w:val="387"/>
    <w:autoRedefine/>
    <w:qFormat/>
    <w:uiPriority w:val="0"/>
    <w:pPr>
      <w:adjustRightInd w:val="0"/>
      <w:snapToGrid w:val="0"/>
      <w:spacing w:line="360" w:lineRule="auto"/>
      <w:ind w:firstLine="420"/>
    </w:pPr>
    <w:rPr>
      <w:rFonts w:ascii="宋体" w:cs="宋体"/>
      <w:szCs w:val="21"/>
    </w:rPr>
  </w:style>
  <w:style w:type="paragraph" w:customStyle="1" w:styleId="142">
    <w:name w:val="(1)"/>
    <w:basedOn w:val="1"/>
    <w:next w:val="1"/>
    <w:link w:val="389"/>
    <w:autoRedefine/>
    <w:qFormat/>
    <w:uiPriority w:val="0"/>
    <w:pPr>
      <w:tabs>
        <w:tab w:val="left" w:pos="813"/>
      </w:tabs>
      <w:spacing w:line="360" w:lineRule="auto"/>
      <w:ind w:left="813" w:hanging="567"/>
    </w:pPr>
    <w:rPr>
      <w:rFonts w:ascii="宋体" w:hAnsi="宋体"/>
      <w:sz w:val="24"/>
    </w:rPr>
  </w:style>
  <w:style w:type="paragraph" w:customStyle="1" w:styleId="143">
    <w:name w:val="正文 BJ15"/>
    <w:basedOn w:val="1"/>
    <w:link w:val="392"/>
    <w:autoRedefine/>
    <w:qFormat/>
    <w:uiPriority w:val="0"/>
    <w:pPr>
      <w:adjustRightInd w:val="0"/>
      <w:snapToGrid w:val="0"/>
      <w:spacing w:line="360" w:lineRule="auto"/>
      <w:ind w:firstLine="200" w:firstLineChars="200"/>
      <w:jc w:val="left"/>
    </w:pPr>
    <w:rPr>
      <w:sz w:val="24"/>
    </w:rPr>
  </w:style>
  <w:style w:type="paragraph" w:customStyle="1" w:styleId="144">
    <w:name w:val="正文－zlb"/>
    <w:basedOn w:val="1"/>
    <w:link w:val="400"/>
    <w:autoRedefine/>
    <w:qFormat/>
    <w:uiPriority w:val="0"/>
    <w:pPr>
      <w:adjustRightInd w:val="0"/>
      <w:snapToGrid w:val="0"/>
      <w:spacing w:line="360" w:lineRule="auto"/>
      <w:ind w:firstLine="420"/>
    </w:pPr>
    <w:rPr>
      <w:rFonts w:ascii="宋体" w:cs="宋体"/>
      <w:sz w:val="24"/>
    </w:rPr>
  </w:style>
  <w:style w:type="paragraph" w:customStyle="1" w:styleId="145">
    <w:name w:val="图表标题 BJ8"/>
    <w:basedOn w:val="1"/>
    <w:link w:val="405"/>
    <w:autoRedefine/>
    <w:qFormat/>
    <w:uiPriority w:val="0"/>
    <w:pPr>
      <w:adjustRightInd w:val="0"/>
      <w:snapToGrid w:val="0"/>
      <w:ind w:firstLine="200" w:firstLineChars="200"/>
      <w:jc w:val="center"/>
    </w:pPr>
    <w:rPr>
      <w:rFonts w:eastAsia="黑体"/>
      <w:sz w:val="24"/>
    </w:rPr>
  </w:style>
  <w:style w:type="paragraph" w:customStyle="1" w:styleId="146">
    <w:name w:val="列表框2"/>
    <w:basedOn w:val="1"/>
    <w:link w:val="407"/>
    <w:autoRedefine/>
    <w:qFormat/>
    <w:uiPriority w:val="0"/>
    <w:pPr>
      <w:tabs>
        <w:tab w:val="left" w:pos="360"/>
        <w:tab w:val="left" w:pos="1628"/>
        <w:tab w:val="left" w:pos="2086"/>
      </w:tabs>
      <w:adjustRightInd w:val="0"/>
      <w:snapToGrid w:val="0"/>
      <w:ind w:left="1748" w:right="210" w:rightChars="100" w:hanging="434" w:firstLineChars="200"/>
      <w:jc w:val="left"/>
    </w:pPr>
    <w:rPr>
      <w:color w:val="7030A0"/>
      <w:spacing w:val="10"/>
      <w:sz w:val="24"/>
    </w:rPr>
  </w:style>
  <w:style w:type="paragraph" w:customStyle="1" w:styleId="147">
    <w:name w:val="五级标题格式"/>
    <w:basedOn w:val="8"/>
    <w:link w:val="409"/>
    <w:autoRedefine/>
    <w:qFormat/>
    <w:uiPriority w:val="0"/>
    <w:pPr>
      <w:tabs>
        <w:tab w:val="clear" w:pos="1008"/>
      </w:tabs>
      <w:spacing w:before="0" w:afterLines="50" w:line="240" w:lineRule="auto"/>
      <w:ind w:left="0" w:firstLine="0"/>
      <w:jc w:val="left"/>
    </w:pPr>
    <w:rPr>
      <w:sz w:val="24"/>
    </w:rPr>
  </w:style>
  <w:style w:type="paragraph" w:customStyle="1" w:styleId="148">
    <w:name w:val="正文段落格式"/>
    <w:basedOn w:val="64"/>
    <w:link w:val="413"/>
    <w:autoRedefine/>
    <w:qFormat/>
    <w:uiPriority w:val="0"/>
    <w:pPr>
      <w:spacing w:afterLines="50" w:line="336" w:lineRule="auto"/>
    </w:pPr>
  </w:style>
  <w:style w:type="paragraph" w:customStyle="1" w:styleId="149">
    <w:name w:val="表格文字 BJ8"/>
    <w:basedOn w:val="1"/>
    <w:link w:val="414"/>
    <w:autoRedefine/>
    <w:qFormat/>
    <w:uiPriority w:val="0"/>
    <w:pPr>
      <w:adjustRightInd w:val="0"/>
      <w:snapToGrid w:val="0"/>
      <w:spacing w:line="400" w:lineRule="exact"/>
      <w:ind w:firstLine="200" w:firstLineChars="200"/>
      <w:jc w:val="center"/>
    </w:pPr>
    <w:rPr>
      <w:szCs w:val="21"/>
    </w:rPr>
  </w:style>
  <w:style w:type="paragraph" w:customStyle="1" w:styleId="150">
    <w:name w:val="样式 标题 31.1条标题1.1.1二级节名h3Heading 3 - oldheading 3H3H31H3..."/>
    <w:basedOn w:val="6"/>
    <w:link w:val="416"/>
    <w:autoRedefine/>
    <w:qFormat/>
    <w:uiPriority w:val="0"/>
    <w:pPr>
      <w:spacing w:before="240" w:after="120" w:line="480" w:lineRule="exact"/>
      <w:jc w:val="left"/>
    </w:pPr>
    <w:rPr>
      <w:rFonts w:ascii="宋体" w:hAnsi="宋体" w:eastAsia="黑体"/>
      <w:sz w:val="24"/>
      <w:szCs w:val="21"/>
    </w:rPr>
  </w:style>
  <w:style w:type="paragraph" w:customStyle="1" w:styleId="151">
    <w:name w:val="标题2"/>
    <w:basedOn w:val="2"/>
    <w:link w:val="417"/>
    <w:autoRedefine/>
    <w:qFormat/>
    <w:uiPriority w:val="0"/>
    <w:pPr>
      <w:spacing w:before="0" w:after="0" w:line="312" w:lineRule="auto"/>
      <w:ind w:left="0" w:firstLine="0"/>
      <w:jc w:val="center"/>
    </w:pPr>
    <w:rPr>
      <w:rFonts w:ascii="宋体"/>
      <w:color w:val="92D050"/>
      <w:sz w:val="30"/>
    </w:rPr>
  </w:style>
  <w:style w:type="paragraph" w:customStyle="1" w:styleId="152">
    <w:name w:val="正文 QD3"/>
    <w:basedOn w:val="1"/>
    <w:link w:val="420"/>
    <w:autoRedefine/>
    <w:qFormat/>
    <w:uiPriority w:val="0"/>
    <w:pPr>
      <w:adjustRightInd w:val="0"/>
      <w:snapToGrid w:val="0"/>
      <w:spacing w:line="360" w:lineRule="auto"/>
      <w:ind w:firstLine="200" w:firstLineChars="200"/>
      <w:jc w:val="left"/>
    </w:pPr>
    <w:rPr>
      <w:sz w:val="24"/>
    </w:rPr>
  </w:style>
  <w:style w:type="paragraph" w:customStyle="1" w:styleId="153">
    <w:name w:val="正文 BJ8"/>
    <w:basedOn w:val="1"/>
    <w:link w:val="421"/>
    <w:autoRedefine/>
    <w:qFormat/>
    <w:uiPriority w:val="0"/>
    <w:pPr>
      <w:adjustRightInd w:val="0"/>
      <w:snapToGrid w:val="0"/>
      <w:spacing w:line="360" w:lineRule="auto"/>
      <w:ind w:firstLine="200" w:firstLineChars="200"/>
      <w:jc w:val="left"/>
    </w:pPr>
    <w:rPr>
      <w:color w:val="7030A0"/>
      <w:sz w:val="24"/>
    </w:rPr>
  </w:style>
  <w:style w:type="paragraph" w:customStyle="1" w:styleId="154">
    <w:name w:val="正文1"/>
    <w:basedOn w:val="1"/>
    <w:link w:val="425"/>
    <w:autoRedefine/>
    <w:qFormat/>
    <w:uiPriority w:val="0"/>
    <w:pPr>
      <w:tabs>
        <w:tab w:val="left" w:pos="720"/>
        <w:tab w:val="right" w:pos="1191"/>
      </w:tabs>
      <w:spacing w:line="360" w:lineRule="auto"/>
      <w:ind w:left="720" w:hanging="360"/>
    </w:pPr>
    <w:rPr>
      <w:rFonts w:ascii="宋体" w:hAnsi="宋体"/>
      <w:kern w:val="10"/>
    </w:rPr>
  </w:style>
  <w:style w:type="paragraph" w:customStyle="1" w:styleId="155">
    <w:name w:val="样式"/>
    <w:link w:val="426"/>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6">
    <w:name w:val="无编号正文"/>
    <w:basedOn w:val="5"/>
    <w:next w:val="1"/>
    <w:link w:val="427"/>
    <w:autoRedefine/>
    <w:qFormat/>
    <w:uiPriority w:val="0"/>
    <w:pPr>
      <w:ind w:left="200" w:leftChars="200" w:firstLine="200" w:firstLineChars="200"/>
    </w:pPr>
    <w:rPr>
      <w:rFonts w:ascii="宋体" w:hAnsi="宋体"/>
      <w:sz w:val="24"/>
    </w:rPr>
  </w:style>
  <w:style w:type="paragraph" w:customStyle="1" w:styleId="157">
    <w:name w:val="表图名称"/>
    <w:link w:val="428"/>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paragraph" w:customStyle="1" w:styleId="158">
    <w:name w:val="表格文字图表文字"/>
    <w:basedOn w:val="1"/>
    <w:link w:val="430"/>
    <w:autoRedefine/>
    <w:qFormat/>
    <w:uiPriority w:val="0"/>
    <w:pPr>
      <w:snapToGrid w:val="0"/>
      <w:ind w:firstLine="200" w:firstLineChars="200"/>
      <w:jc w:val="center"/>
    </w:pPr>
    <w:rPr>
      <w:color w:val="7030A0"/>
    </w:rPr>
  </w:style>
  <w:style w:type="paragraph" w:customStyle="1" w:styleId="159">
    <w:name w:val="xl51"/>
    <w:basedOn w:val="1"/>
    <w:autoRedefine/>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160">
    <w:name w:val="通用"/>
    <w:basedOn w:val="1"/>
    <w:autoRedefine/>
    <w:qFormat/>
    <w:uiPriority w:val="0"/>
    <w:pPr>
      <w:spacing w:line="360" w:lineRule="auto"/>
      <w:ind w:left="840" w:leftChars="400"/>
    </w:pPr>
    <w:rPr>
      <w:rFonts w:ascii="宋体" w:hAnsi="宋体"/>
      <w:szCs w:val="20"/>
    </w:rPr>
  </w:style>
  <w:style w:type="paragraph" w:customStyle="1" w:styleId="161">
    <w:name w:val="样式 目录 1 + 首行缩进:  2 字符"/>
    <w:basedOn w:val="1"/>
    <w:autoRedefine/>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162">
    <w:name w:val="1"/>
    <w:basedOn w:val="1"/>
    <w:next w:val="108"/>
    <w:autoRedefine/>
    <w:qFormat/>
    <w:uiPriority w:val="0"/>
    <w:pPr>
      <w:spacing w:after="120" w:line="480" w:lineRule="auto"/>
      <w:ind w:firstLine="200" w:firstLineChars="200"/>
      <w:jc w:val="left"/>
    </w:pPr>
    <w:rPr>
      <w:color w:val="7030A0"/>
    </w:rPr>
  </w:style>
  <w:style w:type="paragraph" w:customStyle="1" w:styleId="16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164">
    <w:name w:val="Footer First"/>
    <w:basedOn w:val="34"/>
    <w:autoRedefine/>
    <w:qFormat/>
    <w:uiPriority w:val="0"/>
    <w:pPr>
      <w:keepLines/>
      <w:widowControl/>
      <w:tabs>
        <w:tab w:val="clear" w:pos="4153"/>
        <w:tab w:val="clear" w:pos="8306"/>
      </w:tabs>
      <w:snapToGrid/>
      <w:spacing w:line="300" w:lineRule="exact"/>
      <w:jc w:val="center"/>
    </w:pPr>
    <w:rPr>
      <w:rFonts w:ascii="Univers" w:hAnsi="Univers"/>
      <w:kern w:val="0"/>
      <w:sz w:val="22"/>
      <w:szCs w:val="20"/>
    </w:rPr>
  </w:style>
  <w:style w:type="paragraph" w:customStyle="1" w:styleId="165">
    <w:name w:val="zhengwen"/>
    <w:basedOn w:val="1"/>
    <w:autoRedefine/>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166">
    <w:name w:val="样式 宋体 行距: 1.5 倍行距"/>
    <w:basedOn w:val="1"/>
    <w:autoRedefine/>
    <w:qFormat/>
    <w:uiPriority w:val="0"/>
    <w:pPr>
      <w:ind w:firstLine="200" w:firstLineChars="200"/>
      <w:jc w:val="left"/>
    </w:pPr>
    <w:rPr>
      <w:rFonts w:ascii="宋体" w:hAnsi="宋体"/>
      <w:color w:val="7030A0"/>
      <w:szCs w:val="20"/>
    </w:rPr>
  </w:style>
  <w:style w:type="paragraph" w:customStyle="1" w:styleId="167">
    <w:name w:val="样式 左侧:  2 字符 段前: 0.5 行"/>
    <w:basedOn w:val="1"/>
    <w:autoRedefine/>
    <w:qFormat/>
    <w:uiPriority w:val="0"/>
    <w:pPr>
      <w:spacing w:beforeLines="50"/>
      <w:ind w:firstLine="200" w:firstLineChars="200"/>
    </w:pPr>
    <w:rPr>
      <w:rFonts w:ascii="宋体" w:cs="宋体"/>
      <w:sz w:val="24"/>
      <w:szCs w:val="20"/>
    </w:rPr>
  </w:style>
  <w:style w:type="paragraph" w:customStyle="1" w:styleId="168">
    <w:name w:val="八级正文格式"/>
    <w:basedOn w:val="148"/>
    <w:autoRedefine/>
    <w:qFormat/>
    <w:uiPriority w:val="0"/>
    <w:pPr>
      <w:spacing w:after="120"/>
      <w:ind w:firstLine="0" w:firstLineChars="0"/>
    </w:pPr>
  </w:style>
  <w:style w:type="paragraph" w:customStyle="1" w:styleId="169">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170">
    <w:name w:val="样式 样式 列表框 Char Char Char Char Char + 段后: 0.5 行 + 左侧:  6 字符 首行缩进..."/>
    <w:basedOn w:val="171"/>
    <w:autoRedefine/>
    <w:qFormat/>
    <w:uiPriority w:val="0"/>
    <w:pPr>
      <w:tabs>
        <w:tab w:val="left" w:pos="420"/>
        <w:tab w:val="left" w:pos="2297"/>
      </w:tabs>
      <w:ind w:left="2297" w:leftChars="0" w:hanging="420" w:firstLineChars="0"/>
    </w:pPr>
  </w:style>
  <w:style w:type="paragraph" w:customStyle="1" w:styleId="171">
    <w:name w:val="样式 列表框 Char Char Char Char Char + 段后: 0.5 行"/>
    <w:basedOn w:val="172"/>
    <w:autoRedefine/>
    <w:qFormat/>
    <w:uiPriority w:val="0"/>
    <w:pPr>
      <w:tabs>
        <w:tab w:val="left" w:pos="420"/>
      </w:tabs>
      <w:spacing w:after="156"/>
    </w:pPr>
    <w:rPr>
      <w:szCs w:val="20"/>
    </w:rPr>
  </w:style>
  <w:style w:type="paragraph" w:customStyle="1" w:styleId="172">
    <w:name w:val="正常文本 Char Char Char Char Char Char Char Char Char Char Char Char Char Char"/>
    <w:basedOn w:val="1"/>
    <w:autoRedefine/>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17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74">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7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176">
    <w:name w:val="xl7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77">
    <w:name w:val="正文111"/>
    <w:basedOn w:val="1"/>
    <w:autoRedefine/>
    <w:qFormat/>
    <w:uiPriority w:val="0"/>
    <w:pPr>
      <w:tabs>
        <w:tab w:val="left" w:pos="840"/>
      </w:tabs>
      <w:snapToGrid w:val="0"/>
      <w:spacing w:line="500" w:lineRule="exact"/>
      <w:ind w:left="840" w:hanging="420"/>
    </w:pPr>
    <w:rPr>
      <w:rFonts w:ascii="宋体" w:hAnsi="宋体"/>
      <w:sz w:val="24"/>
      <w:szCs w:val="20"/>
    </w:rPr>
  </w:style>
  <w:style w:type="paragraph" w:customStyle="1" w:styleId="178">
    <w:name w:val="正文文本缩进 211"/>
    <w:basedOn w:val="1"/>
    <w:autoRedefine/>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179">
    <w:name w:val="批注框文本1"/>
    <w:basedOn w:val="1"/>
    <w:autoRedefine/>
    <w:qFormat/>
    <w:uiPriority w:val="0"/>
    <w:rPr>
      <w:sz w:val="16"/>
      <w:szCs w:val="16"/>
    </w:rPr>
  </w:style>
  <w:style w:type="paragraph" w:customStyle="1" w:styleId="180">
    <w:name w:val="*"/>
    <w:basedOn w:val="1"/>
    <w:autoRedefine/>
    <w:qFormat/>
    <w:uiPriority w:val="0"/>
    <w:pPr>
      <w:spacing w:line="360" w:lineRule="auto"/>
    </w:pPr>
    <w:rPr>
      <w:rFonts w:ascii="宋体" w:hAnsi="宋体"/>
      <w:kern w:val="0"/>
      <w:sz w:val="24"/>
    </w:rPr>
  </w:style>
  <w:style w:type="paragraph" w:customStyle="1" w:styleId="18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182">
    <w:name w:val="表格标题"/>
    <w:basedOn w:val="8"/>
    <w:autoRedefine/>
    <w:qFormat/>
    <w:uiPriority w:val="0"/>
    <w:pPr>
      <w:tabs>
        <w:tab w:val="clear" w:pos="1008"/>
      </w:tabs>
      <w:spacing w:before="0" w:after="0" w:line="240" w:lineRule="auto"/>
      <w:ind w:left="0" w:firstLine="0"/>
      <w:jc w:val="center"/>
      <w:outlineLvl w:val="8"/>
    </w:pPr>
    <w:rPr>
      <w:b w:val="0"/>
      <w:sz w:val="21"/>
      <w:lang w:val="zh-CN"/>
    </w:rPr>
  </w:style>
  <w:style w:type="paragraph" w:customStyle="1" w:styleId="183">
    <w:name w:val="七级标题格式"/>
    <w:basedOn w:val="1"/>
    <w:autoRedefine/>
    <w:qFormat/>
    <w:uiPriority w:val="0"/>
    <w:pPr>
      <w:spacing w:afterLines="50" w:line="336" w:lineRule="auto"/>
      <w:ind w:firstLine="200" w:firstLineChars="200"/>
      <w:jc w:val="left"/>
      <w:outlineLvl w:val="6"/>
    </w:pPr>
    <w:rPr>
      <w:color w:val="7030A0"/>
      <w:sz w:val="24"/>
    </w:rPr>
  </w:style>
  <w:style w:type="paragraph" w:customStyle="1" w:styleId="184">
    <w:name w:val="Part Title"/>
    <w:basedOn w:val="1"/>
    <w:next w:val="1"/>
    <w:autoRedefine/>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185">
    <w:name w:val="表格文字"/>
    <w:basedOn w:val="158"/>
    <w:autoRedefine/>
    <w:qFormat/>
    <w:uiPriority w:val="0"/>
  </w:style>
  <w:style w:type="paragraph" w:customStyle="1" w:styleId="186">
    <w:name w:val="二级标题格式"/>
    <w:basedOn w:val="4"/>
    <w:autoRedefine/>
    <w:qFormat/>
    <w:uiPriority w:val="0"/>
    <w:pPr>
      <w:spacing w:before="0" w:afterLines="100" w:line="240" w:lineRule="auto"/>
      <w:jc w:val="left"/>
    </w:pPr>
    <w:rPr>
      <w:rFonts w:ascii="Times New Roman" w:hAnsi="Times New Roman"/>
      <w:b w:val="0"/>
      <w:color w:val="C00000"/>
      <w:sz w:val="28"/>
      <w:szCs w:val="28"/>
    </w:rPr>
  </w:style>
  <w:style w:type="paragraph" w:customStyle="1" w:styleId="187">
    <w:name w:val="样式 标题 1标题 1 1编号标题1标题1 + 宋体 加粗"/>
    <w:basedOn w:val="2"/>
    <w:autoRedefine/>
    <w:qFormat/>
    <w:uiPriority w:val="0"/>
    <w:pPr>
      <w:tabs>
        <w:tab w:val="clear" w:pos="1440"/>
      </w:tabs>
      <w:spacing w:before="240" w:afterLines="50" w:line="360" w:lineRule="exact"/>
      <w:ind w:left="1304" w:hanging="1304"/>
      <w:jc w:val="left"/>
    </w:pPr>
    <w:rPr>
      <w:rFonts w:ascii="宋体" w:hAnsi="宋体" w:cs="Arial"/>
      <w:sz w:val="28"/>
      <w:szCs w:val="28"/>
    </w:rPr>
  </w:style>
  <w:style w:type="paragraph" w:customStyle="1" w:styleId="188">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9">
    <w:name w:val="列表框 Char Char Char Char Char"/>
    <w:basedOn w:val="172"/>
    <w:next w:val="172"/>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190">
    <w:name w:val="Subhead 1"/>
    <w:basedOn w:val="1"/>
    <w:autoRedefine/>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19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9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3">
    <w:name w:val="Sprechblasentext"/>
    <w:basedOn w:val="1"/>
    <w:autoRedefine/>
    <w:qFormat/>
    <w:uiPriority w:val="0"/>
    <w:pPr>
      <w:spacing w:line="300" w:lineRule="atLeast"/>
      <w:ind w:firstLine="709"/>
    </w:pPr>
    <w:rPr>
      <w:rFonts w:ascii="Tahoma" w:hAnsi="Tahoma" w:cs="Tahoma"/>
      <w:sz w:val="16"/>
      <w:szCs w:val="16"/>
    </w:rPr>
  </w:style>
  <w:style w:type="paragraph" w:customStyle="1" w:styleId="194">
    <w:name w:val="p0"/>
    <w:basedOn w:val="1"/>
    <w:autoRedefine/>
    <w:qFormat/>
    <w:uiPriority w:val="0"/>
    <w:pPr>
      <w:widowControl/>
    </w:pPr>
    <w:rPr>
      <w:kern w:val="0"/>
      <w:szCs w:val="21"/>
    </w:rPr>
  </w:style>
  <w:style w:type="paragraph" w:customStyle="1" w:styleId="195">
    <w:name w:val="样式 样式 标题 3 + 段前: 1 行 段后: 0.5 行 + 段前: 1 行 段后: 0.5 行"/>
    <w:basedOn w:val="1"/>
    <w:autoRedefine/>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196">
    <w:name w:val="表格正文"/>
    <w:basedOn w:val="1"/>
    <w:autoRedefine/>
    <w:qFormat/>
    <w:uiPriority w:val="0"/>
    <w:pPr>
      <w:adjustRightInd w:val="0"/>
      <w:snapToGrid w:val="0"/>
      <w:jc w:val="center"/>
    </w:pPr>
    <w:rPr>
      <w:color w:val="548DD4"/>
    </w:rPr>
  </w:style>
  <w:style w:type="paragraph" w:customStyle="1" w:styleId="197">
    <w:name w:val="样式1"/>
    <w:basedOn w:val="35"/>
    <w:next w:val="1"/>
    <w:autoRedefine/>
    <w:qFormat/>
    <w:uiPriority w:val="0"/>
    <w:pPr>
      <w:jc w:val="left"/>
    </w:pPr>
  </w:style>
  <w:style w:type="paragraph" w:customStyle="1" w:styleId="198">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00">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01">
    <w:name w:val="Body text 1"/>
    <w:basedOn w:val="1"/>
    <w:autoRedefine/>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20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03">
    <w:name w:val="一级标题"/>
    <w:autoRedefine/>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204">
    <w:name w:val="xl7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205">
    <w:name w:val="默认段落字体 Para Char Char Char Char Char Char Char"/>
    <w:basedOn w:val="1"/>
    <w:autoRedefine/>
    <w:qFormat/>
    <w:uiPriority w:val="0"/>
    <w:pPr>
      <w:tabs>
        <w:tab w:val="left" w:pos="4665"/>
        <w:tab w:val="left" w:pos="8970"/>
      </w:tabs>
      <w:ind w:firstLine="400"/>
    </w:pPr>
    <w:rPr>
      <w:szCs w:val="20"/>
    </w:rPr>
  </w:style>
  <w:style w:type="paragraph" w:customStyle="1" w:styleId="206">
    <w:name w:val="mjd"/>
    <w:basedOn w:val="1"/>
    <w:autoRedefine/>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07">
    <w:name w:val="xl40"/>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08">
    <w:name w:val="招标文件》"/>
    <w:basedOn w:val="209"/>
    <w:autoRedefine/>
    <w:qFormat/>
    <w:uiPriority w:val="0"/>
    <w:pPr>
      <w:tabs>
        <w:tab w:val="left" w:pos="560"/>
      </w:tabs>
      <w:ind w:left="200" w:firstLine="0" w:firstLineChars="0"/>
    </w:pPr>
  </w:style>
  <w:style w:type="paragraph" w:customStyle="1" w:styleId="209">
    <w:name w:val="招标文件正文"/>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10">
    <w:name w:val="Numbered List"/>
    <w:basedOn w:val="35"/>
    <w:autoRedefine/>
    <w:qFormat/>
    <w:uiPriority w:val="0"/>
    <w:pPr>
      <w:widowControl/>
      <w:pBdr>
        <w:bottom w:val="none" w:color="auto" w:sz="0" w:space="0"/>
      </w:pBdr>
      <w:tabs>
        <w:tab w:val="clear" w:pos="4153"/>
        <w:tab w:val="clear" w:pos="8306"/>
      </w:tabs>
      <w:snapToGrid/>
      <w:ind w:left="360" w:hanging="360"/>
      <w:jc w:val="left"/>
    </w:pPr>
    <w:rPr>
      <w:rFonts w:ascii="Univers" w:hAnsi="Univers"/>
      <w:kern w:val="0"/>
      <w:sz w:val="22"/>
      <w:szCs w:val="20"/>
    </w:rPr>
  </w:style>
  <w:style w:type="paragraph" w:customStyle="1" w:styleId="211">
    <w:name w:val="列出段落1"/>
    <w:basedOn w:val="1"/>
    <w:autoRedefine/>
    <w:qFormat/>
    <w:uiPriority w:val="0"/>
    <w:pPr>
      <w:ind w:firstLine="420" w:firstLineChars="200"/>
    </w:pPr>
    <w:rPr>
      <w:szCs w:val="20"/>
    </w:rPr>
  </w:style>
  <w:style w:type="paragraph" w:customStyle="1" w:styleId="212">
    <w:name w:val="font6"/>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13">
    <w:name w:val="font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214">
    <w:name w:val="xl52"/>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15">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16">
    <w:name w:val="Char1 Char Char1 Char Char Char Char Char Char"/>
    <w:basedOn w:val="1"/>
    <w:autoRedefine/>
    <w:qFormat/>
    <w:uiPriority w:val="0"/>
  </w:style>
  <w:style w:type="paragraph" w:customStyle="1" w:styleId="21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18">
    <w:name w:val="样式 标题 5 + 右侧:  -0.18 字符"/>
    <w:basedOn w:val="1"/>
    <w:autoRedefine/>
    <w:qFormat/>
    <w:uiPriority w:val="0"/>
    <w:pPr>
      <w:tabs>
        <w:tab w:val="left" w:pos="1008"/>
      </w:tabs>
      <w:ind w:left="1134" w:hanging="1134"/>
    </w:pPr>
  </w:style>
  <w:style w:type="paragraph" w:customStyle="1" w:styleId="219">
    <w:name w:val="xl24"/>
    <w:basedOn w:val="1"/>
    <w:autoRedefine/>
    <w:qFormat/>
    <w:uiPriority w:val="0"/>
    <w:pPr>
      <w:widowControl/>
      <w:spacing w:before="100" w:beforeAutospacing="1" w:after="100" w:afterAutospacing="1"/>
      <w:jc w:val="left"/>
    </w:pPr>
    <w:rPr>
      <w:kern w:val="0"/>
      <w:sz w:val="24"/>
    </w:rPr>
  </w:style>
  <w:style w:type="paragraph" w:customStyle="1" w:styleId="220">
    <w:name w:val="xl28"/>
    <w:basedOn w:val="1"/>
    <w:autoRedefine/>
    <w:qFormat/>
    <w:uiPriority w:val="0"/>
    <w:pPr>
      <w:widowControl/>
      <w:spacing w:before="100" w:beforeAutospacing="1" w:after="100" w:afterAutospacing="1"/>
      <w:jc w:val="center"/>
    </w:pPr>
    <w:rPr>
      <w:kern w:val="0"/>
      <w:sz w:val="24"/>
    </w:rPr>
  </w:style>
  <w:style w:type="paragraph" w:customStyle="1" w:styleId="221">
    <w:name w:val="默认段落字体 Para Char Char Char Char"/>
    <w:basedOn w:val="1"/>
    <w:autoRedefine/>
    <w:qFormat/>
    <w:uiPriority w:val="0"/>
    <w:rPr>
      <w:szCs w:val="20"/>
    </w:rPr>
  </w:style>
  <w:style w:type="paragraph" w:customStyle="1" w:styleId="222">
    <w:name w:val="註解方塊文字"/>
    <w:basedOn w:val="1"/>
    <w:autoRedefine/>
    <w:qFormat/>
    <w:uiPriority w:val="0"/>
    <w:pPr>
      <w:widowControl/>
      <w:jc w:val="left"/>
    </w:pPr>
    <w:rPr>
      <w:rFonts w:ascii="Arial" w:hAnsi="Arial" w:eastAsia="PMingLiU"/>
      <w:kern w:val="0"/>
      <w:sz w:val="18"/>
      <w:szCs w:val="18"/>
    </w:rPr>
  </w:style>
  <w:style w:type="paragraph" w:customStyle="1" w:styleId="223">
    <w:name w:val="标题四"/>
    <w:basedOn w:val="224"/>
    <w:autoRedefine/>
    <w:qFormat/>
    <w:uiPriority w:val="0"/>
    <w:pPr>
      <w:tabs>
        <w:tab w:val="left" w:pos="0"/>
      </w:tabs>
      <w:spacing w:line="360" w:lineRule="auto"/>
      <w:ind w:left="0"/>
    </w:pPr>
    <w:rPr>
      <w:rFonts w:ascii="Tahoma" w:hAnsi="Tahoma"/>
      <w:sz w:val="24"/>
      <w:szCs w:val="24"/>
    </w:rPr>
  </w:style>
  <w:style w:type="paragraph" w:customStyle="1" w:styleId="224">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25">
    <w:name w:val="font5"/>
    <w:basedOn w:val="1"/>
    <w:autoRedefine/>
    <w:qFormat/>
    <w:uiPriority w:val="0"/>
    <w:pPr>
      <w:widowControl/>
      <w:spacing w:before="100" w:beforeAutospacing="1" w:after="100" w:afterAutospacing="1"/>
      <w:jc w:val="left"/>
    </w:pPr>
    <w:rPr>
      <w:b/>
      <w:bCs/>
      <w:kern w:val="0"/>
      <w:sz w:val="22"/>
      <w:szCs w:val="22"/>
    </w:rPr>
  </w:style>
  <w:style w:type="paragraph" w:customStyle="1" w:styleId="226">
    <w:name w:val="Char Char Char Char Char"/>
    <w:basedOn w:val="1"/>
    <w:autoRedefine/>
    <w:qFormat/>
    <w:uiPriority w:val="0"/>
    <w:pPr>
      <w:ind w:firstLine="200" w:firstLineChars="200"/>
      <w:jc w:val="left"/>
    </w:pPr>
    <w:rPr>
      <w:rFonts w:ascii="Tahoma" w:hAnsi="Tahoma"/>
      <w:color w:val="7030A0"/>
      <w:sz w:val="24"/>
      <w:szCs w:val="20"/>
    </w:rPr>
  </w:style>
  <w:style w:type="paragraph" w:customStyle="1" w:styleId="227">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28">
    <w:name w:val="样式 标题 4 + 段前: 自动"/>
    <w:basedOn w:val="7"/>
    <w:autoRedefine/>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29">
    <w:name w:val="顺序编号-zlb"/>
    <w:basedOn w:val="230"/>
    <w:autoRedefine/>
    <w:qFormat/>
    <w:uiPriority w:val="0"/>
    <w:pPr>
      <w:tabs>
        <w:tab w:val="left" w:pos="0"/>
      </w:tabs>
      <w:ind w:firstLine="425"/>
      <w:outlineLvl w:val="8"/>
    </w:pPr>
  </w:style>
  <w:style w:type="paragraph" w:customStyle="1" w:styleId="230">
    <w:name w:val="级别4"/>
    <w:basedOn w:val="231"/>
    <w:autoRedefine/>
    <w:qFormat/>
    <w:uiPriority w:val="0"/>
    <w:pPr>
      <w:tabs>
        <w:tab w:val="left" w:pos="0"/>
      </w:tabs>
      <w:outlineLvl w:val="3"/>
    </w:pPr>
    <w:rPr>
      <w:b w:val="0"/>
      <w:kern w:val="0"/>
    </w:rPr>
  </w:style>
  <w:style w:type="paragraph" w:customStyle="1" w:styleId="231">
    <w:name w:val="级别2"/>
    <w:basedOn w:val="2"/>
    <w:autoRedefine/>
    <w:qFormat/>
    <w:uiPriority w:val="0"/>
    <w:pPr>
      <w:tabs>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3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3">
    <w:name w:val="专用"/>
    <w:basedOn w:val="1"/>
    <w:autoRedefine/>
    <w:qFormat/>
    <w:uiPriority w:val="0"/>
    <w:pPr>
      <w:spacing w:afterLines="100"/>
      <w:ind w:left="838" w:hanging="838" w:hangingChars="262"/>
    </w:pPr>
    <w:rPr>
      <w:rFonts w:ascii="宋体"/>
      <w:b/>
      <w:color w:val="000000"/>
      <w:sz w:val="32"/>
      <w:szCs w:val="20"/>
    </w:rPr>
  </w:style>
  <w:style w:type="paragraph" w:customStyle="1" w:styleId="234">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235">
    <w:name w:val="xl56"/>
    <w:basedOn w:val="1"/>
    <w:autoRedefine/>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6">
    <w:name w:val="llp2"/>
    <w:basedOn w:val="1"/>
    <w:autoRedefine/>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37">
    <w:name w:val="Sub title 1"/>
    <w:basedOn w:val="217"/>
    <w:autoRedefine/>
    <w:qFormat/>
    <w:uiPriority w:val="0"/>
    <w:pPr>
      <w:tabs>
        <w:tab w:val="left" w:pos="1304"/>
      </w:tabs>
      <w:ind w:left="1304" w:hanging="170"/>
    </w:pPr>
    <w:rPr>
      <w:color w:val="auto"/>
    </w:rPr>
  </w:style>
  <w:style w:type="paragraph" w:customStyle="1" w:styleId="238">
    <w:name w:val="xl47"/>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9">
    <w:name w:val="样式 样式 首行缩进:  2 字符 + 首行缩进:  2 字符"/>
    <w:basedOn w:val="1"/>
    <w:autoRedefine/>
    <w:qFormat/>
    <w:uiPriority w:val="0"/>
    <w:pPr>
      <w:spacing w:line="360" w:lineRule="auto"/>
      <w:ind w:firstLine="200" w:firstLineChars="200"/>
      <w:jc w:val="left"/>
    </w:pPr>
    <w:rPr>
      <w:rFonts w:cs="宋体"/>
      <w:color w:val="7030A0"/>
      <w:szCs w:val="20"/>
    </w:rPr>
  </w:style>
  <w:style w:type="paragraph" w:customStyle="1" w:styleId="240">
    <w:name w:val="正缩2字符"/>
    <w:basedOn w:val="1"/>
    <w:autoRedefine/>
    <w:qFormat/>
    <w:uiPriority w:val="0"/>
    <w:pPr>
      <w:spacing w:line="480" w:lineRule="exact"/>
      <w:ind w:firstLine="200" w:firstLineChars="200"/>
    </w:pPr>
    <w:rPr>
      <w:sz w:val="24"/>
    </w:rPr>
  </w:style>
  <w:style w:type="paragraph" w:customStyle="1" w:styleId="241">
    <w:name w:val="招标文件1.1.1.1"/>
    <w:basedOn w:val="1"/>
    <w:autoRedefine/>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42">
    <w:name w:val="样式 样式 宋体 小四 左侧:  1.85 厘米 段前: 11.15 磅 段后: 11.15 磅 + 图案: 清除 (白色)"/>
    <w:basedOn w:val="1"/>
    <w:autoRedefine/>
    <w:qFormat/>
    <w:uiPriority w:val="0"/>
    <w:pPr>
      <w:snapToGrid w:val="0"/>
      <w:ind w:left="1049" w:firstLine="200" w:firstLineChars="200"/>
      <w:jc w:val="left"/>
    </w:pPr>
    <w:rPr>
      <w:color w:val="7030A0"/>
      <w:sz w:val="24"/>
      <w:shd w:val="clear" w:color="auto" w:fill="FFFFFF"/>
    </w:rPr>
  </w:style>
  <w:style w:type="paragraph" w:customStyle="1" w:styleId="243">
    <w:name w:val="标书正文1"/>
    <w:basedOn w:val="1"/>
    <w:autoRedefine/>
    <w:qFormat/>
    <w:uiPriority w:val="0"/>
    <w:pPr>
      <w:tabs>
        <w:tab w:val="left" w:pos="1438"/>
      </w:tabs>
      <w:spacing w:before="100" w:after="100" w:line="360" w:lineRule="auto"/>
      <w:ind w:left="1438" w:hanging="720"/>
    </w:pPr>
    <w:rPr>
      <w:rFonts w:ascii="宋体" w:hAnsi="宋体"/>
    </w:rPr>
  </w:style>
  <w:style w:type="paragraph" w:customStyle="1" w:styleId="24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5">
    <w:name w:val="级别3"/>
    <w:basedOn w:val="231"/>
    <w:autoRedefine/>
    <w:qFormat/>
    <w:uiPriority w:val="0"/>
    <w:pPr>
      <w:ind w:firstLine="425"/>
      <w:outlineLvl w:val="2"/>
    </w:pPr>
    <w:rPr>
      <w:b w:val="0"/>
    </w:rPr>
  </w:style>
  <w:style w:type="paragraph" w:customStyle="1" w:styleId="246">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47">
    <w:name w:val="样式 标题 3列表编号33 bulletb23 bullet1b1213 bullet2b2223 bul...2"/>
    <w:basedOn w:val="1"/>
    <w:autoRedefine/>
    <w:qFormat/>
    <w:uiPriority w:val="0"/>
    <w:pPr>
      <w:ind w:left="1320" w:hanging="420" w:firstLineChars="200"/>
      <w:jc w:val="left"/>
    </w:pPr>
    <w:rPr>
      <w:color w:val="7030A0"/>
    </w:rPr>
  </w:style>
  <w:style w:type="paragraph" w:customStyle="1" w:styleId="248">
    <w:name w:val="xl53"/>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9">
    <w:name w:val="附图 BJ8"/>
    <w:basedOn w:val="1"/>
    <w:autoRedefine/>
    <w:qFormat/>
    <w:uiPriority w:val="0"/>
    <w:pPr>
      <w:adjustRightInd w:val="0"/>
      <w:snapToGrid w:val="0"/>
      <w:ind w:firstLine="200" w:firstLineChars="200"/>
      <w:jc w:val="center"/>
    </w:pPr>
    <w:rPr>
      <w:rFonts w:hAnsi="Arial"/>
      <w:color w:val="7030A0"/>
      <w:kern w:val="0"/>
    </w:rPr>
  </w:style>
  <w:style w:type="paragraph" w:customStyle="1" w:styleId="250">
    <w:name w:val="xl54"/>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1">
    <w:name w:val="招标文件1"/>
    <w:basedOn w:val="1"/>
    <w:autoRedefine/>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52">
    <w:name w:val="Report Level 1"/>
    <w:basedOn w:val="1"/>
    <w:next w:val="253"/>
    <w:autoRedefine/>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rPr>
  </w:style>
  <w:style w:type="paragraph" w:customStyle="1" w:styleId="253">
    <w:name w:val="Report Text"/>
    <w:basedOn w:val="1"/>
    <w:autoRedefine/>
    <w:qFormat/>
    <w:uiPriority w:val="0"/>
    <w:pPr>
      <w:widowControl/>
      <w:spacing w:after="138"/>
      <w:ind w:left="1080" w:firstLine="200" w:firstLineChars="200"/>
      <w:jc w:val="left"/>
    </w:pPr>
    <w:rPr>
      <w:color w:val="7030A0"/>
      <w:kern w:val="0"/>
      <w:sz w:val="22"/>
      <w:szCs w:val="20"/>
      <w:lang w:eastAsia="en-US"/>
    </w:rPr>
  </w:style>
  <w:style w:type="paragraph" w:customStyle="1" w:styleId="254">
    <w:name w:val="xl59"/>
    <w:basedOn w:val="1"/>
    <w:autoRedefine/>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5">
    <w:name w:val="xl45"/>
    <w:basedOn w:val="1"/>
    <w:autoRedefine/>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256">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57">
    <w:name w:val="xl58"/>
    <w:basedOn w:val="1"/>
    <w:autoRedefine/>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8">
    <w:name w:val="级别5"/>
    <w:basedOn w:val="230"/>
    <w:autoRedefine/>
    <w:qFormat/>
    <w:uiPriority w:val="0"/>
    <w:pPr>
      <w:outlineLvl w:val="4"/>
    </w:pPr>
  </w:style>
  <w:style w:type="paragraph" w:customStyle="1" w:styleId="259">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260">
    <w:name w:val="级别1"/>
    <w:basedOn w:val="2"/>
    <w:autoRedefine/>
    <w:qFormat/>
    <w:uiPriority w:val="0"/>
    <w:pPr>
      <w:tabs>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261">
    <w:name w:val="纯文本1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262">
    <w:name w:val="应答文本"/>
    <w:basedOn w:val="1"/>
    <w:autoRedefine/>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263">
    <w:name w:val="标准"/>
    <w:basedOn w:val="1"/>
    <w:autoRedefine/>
    <w:qFormat/>
    <w:uiPriority w:val="0"/>
    <w:pPr>
      <w:adjustRightInd w:val="0"/>
      <w:spacing w:line="312" w:lineRule="atLeast"/>
      <w:jc w:val="center"/>
      <w:textAlignment w:val="baseline"/>
    </w:pPr>
    <w:rPr>
      <w:kern w:val="24"/>
      <w:sz w:val="24"/>
    </w:rPr>
  </w:style>
  <w:style w:type="paragraph" w:customStyle="1" w:styleId="264">
    <w:name w:val="1.1"/>
    <w:basedOn w:val="4"/>
    <w:autoRedefine/>
    <w:qFormat/>
    <w:uiPriority w:val="0"/>
    <w:pPr>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265">
    <w:name w:val="Char Char Char Char"/>
    <w:basedOn w:val="86"/>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6">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267">
    <w:name w:val="Char Char Char Char Char Char1 Char Char Char Char"/>
    <w:basedOn w:val="1"/>
    <w:autoRedefine/>
    <w:qFormat/>
    <w:uiPriority w:val="0"/>
    <w:rPr>
      <w:rFonts w:ascii="仿宋_GB2312" w:eastAsia="仿宋_GB2312"/>
      <w:b/>
      <w:sz w:val="32"/>
      <w:szCs w:val="32"/>
    </w:rPr>
  </w:style>
  <w:style w:type="paragraph" w:customStyle="1" w:styleId="268">
    <w:name w:val="xl32"/>
    <w:basedOn w:val="1"/>
    <w:autoRedefine/>
    <w:qFormat/>
    <w:uiPriority w:val="0"/>
    <w:pPr>
      <w:widowControl/>
      <w:spacing w:before="100" w:beforeAutospacing="1" w:after="100" w:afterAutospacing="1"/>
      <w:jc w:val="center"/>
    </w:pPr>
    <w:rPr>
      <w:b/>
      <w:bCs/>
      <w:kern w:val="0"/>
      <w:sz w:val="24"/>
      <w:u w:val="single"/>
    </w:rPr>
  </w:style>
  <w:style w:type="paragraph" w:customStyle="1" w:styleId="26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70">
    <w:name w:val="图1"/>
    <w:basedOn w:val="1"/>
    <w:next w:val="1"/>
    <w:autoRedefine/>
    <w:qFormat/>
    <w:uiPriority w:val="0"/>
    <w:pPr>
      <w:tabs>
        <w:tab w:val="left" w:pos="1440"/>
      </w:tabs>
      <w:spacing w:beforeLines="50" w:afterLines="100" w:line="360" w:lineRule="auto"/>
      <w:ind w:left="1105" w:hanging="748"/>
      <w:jc w:val="center"/>
    </w:pPr>
    <w:rPr>
      <w:kern w:val="0"/>
    </w:rPr>
  </w:style>
  <w:style w:type="paragraph" w:customStyle="1" w:styleId="271">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72">
    <w:name w:val="级别6"/>
    <w:basedOn w:val="258"/>
    <w:autoRedefine/>
    <w:qFormat/>
    <w:uiPriority w:val="0"/>
    <w:pPr>
      <w:tabs>
        <w:tab w:val="left" w:pos="405"/>
      </w:tabs>
      <w:ind w:left="409" w:hanging="23"/>
      <w:outlineLvl w:val="5"/>
    </w:pPr>
  </w:style>
  <w:style w:type="paragraph" w:customStyle="1" w:styleId="273">
    <w:name w:val="tll"/>
    <w:basedOn w:val="1"/>
    <w:autoRedefine/>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274">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5">
    <w:name w:val="样式 标题 2标题 1.1head:2#2 headlinehheadlineS&amp;R2ERMH2Head 2 +..."/>
    <w:basedOn w:val="4"/>
    <w:autoRedefine/>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276">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77">
    <w:name w:val="样式4"/>
    <w:basedOn w:val="1"/>
    <w:next w:val="4"/>
    <w:autoRedefine/>
    <w:qFormat/>
    <w:uiPriority w:val="0"/>
    <w:pPr>
      <w:tabs>
        <w:tab w:val="left" w:pos="360"/>
      </w:tabs>
      <w:spacing w:line="360" w:lineRule="auto"/>
      <w:ind w:left="360" w:hanging="360"/>
    </w:pPr>
    <w:rPr>
      <w:rFonts w:ascii="宋体" w:hAnsi="宋体"/>
      <w:b/>
      <w:sz w:val="28"/>
      <w:szCs w:val="20"/>
    </w:rPr>
  </w:style>
  <w:style w:type="paragraph" w:customStyle="1" w:styleId="278">
    <w:name w:val="一"/>
    <w:basedOn w:val="2"/>
    <w:autoRedefine/>
    <w:qFormat/>
    <w:uiPriority w:val="0"/>
    <w:pPr>
      <w:autoSpaceDE w:val="0"/>
      <w:autoSpaceDN w:val="0"/>
      <w:adjustRightInd w:val="0"/>
      <w:spacing w:before="0" w:after="0" w:line="360" w:lineRule="auto"/>
      <w:jc w:val="left"/>
    </w:pPr>
    <w:rPr>
      <w:rFonts w:ascii="宋体" w:hAnsi="宋体"/>
      <w:kern w:val="0"/>
      <w:sz w:val="28"/>
      <w:szCs w:val="20"/>
    </w:rPr>
  </w:style>
  <w:style w:type="paragraph" w:customStyle="1" w:styleId="279">
    <w:name w:val="样式 样式 正文段落 + 段前: 0.2 行 + 段前: 0.5 行"/>
    <w:basedOn w:val="1"/>
    <w:autoRedefine/>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280">
    <w:name w:val="xl50"/>
    <w:basedOn w:val="1"/>
    <w:autoRedefine/>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81">
    <w:name w:val="font0"/>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282">
    <w:name w:val="xl49"/>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83">
    <w:name w:val="三点段 Char"/>
    <w:basedOn w:val="1"/>
    <w:autoRedefine/>
    <w:qFormat/>
    <w:uiPriority w:val="0"/>
    <w:pPr>
      <w:spacing w:line="360" w:lineRule="auto"/>
      <w:ind w:left="1200" w:hanging="1200" w:hangingChars="500"/>
    </w:pPr>
    <w:rPr>
      <w:rFonts w:hint="eastAsia" w:ascii="宋体"/>
      <w:sz w:val="24"/>
    </w:rPr>
  </w:style>
  <w:style w:type="paragraph" w:customStyle="1" w:styleId="284">
    <w:name w:val="样式2"/>
    <w:basedOn w:val="1"/>
    <w:autoRedefine/>
    <w:qFormat/>
    <w:uiPriority w:val="0"/>
    <w:pPr>
      <w:adjustRightInd w:val="0"/>
      <w:spacing w:before="120" w:after="120" w:line="312" w:lineRule="atLeast"/>
      <w:jc w:val="center"/>
      <w:textAlignment w:val="baseline"/>
    </w:pPr>
    <w:rPr>
      <w:kern w:val="0"/>
      <w:sz w:val="24"/>
      <w:szCs w:val="20"/>
    </w:rPr>
  </w:style>
  <w:style w:type="paragraph" w:customStyle="1" w:styleId="285">
    <w:name w:val="小标题一"/>
    <w:basedOn w:val="1"/>
    <w:next w:val="1"/>
    <w:autoRedefine/>
    <w:qFormat/>
    <w:uiPriority w:val="0"/>
    <w:pPr>
      <w:tabs>
        <w:tab w:val="left" w:pos="1080"/>
      </w:tabs>
      <w:spacing w:line="500" w:lineRule="exact"/>
      <w:ind w:left="1080" w:hanging="1080"/>
    </w:pPr>
    <w:rPr>
      <w:sz w:val="28"/>
      <w:szCs w:val="20"/>
    </w:rPr>
  </w:style>
  <w:style w:type="paragraph" w:customStyle="1" w:styleId="286">
    <w:name w:val="Char"/>
    <w:basedOn w:val="1"/>
    <w:autoRedefine/>
    <w:qFormat/>
    <w:uiPriority w:val="0"/>
    <w:rPr>
      <w:rFonts w:ascii="仿宋_GB2312" w:eastAsia="仿宋_GB2312"/>
      <w:b/>
      <w:sz w:val="32"/>
      <w:szCs w:val="32"/>
    </w:rPr>
  </w:style>
  <w:style w:type="paragraph" w:customStyle="1" w:styleId="287">
    <w:name w:val="文档正文"/>
    <w:basedOn w:val="1"/>
    <w:autoRedefine/>
    <w:qFormat/>
    <w:uiPriority w:val="0"/>
    <w:pPr>
      <w:spacing w:line="360" w:lineRule="auto"/>
      <w:ind w:firstLine="200" w:firstLineChars="200"/>
    </w:pPr>
    <w:rPr>
      <w:rFonts w:ascii="宋体" w:hAnsi="宋体"/>
      <w:sz w:val="24"/>
    </w:rPr>
  </w:style>
  <w:style w:type="paragraph" w:customStyle="1" w:styleId="288">
    <w:name w:val="标题1"/>
    <w:basedOn w:val="2"/>
    <w:autoRedefine/>
    <w:qFormat/>
    <w:uiPriority w:val="0"/>
    <w:pPr>
      <w:tabs>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289">
    <w:name w:val="合同书"/>
    <w:basedOn w:val="1"/>
    <w:autoRedefine/>
    <w:qFormat/>
    <w:uiPriority w:val="0"/>
    <w:pPr>
      <w:spacing w:afterLines="100"/>
      <w:jc w:val="center"/>
    </w:pPr>
    <w:rPr>
      <w:rFonts w:hAnsi="宋体"/>
      <w:b/>
      <w:color w:val="000000"/>
      <w:sz w:val="44"/>
      <w:szCs w:val="44"/>
    </w:rPr>
  </w:style>
  <w:style w:type="paragraph" w:customStyle="1" w:styleId="290">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91">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92">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293">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4">
    <w:name w:val="样式 目录 1 + 左侧:  3 字符"/>
    <w:basedOn w:val="36"/>
    <w:autoRedefine/>
    <w:qFormat/>
    <w:uiPriority w:val="0"/>
    <w:pPr>
      <w:tabs>
        <w:tab w:val="clear" w:pos="8778"/>
      </w:tabs>
      <w:snapToGrid/>
      <w:spacing w:line="240" w:lineRule="auto"/>
      <w:ind w:left="425" w:hanging="425"/>
    </w:pPr>
    <w:rPr>
      <w:bCs w:val="0"/>
      <w:iCs w:val="0"/>
      <w:caps w:val="0"/>
      <w:color w:val="7030A0"/>
      <w:kern w:val="2"/>
      <w:sz w:val="21"/>
      <w:szCs w:val="20"/>
    </w:rPr>
  </w:style>
  <w:style w:type="paragraph" w:customStyle="1" w:styleId="295">
    <w:name w:val="章节标题 BJ8"/>
    <w:basedOn w:val="153"/>
    <w:next w:val="153"/>
    <w:autoRedefine/>
    <w:qFormat/>
    <w:uiPriority w:val="0"/>
    <w:pPr>
      <w:ind w:firstLine="0" w:firstLineChars="0"/>
      <w:jc w:val="center"/>
    </w:pPr>
    <w:rPr>
      <w:rFonts w:eastAsia="黑体"/>
      <w:b/>
      <w:sz w:val="44"/>
      <w:szCs w:val="84"/>
    </w:rPr>
  </w:style>
  <w:style w:type="paragraph" w:customStyle="1" w:styleId="29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7">
    <w:name w:val="表格"/>
    <w:basedOn w:val="1"/>
    <w:autoRedefine/>
    <w:qFormat/>
    <w:uiPriority w:val="0"/>
    <w:pPr>
      <w:widowControl/>
      <w:snapToGrid w:val="0"/>
      <w:spacing w:before="60" w:after="60"/>
      <w:jc w:val="left"/>
    </w:pPr>
    <w:rPr>
      <w:rFonts w:ascii="宋体"/>
      <w:sz w:val="20"/>
      <w:szCs w:val="20"/>
    </w:rPr>
  </w:style>
  <w:style w:type="paragraph" w:customStyle="1" w:styleId="298">
    <w:name w:val="xl2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99">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1">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02">
    <w:name w:val="重点"/>
    <w:basedOn w:val="1"/>
    <w:autoRedefine/>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303">
    <w:name w:val="青岛正文"/>
    <w:basedOn w:val="1"/>
    <w:autoRedefine/>
    <w:qFormat/>
    <w:uiPriority w:val="0"/>
    <w:pPr>
      <w:spacing w:line="360" w:lineRule="auto"/>
    </w:pPr>
    <w:rPr>
      <w:sz w:val="28"/>
    </w:rPr>
  </w:style>
  <w:style w:type="paragraph" w:customStyle="1" w:styleId="304">
    <w:name w:val="样式 样式 列表框 Char Char Char Char Char + 右侧:  -0.05 字符 段后: 0.5 行 + 右..."/>
    <w:basedOn w:val="305"/>
    <w:autoRedefine/>
    <w:qFormat/>
    <w:uiPriority w:val="0"/>
    <w:pPr>
      <w:tabs>
        <w:tab w:val="left" w:pos="375"/>
        <w:tab w:val="left" w:pos="630"/>
      </w:tabs>
    </w:pPr>
  </w:style>
  <w:style w:type="paragraph" w:customStyle="1" w:styleId="305">
    <w:name w:val="样式 列表框 Char Char Char Char Char + 右侧:  -0.05 字符 段后: 0.5 行"/>
    <w:basedOn w:val="189"/>
    <w:autoRedefine/>
    <w:qFormat/>
    <w:uiPriority w:val="0"/>
    <w:pPr>
      <w:tabs>
        <w:tab w:val="clear" w:pos="450"/>
        <w:tab w:val="clear" w:pos="874"/>
      </w:tabs>
      <w:ind w:left="0" w:firstLine="0"/>
    </w:pPr>
    <w:rPr>
      <w:szCs w:val="20"/>
    </w:rPr>
  </w:style>
  <w:style w:type="paragraph" w:customStyle="1" w:styleId="306">
    <w:name w:val="xl39"/>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07">
    <w:name w:val="正文文本 211"/>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08">
    <w:name w:val="Report Heading"/>
    <w:basedOn w:val="1"/>
    <w:next w:val="1"/>
    <w:autoRedefine/>
    <w:qFormat/>
    <w:uiPriority w:val="0"/>
    <w:pPr>
      <w:keepNext/>
      <w:widowControl/>
      <w:spacing w:before="120" w:after="138"/>
      <w:ind w:left="1080" w:firstLine="200" w:firstLineChars="200"/>
      <w:jc w:val="left"/>
    </w:pPr>
    <w:rPr>
      <w:rFonts w:ascii="Arial" w:hAnsi="Arial"/>
      <w:b/>
      <w:color w:val="7030A0"/>
      <w:kern w:val="0"/>
      <w:sz w:val="22"/>
      <w:szCs w:val="20"/>
    </w:rPr>
  </w:style>
  <w:style w:type="paragraph" w:customStyle="1" w:styleId="309">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10">
    <w:name w:val="修订1"/>
    <w:autoRedefine/>
    <w:qFormat/>
    <w:uiPriority w:val="0"/>
    <w:rPr>
      <w:rFonts w:ascii="Times New Roman" w:hAnsi="Times New Roman" w:eastAsia="宋体" w:cs="Times New Roman"/>
      <w:kern w:val="2"/>
      <w:sz w:val="21"/>
      <w:lang w:val="en-US" w:eastAsia="zh-CN" w:bidi="ar-SA"/>
    </w:rPr>
  </w:style>
  <w:style w:type="paragraph" w:customStyle="1" w:styleId="311">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12">
    <w:name w:val="文档结构图2"/>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13">
    <w:name w:val="Char Char Char Char11"/>
    <w:basedOn w:val="1"/>
    <w:autoRedefine/>
    <w:qFormat/>
    <w:uiPriority w:val="0"/>
    <w:pPr>
      <w:ind w:firstLine="200" w:firstLineChars="200"/>
      <w:jc w:val="left"/>
    </w:pPr>
    <w:rPr>
      <w:rFonts w:ascii="仿宋_GB2312" w:eastAsia="仿宋_GB2312"/>
      <w:b/>
      <w:color w:val="7030A0"/>
      <w:sz w:val="32"/>
      <w:szCs w:val="32"/>
    </w:rPr>
  </w:style>
  <w:style w:type="paragraph" w:customStyle="1" w:styleId="314">
    <w:name w:val="样式 标题 2标题 1.1编号标题2head:2#2 headlinehheadlineS&amp;R2ERMH2He..."/>
    <w:basedOn w:val="4"/>
    <w:autoRedefine/>
    <w:qFormat/>
    <w:uiPriority w:val="0"/>
    <w:pPr>
      <w:spacing w:before="120" w:after="120" w:line="500" w:lineRule="exact"/>
      <w:jc w:val="left"/>
    </w:pPr>
    <w:rPr>
      <w:rFonts w:cs="宋体"/>
      <w:color w:val="C00000"/>
      <w:kern w:val="44"/>
      <w:sz w:val="28"/>
      <w:szCs w:val="20"/>
    </w:rPr>
  </w:style>
  <w:style w:type="paragraph" w:customStyle="1" w:styleId="315">
    <w:name w:val="章节标题 QD3"/>
    <w:basedOn w:val="152"/>
    <w:next w:val="152"/>
    <w:autoRedefine/>
    <w:qFormat/>
    <w:uiPriority w:val="0"/>
    <w:pPr>
      <w:ind w:firstLine="0" w:firstLineChars="0"/>
      <w:jc w:val="center"/>
    </w:pPr>
    <w:rPr>
      <w:rFonts w:eastAsia="黑体"/>
      <w:b/>
      <w:sz w:val="44"/>
      <w:szCs w:val="84"/>
    </w:rPr>
  </w:style>
  <w:style w:type="paragraph" w:customStyle="1" w:styleId="316">
    <w:name w:val="Char2"/>
    <w:basedOn w:val="1"/>
    <w:autoRedefine/>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17">
    <w:name w:val="xiao b"/>
    <w:basedOn w:val="1"/>
    <w:autoRedefine/>
    <w:qFormat/>
    <w:uiPriority w:val="0"/>
    <w:pPr>
      <w:ind w:firstLine="200" w:firstLineChars="200"/>
      <w:jc w:val="center"/>
    </w:pPr>
    <w:rPr>
      <w:rFonts w:eastAsia="黑体"/>
      <w:color w:val="7030A0"/>
      <w:sz w:val="24"/>
      <w:szCs w:val="20"/>
    </w:rPr>
  </w:style>
  <w:style w:type="paragraph" w:customStyle="1" w:styleId="318">
    <w:name w:val="样式 标题 4 + 加粗"/>
    <w:basedOn w:val="7"/>
    <w:autoRedefine/>
    <w:qFormat/>
    <w:uiPriority w:val="0"/>
    <w:pPr>
      <w:spacing w:before="120" w:after="0" w:line="240" w:lineRule="auto"/>
      <w:jc w:val="left"/>
    </w:pPr>
    <w:rPr>
      <w:rFonts w:ascii="Times New Roman" w:hAnsi="Times New Roman"/>
      <w:b w:val="0"/>
      <w:color w:val="00B050"/>
      <w:sz w:val="24"/>
    </w:rPr>
  </w:style>
  <w:style w:type="paragraph" w:customStyle="1" w:styleId="319">
    <w:name w:val="Plain Text1"/>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20">
    <w:name w:val="Char Char Char Char1"/>
    <w:basedOn w:val="1"/>
    <w:autoRedefine/>
    <w:qFormat/>
    <w:uiPriority w:val="0"/>
    <w:pPr>
      <w:ind w:firstLine="200" w:firstLineChars="200"/>
      <w:jc w:val="left"/>
    </w:pPr>
    <w:rPr>
      <w:rFonts w:ascii="仿宋_GB2312" w:eastAsia="仿宋_GB2312"/>
      <w:b/>
      <w:color w:val="7030A0"/>
      <w:sz w:val="32"/>
      <w:szCs w:val="32"/>
    </w:rPr>
  </w:style>
  <w:style w:type="paragraph" w:customStyle="1" w:styleId="321">
    <w:name w:val="Plain Text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22">
    <w:name w:val="正文2"/>
    <w:basedOn w:val="5"/>
    <w:autoRedefine/>
    <w:qFormat/>
    <w:uiPriority w:val="0"/>
    <w:pPr>
      <w:ind w:firstLine="480" w:firstLineChars="200"/>
      <w:jc w:val="left"/>
    </w:pPr>
    <w:rPr>
      <w:rFonts w:ascii="宋体"/>
      <w:color w:val="7030A0"/>
    </w:rPr>
  </w:style>
  <w:style w:type="paragraph" w:customStyle="1" w:styleId="323">
    <w:name w:val="列表框1"/>
    <w:basedOn w:val="262"/>
    <w:next w:val="262"/>
    <w:autoRedefine/>
    <w:qFormat/>
    <w:uiPriority w:val="0"/>
    <w:pPr>
      <w:tabs>
        <w:tab w:val="left" w:pos="960"/>
        <w:tab w:val="left" w:pos="1314"/>
      </w:tabs>
      <w:snapToGrid w:val="0"/>
      <w:ind w:left="1328" w:leftChars="397" w:hanging="375" w:hangingChars="163"/>
    </w:pPr>
    <w:rPr>
      <w:rFonts w:cs="Arial"/>
    </w:rPr>
  </w:style>
  <w:style w:type="paragraph" w:customStyle="1" w:styleId="324">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25">
    <w:name w:val="五级"/>
    <w:basedOn w:val="4"/>
    <w:autoRedefine/>
    <w:qFormat/>
    <w:uiPriority w:val="0"/>
    <w:pPr>
      <w:tabs>
        <w:tab w:val="left" w:pos="851"/>
      </w:tabs>
      <w:spacing w:before="0" w:after="0" w:line="360" w:lineRule="auto"/>
      <w:ind w:left="851" w:hanging="851"/>
      <w:jc w:val="left"/>
    </w:pPr>
    <w:rPr>
      <w:rFonts w:ascii="宋体" w:hAnsi="宋体" w:eastAsia="宋体"/>
      <w:b w:val="0"/>
      <w:color w:val="C00000"/>
      <w:sz w:val="24"/>
    </w:rPr>
  </w:style>
  <w:style w:type="paragraph" w:customStyle="1" w:styleId="326">
    <w:name w:val="1."/>
    <w:basedOn w:val="1"/>
    <w:autoRedefine/>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27">
    <w:name w:val="xl57"/>
    <w:basedOn w:val="1"/>
    <w:autoRedefine/>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8">
    <w:name w:val="正文点缩进"/>
    <w:basedOn w:val="1"/>
    <w:autoRedefine/>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29">
    <w:name w:val="xl41"/>
    <w:basedOn w:val="1"/>
    <w:autoRedefine/>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30">
    <w:name w:val="样式 左侧:  2 字符 首行缩进:  0.85 厘米"/>
    <w:basedOn w:val="1"/>
    <w:autoRedefine/>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31">
    <w:name w:val="xl55"/>
    <w:basedOn w:val="1"/>
    <w:autoRedefine/>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2">
    <w:name w:val="Char Char Char Char Char Char Char Char"/>
    <w:basedOn w:val="1"/>
    <w:autoRedefine/>
    <w:qFormat/>
    <w:uiPriority w:val="0"/>
    <w:pPr>
      <w:ind w:firstLine="200" w:firstLineChars="200"/>
      <w:jc w:val="left"/>
    </w:pPr>
    <w:rPr>
      <w:rFonts w:ascii="Tahoma" w:hAnsi="Tahoma"/>
      <w:color w:val="7030A0"/>
      <w:sz w:val="24"/>
      <w:szCs w:val="20"/>
    </w:rPr>
  </w:style>
  <w:style w:type="paragraph" w:customStyle="1" w:styleId="333">
    <w:name w:val="StandardOhneEinzug"/>
    <w:basedOn w:val="1"/>
    <w:autoRedefine/>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rPr>
  </w:style>
  <w:style w:type="paragraph" w:customStyle="1" w:styleId="334">
    <w:name w:val="投标正文"/>
    <w:basedOn w:val="1"/>
    <w:autoRedefine/>
    <w:qFormat/>
    <w:uiPriority w:val="0"/>
    <w:pPr>
      <w:spacing w:line="360" w:lineRule="auto"/>
      <w:ind w:firstLine="200" w:firstLineChars="200"/>
      <w:jc w:val="left"/>
    </w:pPr>
    <w:rPr>
      <w:rFonts w:eastAsia="黑体"/>
      <w:color w:val="7030A0"/>
      <w:spacing w:val="20"/>
      <w:sz w:val="32"/>
      <w:szCs w:val="32"/>
    </w:rPr>
  </w:style>
  <w:style w:type="paragraph" w:customStyle="1" w:styleId="335">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36">
    <w:name w:val="xl44"/>
    <w:basedOn w:val="1"/>
    <w:autoRedefine/>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37">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3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39">
    <w:name w:val="xl46"/>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40">
    <w:name w:val="xl48"/>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41">
    <w:name w:val="xl60"/>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42">
    <w:name w:val="样式 目录 1"/>
    <w:basedOn w:val="36"/>
    <w:autoRedefine/>
    <w:qFormat/>
    <w:uiPriority w:val="0"/>
    <w:pPr>
      <w:tabs>
        <w:tab w:val="clear" w:pos="8778"/>
      </w:tabs>
      <w:snapToGrid/>
      <w:spacing w:line="240" w:lineRule="auto"/>
      <w:ind w:left="525" w:hanging="425"/>
    </w:pPr>
    <w:rPr>
      <w:bCs w:val="0"/>
      <w:iCs w:val="0"/>
      <w:caps w:val="0"/>
      <w:color w:val="7030A0"/>
      <w:kern w:val="2"/>
      <w:sz w:val="21"/>
      <w:szCs w:val="20"/>
    </w:rPr>
  </w:style>
  <w:style w:type="paragraph" w:customStyle="1" w:styleId="343">
    <w:name w:val="A-12"/>
    <w:basedOn w:val="1"/>
    <w:autoRedefine/>
    <w:qFormat/>
    <w:uiPriority w:val="0"/>
    <w:pPr>
      <w:widowControl/>
      <w:ind w:firstLine="200" w:firstLineChars="200"/>
      <w:jc w:val="left"/>
    </w:pPr>
    <w:rPr>
      <w:rFonts w:ascii="Arial" w:hAnsi="Arial"/>
      <w:color w:val="7030A0"/>
      <w:kern w:val="0"/>
      <w:sz w:val="24"/>
      <w:szCs w:val="20"/>
    </w:rPr>
  </w:style>
  <w:style w:type="paragraph" w:customStyle="1" w:styleId="344">
    <w:name w:val="样式 样式 样式 宋体 小四 左侧:  1.85 厘米 段前: 11.15 磅 段后: 11.15 磅 + 图案: 清除 (白色..."/>
    <w:basedOn w:val="242"/>
    <w:autoRedefine/>
    <w:qFormat/>
    <w:uiPriority w:val="0"/>
    <w:pPr>
      <w:spacing w:beforeLines="50" w:afterLines="50"/>
      <w:ind w:left="318"/>
    </w:pPr>
    <w:rPr>
      <w:szCs w:val="20"/>
    </w:rPr>
  </w:style>
  <w:style w:type="paragraph" w:customStyle="1" w:styleId="345">
    <w:name w:val="无间隔1"/>
    <w:autoRedefine/>
    <w:qFormat/>
    <w:uiPriority w:val="0"/>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46">
    <w:name w:val="正文文本缩进 32"/>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47">
    <w:name w:val="一级条标题"/>
    <w:basedOn w:val="1"/>
    <w:next w:val="1"/>
    <w:autoRedefine/>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48">
    <w:name w:val="样式 样式 正文（首行缩进两字） + 宋体 小四 首行缩进:  0 厘米 段前: 11.15 磅 段后: 11.15 磅 + 左...1"/>
    <w:basedOn w:val="1"/>
    <w:autoRedefine/>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49">
    <w:name w:val="Char Char Char Char Char Char Char Char1"/>
    <w:basedOn w:val="1"/>
    <w:autoRedefine/>
    <w:qFormat/>
    <w:uiPriority w:val="0"/>
    <w:pPr>
      <w:ind w:firstLine="200" w:firstLineChars="200"/>
      <w:jc w:val="left"/>
    </w:pPr>
    <w:rPr>
      <w:rFonts w:ascii="Tahoma" w:hAnsi="Tahoma"/>
      <w:color w:val="7030A0"/>
      <w:sz w:val="24"/>
      <w:szCs w:val="20"/>
    </w:rPr>
  </w:style>
  <w:style w:type="paragraph" w:customStyle="1" w:styleId="350">
    <w:name w:val="三级条标题"/>
    <w:basedOn w:val="351"/>
    <w:next w:val="1"/>
    <w:autoRedefine/>
    <w:qFormat/>
    <w:uiPriority w:val="0"/>
    <w:pPr>
      <w:tabs>
        <w:tab w:val="left" w:pos="425"/>
      </w:tabs>
      <w:outlineLvl w:val="4"/>
    </w:pPr>
  </w:style>
  <w:style w:type="paragraph" w:customStyle="1" w:styleId="351">
    <w:name w:val="二级条标题"/>
    <w:basedOn w:val="347"/>
    <w:next w:val="1"/>
    <w:autoRedefine/>
    <w:qFormat/>
    <w:uiPriority w:val="0"/>
    <w:pPr>
      <w:tabs>
        <w:tab w:val="clear" w:pos="525"/>
      </w:tabs>
      <w:ind w:firstLine="0" w:firstLineChars="0"/>
      <w:outlineLvl w:val="3"/>
    </w:pPr>
  </w:style>
  <w:style w:type="paragraph" w:customStyle="1" w:styleId="352">
    <w:name w:val="样式 宋体 小四 左 图案: 清除 (白色) 行距: 1.5 倍行距"/>
    <w:basedOn w:val="1"/>
    <w:autoRedefine/>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353">
    <w:name w:val="四级条标题"/>
    <w:basedOn w:val="350"/>
    <w:next w:val="1"/>
    <w:autoRedefine/>
    <w:qFormat/>
    <w:uiPriority w:val="0"/>
    <w:pPr>
      <w:outlineLvl w:val="5"/>
    </w:pPr>
  </w:style>
  <w:style w:type="paragraph" w:customStyle="1" w:styleId="354">
    <w:name w:val="六级标题格式"/>
    <w:basedOn w:val="1"/>
    <w:autoRedefine/>
    <w:qFormat/>
    <w:uiPriority w:val="0"/>
    <w:pPr>
      <w:spacing w:afterLines="50" w:line="336" w:lineRule="auto"/>
      <w:ind w:firstLine="200" w:firstLineChars="200"/>
      <w:jc w:val="left"/>
      <w:outlineLvl w:val="5"/>
    </w:pPr>
    <w:rPr>
      <w:color w:val="7030A0"/>
      <w:sz w:val="24"/>
    </w:rPr>
  </w:style>
  <w:style w:type="paragraph" w:customStyle="1" w:styleId="355">
    <w:name w:val="附图 BJ15"/>
    <w:basedOn w:val="1"/>
    <w:autoRedefine/>
    <w:qFormat/>
    <w:uiPriority w:val="0"/>
    <w:pPr>
      <w:adjustRightInd w:val="0"/>
      <w:snapToGrid w:val="0"/>
      <w:ind w:firstLine="200" w:firstLineChars="200"/>
      <w:jc w:val="center"/>
    </w:pPr>
    <w:rPr>
      <w:rFonts w:hAnsi="Arial"/>
      <w:color w:val="7030A0"/>
      <w:kern w:val="0"/>
    </w:rPr>
  </w:style>
  <w:style w:type="paragraph" w:customStyle="1" w:styleId="356">
    <w:name w:val="正文文本缩进 311"/>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57">
    <w:name w:val="TOC 标题1"/>
    <w:basedOn w:val="2"/>
    <w:next w:val="1"/>
    <w:autoRedefine/>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358">
    <w:name w:val="Report Level 2"/>
    <w:basedOn w:val="252"/>
    <w:next w:val="253"/>
    <w:autoRedefine/>
    <w:qFormat/>
    <w:uiPriority w:val="0"/>
    <w:pPr>
      <w:tabs>
        <w:tab w:val="clear" w:pos="1080"/>
      </w:tabs>
      <w:ind w:left="1500"/>
      <w:outlineLvl w:val="1"/>
    </w:pPr>
    <w:rPr>
      <w:caps w:val="0"/>
    </w:rPr>
  </w:style>
  <w:style w:type="paragraph" w:customStyle="1" w:styleId="359">
    <w:name w:val="Report Level 3"/>
    <w:basedOn w:val="252"/>
    <w:next w:val="253"/>
    <w:autoRedefine/>
    <w:qFormat/>
    <w:uiPriority w:val="0"/>
    <w:pPr>
      <w:tabs>
        <w:tab w:val="clear" w:pos="1080"/>
      </w:tabs>
      <w:spacing w:before="120"/>
      <w:ind w:left="1889" w:hanging="420"/>
      <w:outlineLvl w:val="2"/>
    </w:pPr>
    <w:rPr>
      <w:caps w:val="0"/>
      <w:sz w:val="20"/>
    </w:rPr>
  </w:style>
  <w:style w:type="paragraph" w:customStyle="1" w:styleId="360">
    <w:name w:val="Report Level 4"/>
    <w:basedOn w:val="359"/>
    <w:next w:val="253"/>
    <w:autoRedefine/>
    <w:qFormat/>
    <w:uiPriority w:val="0"/>
    <w:pPr>
      <w:ind w:left="720" w:hanging="720"/>
      <w:outlineLvl w:val="3"/>
    </w:pPr>
    <w:rPr>
      <w:rFonts w:ascii="Times New Roman" w:hAnsi="Times New Roman"/>
    </w:rPr>
  </w:style>
  <w:style w:type="paragraph" w:customStyle="1" w:styleId="361">
    <w:name w:val="样式3"/>
    <w:basedOn w:val="6"/>
    <w:next w:val="1"/>
    <w:autoRedefine/>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362">
    <w:name w:val="小标4"/>
    <w:basedOn w:val="1"/>
    <w:next w:val="1"/>
    <w:autoRedefine/>
    <w:qFormat/>
    <w:uiPriority w:val="0"/>
    <w:pPr>
      <w:tabs>
        <w:tab w:val="left" w:pos="900"/>
      </w:tabs>
      <w:spacing w:line="400" w:lineRule="exact"/>
      <w:ind w:left="900" w:firstLine="200" w:firstLineChars="200"/>
      <w:jc w:val="left"/>
    </w:pPr>
    <w:rPr>
      <w:rFonts w:ascii="宋体"/>
      <w:color w:val="7030A0"/>
      <w:sz w:val="24"/>
    </w:rPr>
  </w:style>
  <w:style w:type="paragraph" w:customStyle="1" w:styleId="363">
    <w:name w:val="样式 标题2 1.1 + 段前: 0 磅 段后: 0 磅"/>
    <w:basedOn w:val="1"/>
    <w:autoRedefine/>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364">
    <w:name w:val="表格文字格式"/>
    <w:basedOn w:val="1"/>
    <w:autoRedefine/>
    <w:qFormat/>
    <w:uiPriority w:val="0"/>
    <w:pPr>
      <w:snapToGrid w:val="0"/>
      <w:jc w:val="center"/>
    </w:pPr>
    <w:rPr>
      <w:rFonts w:cs="宋体"/>
      <w:szCs w:val="20"/>
    </w:rPr>
  </w:style>
  <w:style w:type="paragraph" w:customStyle="1" w:styleId="365">
    <w:name w:val="正文文本 22"/>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66">
    <w:name w:val="样式 宋体 小四 首行缩进:  0.93 厘米 段前: 11.15 磅 段后: 11.15 磅1 Char"/>
    <w:basedOn w:val="1"/>
    <w:autoRedefine/>
    <w:qFormat/>
    <w:uiPriority w:val="0"/>
    <w:pPr>
      <w:adjustRightInd w:val="0"/>
      <w:snapToGrid w:val="0"/>
      <w:ind w:left="200" w:leftChars="200" w:firstLine="200" w:firstLineChars="200"/>
      <w:jc w:val="left"/>
    </w:pPr>
    <w:rPr>
      <w:rFonts w:ascii="宋体"/>
      <w:color w:val="7030A0"/>
      <w:sz w:val="24"/>
      <w:szCs w:val="20"/>
    </w:rPr>
  </w:style>
  <w:style w:type="paragraph" w:customStyle="1" w:styleId="367">
    <w:name w:val="五级条标题"/>
    <w:basedOn w:val="353"/>
    <w:next w:val="1"/>
    <w:autoRedefine/>
    <w:qFormat/>
    <w:uiPriority w:val="0"/>
    <w:pPr>
      <w:outlineLvl w:val="6"/>
    </w:pPr>
  </w:style>
  <w:style w:type="paragraph" w:customStyle="1" w:styleId="368">
    <w:name w:val="文档结构图11"/>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69">
    <w:name w:val="註解方塊文字2"/>
    <w:basedOn w:val="1"/>
    <w:autoRedefine/>
    <w:qFormat/>
    <w:uiPriority w:val="0"/>
    <w:rPr>
      <w:rFonts w:ascii="Arial" w:hAnsi="Arial" w:eastAsia="PMingLiU"/>
      <w:color w:val="7030A0"/>
      <w:sz w:val="18"/>
      <w:szCs w:val="18"/>
    </w:rPr>
  </w:style>
  <w:style w:type="paragraph" w:customStyle="1" w:styleId="370">
    <w:name w:val="正文文本缩进 22"/>
    <w:basedOn w:val="1"/>
    <w:autoRedefine/>
    <w:qFormat/>
    <w:uiPriority w:val="0"/>
    <w:pPr>
      <w:autoSpaceDE w:val="0"/>
      <w:autoSpaceDN w:val="0"/>
      <w:adjustRightInd w:val="0"/>
      <w:ind w:firstLine="420" w:firstLineChars="200"/>
      <w:jc w:val="left"/>
      <w:textAlignment w:val="baseline"/>
    </w:pPr>
    <w:rPr>
      <w:color w:val="7030A0"/>
      <w:szCs w:val="20"/>
    </w:rPr>
  </w:style>
  <w:style w:type="paragraph" w:customStyle="1" w:styleId="371">
    <w:name w:val="纯文本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72">
    <w:name w:val="三级标题格式"/>
    <w:basedOn w:val="6"/>
    <w:autoRedefine/>
    <w:qFormat/>
    <w:uiPriority w:val="0"/>
    <w:pPr>
      <w:spacing w:before="0" w:afterLines="100" w:line="240" w:lineRule="auto"/>
      <w:jc w:val="left"/>
    </w:pPr>
    <w:rPr>
      <w:rFonts w:eastAsia="黑体"/>
      <w:b w:val="0"/>
      <w:sz w:val="28"/>
      <w:szCs w:val="28"/>
    </w:rPr>
  </w:style>
  <w:style w:type="paragraph" w:customStyle="1" w:styleId="373">
    <w:name w:val="正文缩进11"/>
    <w:basedOn w:val="1"/>
    <w:link w:val="432"/>
    <w:autoRedefine/>
    <w:qFormat/>
    <w:uiPriority w:val="0"/>
    <w:pPr>
      <w:spacing w:line="360" w:lineRule="auto"/>
      <w:ind w:firstLine="420"/>
    </w:pPr>
  </w:style>
  <w:style w:type="paragraph" w:customStyle="1" w:styleId="374">
    <w:name w:val="图文"/>
    <w:basedOn w:val="1"/>
    <w:autoRedefine/>
    <w:qFormat/>
    <w:uiPriority w:val="0"/>
    <w:pPr>
      <w:adjustRightInd w:val="0"/>
      <w:snapToGrid w:val="0"/>
      <w:spacing w:after="50" w:line="360" w:lineRule="auto"/>
    </w:pPr>
    <w:rPr>
      <w:sz w:val="24"/>
    </w:rPr>
  </w:style>
  <w:style w:type="character" w:customStyle="1" w:styleId="375">
    <w:name w:val="页码1"/>
    <w:basedOn w:val="50"/>
    <w:autoRedefine/>
    <w:qFormat/>
    <w:uiPriority w:val="0"/>
  </w:style>
  <w:style w:type="character" w:customStyle="1" w:styleId="376">
    <w:name w:val="批注框文本 Char Char Char Char"/>
    <w:basedOn w:val="50"/>
    <w:link w:val="114"/>
    <w:autoRedefine/>
    <w:qFormat/>
    <w:uiPriority w:val="0"/>
    <w:rPr>
      <w:rFonts w:ascii="Times New Roman" w:hAnsi="Times New Roman" w:eastAsia="宋体" w:cs="Times New Roman"/>
      <w:sz w:val="18"/>
      <w:szCs w:val="18"/>
    </w:rPr>
  </w:style>
  <w:style w:type="character" w:customStyle="1" w:styleId="377">
    <w:name w:val="HTML 打字机1"/>
    <w:autoRedefine/>
    <w:qFormat/>
    <w:uiPriority w:val="0"/>
    <w:rPr>
      <w:rFonts w:ascii="黑体" w:hAnsi="Courier New" w:eastAsia="黑体" w:cs="Courier New"/>
      <w:sz w:val="20"/>
      <w:szCs w:val="20"/>
    </w:rPr>
  </w:style>
  <w:style w:type="character" w:customStyle="1" w:styleId="378">
    <w:name w:val="批注引用1"/>
    <w:basedOn w:val="50"/>
    <w:autoRedefine/>
    <w:qFormat/>
    <w:uiPriority w:val="0"/>
    <w:rPr>
      <w:sz w:val="21"/>
      <w:szCs w:val="21"/>
    </w:rPr>
  </w:style>
  <w:style w:type="character" w:customStyle="1" w:styleId="379">
    <w:name w:val="四级标题格式 Char Char"/>
    <w:link w:val="138"/>
    <w:autoRedefine/>
    <w:qFormat/>
    <w:uiPriority w:val="0"/>
    <w:rPr>
      <w:rFonts w:ascii="Times New Roman" w:hAnsi="Times New Roman" w:eastAsia="黑体"/>
      <w:bCs/>
      <w:kern w:val="2"/>
      <w:sz w:val="28"/>
      <w:szCs w:val="28"/>
    </w:rPr>
  </w:style>
  <w:style w:type="character" w:customStyle="1" w:styleId="380">
    <w:name w:val="标题 5 字符"/>
    <w:link w:val="8"/>
    <w:autoRedefine/>
    <w:qFormat/>
    <w:uiPriority w:val="0"/>
    <w:rPr>
      <w:rFonts w:ascii="Times New Roman" w:hAnsi="Times New Roman"/>
      <w:b/>
      <w:kern w:val="2"/>
      <w:sz w:val="28"/>
    </w:rPr>
  </w:style>
  <w:style w:type="character" w:customStyle="1" w:styleId="381">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382">
    <w:name w:val="标题3 Char Char"/>
    <w:link w:val="139"/>
    <w:autoRedefine/>
    <w:qFormat/>
    <w:uiPriority w:val="0"/>
    <w:rPr>
      <w:rFonts w:ascii="宋体" w:hAnsi="宋体"/>
      <w:b/>
      <w:bCs/>
      <w:color w:val="92D050"/>
      <w:kern w:val="44"/>
      <w:sz w:val="24"/>
      <w:szCs w:val="21"/>
    </w:rPr>
  </w:style>
  <w:style w:type="character" w:customStyle="1" w:styleId="383">
    <w:name w:val="selected"/>
    <w:basedOn w:val="50"/>
    <w:autoRedefine/>
    <w:qFormat/>
    <w:uiPriority w:val="0"/>
    <w:rPr>
      <w:shd w:val="clear" w:color="auto" w:fill="B00006"/>
    </w:rPr>
  </w:style>
  <w:style w:type="character" w:customStyle="1" w:styleId="384">
    <w:name w:val="样式 宋体 行距: 固定值 24 磅 Char Char"/>
    <w:link w:val="140"/>
    <w:autoRedefine/>
    <w:qFormat/>
    <w:uiPriority w:val="0"/>
    <w:rPr>
      <w:rFonts w:ascii="宋体" w:cs="宋体"/>
      <w:color w:val="7030A0"/>
      <w:kern w:val="2"/>
      <w:sz w:val="28"/>
    </w:rPr>
  </w:style>
  <w:style w:type="character" w:customStyle="1" w:styleId="385">
    <w:name w:val="样式 首行缩进:  2 字符 Char1"/>
    <w:link w:val="64"/>
    <w:autoRedefine/>
    <w:qFormat/>
    <w:uiPriority w:val="0"/>
    <w:rPr>
      <w:rFonts w:ascii="Times New Roman" w:hAnsi="Times New Roman"/>
      <w:color w:val="7030A0"/>
      <w:kern w:val="2"/>
      <w:sz w:val="24"/>
    </w:rPr>
  </w:style>
  <w:style w:type="character" w:customStyle="1" w:styleId="386">
    <w:name w:val="日期 Char1"/>
    <w:basedOn w:val="50"/>
    <w:autoRedefine/>
    <w:qFormat/>
    <w:uiPriority w:val="0"/>
    <w:rPr>
      <w:rFonts w:ascii="Times New Roman" w:hAnsi="Times New Roman"/>
      <w:kern w:val="2"/>
      <w:sz w:val="21"/>
      <w:szCs w:val="24"/>
    </w:rPr>
  </w:style>
  <w:style w:type="character" w:customStyle="1" w:styleId="387">
    <w:name w:val="正文－wjnew Char Char"/>
    <w:link w:val="141"/>
    <w:autoRedefine/>
    <w:qFormat/>
    <w:uiPriority w:val="0"/>
    <w:rPr>
      <w:rFonts w:ascii="宋体" w:cs="宋体"/>
      <w:kern w:val="2"/>
      <w:sz w:val="21"/>
      <w:szCs w:val="21"/>
    </w:rPr>
  </w:style>
  <w:style w:type="character" w:customStyle="1" w:styleId="388">
    <w:name w:val="标题 4 Char1"/>
    <w:autoRedefine/>
    <w:qFormat/>
    <w:uiPriority w:val="0"/>
    <w:rPr>
      <w:rFonts w:ascii="宋体" w:hAnsi="宋体"/>
      <w:b/>
      <w:bCs/>
      <w:kern w:val="2"/>
      <w:sz w:val="21"/>
    </w:rPr>
  </w:style>
  <w:style w:type="character" w:customStyle="1" w:styleId="389">
    <w:name w:val="(1) Char Char"/>
    <w:link w:val="142"/>
    <w:autoRedefine/>
    <w:qFormat/>
    <w:uiPriority w:val="0"/>
    <w:rPr>
      <w:rFonts w:ascii="宋体" w:hAnsi="宋体"/>
      <w:kern w:val="2"/>
      <w:sz w:val="24"/>
      <w:szCs w:val="24"/>
    </w:rPr>
  </w:style>
  <w:style w:type="character" w:customStyle="1" w:styleId="390">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391">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392">
    <w:name w:val="正文 BJ15 Char Char"/>
    <w:link w:val="143"/>
    <w:autoRedefine/>
    <w:qFormat/>
    <w:uiPriority w:val="0"/>
    <w:rPr>
      <w:rFonts w:ascii="Times New Roman" w:hAnsi="Times New Roman"/>
      <w:kern w:val="2"/>
      <w:sz w:val="24"/>
      <w:szCs w:val="24"/>
    </w:rPr>
  </w:style>
  <w:style w:type="character" w:customStyle="1" w:styleId="393">
    <w:name w:val="纯文本 Char Char"/>
    <w:autoRedefine/>
    <w:qFormat/>
    <w:uiPriority w:val="0"/>
    <w:rPr>
      <w:rFonts w:ascii="宋体" w:hAnsi="Courier New" w:eastAsia="宋体" w:cs="Century"/>
      <w:kern w:val="2"/>
      <w:sz w:val="21"/>
      <w:szCs w:val="21"/>
      <w:lang w:val="en-US" w:eastAsia="zh-CN" w:bidi="ar-SA"/>
    </w:rPr>
  </w:style>
  <w:style w:type="character" w:customStyle="1" w:styleId="39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395">
    <w:name w:val="1.1 Char Char"/>
    <w:autoRedefine/>
    <w:qFormat/>
    <w:uiPriority w:val="0"/>
    <w:rPr>
      <w:rFonts w:ascii="宋体" w:eastAsia="宋体"/>
      <w:b/>
      <w:bCs/>
      <w:kern w:val="2"/>
      <w:sz w:val="24"/>
      <w:szCs w:val="32"/>
      <w:lang w:val="en-US" w:eastAsia="zh-CN" w:bidi="ar-SA"/>
    </w:rPr>
  </w:style>
  <w:style w:type="character" w:customStyle="1" w:styleId="396">
    <w:name w:val="正文文本 Char1"/>
    <w:autoRedefine/>
    <w:qFormat/>
    <w:uiPriority w:val="0"/>
    <w:rPr>
      <w:rFonts w:ascii="Times New Roman" w:hAnsi="Times New Roman"/>
      <w:kern w:val="2"/>
      <w:sz w:val="24"/>
    </w:rPr>
  </w:style>
  <w:style w:type="character" w:customStyle="1" w:styleId="397">
    <w:name w:val="普通文字 Char Char"/>
    <w:autoRedefine/>
    <w:qFormat/>
    <w:uiPriority w:val="0"/>
    <w:rPr>
      <w:rFonts w:ascii="宋体" w:hAnsi="Courier New" w:eastAsia="宋体"/>
      <w:kern w:val="2"/>
      <w:sz w:val="21"/>
      <w:lang w:val="en-US" w:eastAsia="zh-CN" w:bidi="ar-SA"/>
    </w:rPr>
  </w:style>
  <w:style w:type="character" w:customStyle="1" w:styleId="398">
    <w:name w:val="样式 二号 红色 边框:: (单实线 自动设置  0.5 磅 行宽)"/>
    <w:autoRedefine/>
    <w:qFormat/>
    <w:uiPriority w:val="0"/>
    <w:rPr>
      <w:rFonts w:eastAsia="宋体"/>
      <w:color w:val="0000FF"/>
      <w:sz w:val="44"/>
      <w:bdr w:val="single" w:color="0000FF" w:sz="4" w:space="0"/>
    </w:rPr>
  </w:style>
  <w:style w:type="character" w:customStyle="1" w:styleId="399">
    <w:name w:val="displayarti"/>
    <w:basedOn w:val="50"/>
    <w:autoRedefine/>
    <w:qFormat/>
    <w:uiPriority w:val="0"/>
    <w:rPr>
      <w:color w:val="FFFFFF"/>
      <w:shd w:val="clear" w:color="auto" w:fill="A00000"/>
    </w:rPr>
  </w:style>
  <w:style w:type="character" w:customStyle="1" w:styleId="400">
    <w:name w:val="正文－zlb Char Char"/>
    <w:link w:val="144"/>
    <w:autoRedefine/>
    <w:qFormat/>
    <w:uiPriority w:val="0"/>
    <w:rPr>
      <w:rFonts w:ascii="宋体" w:cs="宋体"/>
      <w:kern w:val="2"/>
      <w:sz w:val="24"/>
      <w:szCs w:val="24"/>
    </w:rPr>
  </w:style>
  <w:style w:type="character" w:customStyle="1" w:styleId="401">
    <w:name w:val="Char Char11"/>
    <w:autoRedefine/>
    <w:qFormat/>
    <w:uiPriority w:val="0"/>
    <w:rPr>
      <w:rFonts w:eastAsia="宋体"/>
      <w:b/>
      <w:bCs/>
      <w:kern w:val="2"/>
      <w:sz w:val="24"/>
      <w:szCs w:val="24"/>
      <w:lang w:val="en-US" w:eastAsia="zh-CN" w:bidi="ar-SA"/>
    </w:rPr>
  </w:style>
  <w:style w:type="character" w:customStyle="1" w:styleId="402">
    <w:name w:val="正文（首行缩进两字） Char"/>
    <w:autoRedefine/>
    <w:qFormat/>
    <w:uiPriority w:val="0"/>
    <w:rPr>
      <w:rFonts w:eastAsia="宋体"/>
      <w:sz w:val="32"/>
      <w:lang w:val="en-US" w:eastAsia="zh-CN" w:bidi="ar-SA"/>
    </w:rPr>
  </w:style>
  <w:style w:type="character" w:customStyle="1" w:styleId="403">
    <w:name w:val="b Char"/>
    <w:autoRedefine/>
    <w:qFormat/>
    <w:uiPriority w:val="0"/>
    <w:rPr>
      <w:rFonts w:eastAsia="宋体"/>
      <w:b/>
      <w:bCs/>
      <w:kern w:val="2"/>
      <w:sz w:val="28"/>
      <w:szCs w:val="28"/>
      <w:lang w:val="en-US" w:eastAsia="zh-CN" w:bidi="ar-SA"/>
    </w:rPr>
  </w:style>
  <w:style w:type="character" w:customStyle="1" w:styleId="404">
    <w:name w:val="正文段落格式 Char Char"/>
    <w:autoRedefine/>
    <w:qFormat/>
    <w:uiPriority w:val="0"/>
    <w:rPr>
      <w:rFonts w:cs="宋体"/>
      <w:color w:val="7030A0"/>
      <w:kern w:val="2"/>
      <w:sz w:val="24"/>
    </w:rPr>
  </w:style>
  <w:style w:type="character" w:customStyle="1" w:styleId="405">
    <w:name w:val="图表标题 BJ8 Char Char"/>
    <w:link w:val="145"/>
    <w:autoRedefine/>
    <w:qFormat/>
    <w:uiPriority w:val="0"/>
    <w:rPr>
      <w:rFonts w:ascii="Times New Roman" w:hAnsi="Times New Roman" w:eastAsia="黑体"/>
      <w:kern w:val="2"/>
      <w:sz w:val="24"/>
    </w:rPr>
  </w:style>
  <w:style w:type="character" w:customStyle="1" w:styleId="406">
    <w:name w:val="应答文本 Char Char"/>
    <w:autoRedefine/>
    <w:qFormat/>
    <w:uiPriority w:val="0"/>
    <w:rPr>
      <w:rFonts w:ascii="Arial" w:hAnsi="Arial" w:eastAsia="楷体_GB2312" w:cs="宋体"/>
      <w:spacing w:val="10"/>
      <w:sz w:val="21"/>
      <w:lang w:val="en-US" w:eastAsia="zh-CN" w:bidi="ar-SA"/>
    </w:rPr>
  </w:style>
  <w:style w:type="character" w:customStyle="1" w:styleId="407">
    <w:name w:val="列表框2 Char Char"/>
    <w:link w:val="146"/>
    <w:autoRedefine/>
    <w:qFormat/>
    <w:uiPriority w:val="0"/>
    <w:rPr>
      <w:color w:val="7030A0"/>
      <w:spacing w:val="10"/>
      <w:sz w:val="24"/>
      <w:szCs w:val="24"/>
    </w:rPr>
  </w:style>
  <w:style w:type="character" w:customStyle="1" w:styleId="408">
    <w:name w:val="sub-dash Char"/>
    <w:autoRedefine/>
    <w:qFormat/>
    <w:uiPriority w:val="0"/>
    <w:rPr>
      <w:rFonts w:ascii="Arial" w:hAnsi="Arial" w:eastAsia="黑体"/>
      <w:b/>
      <w:bCs/>
      <w:kern w:val="2"/>
      <w:sz w:val="24"/>
      <w:szCs w:val="24"/>
      <w:lang w:val="en-US" w:eastAsia="zh-CN" w:bidi="ar-SA"/>
    </w:rPr>
  </w:style>
  <w:style w:type="character" w:customStyle="1" w:styleId="409">
    <w:name w:val="五级标题格式 Char Char"/>
    <w:link w:val="147"/>
    <w:autoRedefine/>
    <w:qFormat/>
    <w:uiPriority w:val="0"/>
    <w:rPr>
      <w:rFonts w:ascii="Times New Roman" w:hAnsi="Times New Roman"/>
      <w:b/>
      <w:bCs/>
      <w:kern w:val="2"/>
      <w:sz w:val="24"/>
      <w:szCs w:val="28"/>
    </w:rPr>
  </w:style>
  <w:style w:type="character" w:customStyle="1" w:styleId="410">
    <w:name w:val="Char Char111"/>
    <w:autoRedefine/>
    <w:qFormat/>
    <w:uiPriority w:val="0"/>
    <w:rPr>
      <w:rFonts w:eastAsia="宋体"/>
      <w:b/>
      <w:bCs/>
      <w:kern w:val="2"/>
      <w:sz w:val="24"/>
      <w:szCs w:val="24"/>
      <w:lang w:val="en-US" w:eastAsia="zh-CN" w:bidi="ar-SA"/>
    </w:rPr>
  </w:style>
  <w:style w:type="character" w:customStyle="1" w:styleId="411">
    <w:name w:val="表格文字图表文字 Char Char"/>
    <w:autoRedefine/>
    <w:qFormat/>
    <w:uiPriority w:val="0"/>
    <w:rPr>
      <w:color w:val="7030A0"/>
      <w:kern w:val="2"/>
      <w:sz w:val="21"/>
    </w:rPr>
  </w:style>
  <w:style w:type="character" w:customStyle="1" w:styleId="412">
    <w:name w:val="占位符文本1"/>
    <w:basedOn w:val="50"/>
    <w:autoRedefine/>
    <w:qFormat/>
    <w:uiPriority w:val="0"/>
    <w:rPr>
      <w:color w:val="808080"/>
    </w:rPr>
  </w:style>
  <w:style w:type="character" w:customStyle="1" w:styleId="413">
    <w:name w:val="正文段落格式 Char Char Char"/>
    <w:link w:val="148"/>
    <w:autoRedefine/>
    <w:qFormat/>
    <w:uiPriority w:val="0"/>
    <w:rPr>
      <w:rFonts w:ascii="Times New Roman" w:hAnsi="Times New Roman"/>
      <w:color w:val="7030A0"/>
      <w:kern w:val="2"/>
      <w:sz w:val="24"/>
    </w:rPr>
  </w:style>
  <w:style w:type="character" w:customStyle="1" w:styleId="414">
    <w:name w:val="表格文字 BJ8 Char Char"/>
    <w:link w:val="149"/>
    <w:autoRedefine/>
    <w:qFormat/>
    <w:uiPriority w:val="0"/>
    <w:rPr>
      <w:rFonts w:ascii="Times New Roman" w:hAnsi="Times New Roman"/>
      <w:kern w:val="2"/>
      <w:sz w:val="21"/>
      <w:szCs w:val="21"/>
    </w:rPr>
  </w:style>
  <w:style w:type="character" w:customStyle="1" w:styleId="415">
    <w:name w:val="gpa"/>
    <w:basedOn w:val="50"/>
    <w:autoRedefine/>
    <w:qFormat/>
    <w:uiPriority w:val="0"/>
    <w:rPr>
      <w:rFonts w:ascii="Arial" w:hAnsi="Arial" w:cs="Arial"/>
      <w:sz w:val="12"/>
      <w:szCs w:val="12"/>
    </w:rPr>
  </w:style>
  <w:style w:type="character" w:customStyle="1" w:styleId="416">
    <w:name w:val="样式 标题 31.1条标题1.1.1二级节名h3Heading 3 - oldheading 3H3H31H3... Char Char Char"/>
    <w:link w:val="150"/>
    <w:autoRedefine/>
    <w:qFormat/>
    <w:uiPriority w:val="0"/>
    <w:rPr>
      <w:rFonts w:ascii="宋体" w:hAnsi="宋体" w:eastAsia="黑体"/>
      <w:kern w:val="2"/>
      <w:sz w:val="24"/>
      <w:szCs w:val="21"/>
    </w:rPr>
  </w:style>
  <w:style w:type="character" w:customStyle="1" w:styleId="417">
    <w:name w:val="标题2 Char Char"/>
    <w:link w:val="151"/>
    <w:autoRedefine/>
    <w:qFormat/>
    <w:uiPriority w:val="0"/>
    <w:rPr>
      <w:rFonts w:ascii="宋体" w:hAnsi="Times New Roman"/>
      <w:b/>
      <w:color w:val="92D050"/>
      <w:kern w:val="44"/>
      <w:sz w:val="30"/>
    </w:rPr>
  </w:style>
  <w:style w:type="character" w:customStyle="1" w:styleId="418">
    <w:name w:val="Char Char2"/>
    <w:autoRedefine/>
    <w:qFormat/>
    <w:uiPriority w:val="0"/>
    <w:rPr>
      <w:rFonts w:eastAsia="仿宋_GB2312"/>
      <w:kern w:val="2"/>
      <w:sz w:val="28"/>
      <w:lang w:val="en-US" w:eastAsia="zh-CN" w:bidi="ar-SA"/>
    </w:rPr>
  </w:style>
  <w:style w:type="character" w:customStyle="1" w:styleId="419">
    <w:name w:val="2 headline Char Char"/>
    <w:autoRedefine/>
    <w:qFormat/>
    <w:uiPriority w:val="0"/>
    <w:rPr>
      <w:rFonts w:eastAsia="黑体"/>
      <w:bCs/>
      <w:kern w:val="2"/>
      <w:sz w:val="28"/>
      <w:szCs w:val="28"/>
      <w:lang w:val="en-US" w:eastAsia="zh-CN" w:bidi="ar-SA"/>
    </w:rPr>
  </w:style>
  <w:style w:type="character" w:customStyle="1" w:styleId="420">
    <w:name w:val="正文 QD3 Char Char"/>
    <w:link w:val="152"/>
    <w:autoRedefine/>
    <w:qFormat/>
    <w:uiPriority w:val="0"/>
    <w:rPr>
      <w:rFonts w:ascii="Times New Roman" w:hAnsi="Times New Roman"/>
      <w:kern w:val="2"/>
      <w:sz w:val="24"/>
      <w:szCs w:val="24"/>
    </w:rPr>
  </w:style>
  <w:style w:type="character" w:customStyle="1" w:styleId="421">
    <w:name w:val="正文 BJ8 Char Char"/>
    <w:link w:val="153"/>
    <w:autoRedefine/>
    <w:qFormat/>
    <w:uiPriority w:val="0"/>
    <w:rPr>
      <w:rFonts w:ascii="Times New Roman" w:hAnsi="Times New Roman"/>
      <w:color w:val="7030A0"/>
      <w:kern w:val="2"/>
      <w:sz w:val="24"/>
      <w:szCs w:val="24"/>
    </w:rPr>
  </w:style>
  <w:style w:type="character" w:customStyle="1" w:styleId="422">
    <w:name w:val="书籍标题1"/>
    <w:autoRedefine/>
    <w:qFormat/>
    <w:uiPriority w:val="0"/>
    <w:rPr>
      <w:b/>
      <w:bCs/>
      <w:smallCaps/>
      <w:spacing w:val="5"/>
    </w:rPr>
  </w:style>
  <w:style w:type="character" w:customStyle="1" w:styleId="423">
    <w:name w:val="Char Char8"/>
    <w:autoRedefine/>
    <w:qFormat/>
    <w:uiPriority w:val="0"/>
    <w:rPr>
      <w:rFonts w:eastAsia="宋体"/>
      <w:kern w:val="2"/>
      <w:sz w:val="21"/>
      <w:lang w:val="en-US" w:eastAsia="zh-CN" w:bidi="ar-SA"/>
    </w:rPr>
  </w:style>
  <w:style w:type="character" w:customStyle="1" w:styleId="424">
    <w:name w:val="正文文本缩进 Char1"/>
    <w:link w:val="92"/>
    <w:autoRedefine/>
    <w:qFormat/>
    <w:uiPriority w:val="0"/>
    <w:rPr>
      <w:rFonts w:ascii="宋体" w:hAnsi="Times New Roman"/>
      <w:kern w:val="2"/>
      <w:sz w:val="21"/>
    </w:rPr>
  </w:style>
  <w:style w:type="character" w:customStyle="1" w:styleId="425">
    <w:name w:val="正文1 Char Char"/>
    <w:link w:val="154"/>
    <w:autoRedefine/>
    <w:qFormat/>
    <w:uiPriority w:val="0"/>
    <w:rPr>
      <w:rFonts w:ascii="宋体" w:hAnsi="宋体"/>
      <w:kern w:val="10"/>
      <w:sz w:val="21"/>
      <w:szCs w:val="24"/>
    </w:rPr>
  </w:style>
  <w:style w:type="character" w:customStyle="1" w:styleId="426">
    <w:name w:val="样式 Char Char"/>
    <w:link w:val="155"/>
    <w:autoRedefine/>
    <w:qFormat/>
    <w:uiPriority w:val="0"/>
    <w:rPr>
      <w:rFonts w:ascii="宋体" w:hAnsi="宋体" w:cs="宋体"/>
      <w:sz w:val="24"/>
      <w:szCs w:val="24"/>
      <w:lang w:val="en-US" w:eastAsia="zh-CN" w:bidi="ar-SA"/>
    </w:rPr>
  </w:style>
  <w:style w:type="character" w:customStyle="1" w:styleId="427">
    <w:name w:val="无编号正文 Char Char"/>
    <w:link w:val="156"/>
    <w:autoRedefine/>
    <w:qFormat/>
    <w:uiPriority w:val="0"/>
    <w:rPr>
      <w:rFonts w:ascii="宋体" w:hAnsi="宋体"/>
      <w:sz w:val="24"/>
      <w:szCs w:val="24"/>
    </w:rPr>
  </w:style>
  <w:style w:type="character" w:customStyle="1" w:styleId="428">
    <w:name w:val="表图名称 Char Char"/>
    <w:link w:val="157"/>
    <w:autoRedefine/>
    <w:qFormat/>
    <w:uiPriority w:val="0"/>
    <w:rPr>
      <w:rFonts w:ascii="黑体" w:hAnsi="宋体" w:eastAsia="黑体"/>
      <w:kern w:val="2"/>
      <w:sz w:val="24"/>
      <w:szCs w:val="24"/>
      <w:lang w:val="en-US" w:eastAsia="zh-CN" w:bidi="ar-SA"/>
    </w:rPr>
  </w:style>
  <w:style w:type="character" w:customStyle="1" w:styleId="429">
    <w:name w:val="列表框1 Char Char"/>
    <w:autoRedefine/>
    <w:qFormat/>
    <w:uiPriority w:val="0"/>
    <w:rPr>
      <w:rFonts w:ascii="Arial" w:hAnsi="Arial" w:eastAsia="楷体_GB2312" w:cs="Arial"/>
      <w:spacing w:val="10"/>
      <w:sz w:val="21"/>
      <w:lang w:val="en-US" w:eastAsia="zh-CN" w:bidi="ar-SA"/>
    </w:rPr>
  </w:style>
  <w:style w:type="character" w:customStyle="1" w:styleId="430">
    <w:name w:val="表格文字图表文字 Char Char Char"/>
    <w:link w:val="158"/>
    <w:autoRedefine/>
    <w:qFormat/>
    <w:uiPriority w:val="0"/>
    <w:rPr>
      <w:rFonts w:ascii="Times New Roman" w:hAnsi="Times New Roman"/>
      <w:color w:val="7030A0"/>
      <w:kern w:val="2"/>
      <w:sz w:val="21"/>
    </w:rPr>
  </w:style>
  <w:style w:type="character" w:customStyle="1" w:styleId="431">
    <w:name w:val="批注文字 Char1"/>
    <w:autoRedefine/>
    <w:qFormat/>
    <w:uiPriority w:val="0"/>
    <w:rPr>
      <w:kern w:val="2"/>
      <w:sz w:val="24"/>
      <w:szCs w:val="24"/>
    </w:rPr>
  </w:style>
  <w:style w:type="character" w:customStyle="1" w:styleId="432">
    <w:name w:val="正文缩进 Char Char"/>
    <w:link w:val="373"/>
    <w:autoRedefine/>
    <w:qFormat/>
    <w:uiPriority w:val="0"/>
    <w:rPr>
      <w:kern w:val="2"/>
      <w:sz w:val="21"/>
      <w:szCs w:val="24"/>
    </w:rPr>
  </w:style>
  <w:style w:type="paragraph" w:customStyle="1" w:styleId="433">
    <w:name w:val="列出段落11"/>
    <w:basedOn w:val="1"/>
    <w:autoRedefine/>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434">
    <w:name w:val="Default"/>
    <w:autoRedefine/>
    <w:qFormat/>
    <w:uiPriority w:val="99"/>
    <w:pPr>
      <w:widowControl w:val="0"/>
      <w:autoSpaceDE w:val="0"/>
      <w:autoSpaceDN w:val="0"/>
      <w:adjustRightInd w:val="0"/>
    </w:pPr>
    <w:rPr>
      <w:rFonts w:ascii="黑体" w:hAnsi="黑体" w:eastAsia="黑体" w:cs="Times New Roman"/>
      <w:color w:val="000000"/>
      <w:sz w:val="24"/>
      <w:lang w:val="en-US" w:eastAsia="zh-CN" w:bidi="ar-SA"/>
    </w:rPr>
  </w:style>
  <w:style w:type="paragraph" w:customStyle="1" w:styleId="435">
    <w:name w:val="Table Paragraph"/>
    <w:basedOn w:val="1"/>
    <w:autoRedefine/>
    <w:qFormat/>
    <w:uiPriority w:val="1"/>
  </w:style>
  <w:style w:type="paragraph" w:customStyle="1" w:styleId="436">
    <w:name w:val="List Paragraph"/>
    <w:basedOn w:val="1"/>
    <w:autoRedefine/>
    <w:qFormat/>
    <w:uiPriority w:val="0"/>
    <w:pPr>
      <w:ind w:firstLine="420" w:firstLineChars="200"/>
    </w:pPr>
    <w:rPr>
      <w:rFonts w:ascii="Calibri" w:hAnsi="Calibri" w:eastAsia="Calibri"/>
    </w:rPr>
  </w:style>
  <w:style w:type="character" w:customStyle="1" w:styleId="437">
    <w:name w:val="NormalCharacter"/>
    <w:autoRedefine/>
    <w:qFormat/>
    <w:uiPriority w:val="0"/>
    <w:rPr>
      <w:kern w:val="2"/>
      <w:sz w:val="24"/>
      <w:szCs w:val="24"/>
      <w:lang w:val="en-US" w:eastAsia="zh-CN" w:bidi="ar-SA"/>
    </w:rPr>
  </w:style>
  <w:style w:type="paragraph" w:customStyle="1" w:styleId="438">
    <w:name w:val="List Paragraph1"/>
    <w:basedOn w:val="1"/>
    <w:autoRedefine/>
    <w:qFormat/>
    <w:uiPriority w:val="34"/>
    <w:pPr>
      <w:ind w:firstLine="420" w:firstLineChars="200"/>
    </w:pPr>
    <w:rPr>
      <w:rFonts w:ascii="Calibri" w:hAnsi="Calibri"/>
    </w:rPr>
  </w:style>
  <w:style w:type="paragraph" w:customStyle="1" w:styleId="439">
    <w:name w:val="BodyText"/>
    <w:basedOn w:val="1"/>
    <w:next w:val="1"/>
    <w:autoRedefine/>
    <w:qFormat/>
    <w:uiPriority w:val="0"/>
    <w:pPr>
      <w:spacing w:before="100" w:beforeAutospacing="1" w:after="100" w:afterAutospacing="1" w:line="320" w:lineRule="exact"/>
      <w:textAlignment w:val="baseline"/>
    </w:pPr>
    <w:rPr>
      <w:rFonts w:ascii="Calibri" w:hAnsi="Calibri"/>
      <w:szCs w:val="20"/>
    </w:rPr>
  </w:style>
  <w:style w:type="paragraph" w:customStyle="1" w:styleId="440">
    <w:name w:val="WPSOffice手动目录 1"/>
    <w:autoRedefine/>
    <w:qFormat/>
    <w:uiPriority w:val="0"/>
    <w:rPr>
      <w:rFonts w:ascii="Times New Roman" w:hAnsi="Times New Roman" w:eastAsia="宋体" w:cs="Times New Roman"/>
      <w:lang w:val="en-US" w:eastAsia="zh-CN" w:bidi="ar-SA"/>
    </w:rPr>
  </w:style>
  <w:style w:type="paragraph" w:customStyle="1" w:styleId="441">
    <w:name w:val="标题 5（有编号）（绿盟科技）"/>
    <w:basedOn w:val="1"/>
    <w:next w:val="442"/>
    <w:autoRedefine/>
    <w:qFormat/>
    <w:uiPriority w:val="0"/>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442">
    <w:name w:val="正文（绿盟科技）"/>
    <w:autoRedefine/>
    <w:qFormat/>
    <w:uiPriority w:val="0"/>
    <w:pPr>
      <w:spacing w:line="300" w:lineRule="auto"/>
    </w:pPr>
    <w:rPr>
      <w:rFonts w:ascii="Arial" w:hAnsi="Arial" w:eastAsia="宋体" w:cs="黑体"/>
      <w:sz w:val="21"/>
      <w:szCs w:val="21"/>
      <w:lang w:val="en-US" w:eastAsia="zh-CN" w:bidi="ar-SA"/>
    </w:rPr>
  </w:style>
  <w:style w:type="paragraph" w:customStyle="1" w:styleId="443">
    <w:name w:val="首行缩进:  0.85 厘米"/>
    <w:basedOn w:val="1"/>
    <w:autoRedefine/>
    <w:qFormat/>
    <w:uiPriority w:val="0"/>
    <w:pPr>
      <w:ind w:firstLine="482"/>
    </w:pPr>
    <w:rPr>
      <w:rFonts w:cs="宋体"/>
      <w:szCs w:val="20"/>
    </w:rPr>
  </w:style>
  <w:style w:type="character" w:customStyle="1" w:styleId="444">
    <w:name w:val="font11"/>
    <w:basedOn w:val="50"/>
    <w:autoRedefine/>
    <w:qFormat/>
    <w:uiPriority w:val="0"/>
    <w:rPr>
      <w:rFonts w:hint="default" w:ascii="Times New Roman" w:hAnsi="Times New Roman" w:cs="Times New Roman"/>
      <w:color w:val="000000"/>
      <w:sz w:val="18"/>
      <w:szCs w:val="18"/>
      <w:u w:val="none"/>
    </w:rPr>
  </w:style>
  <w:style w:type="character" w:customStyle="1" w:styleId="445">
    <w:name w:val="font51"/>
    <w:basedOn w:val="50"/>
    <w:autoRedefine/>
    <w:qFormat/>
    <w:uiPriority w:val="0"/>
    <w:rPr>
      <w:rFonts w:hint="eastAsia" w:ascii="宋体" w:hAnsi="宋体" w:eastAsia="宋体" w:cs="宋体"/>
      <w:color w:val="000000"/>
      <w:sz w:val="18"/>
      <w:szCs w:val="18"/>
      <w:u w:val="none"/>
    </w:rPr>
  </w:style>
  <w:style w:type="character" w:customStyle="1" w:styleId="446">
    <w:name w:val="font01"/>
    <w:basedOn w:val="50"/>
    <w:autoRedefine/>
    <w:qFormat/>
    <w:uiPriority w:val="0"/>
    <w:rPr>
      <w:rFonts w:hint="default" w:ascii="Times New Roman" w:hAnsi="Times New Roman" w:cs="Times New Roman"/>
      <w:color w:val="000000"/>
      <w:sz w:val="18"/>
      <w:szCs w:val="18"/>
      <w:u w:val="none"/>
    </w:rPr>
  </w:style>
  <w:style w:type="character" w:customStyle="1" w:styleId="447">
    <w:name w:val="font61"/>
    <w:basedOn w:val="50"/>
    <w:autoRedefine/>
    <w:qFormat/>
    <w:uiPriority w:val="0"/>
    <w:rPr>
      <w:rFonts w:hint="eastAsia" w:ascii="宋体" w:hAnsi="宋体" w:eastAsia="宋体" w:cs="宋体"/>
      <w:color w:val="000000"/>
      <w:sz w:val="18"/>
      <w:szCs w:val="18"/>
      <w:u w:val="none"/>
    </w:rPr>
  </w:style>
  <w:style w:type="character" w:customStyle="1" w:styleId="448">
    <w:name w:val="批注框文本 字符"/>
    <w:basedOn w:val="50"/>
    <w:link w:val="33"/>
    <w:autoRedefine/>
    <w:qFormat/>
    <w:uiPriority w:val="0"/>
    <w:rPr>
      <w:kern w:val="2"/>
      <w:sz w:val="18"/>
      <w:szCs w:val="18"/>
    </w:rPr>
  </w:style>
  <w:style w:type="character" w:customStyle="1" w:styleId="449">
    <w:name w:val="open2"/>
    <w:basedOn w:val="50"/>
    <w:autoRedefine/>
    <w:qFormat/>
    <w:uiPriority w:val="0"/>
  </w:style>
  <w:style w:type="character" w:customStyle="1" w:styleId="450">
    <w:name w:val="label"/>
    <w:basedOn w:val="50"/>
    <w:autoRedefine/>
    <w:qFormat/>
    <w:uiPriority w:val="0"/>
  </w:style>
  <w:style w:type="character" w:customStyle="1" w:styleId="451">
    <w:name w:val="morewin"/>
    <w:basedOn w:val="50"/>
    <w:autoRedefine/>
    <w:qFormat/>
    <w:uiPriority w:val="0"/>
  </w:style>
  <w:style w:type="character" w:customStyle="1" w:styleId="452">
    <w:name w:val="error4"/>
    <w:basedOn w:val="50"/>
    <w:autoRedefine/>
    <w:qFormat/>
    <w:uiPriority w:val="0"/>
    <w:rPr>
      <w:color w:val="CC0000"/>
    </w:rPr>
  </w:style>
  <w:style w:type="character" w:customStyle="1" w:styleId="453">
    <w:name w:val="del"/>
    <w:basedOn w:val="50"/>
    <w:autoRedefine/>
    <w:qFormat/>
    <w:uiPriority w:val="0"/>
  </w:style>
  <w:style w:type="character" w:customStyle="1" w:styleId="454">
    <w:name w:val="mod"/>
    <w:basedOn w:val="50"/>
    <w:autoRedefine/>
    <w:qFormat/>
    <w:uiPriority w:val="0"/>
  </w:style>
  <w:style w:type="character" w:customStyle="1" w:styleId="455">
    <w:name w:val="add"/>
    <w:basedOn w:val="50"/>
    <w:autoRedefine/>
    <w:qFormat/>
    <w:uiPriority w:val="0"/>
  </w:style>
  <w:style w:type="character" w:customStyle="1" w:styleId="456">
    <w:name w:val="refresh"/>
    <w:basedOn w:val="50"/>
    <w:autoRedefine/>
    <w:qFormat/>
    <w:uiPriority w:val="0"/>
  </w:style>
  <w:style w:type="character" w:customStyle="1" w:styleId="457">
    <w:name w:val="del2"/>
    <w:basedOn w:val="50"/>
    <w:autoRedefine/>
    <w:qFormat/>
    <w:uiPriority w:val="0"/>
  </w:style>
  <w:style w:type="character" w:customStyle="1" w:styleId="458">
    <w:name w:val="open"/>
    <w:basedOn w:val="50"/>
    <w:autoRedefine/>
    <w:qFormat/>
    <w:uiPriority w:val="0"/>
  </w:style>
  <w:style w:type="character" w:customStyle="1" w:styleId="459">
    <w:name w:val="hour_am"/>
    <w:basedOn w:val="50"/>
    <w:autoRedefine/>
    <w:qFormat/>
    <w:uiPriority w:val="0"/>
  </w:style>
  <w:style w:type="character" w:customStyle="1" w:styleId="460">
    <w:name w:val="old"/>
    <w:basedOn w:val="50"/>
    <w:autoRedefine/>
    <w:qFormat/>
    <w:uiPriority w:val="0"/>
    <w:rPr>
      <w:color w:val="999999"/>
    </w:rPr>
  </w:style>
  <w:style w:type="character" w:customStyle="1" w:styleId="461">
    <w:name w:val="hover1"/>
    <w:basedOn w:val="50"/>
    <w:autoRedefine/>
    <w:qFormat/>
    <w:uiPriority w:val="0"/>
    <w:rPr>
      <w:shd w:val="clear" w:color="auto" w:fill="EEEEEE"/>
    </w:rPr>
  </w:style>
  <w:style w:type="character" w:customStyle="1" w:styleId="462">
    <w:name w:val="glyphicon6"/>
    <w:basedOn w:val="50"/>
    <w:autoRedefine/>
    <w:qFormat/>
    <w:uiPriority w:val="0"/>
  </w:style>
  <w:style w:type="character" w:customStyle="1" w:styleId="463">
    <w:name w:val="hour_pm"/>
    <w:basedOn w:val="50"/>
    <w:autoRedefine/>
    <w:qFormat/>
    <w:uiPriority w:val="0"/>
  </w:style>
  <w:style w:type="character" w:customStyle="1" w:styleId="464">
    <w:name w:val="icon"/>
    <w:basedOn w:val="50"/>
    <w:autoRedefine/>
    <w:qFormat/>
    <w:uiPriority w:val="0"/>
  </w:style>
  <w:style w:type="character" w:customStyle="1" w:styleId="465">
    <w:name w:val="indent"/>
    <w:basedOn w:val="50"/>
    <w:autoRedefine/>
    <w:qFormat/>
    <w:uiPriority w:val="0"/>
  </w:style>
  <w:style w:type="character" w:customStyle="1" w:styleId="466">
    <w:name w:val="glyphicon5"/>
    <w:basedOn w:val="50"/>
    <w:autoRedefine/>
    <w:qFormat/>
    <w:uiPriority w:val="0"/>
  </w:style>
  <w:style w:type="character" w:customStyle="1" w:styleId="467">
    <w:name w:val="hover"/>
    <w:basedOn w:val="50"/>
    <w:autoRedefine/>
    <w:qFormat/>
    <w:uiPriority w:val="0"/>
    <w:rPr>
      <w:shd w:val="clear" w:color="auto" w:fill="EEEEEE"/>
    </w:rPr>
  </w:style>
  <w:style w:type="paragraph" w:customStyle="1" w:styleId="468">
    <w:name w:val="_Style 460"/>
    <w:basedOn w:val="1"/>
    <w:next w:val="1"/>
    <w:autoRedefine/>
    <w:qFormat/>
    <w:uiPriority w:val="0"/>
    <w:pPr>
      <w:pBdr>
        <w:bottom w:val="single" w:color="auto" w:sz="6" w:space="1"/>
      </w:pBdr>
      <w:jc w:val="center"/>
    </w:pPr>
    <w:rPr>
      <w:rFonts w:ascii="Arial"/>
      <w:vanish/>
      <w:sz w:val="16"/>
    </w:rPr>
  </w:style>
  <w:style w:type="paragraph" w:customStyle="1" w:styleId="469">
    <w:name w:val="_Style 461"/>
    <w:basedOn w:val="1"/>
    <w:next w:val="1"/>
    <w:autoRedefine/>
    <w:qFormat/>
    <w:uiPriority w:val="0"/>
    <w:pPr>
      <w:pBdr>
        <w:top w:val="single" w:color="auto" w:sz="6" w:space="1"/>
      </w:pBdr>
      <w:jc w:val="center"/>
    </w:pPr>
    <w:rPr>
      <w:rFonts w:ascii="Arial"/>
      <w:vanish/>
      <w:sz w:val="16"/>
    </w:rPr>
  </w:style>
  <w:style w:type="character" w:customStyle="1" w:styleId="470">
    <w:name w:val="glyphicon"/>
    <w:basedOn w:val="50"/>
    <w:autoRedefine/>
    <w:qFormat/>
    <w:uiPriority w:val="0"/>
  </w:style>
  <w:style w:type="paragraph" w:customStyle="1" w:styleId="471">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472">
    <w:name w:val="正文文本缩进 2 字符"/>
    <w:basedOn w:val="50"/>
    <w:link w:val="31"/>
    <w:autoRedefine/>
    <w:qFormat/>
    <w:uiPriority w:val="0"/>
    <w:rPr>
      <w:rFonts w:asciiTheme="minorHAnsi" w:hAnsiTheme="minorHAnsi" w:eastAsiaTheme="minorEastAsia" w:cstheme="minorBidi"/>
      <w:kern w:val="2"/>
      <w:sz w:val="21"/>
      <w:szCs w:val="24"/>
    </w:rPr>
  </w:style>
  <w:style w:type="character" w:customStyle="1" w:styleId="473">
    <w:name w:val="纯文本 字符"/>
    <w:link w:val="28"/>
    <w:autoRedefine/>
    <w:qFormat/>
    <w:uiPriority w:val="0"/>
    <w:rPr>
      <w:rFonts w:ascii="宋体"/>
      <w:kern w:val="2"/>
      <w:sz w:val="21"/>
    </w:rPr>
  </w:style>
  <w:style w:type="character" w:customStyle="1" w:styleId="474">
    <w:name w:val="Anrede1IhrZeichen"/>
    <w:basedOn w:val="50"/>
    <w:autoRedefine/>
    <w:qFormat/>
    <w:uiPriority w:val="0"/>
    <w:rPr>
      <w:rFonts w:ascii="Arial" w:hAnsi="Arial"/>
      <w:sz w:val="20"/>
    </w:rPr>
  </w:style>
  <w:style w:type="table" w:customStyle="1" w:styleId="475">
    <w:name w:val="Table Normal"/>
    <w:autoRedefine/>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476">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7">
    <w:name w:val="正文 A"/>
    <w:autoRedefine/>
    <w:qFormat/>
    <w:uiPriority w:val="0"/>
    <w:pPr>
      <w:widowControl w:val="0"/>
      <w:jc w:val="both"/>
    </w:pPr>
    <w:rPr>
      <w:rFonts w:ascii="Calibri" w:hAnsi="Calibri" w:eastAsia="Calibri" w:cs="Calibri"/>
      <w:color w:val="000000"/>
      <w:kern w:val="2"/>
      <w:sz w:val="21"/>
      <w:szCs w:val="21"/>
      <w:u w:val="none" w:color="000000"/>
      <w:lang w:val="en-US" w:eastAsia="zh-CN" w:bidi="ar-SA"/>
    </w:rPr>
  </w:style>
  <w:style w:type="character" w:customStyle="1" w:styleId="478">
    <w:name w:val="font12"/>
    <w:autoRedefine/>
    <w:qFormat/>
    <w:uiPriority w:val="0"/>
    <w:rPr>
      <w:rFonts w:hint="default" w:ascii="Arial" w:hAnsi="Arial" w:cs="Arial"/>
      <w:color w:val="000000"/>
      <w:sz w:val="22"/>
      <w:szCs w:val="22"/>
      <w:u w:val="none"/>
    </w:rPr>
  </w:style>
  <w:style w:type="character" w:customStyle="1" w:styleId="479">
    <w:name w:val="font71"/>
    <w:basedOn w:val="50"/>
    <w:autoRedefine/>
    <w:qFormat/>
    <w:uiPriority w:val="0"/>
    <w:rPr>
      <w:rFonts w:hint="eastAsia" w:ascii="宋体" w:hAnsi="宋体" w:eastAsia="宋体" w:cs="宋体"/>
      <w:color w:val="FF0000"/>
      <w:sz w:val="22"/>
      <w:szCs w:val="22"/>
      <w:u w:val="none"/>
    </w:rPr>
  </w:style>
  <w:style w:type="character" w:customStyle="1" w:styleId="480">
    <w:name w:val="font101"/>
    <w:basedOn w:val="50"/>
    <w:autoRedefine/>
    <w:qFormat/>
    <w:uiPriority w:val="0"/>
    <w:rPr>
      <w:rFonts w:hint="eastAsia" w:ascii="宋体" w:hAnsi="宋体" w:eastAsia="宋体" w:cs="宋体"/>
      <w:color w:val="FF0000"/>
      <w:sz w:val="18"/>
      <w:szCs w:val="18"/>
      <w:u w:val="none"/>
    </w:rPr>
  </w:style>
  <w:style w:type="character" w:customStyle="1" w:styleId="481">
    <w:name w:val="font91"/>
    <w:basedOn w:val="50"/>
    <w:autoRedefine/>
    <w:qFormat/>
    <w:uiPriority w:val="0"/>
    <w:rPr>
      <w:rFonts w:hint="eastAsia" w:ascii="宋体" w:hAnsi="宋体" w:eastAsia="宋体" w:cs="宋体"/>
      <w:color w:val="FF0000"/>
      <w:sz w:val="20"/>
      <w:szCs w:val="20"/>
      <w:u w:val="none"/>
    </w:rPr>
  </w:style>
  <w:style w:type="character" w:customStyle="1" w:styleId="482">
    <w:name w:val="font81"/>
    <w:basedOn w:val="50"/>
    <w:autoRedefine/>
    <w:qFormat/>
    <w:uiPriority w:val="0"/>
    <w:rPr>
      <w:rFonts w:hint="eastAsia" w:ascii="宋体" w:hAnsi="宋体" w:eastAsia="宋体" w:cs="宋体"/>
      <w:color w:val="000000"/>
      <w:sz w:val="20"/>
      <w:szCs w:val="20"/>
      <w:u w:val="none"/>
    </w:rPr>
  </w:style>
  <w:style w:type="paragraph" w:customStyle="1" w:styleId="483">
    <w:name w:val="列出段落2"/>
    <w:basedOn w:val="1"/>
    <w:autoRedefine/>
    <w:qFormat/>
    <w:uiPriority w:val="0"/>
    <w:pPr>
      <w:ind w:firstLine="420" w:firstLineChars="200"/>
    </w:pPr>
  </w:style>
  <w:style w:type="paragraph" w:customStyle="1" w:styleId="484">
    <w:name w:val="列出段落3"/>
    <w:basedOn w:val="1"/>
    <w:qFormat/>
    <w:uiPriority w:val="0"/>
    <w:pPr>
      <w:ind w:firstLine="420" w:firstLineChars="200"/>
    </w:pPr>
  </w:style>
  <w:style w:type="paragraph" w:customStyle="1" w:styleId="485">
    <w:name w:val="null3"/>
    <w:hidden/>
    <w:qFormat/>
    <w:uiPriority w:val="0"/>
    <w:rPr>
      <w:rFonts w:hint="eastAsia" w:asciiTheme="minorHAnsi" w:hAnsiTheme="minorHAnsi" w:eastAsiaTheme="minorEastAsia" w:cstheme="minorBidi"/>
      <w:lang w:val="en-US" w:eastAsia="zh-Hans"/>
    </w:rPr>
  </w:style>
  <w:style w:type="paragraph" w:customStyle="1" w:styleId="486">
    <w:name w:val="1.1-大标题"/>
    <w:next w:val="1"/>
    <w:autoRedefine/>
    <w:qFormat/>
    <w:uiPriority w:val="0"/>
    <w:pPr>
      <w:keepNext/>
      <w:keepLines/>
      <w:spacing w:line="560" w:lineRule="exact"/>
      <w:ind w:firstLine="0" w:firstLineChars="0"/>
      <w:jc w:val="center"/>
      <w:outlineLvl w:val="0"/>
    </w:pPr>
    <w:rPr>
      <w:rFonts w:ascii="Times New Roman" w:hAnsi="Times New Roman" w:eastAsia="方正小标宋_GBK" w:cstheme="minorBidi"/>
      <w:spacing w:val="12"/>
      <w:kern w:val="44"/>
      <w:sz w:val="44"/>
    </w:rPr>
  </w:style>
  <w:style w:type="paragraph" w:customStyle="1" w:styleId="487">
    <w:name w:val="2.5-3级标题-仿宋_GB2312"/>
    <w:next w:val="488"/>
    <w:qFormat/>
    <w:uiPriority w:val="0"/>
    <w:pPr>
      <w:widowControl w:val="0"/>
      <w:spacing w:line="580" w:lineRule="exact"/>
      <w:ind w:firstLine="688" w:firstLineChars="200"/>
      <w:jc w:val="both"/>
    </w:pPr>
    <w:rPr>
      <w:rFonts w:ascii="Times New Roman" w:hAnsi="Times New Roman" w:eastAsia="仿宋_GB2312" w:cstheme="minorBidi"/>
      <w:spacing w:val="8"/>
      <w:sz w:val="32"/>
    </w:rPr>
  </w:style>
  <w:style w:type="paragraph" w:customStyle="1" w:styleId="488">
    <w:name w:val="2.2-正文-仿宋_GB2312"/>
    <w:qFormat/>
    <w:uiPriority w:val="0"/>
    <w:pPr>
      <w:widowControl w:val="0"/>
      <w:spacing w:line="580" w:lineRule="exact"/>
      <w:ind w:firstLine="688" w:firstLineChars="200"/>
      <w:jc w:val="both"/>
    </w:pPr>
    <w:rPr>
      <w:rFonts w:ascii="Times New Roman" w:hAnsi="Times New Roman" w:eastAsia="仿宋_GB2312" w:cstheme="minorBidi"/>
      <w:spacing w:val="8"/>
      <w:sz w:val="32"/>
    </w:rPr>
  </w:style>
  <w:style w:type="paragraph" w:customStyle="1" w:styleId="489">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490">
    <w:name w:val="*正文"/>
    <w:basedOn w:val="1"/>
    <w:qFormat/>
    <w:uiPriority w:val="0"/>
    <w:pPr>
      <w:widowControl/>
      <w:ind w:firstLine="480"/>
      <w:jc w:val="left"/>
    </w:pPr>
    <w:rPr>
      <w:rFonts w:ascii="仿宋_GB2312"/>
      <w:sz w:val="24"/>
      <w:szCs w:val="28"/>
    </w:rPr>
  </w:style>
  <w:style w:type="paragraph" w:customStyle="1" w:styleId="491">
    <w:name w:val="表格居中"/>
    <w:basedOn w:val="196"/>
    <w:qFormat/>
    <w:uiPriority w:val="0"/>
    <w:rPr>
      <w:rFonts w:ascii="宋体" w:hAnsi="宋体" w:eastAsia="宋体"/>
      <w:sz w:val="21"/>
    </w:rPr>
  </w:style>
  <w:style w:type="paragraph" w:customStyle="1" w:styleId="492">
    <w:name w:val="缩进正文"/>
    <w:basedOn w:val="1"/>
    <w:qFormat/>
    <w:uiPriority w:val="0"/>
    <w:pPr>
      <w:widowControl/>
      <w:wordWrap w:val="0"/>
    </w:pPr>
    <w:rPr>
      <w:rFonts w:ascii="Times New Roman" w:hAnsi="Times New Roman" w:eastAsia="宋体" w:cs="Times New Roman"/>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zzz</Company>
  <Pages>228</Pages>
  <Words>139359</Words>
  <Characters>149907</Characters>
  <Lines>366</Lines>
  <Paragraphs>103</Paragraphs>
  <TotalTime>385</TotalTime>
  <ScaleCrop>false</ScaleCrop>
  <LinksUpToDate>false</LinksUpToDate>
  <CharactersWithSpaces>152896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2021-06-18T00:49:00Z</dcterms:created>
  <dc:creator>wmq</dc:creator>
  <cp:lastModifiedBy>Administrator</cp:lastModifiedBy>
  <cp:lastPrinted>2026-05-07T10:06:00Z</cp:lastPrinted>
  <dcterms:modified xsi:type="dcterms:W3CDTF">2026-05-13T07:08:17Z</dcterms:modified>
  <dc:title>适用一般货物采购/非建筑设备货物采购含安装等伴随服务</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A8BBDA5719F34426AD4AE6E095C6955A_13</vt:lpwstr>
  </property>
  <property fmtid="{D5CDD505-2E9C-101B-9397-08002B2CF9AE}" pid="4" name="KSOTemplateDocerSaveRecord">
    <vt:lpwstr>eyJoZGlkIjoiYTQ4OTI5ZTIxNmUxZTk3MmQzY2Q5NjQwMDFjNTFmZmQiLCJ1c2VySWQiOiI2NzI4MzE0MjMifQ==</vt:lpwstr>
  </property>
</Properties>
</file>