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0FDE8">
      <w:pPr>
        <w:pStyle w:val="7"/>
        <w:jc w:val="center"/>
        <w:outlineLvl w:val="1"/>
        <w:rPr>
          <w:rFonts w:hint="eastAsia" w:ascii="仿宋" w:hAnsi="仿宋" w:eastAsia="仿宋" w:cs="仿宋"/>
          <w:color w:val="auto"/>
        </w:rPr>
      </w:pPr>
      <w:r>
        <w:rPr>
          <w:rFonts w:hint="eastAsia" w:ascii="仿宋" w:hAnsi="仿宋" w:eastAsia="仿宋" w:cs="仿宋"/>
          <w:b/>
          <w:color w:val="auto"/>
          <w:sz w:val="36"/>
        </w:rPr>
        <w:t>采购合同文本</w:t>
      </w:r>
    </w:p>
    <w:p w14:paraId="5AB55F0E">
      <w:pPr>
        <w:pStyle w:val="7"/>
        <w:jc w:val="center"/>
        <w:rPr>
          <w:rFonts w:hint="eastAsia" w:ascii="仿宋" w:hAnsi="仿宋" w:eastAsia="仿宋" w:cs="仿宋"/>
          <w:color w:val="auto"/>
          <w:lang w:eastAsia="zh-CN"/>
        </w:rPr>
      </w:pPr>
      <w:r>
        <w:rPr>
          <w:rFonts w:hint="eastAsia" w:ascii="仿宋" w:hAnsi="仿宋" w:eastAsia="仿宋" w:cs="仿宋"/>
          <w:b/>
          <w:color w:val="auto"/>
          <w:sz w:val="48"/>
        </w:rPr>
        <w:t>合　同　书</w:t>
      </w:r>
      <w:bookmarkStart w:id="0" w:name="_GoBack"/>
      <w:bookmarkEnd w:id="0"/>
    </w:p>
    <w:p w14:paraId="0254ADA2">
      <w:pPr>
        <w:pStyle w:val="7"/>
        <w:spacing w:line="360" w:lineRule="auto"/>
        <w:jc w:val="center"/>
        <w:rPr>
          <w:rFonts w:hint="eastAsia" w:ascii="仿宋" w:hAnsi="仿宋" w:eastAsia="仿宋" w:cs="仿宋"/>
          <w:color w:val="auto"/>
          <w:sz w:val="24"/>
          <w:szCs w:val="24"/>
        </w:rPr>
      </w:pPr>
    </w:p>
    <w:p w14:paraId="19B5C89B">
      <w:pPr>
        <w:pStyle w:val="7"/>
        <w:spacing w:line="360" w:lineRule="auto"/>
        <w:jc w:val="center"/>
        <w:rPr>
          <w:rFonts w:hint="eastAsia" w:ascii="仿宋" w:hAnsi="仿宋" w:eastAsia="仿宋" w:cs="仿宋"/>
          <w:color w:val="auto"/>
          <w:sz w:val="24"/>
          <w:szCs w:val="24"/>
        </w:rPr>
      </w:pPr>
    </w:p>
    <w:p w14:paraId="3D389867">
      <w:pPr>
        <w:pStyle w:val="7"/>
        <w:spacing w:line="360" w:lineRule="auto"/>
        <w:jc w:val="center"/>
        <w:rPr>
          <w:rFonts w:hint="eastAsia" w:ascii="仿宋" w:hAnsi="仿宋" w:eastAsia="仿宋" w:cs="仿宋"/>
          <w:color w:val="auto"/>
          <w:sz w:val="24"/>
          <w:szCs w:val="24"/>
        </w:rPr>
      </w:pPr>
    </w:p>
    <w:p w14:paraId="466AA8CA">
      <w:pPr>
        <w:pStyle w:val="7"/>
        <w:spacing w:line="360" w:lineRule="auto"/>
        <w:jc w:val="center"/>
        <w:rPr>
          <w:rFonts w:hint="eastAsia" w:ascii="仿宋" w:hAnsi="仿宋" w:eastAsia="仿宋" w:cs="仿宋"/>
          <w:color w:val="auto"/>
          <w:sz w:val="24"/>
          <w:szCs w:val="24"/>
        </w:rPr>
      </w:pPr>
    </w:p>
    <w:p w14:paraId="5C5419F5">
      <w:pPr>
        <w:pStyle w:val="7"/>
        <w:spacing w:line="360" w:lineRule="auto"/>
        <w:jc w:val="center"/>
        <w:rPr>
          <w:rFonts w:hint="eastAsia" w:ascii="仿宋" w:hAnsi="仿宋" w:eastAsia="仿宋" w:cs="仿宋"/>
          <w:color w:val="auto"/>
          <w:sz w:val="24"/>
          <w:szCs w:val="24"/>
        </w:rPr>
      </w:pPr>
    </w:p>
    <w:p w14:paraId="0AE17F61">
      <w:pPr>
        <w:pStyle w:val="7"/>
        <w:spacing w:line="360" w:lineRule="auto"/>
        <w:jc w:val="center"/>
        <w:rPr>
          <w:rFonts w:hint="eastAsia" w:ascii="仿宋" w:hAnsi="仿宋" w:eastAsia="仿宋" w:cs="仿宋"/>
          <w:color w:val="auto"/>
          <w:sz w:val="24"/>
          <w:szCs w:val="24"/>
        </w:rPr>
      </w:pPr>
    </w:p>
    <w:p w14:paraId="15C52D3E">
      <w:pPr>
        <w:pStyle w:val="7"/>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601EDF31">
      <w:pPr>
        <w:pStyle w:val="7"/>
        <w:spacing w:line="360" w:lineRule="auto"/>
        <w:ind w:firstLine="1120"/>
        <w:rPr>
          <w:rFonts w:hint="eastAsia" w:ascii="仿宋" w:hAnsi="仿宋" w:eastAsia="仿宋" w:cs="仿宋"/>
          <w:color w:val="auto"/>
          <w:sz w:val="24"/>
          <w:szCs w:val="24"/>
        </w:rPr>
      </w:pPr>
      <w:r>
        <w:rPr>
          <w:rFonts w:hint="eastAsia" w:ascii="仿宋" w:hAnsi="仿宋" w:eastAsia="仿宋" w:cs="仿宋"/>
          <w:color w:val="auto"/>
          <w:sz w:val="24"/>
          <w:szCs w:val="24"/>
        </w:rPr>
        <w:t>采购计划编号：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33008534">
      <w:pPr>
        <w:pStyle w:val="7"/>
        <w:spacing w:line="360" w:lineRule="auto"/>
        <w:ind w:firstLine="1120"/>
        <w:rPr>
          <w:rFonts w:hint="eastAsia" w:ascii="仿宋" w:hAnsi="仿宋" w:eastAsia="仿宋" w:cs="仿宋"/>
          <w:color w:val="auto"/>
          <w:sz w:val="24"/>
          <w:szCs w:val="24"/>
        </w:rPr>
      </w:pPr>
    </w:p>
    <w:p w14:paraId="1C42CD0A">
      <w:pPr>
        <w:pStyle w:val="7"/>
        <w:spacing w:line="360" w:lineRule="auto"/>
        <w:ind w:firstLine="1120"/>
        <w:rPr>
          <w:rFonts w:hint="eastAsia" w:ascii="仿宋" w:hAnsi="仿宋" w:eastAsia="仿宋" w:cs="仿宋"/>
          <w:color w:val="auto"/>
          <w:sz w:val="24"/>
          <w:szCs w:val="24"/>
          <w:u w:val="single"/>
        </w:rPr>
      </w:pP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p>
    <w:p w14:paraId="604F5931">
      <w:pPr>
        <w:pStyle w:val="7"/>
        <w:spacing w:line="360" w:lineRule="auto"/>
        <w:ind w:firstLine="1120"/>
        <w:rPr>
          <w:rFonts w:hint="eastAsia" w:ascii="仿宋" w:hAnsi="仿宋" w:eastAsia="仿宋" w:cs="仿宋"/>
          <w:color w:val="auto"/>
          <w:sz w:val="24"/>
          <w:szCs w:val="24"/>
          <w:u w:val="single"/>
        </w:rPr>
      </w:pPr>
    </w:p>
    <w:p w14:paraId="3BE32939">
      <w:pPr>
        <w:pStyle w:val="7"/>
        <w:spacing w:line="360" w:lineRule="auto"/>
        <w:ind w:firstLine="1120"/>
        <w:rPr>
          <w:rFonts w:hint="eastAsia" w:ascii="仿宋" w:hAnsi="仿宋" w:eastAsia="仿宋" w:cs="仿宋"/>
          <w:color w:val="auto"/>
          <w:sz w:val="24"/>
          <w:szCs w:val="24"/>
          <w:u w:val="single"/>
        </w:rPr>
      </w:pPr>
      <w:r>
        <w:rPr>
          <w:rFonts w:hint="eastAsia" w:ascii="仿宋" w:hAnsi="仿宋" w:eastAsia="仿宋" w:cs="仿宋"/>
          <w:color w:val="auto"/>
          <w:sz w:val="24"/>
          <w:szCs w:val="24"/>
        </w:rPr>
        <w:t>项目名称：</w:t>
      </w:r>
      <w:r>
        <w:rPr>
          <w:rFonts w:hint="eastAsia" w:ascii="仿宋" w:hAnsi="仿宋" w:eastAsia="仿宋" w:cs="仿宋"/>
          <w:color w:val="auto"/>
          <w:sz w:val="24"/>
          <w:szCs w:val="24"/>
          <w:u w:val="single"/>
        </w:rPr>
        <w:t xml:space="preserve">                                      </w:t>
      </w:r>
    </w:p>
    <w:p w14:paraId="7C35BBA2">
      <w:pPr>
        <w:pStyle w:val="7"/>
        <w:spacing w:line="360" w:lineRule="auto"/>
        <w:ind w:firstLine="1120"/>
        <w:rPr>
          <w:rFonts w:hint="eastAsia" w:ascii="仿宋" w:hAnsi="仿宋" w:eastAsia="仿宋" w:cs="仿宋"/>
          <w:color w:val="auto"/>
          <w:sz w:val="24"/>
          <w:szCs w:val="24"/>
          <w:u w:val="single"/>
        </w:rPr>
      </w:pPr>
    </w:p>
    <w:p w14:paraId="44DCF604">
      <w:pPr>
        <w:pStyle w:val="7"/>
        <w:spacing w:line="360" w:lineRule="auto"/>
        <w:ind w:firstLine="1120"/>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lang w:val="en-US" w:eastAsia="zh-CN"/>
        </w:rPr>
        <w:t>采购单位</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753102F2">
      <w:pPr>
        <w:pStyle w:val="7"/>
        <w:spacing w:line="360" w:lineRule="auto"/>
        <w:ind w:firstLine="1120"/>
        <w:rPr>
          <w:rFonts w:hint="eastAsia" w:ascii="仿宋" w:hAnsi="仿宋" w:eastAsia="仿宋" w:cs="仿宋"/>
          <w:color w:val="auto"/>
          <w:sz w:val="24"/>
          <w:szCs w:val="24"/>
        </w:rPr>
      </w:pPr>
    </w:p>
    <w:p w14:paraId="4836D84D">
      <w:pPr>
        <w:pStyle w:val="7"/>
        <w:spacing w:line="360" w:lineRule="auto"/>
        <w:ind w:firstLine="1120"/>
        <w:rPr>
          <w:rFonts w:hint="eastAsia" w:ascii="仿宋" w:hAnsi="仿宋" w:eastAsia="仿宋" w:cs="仿宋"/>
          <w:color w:val="auto"/>
          <w:sz w:val="24"/>
          <w:szCs w:val="24"/>
        </w:rPr>
      </w:pPr>
      <w:r>
        <w:rPr>
          <w:rFonts w:hint="eastAsia" w:ascii="仿宋" w:hAnsi="仿宋" w:eastAsia="仿宋" w:cs="仿宋"/>
          <w:color w:val="auto"/>
          <w:sz w:val="24"/>
          <w:szCs w:val="24"/>
        </w:rPr>
        <w:t>乙方（</w:t>
      </w:r>
      <w:r>
        <w:rPr>
          <w:rFonts w:hint="eastAsia" w:ascii="仿宋" w:hAnsi="仿宋" w:eastAsia="仿宋" w:cs="仿宋"/>
          <w:color w:val="auto"/>
          <w:sz w:val="24"/>
          <w:szCs w:val="24"/>
          <w:lang w:val="en-US" w:eastAsia="zh-CN"/>
        </w:rPr>
        <w:t>中标单位</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648C630B">
      <w:pPr>
        <w:pStyle w:val="7"/>
        <w:spacing w:line="360" w:lineRule="auto"/>
        <w:ind w:firstLine="1120"/>
        <w:rPr>
          <w:rFonts w:hint="eastAsia" w:ascii="仿宋" w:hAnsi="仿宋" w:eastAsia="仿宋" w:cs="仿宋"/>
          <w:color w:val="auto"/>
          <w:sz w:val="24"/>
          <w:szCs w:val="24"/>
        </w:rPr>
      </w:pPr>
    </w:p>
    <w:p w14:paraId="7A1F4C6C">
      <w:pPr>
        <w:pStyle w:val="7"/>
        <w:spacing w:line="360" w:lineRule="auto"/>
        <w:ind w:firstLine="1120"/>
        <w:rPr>
          <w:rFonts w:hint="eastAsia" w:ascii="仿宋" w:hAnsi="仿宋" w:eastAsia="仿宋" w:cs="仿宋"/>
          <w:color w:val="auto"/>
          <w:sz w:val="24"/>
          <w:szCs w:val="24"/>
        </w:rPr>
      </w:pPr>
      <w:r>
        <w:rPr>
          <w:rFonts w:hint="eastAsia" w:ascii="仿宋" w:hAnsi="仿宋" w:eastAsia="仿宋" w:cs="仿宋"/>
          <w:color w:val="auto"/>
          <w:sz w:val="24"/>
          <w:szCs w:val="24"/>
        </w:rPr>
        <w:t xml:space="preserve">日期：      年     月         日  </w:t>
      </w:r>
    </w:p>
    <w:p w14:paraId="425E1226">
      <w:pPr>
        <w:pStyle w:val="7"/>
        <w:spacing w:line="360" w:lineRule="auto"/>
        <w:jc w:val="both"/>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6F66260F">
      <w:pPr>
        <w:rPr>
          <w:rFonts w:hint="eastAsia" w:ascii="仿宋" w:hAnsi="仿宋" w:eastAsia="仿宋" w:cs="仿宋"/>
          <w:color w:val="auto"/>
        </w:rPr>
      </w:pPr>
      <w:r>
        <w:rPr>
          <w:rFonts w:hint="eastAsia" w:ascii="仿宋" w:hAnsi="仿宋" w:eastAsia="仿宋" w:cs="仿宋"/>
          <w:color w:val="auto"/>
        </w:rPr>
        <w:br w:type="page"/>
      </w:r>
    </w:p>
    <w:p w14:paraId="7F405737">
      <w:pPr>
        <w:pStyle w:val="7"/>
        <w:ind w:firstLine="1120"/>
        <w:rPr>
          <w:rFonts w:hint="eastAsia" w:ascii="仿宋" w:hAnsi="仿宋" w:eastAsia="仿宋" w:cs="仿宋"/>
          <w:color w:val="auto"/>
        </w:rPr>
      </w:pPr>
      <w:r>
        <w:rPr>
          <w:rFonts w:hint="eastAsia" w:ascii="仿宋" w:hAnsi="仿宋" w:eastAsia="仿宋" w:cs="仿宋"/>
          <w:color w:val="auto"/>
        </w:rPr>
        <w:t xml:space="preserve">           </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83"/>
        <w:gridCol w:w="2561"/>
        <w:gridCol w:w="1421"/>
        <w:gridCol w:w="1485"/>
        <w:gridCol w:w="1266"/>
      </w:tblGrid>
      <w:tr w14:paraId="68A615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23A1C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lang w:val="en-US" w:eastAsia="zh-CN"/>
              </w:rPr>
              <w:t>采购单位</w:t>
            </w:r>
            <w:r>
              <w:rPr>
                <w:rFonts w:hint="eastAsia" w:ascii="仿宋" w:hAnsi="仿宋" w:eastAsia="仿宋" w:cs="仿宋"/>
                <w:color w:val="auto"/>
                <w:sz w:val="24"/>
                <w:szCs w:val="24"/>
              </w:rPr>
              <w:t>）</w:t>
            </w:r>
          </w:p>
        </w:tc>
        <w:tc>
          <w:tcPr>
            <w:tcW w:w="293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D67E092">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4750"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4CC1B4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3673A1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2352EF34">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0CB72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登记地址</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3B2722A6">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5E4E18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3EE81688">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A9E8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0BF8AE90">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6FDD70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105A21C4">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61E6B">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50AD579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24F21A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445DE534">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73FB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CC7D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9475E1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B61F885">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065B35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641B00C4">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32576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7072A1C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082250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0D45DA74">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B036A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CB8C2">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81F275">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751F6D7">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091C9D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64F14DDA">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C09A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电子邮箱</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25F22BA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2B62E7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057D8C9E">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57E34">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444E2AFF">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2438F7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single" w:color="000000" w:sz="4" w:space="0"/>
              <w:left w:val="single" w:color="000000" w:sz="4" w:space="0"/>
              <w:bottom w:val="single" w:color="000000" w:sz="4" w:space="0"/>
              <w:right w:val="single" w:color="000000" w:sz="4" w:space="0"/>
            </w:tcBorders>
            <w:vAlign w:val="center"/>
          </w:tcPr>
          <w:p w14:paraId="62E6C3F5">
            <w:pPr>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1544F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74FAD7">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CEFBB4">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税号</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BAA10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3B94CB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F6FE513">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w:t>
            </w:r>
            <w:r>
              <w:rPr>
                <w:rFonts w:hint="eastAsia" w:ascii="仿宋" w:hAnsi="仿宋" w:eastAsia="仿宋" w:cs="仿宋"/>
                <w:color w:val="auto"/>
                <w:sz w:val="24"/>
                <w:szCs w:val="24"/>
                <w:lang w:val="en-US" w:eastAsia="zh-CN"/>
              </w:rPr>
              <w:t>中标单位</w:t>
            </w:r>
            <w:r>
              <w:rPr>
                <w:rFonts w:hint="eastAsia" w:ascii="仿宋" w:hAnsi="仿宋" w:eastAsia="仿宋" w:cs="仿宋"/>
                <w:color w:val="auto"/>
                <w:sz w:val="24"/>
                <w:szCs w:val="24"/>
              </w:rPr>
              <w:t>）</w:t>
            </w: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D9208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12A25C5E">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260F6F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122D3ECA">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CFF5D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登记地址</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6858A82D">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76433D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095691D8">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DCFE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0DAB525B">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564146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2BC620A8">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ACF0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6C135CF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39EFFA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57165082">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E3802">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B8EB59">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CF9CD7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A9C932F">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41F55D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0A57D131">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4CE3E">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4DAE6B9A">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333267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62057898">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4F7912">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0AF7BAB0">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60ED9D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2823EEA7">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5C405">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285D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3A36C6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A8D92A1">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40128D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14C671A2">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F1AC7">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电子邮箱</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286B1F18">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6172DC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40226F9C">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194963">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p>
        </w:tc>
        <w:tc>
          <w:tcPr>
            <w:tcW w:w="4750" w:type="dxa"/>
            <w:gridSpan w:val="3"/>
            <w:tcBorders>
              <w:top w:val="nil"/>
              <w:left w:val="nil"/>
              <w:bottom w:val="single" w:color="000000" w:sz="4" w:space="0"/>
              <w:right w:val="single" w:color="000000" w:sz="4" w:space="0"/>
            </w:tcBorders>
            <w:tcMar>
              <w:top w:w="0" w:type="dxa"/>
              <w:left w:w="105" w:type="dxa"/>
              <w:bottom w:w="0" w:type="dxa"/>
              <w:right w:w="105" w:type="dxa"/>
            </w:tcMar>
            <w:vAlign w:val="top"/>
          </w:tcPr>
          <w:p w14:paraId="00E29DE3">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r w14:paraId="517E01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75" w:type="dxa"/>
            <w:vMerge w:val="continue"/>
            <w:tcBorders>
              <w:top w:val="nil"/>
              <w:left w:val="single" w:color="000000" w:sz="4" w:space="0"/>
              <w:bottom w:val="single" w:color="000000" w:sz="4" w:space="0"/>
              <w:right w:val="single" w:color="000000" w:sz="4" w:space="0"/>
            </w:tcBorders>
          </w:tcPr>
          <w:p w14:paraId="2405C963">
            <w:pPr>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4"/>
                <w:szCs w:val="24"/>
              </w:rPr>
            </w:pPr>
          </w:p>
        </w:tc>
        <w:tc>
          <w:tcPr>
            <w:tcW w:w="293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82796">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c>
          <w:tcPr>
            <w:tcW w:w="16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89A4C">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D3C7F87">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税号</w:t>
            </w:r>
          </w:p>
        </w:tc>
        <w:tc>
          <w:tcPr>
            <w:tcW w:w="14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4AEE87">
            <w:pPr>
              <w:pStyle w:val="7"/>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4"/>
                <w:szCs w:val="24"/>
              </w:rPr>
            </w:pPr>
          </w:p>
        </w:tc>
      </w:tr>
    </w:tbl>
    <w:p w14:paraId="538E385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采购单位</w:t>
      </w:r>
      <w:r>
        <w:rPr>
          <w:rFonts w:hint="eastAsia" w:ascii="仿宋" w:hAnsi="仿宋" w:eastAsia="仿宋" w:cs="仿宋"/>
          <w:color w:val="auto"/>
          <w:sz w:val="24"/>
          <w:szCs w:val="24"/>
          <w:u w:val="single"/>
        </w:rPr>
        <w:t xml:space="preserve">    （以下简称甲方）</w:t>
      </w:r>
      <w:r>
        <w:rPr>
          <w:rFonts w:hint="eastAsia" w:ascii="仿宋" w:hAnsi="仿宋" w:eastAsia="仿宋" w:cs="仿宋"/>
          <w:color w:val="auto"/>
          <w:sz w:val="24"/>
          <w:szCs w:val="24"/>
        </w:rPr>
        <w:t>与</w:t>
      </w:r>
      <w:r>
        <w:rPr>
          <w:rFonts w:hint="eastAsia" w:ascii="仿宋" w:hAnsi="仿宋" w:eastAsia="仿宋" w:cs="仿宋"/>
          <w:color w:val="auto"/>
          <w:sz w:val="24"/>
          <w:szCs w:val="24"/>
          <w:lang w:val="en-US" w:eastAsia="zh-CN"/>
        </w:rPr>
        <w:t>中标单位</w:t>
      </w:r>
      <w:r>
        <w:rPr>
          <w:rFonts w:hint="eastAsia" w:ascii="仿宋" w:hAnsi="仿宋" w:eastAsia="仿宋" w:cs="仿宋"/>
          <w:color w:val="auto"/>
          <w:sz w:val="24"/>
          <w:szCs w:val="24"/>
          <w:u w:val="single"/>
        </w:rPr>
        <w:t xml:space="preserve">        （以下简称乙方）</w:t>
      </w:r>
      <w:r>
        <w:rPr>
          <w:rFonts w:hint="eastAsia" w:ascii="仿宋" w:hAnsi="仿宋" w:eastAsia="仿宋" w:cs="仿宋"/>
          <w:color w:val="auto"/>
          <w:sz w:val="24"/>
          <w:szCs w:val="24"/>
        </w:rPr>
        <w:t>，根据《中华人民共和国民典法》《中华人民共和国政府采购法》《中华人民共和国招标投标法》《公共机节能条例》《关于鼓励和支持公共机构采用能源费用托管服务的意见》及有关节能、环保、供电等法律、法规，本着平等、自愿的原则，就</w:t>
      </w:r>
      <w:r>
        <w:rPr>
          <w:rFonts w:hint="eastAsia" w:ascii="仿宋" w:hAnsi="仿宋" w:eastAsia="仿宋" w:cs="仿宋"/>
          <w:color w:val="auto"/>
          <w:sz w:val="24"/>
          <w:szCs w:val="24"/>
          <w:u w:val="single"/>
        </w:rPr>
        <w:t>（项目名称）（采购编号）</w:t>
      </w:r>
      <w:r>
        <w:rPr>
          <w:rFonts w:hint="eastAsia" w:ascii="仿宋" w:hAnsi="仿宋" w:eastAsia="仿宋" w:cs="仿宋"/>
          <w:color w:val="auto"/>
          <w:sz w:val="24"/>
          <w:szCs w:val="24"/>
        </w:rPr>
        <w:t>的（以下简称托管项目）按“能源费用托管型合同能源管理”模式进行托管的事宜，经双方协商一致，签订本合同（以下简称项目合同）。</w:t>
      </w:r>
    </w:p>
    <w:p w14:paraId="40B1F74E">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第一条 名词解释</w:t>
      </w:r>
    </w:p>
    <w:p w14:paraId="1658A1B0">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1、</w:t>
      </w:r>
      <w:r>
        <w:rPr>
          <w:rFonts w:hint="eastAsia" w:ascii="仿宋" w:hAnsi="仿宋" w:eastAsia="仿宋" w:cs="仿宋"/>
          <w:b/>
          <w:color w:val="auto"/>
          <w:sz w:val="24"/>
          <w:szCs w:val="24"/>
        </w:rPr>
        <w:t>合同能源管理</w:t>
      </w:r>
    </w:p>
    <w:p w14:paraId="23EBF74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节能服务公司与用能单位以契约形式约定节能项目的节能目标,节能服务公司为实现节能目标向用能单位提供必要的服务,用能单位以节能效益、节能服务费或能源托管费支付节能服务公司的投入及其合理利润的节能服务机制。</w:t>
      </w:r>
    </w:p>
    <w:p w14:paraId="1FBAD74D">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2、</w:t>
      </w:r>
      <w:r>
        <w:rPr>
          <w:rFonts w:hint="eastAsia" w:ascii="仿宋" w:hAnsi="仿宋" w:eastAsia="仿宋" w:cs="仿宋"/>
          <w:b/>
          <w:color w:val="auto"/>
          <w:sz w:val="24"/>
          <w:szCs w:val="24"/>
        </w:rPr>
        <w:t>节能量</w:t>
      </w:r>
    </w:p>
    <w:p w14:paraId="7F89765B">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满足同等需求或达到相同目的的条件下,能源消耗/能源消费减少的数量。</w:t>
      </w:r>
    </w:p>
    <w:p w14:paraId="5C77BC2C">
      <w:pPr>
        <w:pStyle w:val="7"/>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color w:val="auto"/>
          <w:sz w:val="21"/>
          <w:szCs w:val="21"/>
        </w:rPr>
      </w:pPr>
      <w:r>
        <w:rPr>
          <w:rFonts w:hint="eastAsia" w:ascii="仿宋" w:hAnsi="仿宋" w:eastAsia="仿宋" w:cs="仿宋"/>
          <w:b/>
          <w:color w:val="auto"/>
          <w:sz w:val="21"/>
          <w:szCs w:val="21"/>
          <w:lang w:val="en-US" w:eastAsia="zh-CN"/>
        </w:rPr>
        <w:t>3、</w:t>
      </w:r>
      <w:r>
        <w:rPr>
          <w:rFonts w:hint="eastAsia" w:ascii="仿宋" w:hAnsi="仿宋" w:eastAsia="仿宋" w:cs="仿宋"/>
          <w:b/>
          <w:color w:val="auto"/>
          <w:sz w:val="21"/>
          <w:szCs w:val="21"/>
        </w:rPr>
        <w:t xml:space="preserve"> 能源绩效</w:t>
      </w:r>
    </w:p>
    <w:p w14:paraId="673C4E6A">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与能源效率、能源使用和能源消耗有关的、可测量的结果。</w:t>
      </w:r>
    </w:p>
    <w:p w14:paraId="0FB5532C">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4、</w:t>
      </w:r>
      <w:r>
        <w:rPr>
          <w:rFonts w:hint="eastAsia" w:ascii="仿宋" w:hAnsi="仿宋" w:eastAsia="仿宋" w:cs="仿宋"/>
          <w:b/>
          <w:color w:val="auto"/>
          <w:sz w:val="24"/>
          <w:szCs w:val="24"/>
        </w:rPr>
        <w:t xml:space="preserve"> 能源绩效参数</w:t>
      </w:r>
    </w:p>
    <w:p w14:paraId="243BAC6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可量化能源绩效的数值或量度。</w:t>
      </w:r>
    </w:p>
    <w:p w14:paraId="2378285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(注:能源绩效参数可由简单的量值、比率或更为复杂的模型表示。)</w:t>
      </w:r>
    </w:p>
    <w:p w14:paraId="6F317130">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5、</w:t>
      </w:r>
      <w:r>
        <w:rPr>
          <w:rFonts w:hint="eastAsia" w:ascii="仿宋" w:hAnsi="仿宋" w:eastAsia="仿宋" w:cs="仿宋"/>
          <w:b/>
          <w:color w:val="auto"/>
          <w:sz w:val="24"/>
          <w:szCs w:val="24"/>
        </w:rPr>
        <w:t xml:space="preserve"> 能源基准</w:t>
      </w:r>
    </w:p>
    <w:p w14:paraId="53626CE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rPr>
        <w:t>由用能单位和节能服务公司共同确认的，用能单位或用能设备、环节在实施合同能源管理项目前某一时间段内的能源消耗状况</w:t>
      </w:r>
      <w:r>
        <w:rPr>
          <w:rFonts w:hint="eastAsia" w:ascii="仿宋" w:hAnsi="仿宋" w:eastAsia="仿宋" w:cs="仿宋"/>
          <w:b w:val="0"/>
          <w:bCs/>
          <w:color w:val="auto"/>
          <w:sz w:val="24"/>
          <w:szCs w:val="24"/>
          <w:lang w:eastAsia="zh-CN"/>
        </w:rPr>
        <w:t>。</w:t>
      </w:r>
    </w:p>
    <w:p w14:paraId="1327C750">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6、</w:t>
      </w:r>
      <w:r>
        <w:rPr>
          <w:rFonts w:hint="eastAsia" w:ascii="仿宋" w:hAnsi="仿宋" w:eastAsia="仿宋" w:cs="仿宋"/>
          <w:b/>
          <w:color w:val="auto"/>
          <w:sz w:val="24"/>
          <w:szCs w:val="24"/>
        </w:rPr>
        <w:t xml:space="preserve"> 基期</w:t>
      </w:r>
    </w:p>
    <w:p w14:paraId="3D78C9C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用以比较和确定节能量的,能源绩效改进措施实施前的时间段。</w:t>
      </w:r>
    </w:p>
    <w:p w14:paraId="152FA4FC">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7、</w:t>
      </w:r>
      <w:r>
        <w:rPr>
          <w:rFonts w:hint="eastAsia" w:ascii="仿宋" w:hAnsi="仿宋" w:eastAsia="仿宋" w:cs="仿宋"/>
          <w:b/>
          <w:color w:val="auto"/>
          <w:sz w:val="24"/>
          <w:szCs w:val="24"/>
        </w:rPr>
        <w:t xml:space="preserve"> 基准能源费用</w:t>
      </w:r>
    </w:p>
    <w:p w14:paraId="1E8698A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用能单位在基期所花费的能源费用。</w:t>
      </w:r>
    </w:p>
    <w:p w14:paraId="67DC5299">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8、</w:t>
      </w:r>
      <w:r>
        <w:rPr>
          <w:rFonts w:hint="eastAsia" w:ascii="仿宋" w:hAnsi="仿宋" w:eastAsia="仿宋" w:cs="仿宋"/>
          <w:b/>
          <w:color w:val="auto"/>
          <w:sz w:val="24"/>
          <w:szCs w:val="24"/>
        </w:rPr>
        <w:t xml:space="preserve"> 节能服务费</w:t>
      </w:r>
    </w:p>
    <w:p w14:paraId="02E04F1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通过实施合同能源管理项目,产生相应的节能量,用能单位减少能源费用支出和增加收益,将减少的能源费用和增加收益的一部分,作为报酬支付给节能服务公司。</w:t>
      </w:r>
    </w:p>
    <w:p w14:paraId="1CEE8F22">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9、</w:t>
      </w:r>
      <w:r>
        <w:rPr>
          <w:rFonts w:hint="eastAsia" w:ascii="仿宋" w:hAnsi="仿宋" w:eastAsia="仿宋" w:cs="仿宋"/>
          <w:b/>
          <w:color w:val="auto"/>
          <w:sz w:val="24"/>
          <w:szCs w:val="24"/>
        </w:rPr>
        <w:t xml:space="preserve"> 能源费用托管</w:t>
      </w:r>
    </w:p>
    <w:p w14:paraId="2BD44E1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合同能源管理的一种形式。由用能单位委托节能服务公司进行能源系统的运行、管理、维护或(和)节能改造。用能单位根据能源基准确定的能源系统运行、管理、维护和能源使用的费用,支付给节能服务公司作为</w:t>
      </w:r>
      <w:r>
        <w:rPr>
          <w:rFonts w:hint="eastAsia" w:ascii="仿宋" w:hAnsi="仿宋" w:eastAsia="仿宋" w:cs="仿宋"/>
          <w:color w:val="auto"/>
          <w:sz w:val="24"/>
          <w:szCs w:val="24"/>
          <w:highlight w:val="none"/>
          <w:lang w:val="en-US" w:eastAsia="zh-CN"/>
        </w:rPr>
        <w:t>托管</w:t>
      </w:r>
      <w:r>
        <w:rPr>
          <w:rFonts w:hint="eastAsia" w:ascii="仿宋" w:hAnsi="仿宋" w:eastAsia="仿宋" w:cs="仿宋"/>
          <w:color w:val="auto"/>
          <w:sz w:val="24"/>
          <w:szCs w:val="24"/>
          <w:highlight w:val="none"/>
        </w:rPr>
        <w:t>费用。节能服务公司通过科学的管理运行和节能技术的应用达到节约能源,减少费用支出或增加收益,获取合理的利润。托管范围可包括但不局限于灯具、智控设备、灯杆、配电箱、电缆</w:t>
      </w:r>
      <w:r>
        <w:rPr>
          <w:rFonts w:hint="eastAsia" w:ascii="仿宋" w:hAnsi="仿宋" w:eastAsia="仿宋" w:cs="仿宋"/>
          <w:color w:val="auto"/>
          <w:sz w:val="24"/>
          <w:szCs w:val="24"/>
          <w:highlight w:val="none"/>
          <w:lang w:eastAsia="zh-CN"/>
        </w:rPr>
        <w:t>、</w:t>
      </w:r>
      <w:r>
        <w:rPr>
          <w:rFonts w:hint="eastAsia" w:ascii="仿宋" w:hAnsi="仿宋" w:eastAsia="仿宋" w:cs="仿宋"/>
          <w:b w:val="0"/>
          <w:bCs w:val="0"/>
          <w:color w:val="auto"/>
          <w:kern w:val="0"/>
          <w:sz w:val="24"/>
          <w:szCs w:val="24"/>
          <w:lang w:val="en-US" w:eastAsia="zh-CN" w:bidi="ar-SA"/>
        </w:rPr>
        <w:t>电线、线路管道、架空线路及配件</w:t>
      </w:r>
      <w:r>
        <w:rPr>
          <w:rFonts w:hint="eastAsia" w:ascii="仿宋" w:hAnsi="仿宋" w:eastAsia="仿宋" w:cs="仿宋"/>
          <w:color w:val="auto"/>
          <w:sz w:val="24"/>
          <w:szCs w:val="24"/>
          <w:highlight w:val="none"/>
        </w:rPr>
        <w:t>以及照明智慧化管理系统等的管理、维护和定期检测(</w:t>
      </w:r>
      <w:r>
        <w:rPr>
          <w:rFonts w:hint="eastAsia" w:ascii="仿宋" w:hAnsi="仿宋" w:eastAsia="仿宋" w:cs="仿宋"/>
          <w:color w:val="auto"/>
          <w:sz w:val="24"/>
          <w:szCs w:val="24"/>
          <w:highlight w:val="none"/>
          <w:lang w:eastAsia="zh-CN"/>
        </w:rPr>
        <w:t>变压器以下</w:t>
      </w:r>
      <w:r>
        <w:rPr>
          <w:rFonts w:hint="eastAsia" w:ascii="仿宋" w:hAnsi="仿宋" w:eastAsia="仿宋" w:cs="仿宋"/>
          <w:color w:val="auto"/>
          <w:sz w:val="24"/>
          <w:szCs w:val="24"/>
          <w:highlight w:val="none"/>
        </w:rPr>
        <w:t>的所有</w:t>
      </w:r>
      <w:r>
        <w:rPr>
          <w:rFonts w:hint="eastAsia" w:ascii="仿宋" w:hAnsi="仿宋" w:eastAsia="仿宋" w:cs="仿宋"/>
          <w:color w:val="auto"/>
          <w:sz w:val="24"/>
          <w:szCs w:val="24"/>
          <w:highlight w:val="none"/>
          <w:lang w:eastAsia="zh-CN"/>
        </w:rPr>
        <w:t>照明</w:t>
      </w:r>
      <w:r>
        <w:rPr>
          <w:rFonts w:hint="eastAsia" w:ascii="仿宋" w:hAnsi="仿宋" w:eastAsia="仿宋" w:cs="仿宋"/>
          <w:color w:val="auto"/>
          <w:sz w:val="24"/>
          <w:szCs w:val="24"/>
          <w:highlight w:val="none"/>
        </w:rPr>
        <w:t>设施)，设施台账定期更新，破损设施更换更新以及配合做好本级政府要求落实的其他工作任务等。</w:t>
      </w:r>
    </w:p>
    <w:p w14:paraId="50E7106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Hans"/>
        </w:rPr>
        <w:t>第二条</w:t>
      </w:r>
      <w:r>
        <w:rPr>
          <w:rFonts w:hint="eastAsia" w:ascii="仿宋" w:hAnsi="仿宋" w:eastAsia="仿宋" w:cs="仿宋"/>
          <w:b/>
          <w:color w:val="auto"/>
          <w:sz w:val="24"/>
          <w:szCs w:val="24"/>
        </w:rPr>
        <w:t xml:space="preserve"> 托管项目基本情况</w:t>
      </w:r>
    </w:p>
    <w:p w14:paraId="3F0340F5">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1、项目期限</w:t>
      </w:r>
    </w:p>
    <w:p w14:paraId="278C24A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yellow"/>
          <w:lang w:val="en-US" w:eastAsia="zh-CN"/>
        </w:rPr>
      </w:pPr>
      <w:r>
        <w:rPr>
          <w:rFonts w:hint="eastAsia" w:ascii="仿宋" w:hAnsi="仿宋" w:eastAsia="仿宋" w:cs="仿宋"/>
          <w:color w:val="auto"/>
          <w:sz w:val="24"/>
          <w:szCs w:val="24"/>
          <w:lang w:val="en-US" w:eastAsia="zh-CN"/>
        </w:rPr>
        <w:t xml:space="preserve">本项目合同期限为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，项目签订合同后以采购人签发的开工通知书之日起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个月为项目建设期（建设期内的电费由采购人正常支付），本项目由中标人自筹资金按照采购需求和合同要求对照明设施进行升级改造和搭建智慧控制平台。以采购人签发的竣工验收通过之日起进入项目托管期（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年）。</w:t>
      </w:r>
    </w:p>
    <w:p w14:paraId="3832F0EF">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lang w:val="en-US" w:eastAsia="zh-CN"/>
        </w:rPr>
        <w:t>2、</w:t>
      </w:r>
      <w:r>
        <w:rPr>
          <w:rFonts w:hint="eastAsia" w:ascii="仿宋" w:hAnsi="仿宋" w:eastAsia="仿宋" w:cs="仿宋"/>
          <w:b/>
          <w:color w:val="auto"/>
          <w:sz w:val="24"/>
          <w:szCs w:val="24"/>
        </w:rPr>
        <w:t>托管范围</w:t>
      </w:r>
    </w:p>
    <w:p w14:paraId="209C5D35">
      <w:pPr>
        <w:pStyle w:val="7"/>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由乙方负责对甲方管养的功能照明路灯及相关附属设施设备进行托管和节能改造，具体以实际改造验收数量为准，验收数量单据需双方人员签字确认。</w:t>
      </w:r>
    </w:p>
    <w:p w14:paraId="17408B87">
      <w:pPr>
        <w:pStyle w:val="7"/>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由乙方承担托管期内包括但不限于</w:t>
      </w:r>
      <w:r>
        <w:rPr>
          <w:rFonts w:hint="eastAsia" w:ascii="仿宋" w:hAnsi="仿宋" w:eastAsia="仿宋" w:cs="仿宋"/>
          <w:color w:val="auto"/>
          <w:sz w:val="28"/>
          <w:szCs w:val="28"/>
          <w:highlight w:val="none"/>
        </w:rPr>
        <w:t>“项目托管、电费缴纳、灯具质保、智能系统运行管理、</w:t>
      </w:r>
      <w:r>
        <w:rPr>
          <w:rFonts w:hint="eastAsia" w:ascii="仿宋" w:hAnsi="仿宋" w:eastAsia="仿宋" w:cs="仿宋"/>
          <w:color w:val="auto"/>
          <w:sz w:val="28"/>
          <w:szCs w:val="28"/>
          <w:highlight w:val="none"/>
          <w:lang w:val="en-US" w:eastAsia="zh-CN"/>
        </w:rPr>
        <w:t>投诉处理、</w:t>
      </w:r>
      <w:r>
        <w:rPr>
          <w:rFonts w:hint="eastAsia" w:ascii="仿宋" w:hAnsi="仿宋" w:eastAsia="仿宋" w:cs="仿宋"/>
          <w:color w:val="auto"/>
          <w:sz w:val="28"/>
          <w:szCs w:val="28"/>
          <w:highlight w:val="none"/>
        </w:rPr>
        <w:t>合作期满设备整体完好、照度</w:t>
      </w:r>
      <w:r>
        <w:rPr>
          <w:rFonts w:hint="eastAsia" w:ascii="仿宋" w:hAnsi="仿宋" w:eastAsia="仿宋" w:cs="仿宋"/>
          <w:color w:val="auto"/>
          <w:sz w:val="28"/>
          <w:szCs w:val="28"/>
          <w:highlight w:val="none"/>
          <w:lang w:eastAsia="zh-CN"/>
        </w:rPr>
        <w:t>、节能率</w:t>
      </w:r>
      <w:r>
        <w:rPr>
          <w:rFonts w:hint="eastAsia" w:ascii="仿宋" w:hAnsi="仿宋" w:eastAsia="仿宋" w:cs="仿宋"/>
          <w:color w:val="auto"/>
          <w:sz w:val="28"/>
          <w:szCs w:val="28"/>
          <w:highlight w:val="none"/>
        </w:rPr>
        <w:t>达标移交”</w:t>
      </w:r>
      <w:r>
        <w:rPr>
          <w:rFonts w:hint="eastAsia" w:ascii="仿宋" w:hAnsi="仿宋" w:eastAsia="仿宋" w:cs="仿宋"/>
          <w:color w:val="auto"/>
          <w:sz w:val="28"/>
          <w:szCs w:val="28"/>
        </w:rPr>
        <w:t>等全过程服务。</w:t>
      </w:r>
    </w:p>
    <w:p w14:paraId="66A54B46">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lang w:val="en-US" w:eastAsia="zh-CN"/>
        </w:rPr>
        <w:t>3、</w:t>
      </w:r>
      <w:r>
        <w:rPr>
          <w:rFonts w:hint="eastAsia" w:ascii="仿宋" w:hAnsi="仿宋" w:eastAsia="仿宋" w:cs="仿宋"/>
          <w:b/>
          <w:color w:val="auto"/>
          <w:sz w:val="24"/>
          <w:szCs w:val="24"/>
        </w:rPr>
        <w:t>托管内容</w:t>
      </w:r>
    </w:p>
    <w:p w14:paraId="77F744B5">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1</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rPr>
        <w:t>托管改造内容</w:t>
      </w:r>
    </w:p>
    <w:p w14:paraId="3D69334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rPr>
        <w:t>具体改造提升内容为：</w:t>
      </w:r>
      <w:r>
        <w:rPr>
          <w:rFonts w:hint="eastAsia" w:ascii="仿宋" w:hAnsi="仿宋" w:eastAsia="仿宋" w:cs="仿宋"/>
          <w:color w:val="auto"/>
          <w:sz w:val="24"/>
          <w:szCs w:val="24"/>
          <w:highlight w:val="none"/>
          <w:u w:val="single"/>
          <w:lang w:val="en-US" w:eastAsia="zh-CN"/>
        </w:rPr>
        <w:t xml:space="preserve">                     </w:t>
      </w:r>
    </w:p>
    <w:p w14:paraId="3D9EED03">
      <w:pPr>
        <w:pStyle w:val="7"/>
        <w:keepNext w:val="0"/>
        <w:keepLines w:val="0"/>
        <w:pageBreakBefore w:val="0"/>
        <w:widowControl/>
        <w:numPr>
          <w:ilvl w:val="0"/>
          <w:numId w:val="1"/>
        </w:numPr>
        <w:kinsoku/>
        <w:wordWrap/>
        <w:overflowPunct/>
        <w:topLinePunct w:val="0"/>
        <w:autoSpaceDE/>
        <w:autoSpaceDN/>
        <w:bidi w:val="0"/>
        <w:adjustRightInd/>
        <w:snapToGrid/>
        <w:spacing w:line="360" w:lineRule="auto"/>
        <w:ind w:left="-60" w:leftChars="0" w:firstLine="480" w:firstLineChars="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项目托管内容</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u w:val="single"/>
          <w:lang w:val="en-US" w:eastAsia="zh-CN"/>
        </w:rPr>
        <w:t xml:space="preserve">                       </w:t>
      </w:r>
    </w:p>
    <w:p w14:paraId="56EC75BE">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第三条  能源审计和能源基准</w:t>
      </w:r>
    </w:p>
    <w:p w14:paraId="335FC0E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能源审计报告所依据的资料及报告内容应当经甲方书面确认。能源审计报告作为确定甲方能源系统能源消耗状况的依据。</w:t>
      </w:r>
    </w:p>
    <w:p w14:paraId="77C5C51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基准能耗费用的调整：双方可以根据用能设备的增减，用能区域的变更或其他重大变化对能源基准作出调整，重新确定能源基准和基准能耗费用。基准能耗费用的调整双方应以补充协议确定。</w:t>
      </w:r>
    </w:p>
    <w:p w14:paraId="5843F61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如果托管项目客观上没有变化，或者双方同意不作调整，可以继续沿用已经确定的基准能耗费用。</w:t>
      </w:r>
    </w:p>
    <w:p w14:paraId="303DAE0A">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第四条  节能目标</w:t>
      </w:r>
    </w:p>
    <w:p w14:paraId="231D09B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项目建成后，在照度、光效符合《城市道路照明设计标准》(CJJ45-2015)、等相关技术标准要求</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综合考虑</w:t>
      </w:r>
      <w:r>
        <w:rPr>
          <w:rFonts w:hint="eastAsia" w:ascii="仿宋" w:hAnsi="仿宋" w:eastAsia="仿宋" w:cs="仿宋"/>
          <w:color w:val="auto"/>
          <w:sz w:val="24"/>
          <w:szCs w:val="24"/>
          <w:lang w:eastAsia="zh-CN"/>
        </w:rPr>
        <w:t>本项目投入灯具的</w:t>
      </w:r>
      <w:r>
        <w:rPr>
          <w:rFonts w:hint="eastAsia" w:ascii="仿宋" w:hAnsi="仿宋" w:eastAsia="仿宋" w:cs="仿宋"/>
          <w:color w:val="auto"/>
          <w:sz w:val="24"/>
          <w:szCs w:val="24"/>
        </w:rPr>
        <w:t>能效</w:t>
      </w:r>
      <w:r>
        <w:rPr>
          <w:rFonts w:hint="eastAsia" w:ascii="仿宋" w:hAnsi="仿宋" w:eastAsia="仿宋" w:cs="仿宋"/>
          <w:color w:val="auto"/>
          <w:sz w:val="24"/>
          <w:szCs w:val="24"/>
          <w:lang w:eastAsia="zh-CN"/>
        </w:rPr>
        <w:t>可以通过</w:t>
      </w:r>
      <w:r>
        <w:rPr>
          <w:rFonts w:hint="eastAsia" w:ascii="仿宋" w:hAnsi="仿宋" w:eastAsia="仿宋" w:cs="仿宋"/>
          <w:color w:val="auto"/>
          <w:sz w:val="24"/>
          <w:szCs w:val="24"/>
        </w:rPr>
        <w:t>分时段</w:t>
      </w:r>
      <w:r>
        <w:rPr>
          <w:rFonts w:hint="eastAsia" w:ascii="仿宋" w:hAnsi="仿宋" w:eastAsia="仿宋" w:cs="仿宋"/>
          <w:color w:val="auto"/>
          <w:sz w:val="24"/>
          <w:szCs w:val="24"/>
          <w:lang w:eastAsia="zh-CN"/>
        </w:rPr>
        <w:t>对灯具功率进行</w:t>
      </w:r>
      <w:r>
        <w:rPr>
          <w:rFonts w:hint="eastAsia" w:ascii="仿宋" w:hAnsi="仿宋" w:eastAsia="仿宋" w:cs="仿宋"/>
          <w:color w:val="auto"/>
          <w:sz w:val="24"/>
          <w:szCs w:val="24"/>
        </w:rPr>
        <w:t>调节</w:t>
      </w:r>
      <w:r>
        <w:rPr>
          <w:rFonts w:hint="eastAsia" w:ascii="仿宋" w:hAnsi="仿宋" w:eastAsia="仿宋" w:cs="仿宋"/>
          <w:color w:val="auto"/>
          <w:sz w:val="24"/>
          <w:szCs w:val="24"/>
          <w:lang w:eastAsia="zh-CN"/>
        </w:rPr>
        <w:t>。</w:t>
      </w:r>
    </w:p>
    <w:p w14:paraId="4B4D38E7">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如果在托管期间需要进行中期评估或托管结束时进行节能效果评估，可以委托第三方评估，乙方应予配合。</w:t>
      </w:r>
    </w:p>
    <w:p w14:paraId="45A60497">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3、托管期满2个月内，</w:t>
      </w:r>
      <w:r>
        <w:rPr>
          <w:rFonts w:hint="eastAsia" w:ascii="仿宋" w:hAnsi="仿宋" w:eastAsia="仿宋" w:cs="仿宋"/>
          <w:color w:val="auto"/>
          <w:kern w:val="2"/>
          <w:sz w:val="24"/>
          <w:szCs w:val="24"/>
          <w:highlight w:val="none"/>
          <w:lang w:val="zh-CN" w:eastAsia="zh-CN" w:bidi="ar-SA"/>
        </w:rPr>
        <w:t>综合节能率不低于</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%，项目托管期内新增的非照明用电、新移交LED灯具产生的用能不在节能率计算范畴内，节能率=（改造前路灯用电量-改造后路灯用电量）/改造前路灯用电量</w:t>
      </w:r>
      <w:r>
        <w:rPr>
          <w:rFonts w:hint="eastAsia" w:ascii="仿宋" w:hAnsi="仿宋" w:eastAsia="仿宋" w:cs="仿宋"/>
          <w:color w:val="auto"/>
          <w:kern w:val="2"/>
          <w:sz w:val="24"/>
          <w:szCs w:val="24"/>
          <w:highlight w:val="none"/>
          <w:lang w:val="zh-CN" w:eastAsia="zh-CN" w:bidi="ar-SA"/>
        </w:rPr>
        <w:t>）。</w:t>
      </w:r>
    </w:p>
    <w:p w14:paraId="74AC547B">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第五条  托管费用的标准及支付</w:t>
      </w:r>
    </w:p>
    <w:p w14:paraId="7BEBBC8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托管费用标准</w:t>
      </w:r>
    </w:p>
    <w:p w14:paraId="65F867F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合同总价为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万元</w:t>
      </w:r>
      <w:r>
        <w:rPr>
          <w:rFonts w:hint="eastAsia" w:ascii="仿宋" w:hAnsi="仿宋" w:eastAsia="仿宋" w:cs="仿宋"/>
          <w:color w:val="auto"/>
          <w:sz w:val="24"/>
          <w:szCs w:val="24"/>
          <w:lang w:eastAsia="zh-CN"/>
        </w:rPr>
        <w:t>，每年的托管费用为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万元</w:t>
      </w:r>
      <w:r>
        <w:rPr>
          <w:rFonts w:hint="eastAsia" w:ascii="仿宋" w:hAnsi="仿宋" w:eastAsia="仿宋" w:cs="仿宋"/>
          <w:color w:val="auto"/>
          <w:sz w:val="24"/>
          <w:szCs w:val="24"/>
        </w:rPr>
        <w:t>。</w:t>
      </w:r>
    </w:p>
    <w:p w14:paraId="30E8318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托管费用包含履行本项目合同义务所需的全部费用</w:t>
      </w:r>
      <w:r>
        <w:rPr>
          <w:rFonts w:hint="eastAsia" w:ascii="仿宋" w:hAnsi="仿宋" w:eastAsia="仿宋" w:cs="仿宋"/>
          <w:color w:val="auto"/>
          <w:sz w:val="24"/>
          <w:szCs w:val="24"/>
          <w:highlight w:val="none"/>
        </w:rPr>
        <w:t>，包括但不限于节能改造、能源托管费、代缴电费、设备提供、材料费、人员工资、社会保险（养老、失业、工伤、医疗和生育等五种保险）高温作业补贴、员工节假日补贴、加班费、劳保用品费、用工调配费、机械设备费、设施维修费、</w:t>
      </w:r>
      <w:r>
        <w:rPr>
          <w:rFonts w:hint="eastAsia" w:ascii="仿宋" w:hAnsi="仿宋" w:eastAsia="仿宋" w:cs="仿宋"/>
          <w:color w:val="auto"/>
          <w:sz w:val="24"/>
          <w:szCs w:val="24"/>
          <w:highlight w:val="none"/>
          <w:lang w:val="en-US" w:eastAsia="zh-CN"/>
        </w:rPr>
        <w:t>车辆设备费、</w:t>
      </w:r>
      <w:r>
        <w:rPr>
          <w:rFonts w:hint="eastAsia" w:ascii="仿宋" w:hAnsi="仿宋" w:eastAsia="仿宋" w:cs="仿宋"/>
          <w:color w:val="auto"/>
          <w:sz w:val="24"/>
          <w:szCs w:val="24"/>
          <w:highlight w:val="none"/>
        </w:rPr>
        <w:t>路灯建设、招标代理费等一切与完成项目施工有关的所有费用、完成合同所需的一切本身和不可或缺的所有工作开支、政策性文件规定及合同包含的所有风险、责任等各项全部费用。托管费</w:t>
      </w:r>
      <w:r>
        <w:rPr>
          <w:rFonts w:hint="eastAsia" w:ascii="仿宋" w:hAnsi="仿宋" w:eastAsia="仿宋" w:cs="仿宋"/>
          <w:color w:val="auto"/>
          <w:sz w:val="24"/>
          <w:szCs w:val="24"/>
          <w:highlight w:val="none"/>
          <w:lang w:eastAsia="zh-CN"/>
        </w:rPr>
        <w:t>及电费</w:t>
      </w:r>
      <w:r>
        <w:rPr>
          <w:rFonts w:hint="eastAsia" w:ascii="仿宋" w:hAnsi="仿宋" w:eastAsia="仿宋" w:cs="仿宋"/>
          <w:color w:val="auto"/>
          <w:sz w:val="24"/>
          <w:szCs w:val="24"/>
          <w:highlight w:val="none"/>
        </w:rPr>
        <w:t>由乙方包干使用，通过能源系</w:t>
      </w:r>
      <w:r>
        <w:rPr>
          <w:rFonts w:hint="eastAsia" w:ascii="仿宋" w:hAnsi="仿宋" w:eastAsia="仿宋" w:cs="仿宋"/>
          <w:color w:val="auto"/>
          <w:sz w:val="24"/>
          <w:szCs w:val="24"/>
        </w:rPr>
        <w:t>统管理运营节约的能源费用作为乙方的合理利润。</w:t>
      </w:r>
    </w:p>
    <w:p w14:paraId="59A19B9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托管期内，若项目用电设备数量、托管范围等发生变化，则托管费用基准按以下规则进行调整：</w:t>
      </w:r>
    </w:p>
    <w:p w14:paraId="67084CE0">
      <w:pPr>
        <w:pStyle w:val="7"/>
        <w:keepNext w:val="0"/>
        <w:keepLines w:val="0"/>
        <w:pageBreakBefore w:val="0"/>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rPr>
        <w:t>对于未纳入本次实施范围的照明项目，如以后需纳入托管，另行签署协议予以约定相关内容，由中标人免费提供灯具并进行安装调试，新增区域的照明设施由中标人纳入管养范围，对路灯加装智能单灯控制并承担该部分的电费缴纳，中标人按设计灯具功率计收电费，其结算方式与本方案相同。新增的设施及维护标准，中标人必须严格按照本合同约定的技术参数、产品标准和性能要求执行，并应确保与本项目建设的智慧照明系统兼容。</w:t>
      </w:r>
    </w:p>
    <w:p w14:paraId="1D1F214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托管范围：甲方可要求增加托管范围，经与乙方协商一致同意后，未在本次改造范围内的灯具也可交由乙方进行托管与升级改造，托管的能耗基准按本项目平均每盏灯的</w:t>
      </w:r>
      <w:r>
        <w:rPr>
          <w:rFonts w:hint="eastAsia" w:ascii="仿宋" w:hAnsi="仿宋" w:eastAsia="仿宋" w:cs="仿宋"/>
          <w:color w:val="auto"/>
          <w:sz w:val="24"/>
          <w:szCs w:val="24"/>
          <w:lang w:eastAsia="zh-CN"/>
        </w:rPr>
        <w:t>实际</w:t>
      </w:r>
      <w:r>
        <w:rPr>
          <w:rFonts w:hint="eastAsia" w:ascii="仿宋" w:hAnsi="仿宋" w:eastAsia="仿宋" w:cs="仿宋"/>
          <w:color w:val="auto"/>
          <w:sz w:val="24"/>
          <w:szCs w:val="24"/>
        </w:rPr>
        <w:t>电量为依据计算。</w:t>
      </w:r>
    </w:p>
    <w:p w14:paraId="505B4363">
      <w:pPr>
        <w:pStyle w:val="4"/>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电价：以</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年平均电价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rPr>
        <w:t>元/kWh为基准。</w:t>
      </w:r>
      <w:r>
        <w:rPr>
          <w:rFonts w:hint="eastAsia" w:ascii="仿宋" w:hAnsi="仿宋" w:eastAsia="仿宋" w:cs="仿宋"/>
          <w:color w:val="auto"/>
          <w:highlight w:val="none"/>
          <w:lang w:val="en-US" w:eastAsia="zh-CN"/>
        </w:rPr>
        <w:t>电费单价以合同约定电价为基准，托管期间如果年电费平均单价涨跌幅±8%以内不减少费用，涨跌幅超过 8%（含8%）据实核算电费，在次月按照最新标准结算。开灯时间为每日日落之后10分钟，关灯时间为每日日出之前10分钟；全年平均每日亮灯时长约为</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小时。</w:t>
      </w:r>
      <w:r>
        <w:rPr>
          <w:rFonts w:hint="eastAsia" w:ascii="仿宋" w:hAnsi="仿宋" w:eastAsia="仿宋" w:cs="仿宋"/>
          <w:color w:val="auto"/>
          <w:sz w:val="24"/>
          <w:szCs w:val="24"/>
          <w:lang w:val="en-US" w:eastAsia="zh-CN"/>
        </w:rPr>
        <w:t>自然灾害、重特大事故、环境公害、人为破坏、路灯大面积灭灯、设施漏电、其他突发情况以及市民热线投诉、网络媒体曝光等事件的发生等各类可能发生的事故，若因中标人处理不当造成的损失或责任，均由中标人承担。</w:t>
      </w:r>
    </w:p>
    <w:p w14:paraId="2F47E07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因</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.1.2条约定调整费用导致合同金额增加的，增加金额累计不得超过合同总金额的10%</w:t>
      </w:r>
      <w:r>
        <w:rPr>
          <w:rFonts w:hint="eastAsia" w:ascii="仿宋" w:hAnsi="仿宋" w:eastAsia="仿宋" w:cs="仿宋"/>
          <w:color w:val="auto"/>
          <w:sz w:val="24"/>
          <w:szCs w:val="24"/>
          <w:lang w:val="en-US" w:eastAsia="zh-CN"/>
        </w:rPr>
        <w:t>。</w:t>
      </w:r>
    </w:p>
    <w:p w14:paraId="2B76290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highlight w:val="none"/>
        </w:rPr>
        <w:t>费用支付方式</w:t>
      </w:r>
    </w:p>
    <w:p w14:paraId="56FECE6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本项目</w:t>
      </w:r>
      <w:r>
        <w:rPr>
          <w:rFonts w:hint="eastAsia" w:ascii="仿宋" w:hAnsi="仿宋" w:eastAsia="仿宋" w:cs="仿宋"/>
          <w:color w:val="auto"/>
          <w:sz w:val="24"/>
          <w:szCs w:val="24"/>
          <w:highlight w:val="none"/>
          <w:lang w:eastAsia="zh-CN"/>
        </w:rPr>
        <w:t>每个月</w:t>
      </w:r>
      <w:r>
        <w:rPr>
          <w:rFonts w:hint="eastAsia" w:ascii="仿宋" w:hAnsi="仿宋" w:eastAsia="仿宋" w:cs="仿宋"/>
          <w:color w:val="auto"/>
          <w:sz w:val="24"/>
          <w:szCs w:val="24"/>
          <w:highlight w:val="none"/>
          <w:lang w:val="en-US" w:eastAsia="zh-CN"/>
        </w:rPr>
        <w:t>支付托管</w:t>
      </w:r>
      <w:r>
        <w:rPr>
          <w:rFonts w:hint="eastAsia" w:ascii="仿宋" w:hAnsi="仿宋" w:eastAsia="仿宋" w:cs="仿宋"/>
          <w:color w:val="auto"/>
          <w:sz w:val="24"/>
          <w:szCs w:val="24"/>
          <w:highlight w:val="none"/>
          <w:lang w:eastAsia="zh-CN"/>
        </w:rPr>
        <w:t>费用</w:t>
      </w:r>
      <w:r>
        <w:rPr>
          <w:rFonts w:hint="eastAsia" w:ascii="仿宋" w:hAnsi="仿宋" w:eastAsia="仿宋" w:cs="仿宋"/>
          <w:color w:val="auto"/>
          <w:sz w:val="24"/>
          <w:szCs w:val="24"/>
          <w:highlight w:val="none"/>
        </w:rPr>
        <w:t>。</w:t>
      </w:r>
      <w:r>
        <w:rPr>
          <w:rFonts w:hint="eastAsia" w:ascii="仿宋" w:hAnsi="仿宋" w:eastAsia="仿宋" w:cs="仿宋"/>
          <w:caps w:val="0"/>
          <w:smallCaps w:val="0"/>
          <w:color w:val="auto"/>
          <w:sz w:val="24"/>
          <w:szCs w:val="24"/>
          <w:highlight w:val="none"/>
          <w:lang w:val="en-US" w:eastAsia="zh-CN"/>
        </w:rPr>
        <w:t>甲方</w:t>
      </w:r>
      <w:r>
        <w:rPr>
          <w:rFonts w:hint="eastAsia" w:ascii="仿宋" w:hAnsi="仿宋" w:eastAsia="仿宋" w:cs="仿宋"/>
          <w:caps w:val="0"/>
          <w:smallCaps w:val="0"/>
          <w:color w:val="auto"/>
          <w:sz w:val="24"/>
          <w:szCs w:val="24"/>
          <w:highlight w:val="none"/>
          <w:lang w:val="zh-CN" w:eastAsia="zh-CN"/>
        </w:rPr>
        <w:t>签发的竣工验收通过之日起进入项目托管期。托管期期间每个月结束后</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lang w:eastAsia="zh-CN"/>
        </w:rPr>
        <w:t>日历天内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提交请款申请，</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自收到完整的请款资料之日起1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个工作日内支付</w:t>
      </w:r>
      <w:r>
        <w:rPr>
          <w:rFonts w:hint="eastAsia" w:ascii="仿宋" w:hAnsi="仿宋" w:eastAsia="仿宋" w:cs="仿宋"/>
          <w:color w:val="auto"/>
          <w:sz w:val="24"/>
          <w:szCs w:val="24"/>
          <w:highlight w:val="none"/>
          <w:lang w:val="en-US" w:eastAsia="zh-CN"/>
        </w:rPr>
        <w:t>当</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托管</w:t>
      </w:r>
      <w:r>
        <w:rPr>
          <w:rFonts w:hint="eastAsia" w:ascii="仿宋" w:hAnsi="仿宋" w:eastAsia="仿宋" w:cs="仿宋"/>
          <w:color w:val="auto"/>
          <w:sz w:val="24"/>
          <w:szCs w:val="24"/>
          <w:highlight w:val="none"/>
        </w:rPr>
        <w:t>费用。</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lang w:eastAsia="zh-CN"/>
        </w:rPr>
        <w:t>每月</w:t>
      </w:r>
      <w:r>
        <w:rPr>
          <w:rFonts w:hint="eastAsia" w:ascii="仿宋" w:hAnsi="仿宋" w:eastAsia="仿宋" w:cs="仿宋"/>
          <w:color w:val="auto"/>
          <w:sz w:val="24"/>
          <w:szCs w:val="24"/>
          <w:highlight w:val="none"/>
        </w:rPr>
        <w:t>应在供电部门规定的缴费时间前缴付电费。因</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自身原因而产生的滞纳金由</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rPr>
        <w:t>负责。</w:t>
      </w:r>
    </w:p>
    <w:p w14:paraId="6FA1CCC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yellow"/>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除非出现第</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.2条情况需要调整能源托管费基数，否则，甲乙双方约定</w:t>
      </w:r>
      <w:r>
        <w:rPr>
          <w:rFonts w:hint="eastAsia" w:ascii="仿宋" w:hAnsi="仿宋" w:eastAsia="仿宋" w:cs="仿宋"/>
          <w:color w:val="auto"/>
          <w:sz w:val="24"/>
          <w:szCs w:val="24"/>
          <w:highlight w:val="none"/>
        </w:rPr>
        <w:t>每</w:t>
      </w:r>
      <w:r>
        <w:rPr>
          <w:rFonts w:hint="eastAsia" w:ascii="仿宋" w:hAnsi="仿宋" w:eastAsia="仿宋" w:cs="仿宋"/>
          <w:color w:val="auto"/>
          <w:sz w:val="24"/>
          <w:szCs w:val="24"/>
          <w:highlight w:val="none"/>
          <w:lang w:val="en-US" w:eastAsia="zh-CN"/>
        </w:rPr>
        <w:t>个月</w:t>
      </w:r>
      <w:r>
        <w:rPr>
          <w:rFonts w:hint="eastAsia" w:ascii="仿宋" w:hAnsi="仿宋" w:eastAsia="仿宋" w:cs="仿宋"/>
          <w:color w:val="auto"/>
          <w:sz w:val="24"/>
          <w:szCs w:val="24"/>
          <w:highlight w:val="none"/>
        </w:rPr>
        <w:t>能源托管费是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5C16242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color w:val="auto"/>
          <w:sz w:val="24"/>
          <w:szCs w:val="24"/>
        </w:rPr>
        <w:t>甲方采取以电汇方式支付</w:t>
      </w:r>
      <w:r>
        <w:rPr>
          <w:rFonts w:hint="eastAsia" w:ascii="仿宋" w:hAnsi="仿宋" w:eastAsia="仿宋" w:cs="仿宋"/>
          <w:color w:val="auto"/>
          <w:sz w:val="24"/>
          <w:szCs w:val="24"/>
          <w:lang w:val="en-US" w:eastAsia="zh-CN"/>
        </w:rPr>
        <w:t>托管费用</w:t>
      </w:r>
      <w:r>
        <w:rPr>
          <w:rFonts w:hint="eastAsia" w:ascii="仿宋" w:hAnsi="仿宋" w:eastAsia="仿宋" w:cs="仿宋"/>
          <w:color w:val="auto"/>
          <w:sz w:val="24"/>
          <w:szCs w:val="24"/>
        </w:rPr>
        <w:t>至乙方指定的银行账户：</w:t>
      </w:r>
    </w:p>
    <w:p w14:paraId="02847CE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开户名：</w:t>
      </w:r>
    </w:p>
    <w:p w14:paraId="556740A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14:paraId="016AAA85">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账号：</w:t>
      </w:r>
    </w:p>
    <w:p w14:paraId="200D71B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若乙方变更收款账户信息，应在甲方付款前5个工作日书面通知甲方；在乙方书面变更收款账户信息通知到达甲方之前，本合同约定的乙方银行账户信息视为乙方有效银行账户信息，甲方的付款即视为根据约定向乙方付款。</w:t>
      </w:r>
    </w:p>
    <w:p w14:paraId="6056C43B">
      <w:pPr>
        <w:pStyle w:val="7"/>
        <w:keepNext w:val="0"/>
        <w:keepLines w:val="0"/>
        <w:pageBreakBefore w:val="0"/>
        <w:widowControl w:val="0"/>
        <w:kinsoku w:val="0"/>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对于</w:t>
      </w:r>
      <w:r>
        <w:rPr>
          <w:rFonts w:hint="eastAsia" w:ascii="仿宋" w:hAnsi="仿宋" w:eastAsia="仿宋" w:cs="仿宋"/>
          <w:color w:val="auto"/>
          <w:sz w:val="24"/>
          <w:szCs w:val="24"/>
          <w:highlight w:val="none"/>
          <w:lang w:val="en-US" w:eastAsia="zh-CN"/>
        </w:rPr>
        <w:t>托管费用</w:t>
      </w:r>
      <w:r>
        <w:rPr>
          <w:rFonts w:hint="eastAsia" w:ascii="仿宋" w:hAnsi="仿宋" w:eastAsia="仿宋" w:cs="仿宋"/>
          <w:color w:val="auto"/>
          <w:sz w:val="24"/>
          <w:szCs w:val="24"/>
          <w:highlight w:val="none"/>
        </w:rPr>
        <w:t>需要调整的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若有增加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，乙方应在每年</w:t>
      </w:r>
      <w:r>
        <w:rPr>
          <w:rFonts w:hint="eastAsia" w:ascii="仿宋" w:hAnsi="仿宋" w:eastAsia="仿宋" w:cs="仿宋"/>
          <w:color w:val="auto"/>
          <w:sz w:val="24"/>
          <w:szCs w:val="24"/>
          <w:highlight w:val="none"/>
          <w:lang w:eastAsia="zh-CN"/>
        </w:rPr>
        <w:t>一月份</w:t>
      </w:r>
      <w:r>
        <w:rPr>
          <w:rFonts w:hint="eastAsia" w:ascii="仿宋" w:hAnsi="仿宋" w:eastAsia="仿宋" w:cs="仿宋"/>
          <w:color w:val="auto"/>
          <w:sz w:val="24"/>
          <w:szCs w:val="24"/>
          <w:highlight w:val="none"/>
        </w:rPr>
        <w:t>向甲方提出书面申请，对发生在调整日之前的费用按照原基准保持不变，发生在调整日之后的费用按照调整后的基准进行结算</w:t>
      </w:r>
      <w:r>
        <w:rPr>
          <w:rFonts w:hint="eastAsia" w:ascii="仿宋" w:hAnsi="仿宋" w:eastAsia="仿宋" w:cs="仿宋"/>
          <w:color w:val="auto"/>
          <w:sz w:val="24"/>
          <w:szCs w:val="24"/>
          <w:highlight w:val="none"/>
          <w:lang w:eastAsia="zh-CN"/>
        </w:rPr>
        <w:t>；对于托管费用减少的，甲方有权直接在托管费用中扣除。</w:t>
      </w:r>
    </w:p>
    <w:p w14:paraId="7B28651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在托管费用调整确认后，乙方按经双方确认的托管调整费用向甲方提供等额的增</w:t>
      </w:r>
      <w:r>
        <w:rPr>
          <w:rFonts w:hint="eastAsia" w:ascii="仿宋" w:hAnsi="仿宋" w:eastAsia="仿宋" w:cs="仿宋"/>
          <w:color w:val="auto"/>
          <w:sz w:val="24"/>
          <w:szCs w:val="24"/>
        </w:rPr>
        <w:t>值税发票及请款资料，甲方自收到完整的请款资料后1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个工作日内向政府财政支付部门提出办理财政支付申请手续的时间（不含政府财政支付部门审核的时间），在规定时间内提出支付申请手续后即视为采购人已经按期支付。</w:t>
      </w:r>
    </w:p>
    <w:p w14:paraId="4C14BA77">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乙方凭以下有效文件向甲方请款：</w:t>
      </w:r>
    </w:p>
    <w:p w14:paraId="5776427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1）合同；   </w:t>
      </w:r>
    </w:p>
    <w:p w14:paraId="415D52E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2）乙方开具的正式发票；   </w:t>
      </w:r>
    </w:p>
    <w:p w14:paraId="7347DF0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3）请款所属月份考核结果（加盖甲方公章）；  </w:t>
      </w:r>
    </w:p>
    <w:p w14:paraId="7072FDA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4）中标通知书；  </w:t>
      </w:r>
    </w:p>
    <w:p w14:paraId="6FC6777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5）请款函；</w:t>
      </w:r>
    </w:p>
    <w:p w14:paraId="0CDFBD7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6）其他请款所需资料（如有）。</w:t>
      </w:r>
    </w:p>
    <w:p w14:paraId="04C69425">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六</w:t>
      </w:r>
      <w:r>
        <w:rPr>
          <w:rFonts w:hint="eastAsia" w:ascii="仿宋" w:hAnsi="仿宋" w:eastAsia="仿宋" w:cs="仿宋"/>
          <w:b/>
          <w:color w:val="auto"/>
          <w:sz w:val="24"/>
          <w:szCs w:val="24"/>
        </w:rPr>
        <w:t>条  乙方的管理</w:t>
      </w:r>
    </w:p>
    <w:p w14:paraId="46A7C99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1、乙方</w:t>
      </w:r>
      <w:r>
        <w:rPr>
          <w:rFonts w:hint="eastAsia" w:ascii="仿宋" w:hAnsi="仿宋" w:eastAsia="仿宋" w:cs="仿宋"/>
          <w:color w:val="auto"/>
          <w:sz w:val="24"/>
          <w:szCs w:val="24"/>
        </w:rPr>
        <w:t>负责项目的节能诊断、项目建设、设备</w:t>
      </w:r>
      <w:r>
        <w:rPr>
          <w:rFonts w:hint="eastAsia" w:ascii="仿宋" w:hAnsi="仿宋" w:eastAsia="仿宋" w:cs="仿宋"/>
          <w:color w:val="auto"/>
          <w:sz w:val="24"/>
          <w:szCs w:val="24"/>
          <w:lang w:val="en-US" w:eastAsia="zh-CN"/>
        </w:rPr>
        <w:t>提供安装</w:t>
      </w:r>
      <w:r>
        <w:rPr>
          <w:rFonts w:hint="eastAsia" w:ascii="仿宋" w:hAnsi="仿宋" w:eastAsia="仿宋" w:cs="仿宋"/>
          <w:color w:val="auto"/>
          <w:sz w:val="24"/>
          <w:szCs w:val="24"/>
        </w:rPr>
        <w:t>、电费代缴以及基于路灯设施开展的</w:t>
      </w:r>
      <w:r>
        <w:rPr>
          <w:rFonts w:hint="eastAsia" w:ascii="仿宋" w:hAnsi="仿宋" w:eastAsia="仿宋" w:cs="仿宋"/>
          <w:color w:val="auto"/>
          <w:sz w:val="24"/>
          <w:szCs w:val="24"/>
          <w:lang w:eastAsia="zh-CN"/>
        </w:rPr>
        <w:t>其它</w:t>
      </w:r>
      <w:r>
        <w:rPr>
          <w:rFonts w:hint="eastAsia" w:ascii="仿宋" w:hAnsi="仿宋" w:eastAsia="仿宋" w:cs="仿宋"/>
          <w:color w:val="auto"/>
          <w:sz w:val="24"/>
          <w:szCs w:val="24"/>
        </w:rPr>
        <w:t>服务等工作，包括但不局限于灯杆、灯具、配电箱、电缆</w:t>
      </w:r>
      <w:r>
        <w:rPr>
          <w:rFonts w:hint="eastAsia" w:ascii="仿宋" w:hAnsi="仿宋" w:eastAsia="仿宋" w:cs="仿宋"/>
          <w:color w:val="auto"/>
          <w:sz w:val="24"/>
          <w:szCs w:val="24"/>
          <w:lang w:eastAsia="zh-CN"/>
        </w:rPr>
        <w:t>、</w:t>
      </w:r>
      <w:r>
        <w:rPr>
          <w:rFonts w:hint="eastAsia" w:ascii="仿宋" w:hAnsi="仿宋" w:eastAsia="仿宋" w:cs="仿宋"/>
          <w:b w:val="0"/>
          <w:bCs w:val="0"/>
          <w:color w:val="auto"/>
          <w:kern w:val="0"/>
          <w:sz w:val="24"/>
          <w:szCs w:val="24"/>
          <w:lang w:val="en-US" w:eastAsia="zh-CN" w:bidi="ar-SA"/>
        </w:rPr>
        <w:t>电线、线路管道、架空线路及配件</w:t>
      </w:r>
      <w:r>
        <w:rPr>
          <w:rFonts w:hint="eastAsia" w:ascii="仿宋" w:hAnsi="仿宋" w:eastAsia="仿宋" w:cs="仿宋"/>
          <w:color w:val="auto"/>
          <w:sz w:val="24"/>
          <w:szCs w:val="24"/>
        </w:rPr>
        <w:t>以及变压器等的管理、维护和定期检测（</w:t>
      </w:r>
      <w:r>
        <w:rPr>
          <w:rFonts w:hint="eastAsia" w:ascii="仿宋" w:hAnsi="仿宋" w:eastAsia="仿宋" w:cs="仿宋"/>
          <w:color w:val="auto"/>
          <w:sz w:val="24"/>
          <w:szCs w:val="24"/>
          <w:highlight w:val="none"/>
          <w:lang w:eastAsia="zh-CN"/>
        </w:rPr>
        <w:t>变压器以下</w:t>
      </w:r>
      <w:r>
        <w:rPr>
          <w:rFonts w:hint="eastAsia" w:ascii="仿宋" w:hAnsi="仿宋" w:eastAsia="仿宋" w:cs="仿宋"/>
          <w:color w:val="auto"/>
          <w:sz w:val="24"/>
          <w:szCs w:val="24"/>
          <w:highlight w:val="none"/>
        </w:rPr>
        <w:t>的所有</w:t>
      </w:r>
      <w:r>
        <w:rPr>
          <w:rFonts w:hint="eastAsia" w:ascii="仿宋" w:hAnsi="仿宋" w:eastAsia="仿宋" w:cs="仿宋"/>
          <w:color w:val="auto"/>
          <w:sz w:val="24"/>
          <w:szCs w:val="24"/>
          <w:highlight w:val="none"/>
          <w:lang w:eastAsia="zh-CN"/>
        </w:rPr>
        <w:t>照明</w:t>
      </w:r>
      <w:r>
        <w:rPr>
          <w:rFonts w:hint="eastAsia" w:ascii="仿宋" w:hAnsi="仿宋" w:eastAsia="仿宋" w:cs="仿宋"/>
          <w:color w:val="auto"/>
          <w:sz w:val="24"/>
          <w:szCs w:val="24"/>
          <w:highlight w:val="none"/>
        </w:rPr>
        <w:t>设施</w:t>
      </w:r>
      <w:r>
        <w:rPr>
          <w:rFonts w:hint="eastAsia" w:ascii="仿宋" w:hAnsi="仿宋" w:eastAsia="仿宋" w:cs="仿宋"/>
          <w:color w:val="auto"/>
          <w:sz w:val="24"/>
          <w:szCs w:val="24"/>
        </w:rPr>
        <w:t>），设施台账定期更新，破损设施更换更新以及配合做好本级政府要求落实的其他工作任务等，确保城市照明整体正常运作，且托管范围内城区城市道路照明质量及路面平均照度、均匀度达到《城市道路照明设计标准》等相关技术标准要求，</w:t>
      </w:r>
      <w:r>
        <w:rPr>
          <w:rFonts w:hint="eastAsia" w:ascii="仿宋" w:hAnsi="仿宋" w:eastAsia="仿宋" w:cs="仿宋"/>
          <w:color w:val="auto"/>
          <w:sz w:val="24"/>
          <w:szCs w:val="24"/>
          <w:lang w:eastAsia="zh-CN"/>
        </w:rPr>
        <w:t>全</w:t>
      </w:r>
      <w:r>
        <w:rPr>
          <w:rFonts w:hint="eastAsia" w:ascii="仿宋" w:hAnsi="仿宋" w:eastAsia="仿宋" w:cs="仿宋"/>
          <w:color w:val="auto"/>
          <w:sz w:val="24"/>
          <w:szCs w:val="24"/>
          <w:lang w:val="en-US" w:eastAsia="zh-CN"/>
        </w:rPr>
        <w:t>区</w:t>
      </w:r>
      <w:r>
        <w:rPr>
          <w:rFonts w:hint="eastAsia" w:ascii="仿宋" w:hAnsi="仿宋" w:eastAsia="仿宋" w:cs="仿宋"/>
          <w:color w:val="auto"/>
          <w:sz w:val="24"/>
          <w:szCs w:val="24"/>
        </w:rPr>
        <w:t>区域道路照明亮灯率98%</w:t>
      </w:r>
      <w:r>
        <w:rPr>
          <w:rFonts w:hint="eastAsia" w:ascii="仿宋" w:hAnsi="仿宋" w:eastAsia="仿宋" w:cs="仿宋"/>
          <w:color w:val="auto"/>
          <w:sz w:val="24"/>
          <w:szCs w:val="24"/>
          <w:lang w:eastAsia="zh-CN"/>
        </w:rPr>
        <w:t>及</w:t>
      </w:r>
      <w:r>
        <w:rPr>
          <w:rFonts w:hint="eastAsia" w:ascii="仿宋" w:hAnsi="仿宋" w:eastAsia="仿宋" w:cs="仿宋"/>
          <w:color w:val="auto"/>
          <w:sz w:val="24"/>
          <w:szCs w:val="24"/>
        </w:rPr>
        <w:t>以上。</w:t>
      </w:r>
    </w:p>
    <w:p w14:paraId="1E243F5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乙方应有专门的人员负责托管事宜，建立专业管理团队提供服务。乙方管理团队成员应当统一着装挂牌上岗，管理团队成员名册应提交甲方备案</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乙方管理团队成员</w:t>
      </w:r>
      <w:r>
        <w:rPr>
          <w:rFonts w:hint="eastAsia" w:ascii="仿宋" w:hAnsi="仿宋" w:eastAsia="仿宋" w:cs="仿宋"/>
          <w:color w:val="auto"/>
          <w:sz w:val="24"/>
          <w:szCs w:val="24"/>
          <w:lang w:val="en-US" w:eastAsia="zh-CN"/>
        </w:rPr>
        <w:t>发生变化时，应提前五个工作日向甲方进行书面报告，甲方同意后方可变更，变更后乙方应重新向甲方进行备案</w:t>
      </w:r>
      <w:r>
        <w:rPr>
          <w:rFonts w:hint="eastAsia" w:ascii="仿宋" w:hAnsi="仿宋" w:eastAsia="仿宋" w:cs="仿宋"/>
          <w:color w:val="auto"/>
          <w:sz w:val="24"/>
          <w:szCs w:val="24"/>
          <w:lang w:eastAsia="zh-CN"/>
        </w:rPr>
        <w:t>；。</w:t>
      </w:r>
    </w:p>
    <w:p w14:paraId="4C31CC7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遇特殊情况需增加临时照明设施的（如道路施工，迁移路灯需设置的临时照明设施等），由乙方负责落实。</w:t>
      </w:r>
    </w:p>
    <w:p w14:paraId="0D87C762">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七</w:t>
      </w:r>
      <w:r>
        <w:rPr>
          <w:rFonts w:hint="eastAsia" w:ascii="仿宋" w:hAnsi="仿宋" w:eastAsia="仿宋" w:cs="仿宋"/>
          <w:b/>
          <w:color w:val="auto"/>
          <w:sz w:val="24"/>
          <w:szCs w:val="24"/>
        </w:rPr>
        <w:t>条  双方责任</w:t>
      </w:r>
    </w:p>
    <w:p w14:paraId="68916CF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甲、乙双方应当建立健全能源管理使用制度，各方人员应当切实遵守。相关的能源管理使用制度应当由双方签字确认。</w:t>
      </w:r>
    </w:p>
    <w:p w14:paraId="7CD3A53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甲方应当将与托管项目有关的其内部规章制度和特殊安全规定提前告知乙方并书面提交给乙方。</w:t>
      </w:r>
    </w:p>
    <w:p w14:paraId="3B3C66C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甲方应当协助乙方向有关政府机构或者组织申请与项目相关的补助、奖励或其他可适用的优惠政策。</w:t>
      </w:r>
    </w:p>
    <w:p w14:paraId="0F80E65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甲方应当为乙方的管理服务工作提供必要的方便条件：包括但不限于提供必要的场所、通讯、水电等便利。</w:t>
      </w:r>
    </w:p>
    <w:p w14:paraId="6428D29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乙方必须确保其工作人员或其委托的第三方具备相关施工资质，并要求其严格遵守甲方有关施工场地安全和卫生等方面的规定，听从甲方合理的现场指挥，并对有关施工的安全负责。</w:t>
      </w:r>
    </w:p>
    <w:p w14:paraId="703492E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乙方必须根据相应的法律法规的要求，申请除必须由甲方申请之外的有关项目的许可、批准和同意。</w:t>
      </w:r>
    </w:p>
    <w:p w14:paraId="70C1C66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乙方应当配合甲方建立和完善能源管理和使用规章制度。甲方应当组织有关用能岗位的人员学习能源管理使用的规章制度并切实遵守。</w:t>
      </w:r>
    </w:p>
    <w:p w14:paraId="42A58485">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乙方管理人员进入甲方的相关场所，应当遵守甲方的规章制度。乙方的维修维护管理等各项工作，应当不影响甲方的正常工作。必须要甲方停止相关工作时，乙方应当提前通报甲方的负责人，协调安排好相应的工作。</w:t>
      </w:r>
    </w:p>
    <w:p w14:paraId="181C98F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乙方应确保办理相应的政府机构或者有关部门申请同意或者批准的事项所提供材料的真实性、合法性，如因所提供的材料问题导致无法办理的，乙方承担由此产生费用及经济损失。</w:t>
      </w:r>
    </w:p>
    <w:p w14:paraId="2F1B6F4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其他需要互相配合的事项：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。（具体由双方签订时协商。）</w:t>
      </w:r>
    </w:p>
    <w:p w14:paraId="4E644F6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甲方的项目负责人为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；乙方的项目负责人为：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7B03AB8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任何一方更换项目负责人应以书面形式通知对方。</w:t>
      </w:r>
    </w:p>
    <w:p w14:paraId="6C8C173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项目负责人可以就本合同的履行过程中的事项签署相关洽商文件，该洽商文件对双方具有约束力，其他相关人员无权签署此类洽商文件。</w:t>
      </w:r>
    </w:p>
    <w:p w14:paraId="4EE7FF4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应针对包括但不限于自然灾害、重特大事故、环境公害、人为破坏、路灯大面积灭灯、设施漏电、其他突发情况以及市民热线投诉、网络媒体曝光等事件的发生等各类可能发生的事故和所有危险源制定应急预案和现场处置方案，明确事前、事中、事后的各个过程中相关部门和有关人员的职责。应急预案应科学、及时，能有效减少因上述情况造成的损失，应急预案须报甲方备案。</w:t>
      </w:r>
    </w:p>
    <w:p w14:paraId="2C7480E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因自然灾害、突发事件引发，正在或即将发生严重危害，以及存在严重安全隐患或环境污染，必须立即采取应对的工程，或灾害过后需要在短期内完成的工程，由乙方组织实施。</w:t>
      </w:r>
    </w:p>
    <w:p w14:paraId="2272CDD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自然灾害、重特大事故、环境公害、人为破坏、路灯大面积灭灯、设施漏电、其他突发情况以及市民热线投诉、网络媒体曝光等事件的发生等各类可能发生的事故，若因乙方处理不当造成的损失或责任，均由乙方承担。</w:t>
      </w:r>
    </w:p>
    <w:p w14:paraId="19B9987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应急抢修，设施故障报修响应时间</w:t>
      </w:r>
    </w:p>
    <w:p w14:paraId="4C13FFE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一般故障报修：应在</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分钟内响应，中心城区在</w:t>
      </w:r>
      <w:r>
        <w:rPr>
          <w:rFonts w:hint="eastAsia" w:ascii="仿宋" w:hAnsi="仿宋" w:eastAsia="仿宋" w:cs="仿宋"/>
          <w:color w:val="auto"/>
          <w:sz w:val="24"/>
          <w:szCs w:val="24"/>
          <w:lang w:val="en-US" w:eastAsia="zh-CN"/>
        </w:rPr>
        <w:t>30分钟</w:t>
      </w:r>
      <w:r>
        <w:rPr>
          <w:rFonts w:hint="eastAsia" w:ascii="仿宋" w:hAnsi="仿宋" w:eastAsia="仿宋" w:cs="仿宋"/>
          <w:color w:val="auto"/>
          <w:sz w:val="24"/>
          <w:szCs w:val="24"/>
        </w:rPr>
        <w:t>内到达现场处理，故障或设备应在1天内进行修复；</w:t>
      </w:r>
      <w:r>
        <w:rPr>
          <w:rFonts w:hint="eastAsia" w:ascii="仿宋" w:hAnsi="仿宋" w:eastAsia="仿宋" w:cs="仿宋"/>
          <w:color w:val="auto"/>
          <w:sz w:val="24"/>
          <w:szCs w:val="24"/>
          <w:lang w:val="en-US" w:eastAsia="zh-CN"/>
        </w:rPr>
        <w:t>若遇特殊情况无法在规定的时间内修复，需提前向甲方报备，提供准确的修复时间。</w:t>
      </w:r>
    </w:p>
    <w:p w14:paraId="4349388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b w:val="0"/>
          <w:bCs w:val="0"/>
          <w:color w:val="auto"/>
          <w:sz w:val="24"/>
          <w:szCs w:val="24"/>
        </w:rPr>
        <w:t>系统性故障和重大故障报修：应在</w:t>
      </w:r>
      <w:r>
        <w:rPr>
          <w:rFonts w:hint="eastAsia" w:ascii="仿宋" w:hAnsi="仿宋" w:eastAsia="仿宋" w:cs="仿宋"/>
          <w:b w:val="0"/>
          <w:bCs w:val="0"/>
          <w:color w:val="auto"/>
          <w:sz w:val="24"/>
          <w:szCs w:val="24"/>
          <w:lang w:val="en-US" w:eastAsia="zh-CN"/>
        </w:rPr>
        <w:t>10</w:t>
      </w:r>
      <w:r>
        <w:rPr>
          <w:rFonts w:hint="eastAsia" w:ascii="仿宋" w:hAnsi="仿宋" w:eastAsia="仿宋" w:cs="仿宋"/>
          <w:b w:val="0"/>
          <w:bCs w:val="0"/>
          <w:color w:val="auto"/>
          <w:sz w:val="24"/>
          <w:szCs w:val="24"/>
        </w:rPr>
        <w:t>分钟内响应，中心城区在</w:t>
      </w:r>
      <w:r>
        <w:rPr>
          <w:rFonts w:hint="eastAsia" w:ascii="仿宋" w:hAnsi="仿宋" w:eastAsia="仿宋" w:cs="仿宋"/>
          <w:b w:val="0"/>
          <w:bCs w:val="0"/>
          <w:color w:val="auto"/>
          <w:sz w:val="24"/>
          <w:szCs w:val="24"/>
          <w:lang w:val="en-US" w:eastAsia="zh-CN"/>
        </w:rPr>
        <w:t>30分钟</w:t>
      </w:r>
      <w:r>
        <w:rPr>
          <w:rFonts w:hint="eastAsia" w:ascii="仿宋" w:hAnsi="仿宋" w:eastAsia="仿宋" w:cs="仿宋"/>
          <w:b w:val="0"/>
          <w:bCs w:val="0"/>
          <w:color w:val="auto"/>
          <w:sz w:val="24"/>
          <w:szCs w:val="24"/>
        </w:rPr>
        <w:t>内到达现场处理，并应采取临时措施保证不发生二次事故，保障道路畅通，应在2天内修复；</w:t>
      </w:r>
      <w:r>
        <w:rPr>
          <w:rFonts w:hint="eastAsia" w:ascii="仿宋" w:hAnsi="仿宋" w:eastAsia="仿宋" w:cs="仿宋"/>
          <w:b w:val="0"/>
          <w:bCs w:val="0"/>
          <w:color w:val="auto"/>
          <w:sz w:val="24"/>
          <w:szCs w:val="24"/>
          <w:lang w:val="en-US" w:eastAsia="zh-CN"/>
        </w:rPr>
        <w:t>若遇特殊情况无法在规定的时间内修复，需提前向甲方报备，提供准确的修复时间。</w:t>
      </w:r>
    </w:p>
    <w:p w14:paraId="3529A2B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强台风、强降雨等不可抗力因素造成的严重故障或设施损坏，应在</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0分钟内响应，中心城区在</w:t>
      </w:r>
      <w:r>
        <w:rPr>
          <w:rFonts w:hint="eastAsia" w:ascii="仿宋" w:hAnsi="仿宋" w:eastAsia="仿宋" w:cs="仿宋"/>
          <w:color w:val="auto"/>
          <w:sz w:val="24"/>
          <w:szCs w:val="24"/>
          <w:lang w:val="en-US" w:eastAsia="zh-CN"/>
        </w:rPr>
        <w:t>30分钟内</w:t>
      </w:r>
      <w:r>
        <w:rPr>
          <w:rFonts w:hint="eastAsia" w:ascii="仿宋" w:hAnsi="仿宋" w:eastAsia="仿宋" w:cs="仿宋"/>
          <w:color w:val="auto"/>
          <w:sz w:val="24"/>
          <w:szCs w:val="24"/>
        </w:rPr>
        <w:t>到达现场处理，并采取应急措施，故障或设备应于</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天内修复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若遇特殊情况无法在规定的时间内修复，需提前向甲方报备，提供准确的修复时间。</w:t>
      </w:r>
    </w:p>
    <w:p w14:paraId="13C50FF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若因乙方未及时响应、处理不及时，造成的损失及责任由乙方承担。</w:t>
      </w:r>
    </w:p>
    <w:p w14:paraId="6792FBB7">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16、乙方须按《投标文件》中承诺的人员以及车辆（含承诺车辆及其他机械设备的（若有））严格执行。若在合同期内，发现乙方的设备车辆（含承诺的车辆）不到位的，每发现一次扣罚5万元。</w:t>
      </w:r>
    </w:p>
    <w:p w14:paraId="58AB45A0">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条  用能设备和其他用能项的增减</w:t>
      </w:r>
    </w:p>
    <w:p w14:paraId="3AE6142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甲方的用能设备和其他用能项的增加或减少，应当通知乙方。甲、乙双方应当对增加或减少的设备和其他用能项予以书面确认。其他用能项包括但不限于用能时间等。</w:t>
      </w:r>
    </w:p>
    <w:p w14:paraId="442BBDE1">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因用能设备和其他用能项的增减，应当调整基准能源费用，并相应增减托管费用。</w:t>
      </w:r>
    </w:p>
    <w:p w14:paraId="360BD336">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九</w:t>
      </w:r>
      <w:r>
        <w:rPr>
          <w:rFonts w:hint="eastAsia" w:ascii="仿宋" w:hAnsi="仿宋" w:eastAsia="仿宋" w:cs="仿宋"/>
          <w:b/>
          <w:color w:val="auto"/>
          <w:sz w:val="24"/>
          <w:szCs w:val="24"/>
        </w:rPr>
        <w:t>条  项目托管期间其他服务约定</w:t>
      </w:r>
    </w:p>
    <w:p w14:paraId="4E64D0B2">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如遇道路新建、改建新增用能设备（如红绿灯、公益用电（含节庆）、视频、监控、天网工程等），中标人需配合采购人进行接收工作，相关费用由中标人与用能单位自行协商。中标人对上述设施设备迁移改造，需要经采购人及用能单位同意。</w:t>
      </w:r>
    </w:p>
    <w:p w14:paraId="1F0750B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2、在合同期内，新增移交的城市照明设施所产生的电费费用，由乙方预交电费后，于次年一月份凭上一年全年缴费单据报甲方据实结算，并新增至每年度托管费用中，新增费用由采购人承担。</w:t>
      </w:r>
    </w:p>
    <w:p w14:paraId="1A47455E">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托管费用中，包含</w:t>
      </w:r>
      <w:r>
        <w:rPr>
          <w:rFonts w:hint="eastAsia" w:ascii="仿宋" w:hAnsi="仿宋" w:eastAsia="仿宋" w:cs="仿宋"/>
          <w:color w:val="auto"/>
          <w:sz w:val="24"/>
          <w:szCs w:val="24"/>
          <w:lang w:val="en-US" w:eastAsia="zh-CN"/>
        </w:rPr>
        <w:t>汉中市南郑区</w:t>
      </w:r>
      <w:r>
        <w:rPr>
          <w:rFonts w:hint="eastAsia" w:ascii="仿宋" w:hAnsi="仿宋" w:eastAsia="仿宋" w:cs="仿宋"/>
          <w:color w:val="auto"/>
          <w:sz w:val="24"/>
          <w:szCs w:val="24"/>
        </w:rPr>
        <w:t>接入市政路灯用电的红绿灯、治安监控、公交站牌等用电设施的合理用电，不经过主管部门同意的情况下，不得随意切开任何电路。（含公园广场等公共场所公益活动电费包含在托管费用中，非公益活动可经甲方同意后按实收取活动电费，活动期间，乙方应派专人到现场监管，确保用电安全。）</w:t>
      </w:r>
    </w:p>
    <w:p w14:paraId="67C2C050">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乙方需制定科学、合理的工作方案（含调节灯光），确保管养质量和效果，如若发生由于乙方过失、不作为或其他人为原因所导致的一切安全事故和人财物损失，均由乙方承担相关法律和经济赔偿责任。如主管部门因路灯管养工作收到群众投诉或诉讼，乙方应当承担相关法律和经济赔偿责任。</w:t>
      </w:r>
    </w:p>
    <w:p w14:paraId="7ACB26E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如合同期内，因其他单位或个人需要迁移或改造路灯的，</w:t>
      </w:r>
      <w:r>
        <w:rPr>
          <w:rFonts w:hint="eastAsia" w:ascii="仿宋" w:hAnsi="仿宋" w:eastAsia="仿宋" w:cs="仿宋"/>
          <w:color w:val="auto"/>
          <w:sz w:val="24"/>
          <w:szCs w:val="24"/>
          <w:lang w:eastAsia="zh-CN"/>
        </w:rPr>
        <w:t>报相关部门备案</w:t>
      </w:r>
      <w:r>
        <w:rPr>
          <w:rFonts w:hint="eastAsia" w:ascii="仿宋" w:hAnsi="仿宋" w:eastAsia="仿宋" w:cs="仿宋"/>
          <w:color w:val="auto"/>
          <w:sz w:val="24"/>
          <w:szCs w:val="24"/>
        </w:rPr>
        <w:t>，以及核定具体费用，</w:t>
      </w:r>
      <w:r>
        <w:rPr>
          <w:rFonts w:hint="eastAsia" w:ascii="仿宋" w:hAnsi="仿宋" w:eastAsia="仿宋" w:cs="仿宋"/>
          <w:color w:val="auto"/>
          <w:sz w:val="24"/>
          <w:szCs w:val="24"/>
          <w:lang w:val="en-US" w:eastAsia="zh-CN"/>
        </w:rPr>
        <w:t>若需要乙方进行迁移或改造路灯的，则</w:t>
      </w:r>
      <w:r>
        <w:rPr>
          <w:rFonts w:hint="eastAsia" w:ascii="仿宋" w:hAnsi="仿宋" w:eastAsia="仿宋" w:cs="仿宋"/>
          <w:color w:val="auto"/>
          <w:sz w:val="24"/>
          <w:szCs w:val="24"/>
        </w:rPr>
        <w:t>由需求单位向乙方支付费用，按照有关标准进行施工，由甲方作最终验收。</w:t>
      </w:r>
    </w:p>
    <w:p w14:paraId="2B0F95C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建设期及托管期拆除的灯具、线路及相关路灯设施由</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进行无害化处理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处置工作产生的费用包含在托管服务费中，甲方不额外支付任何费用；处置中产生的废弃资源，应交由甲方处置</w:t>
      </w:r>
      <w:r>
        <w:rPr>
          <w:rFonts w:hint="eastAsia" w:ascii="仿宋" w:hAnsi="仿宋" w:eastAsia="仿宋" w:cs="仿宋"/>
          <w:color w:val="auto"/>
          <w:sz w:val="24"/>
          <w:szCs w:val="24"/>
          <w:highlight w:val="none"/>
        </w:rPr>
        <w:t>。</w:t>
      </w:r>
    </w:p>
    <w:p w14:paraId="62EC5401">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乙方须积极配合</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对道路照明设施设备的日常巡查、检查工作。</w:t>
      </w:r>
    </w:p>
    <w:p w14:paraId="50489BF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项目托管期内，</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要按照合同约定，每</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rPr>
        <w:t>对托管范围内路灯设施进行全面检修，保证设施的完整且正常运行。</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配合</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对托管范围内的道路照度进行抽检、照明质量须达到国标要求；</w:t>
      </w:r>
      <w:r>
        <w:rPr>
          <w:rFonts w:hint="eastAsia" w:ascii="仿宋" w:hAnsi="仿宋" w:eastAsia="仿宋" w:cs="仿宋"/>
          <w:color w:val="auto"/>
          <w:sz w:val="24"/>
          <w:szCs w:val="24"/>
          <w:lang w:eastAsia="zh-CN"/>
        </w:rPr>
        <w:t>全县</w:t>
      </w:r>
      <w:r>
        <w:rPr>
          <w:rFonts w:hint="eastAsia" w:ascii="仿宋" w:hAnsi="仿宋" w:eastAsia="仿宋" w:cs="仿宋"/>
          <w:color w:val="auto"/>
          <w:sz w:val="24"/>
          <w:szCs w:val="24"/>
        </w:rPr>
        <w:t>区域道路照明亮灯率98%</w:t>
      </w:r>
      <w:r>
        <w:rPr>
          <w:rFonts w:hint="eastAsia" w:ascii="仿宋" w:hAnsi="仿宋" w:eastAsia="仿宋" w:cs="仿宋"/>
          <w:color w:val="auto"/>
          <w:sz w:val="24"/>
          <w:szCs w:val="24"/>
          <w:lang w:eastAsia="zh-CN"/>
        </w:rPr>
        <w:t>及</w:t>
      </w:r>
      <w:r>
        <w:rPr>
          <w:rFonts w:hint="eastAsia" w:ascii="仿宋" w:hAnsi="仿宋" w:eastAsia="仿宋" w:cs="仿宋"/>
          <w:color w:val="auto"/>
          <w:sz w:val="24"/>
          <w:szCs w:val="24"/>
        </w:rPr>
        <w:t>以上。</w:t>
      </w:r>
    </w:p>
    <w:p w14:paraId="42449753">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仿宋" w:hAnsi="仿宋" w:eastAsia="仿宋" w:cs="仿宋"/>
          <w:color w:val="auto"/>
          <w:kern w:val="2"/>
          <w:sz w:val="24"/>
          <w:szCs w:val="24"/>
          <w:highlight w:val="green"/>
          <w:lang w:val="zh-CN" w:eastAsia="zh-CN" w:bidi="ar-SA"/>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kern w:val="2"/>
          <w:sz w:val="24"/>
          <w:szCs w:val="24"/>
          <w:highlight w:val="none"/>
          <w:lang w:val="zh-CN" w:eastAsia="zh-CN" w:bidi="ar-SA"/>
        </w:rPr>
        <w:t xml:space="preserve">为保障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zh-CN" w:eastAsia="zh-CN" w:bidi="ar-SA"/>
        </w:rPr>
        <w:t>年</w:t>
      </w:r>
      <w:r>
        <w:rPr>
          <w:rFonts w:hint="eastAsia" w:ascii="仿宋" w:hAnsi="仿宋" w:eastAsia="仿宋" w:cs="仿宋"/>
          <w:color w:val="auto"/>
          <w:kern w:val="2"/>
          <w:sz w:val="24"/>
          <w:szCs w:val="24"/>
          <w:highlight w:val="none"/>
          <w:lang w:val="en-US" w:eastAsia="zh-CN" w:bidi="ar-SA"/>
        </w:rPr>
        <w:t>托管期</w:t>
      </w:r>
      <w:r>
        <w:rPr>
          <w:rFonts w:hint="eastAsia" w:ascii="仿宋" w:hAnsi="仿宋" w:eastAsia="仿宋" w:cs="仿宋"/>
          <w:color w:val="auto"/>
          <w:kern w:val="2"/>
          <w:sz w:val="24"/>
          <w:szCs w:val="24"/>
          <w:highlight w:val="none"/>
          <w:lang w:val="zh-CN" w:eastAsia="zh-CN" w:bidi="ar-SA"/>
        </w:rPr>
        <w:t>结束后路灯相关设施无缺陷</w:t>
      </w:r>
      <w:r>
        <w:rPr>
          <w:rFonts w:hint="eastAsia" w:ascii="仿宋" w:hAnsi="仿宋" w:eastAsia="仿宋" w:cs="仿宋"/>
          <w:color w:val="auto"/>
          <w:kern w:val="2"/>
          <w:sz w:val="24"/>
          <w:szCs w:val="24"/>
          <w:highlight w:val="none"/>
          <w:lang w:val="en-US" w:eastAsia="zh-CN" w:bidi="ar-SA"/>
        </w:rPr>
        <w:t>移交甲方</w:t>
      </w:r>
      <w:r>
        <w:rPr>
          <w:rFonts w:hint="eastAsia" w:ascii="仿宋" w:hAnsi="仿宋" w:eastAsia="仿宋" w:cs="仿宋"/>
          <w:color w:val="auto"/>
          <w:kern w:val="2"/>
          <w:sz w:val="24"/>
          <w:szCs w:val="24"/>
          <w:highlight w:val="none"/>
          <w:lang w:val="zh-CN" w:eastAsia="zh-CN" w:bidi="ar-SA"/>
        </w:rPr>
        <w:t>（亮灯率达到98%及以上，设施完好，且综合节能率不低于</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zh-CN" w:eastAsia="zh-CN" w:bidi="ar-SA"/>
        </w:rPr>
        <w:t>%，项目托管期内新增的非照明用电、新移交LED灯具产生的用能不在节能率计算范畴内，节能率=（改造前路灯用电量-改造后路灯用电量）/改造前路灯用电量）移交给</w:t>
      </w:r>
      <w:r>
        <w:rPr>
          <w:rFonts w:hint="eastAsia" w:ascii="仿宋" w:hAnsi="仿宋" w:eastAsia="仿宋" w:cs="仿宋"/>
          <w:color w:val="auto"/>
          <w:kern w:val="2"/>
          <w:sz w:val="24"/>
          <w:szCs w:val="24"/>
          <w:highlight w:val="none"/>
          <w:lang w:val="en-US" w:eastAsia="zh-CN" w:bidi="ar-SA"/>
        </w:rPr>
        <w:t>甲方</w:t>
      </w:r>
      <w:r>
        <w:rPr>
          <w:rFonts w:hint="eastAsia" w:ascii="仿宋" w:hAnsi="仿宋" w:eastAsia="仿宋" w:cs="仿宋"/>
          <w:color w:val="auto"/>
          <w:kern w:val="2"/>
          <w:sz w:val="24"/>
          <w:szCs w:val="24"/>
          <w:highlight w:val="none"/>
          <w:lang w:val="zh-CN" w:eastAsia="zh-CN" w:bidi="ar-SA"/>
        </w:rPr>
        <w:t>，合同期结束前</w:t>
      </w:r>
      <w:r>
        <w:rPr>
          <w:rFonts w:hint="eastAsia" w:ascii="仿宋" w:hAnsi="仿宋" w:eastAsia="仿宋" w:cs="仿宋"/>
          <w:color w:val="auto"/>
          <w:kern w:val="2"/>
          <w:sz w:val="24"/>
          <w:szCs w:val="24"/>
          <w:highlight w:val="none"/>
          <w:lang w:val="en-US" w:eastAsia="zh-CN" w:bidi="ar-SA"/>
        </w:rPr>
        <w:t>3</w:t>
      </w:r>
      <w:r>
        <w:rPr>
          <w:rFonts w:hint="eastAsia" w:ascii="仿宋" w:hAnsi="仿宋" w:eastAsia="仿宋" w:cs="仿宋"/>
          <w:color w:val="auto"/>
          <w:kern w:val="2"/>
          <w:sz w:val="24"/>
          <w:szCs w:val="24"/>
          <w:highlight w:val="none"/>
          <w:lang w:val="zh-CN" w:eastAsia="zh-CN" w:bidi="ar-SA"/>
        </w:rPr>
        <w:t>个月的托管费用待移交验收完毕后90日内支付，但合同期内最后</w:t>
      </w:r>
      <w:r>
        <w:rPr>
          <w:rFonts w:hint="eastAsia" w:ascii="仿宋" w:hAnsi="仿宋" w:eastAsia="仿宋" w:cs="仿宋"/>
          <w:color w:val="auto"/>
          <w:kern w:val="2"/>
          <w:sz w:val="24"/>
          <w:szCs w:val="24"/>
          <w:highlight w:val="none"/>
          <w:lang w:val="en-US" w:eastAsia="zh-CN" w:bidi="ar-SA"/>
        </w:rPr>
        <w:t>3</w:t>
      </w:r>
      <w:r>
        <w:rPr>
          <w:rFonts w:hint="eastAsia" w:ascii="仿宋" w:hAnsi="仿宋" w:eastAsia="仿宋" w:cs="仿宋"/>
          <w:color w:val="auto"/>
          <w:kern w:val="2"/>
          <w:sz w:val="24"/>
          <w:szCs w:val="24"/>
          <w:highlight w:val="none"/>
          <w:lang w:val="zh-CN" w:eastAsia="zh-CN" w:bidi="ar-SA"/>
        </w:rPr>
        <w:t>个月电费由</w:t>
      </w:r>
      <w:r>
        <w:rPr>
          <w:rFonts w:hint="eastAsia" w:ascii="仿宋" w:hAnsi="仿宋" w:eastAsia="仿宋" w:cs="仿宋"/>
          <w:color w:val="auto"/>
          <w:kern w:val="2"/>
          <w:sz w:val="24"/>
          <w:szCs w:val="24"/>
          <w:highlight w:val="none"/>
          <w:lang w:val="en-US" w:eastAsia="zh-CN" w:bidi="ar-SA"/>
        </w:rPr>
        <w:t>乙方</w:t>
      </w:r>
      <w:r>
        <w:rPr>
          <w:rFonts w:hint="eastAsia" w:ascii="仿宋" w:hAnsi="仿宋" w:eastAsia="仿宋" w:cs="仿宋"/>
          <w:color w:val="auto"/>
          <w:kern w:val="2"/>
          <w:sz w:val="24"/>
          <w:szCs w:val="24"/>
          <w:highlight w:val="none"/>
          <w:lang w:val="zh-CN" w:eastAsia="zh-CN" w:bidi="ar-SA"/>
        </w:rPr>
        <w:t>正常支付。若在移交后2个月内，实际的节能率若低于</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zh-CN" w:eastAsia="zh-CN" w:bidi="ar-SA"/>
        </w:rPr>
        <w:t>%的，乙方须无偿更换设备以确保节能率不低于</w:t>
      </w:r>
      <w:r>
        <w:rPr>
          <w:rFonts w:hint="eastAsia" w:ascii="仿宋" w:hAnsi="仿宋" w:eastAsia="仿宋" w:cs="仿宋"/>
          <w:color w:val="auto"/>
          <w:kern w:val="2"/>
          <w:sz w:val="24"/>
          <w:szCs w:val="24"/>
          <w:highlight w:val="none"/>
          <w:lang w:val="en-US" w:eastAsia="zh-CN" w:bidi="ar-SA"/>
        </w:rPr>
        <w:t>35%且扣除相应的履约保证金。</w:t>
      </w:r>
    </w:p>
    <w:p w14:paraId="4E84905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合同期内，因交通事故或其他事故导致路灯设施受损的，由乙方负责修复，修复期限参考前款规定的设施故障报修响应时间。乙方修复受损路灯设施后，有权向第三方侵权人进行索赔，索赔金额应按造价相关标准进行制定，索赔流程及索赔金额应在甲方监督下进行，对于不合理的索赔，甲方有权制止。</w:t>
      </w:r>
    </w:p>
    <w:p w14:paraId="7EEAB30D">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合同期内，若出现路灯电线电缆被偷盗由乙方负责报警处理及更换。因改造、维修导致道路、绿化等其他市政基础设施受损的，乙方应及时进行修复。</w:t>
      </w:r>
    </w:p>
    <w:p w14:paraId="0EB9C31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为保障人民群众生命财产安全，合同期内，因</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维护不及时，维护不到位而出现安全事故的，相关损失及赔偿由</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负责。此外，</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需每年为本项目购买公众责任保险，每次事故赔偿限额不低于</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00万元。</w:t>
      </w:r>
    </w:p>
    <w:p w14:paraId="5C45F84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13、合同期内，如乙方发生与托管项目相关但非甲方原因的一切第三方责任事件、经济纠纷或法律纠纷，均由乙方承担相关法律、经济责任并负责妥善解决善后事宜。</w:t>
      </w:r>
    </w:p>
    <w:p w14:paraId="35356579">
      <w:pPr>
        <w:pStyle w:val="7"/>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第十条  项目移交事项</w:t>
      </w:r>
    </w:p>
    <w:p w14:paraId="1B641E8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移交过程中，甲方需要向乙方提供有关项目审批、验收、备案、行政许可等相关手续的复印件等。</w:t>
      </w:r>
    </w:p>
    <w:p w14:paraId="5B9C881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移交相关的文件资料包括设备、设施的购买、维修、使用文件、能源管理的规章制度、行政许可证照及其他全部有关文件。</w:t>
      </w:r>
    </w:p>
    <w:p w14:paraId="60BCDDD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其他移交事项：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。（具体由双方签订时协商。）</w:t>
      </w:r>
    </w:p>
    <w:p w14:paraId="7F54987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针对移交的设备、设施、物品及有关事项，双方应当签署移交清单。</w:t>
      </w:r>
    </w:p>
    <w:p w14:paraId="4F68BDA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本合同约定的托管期限届满30天内，乙方将项目设备、设施、档案（建设期、</w:t>
      </w:r>
      <w:r>
        <w:rPr>
          <w:rFonts w:hint="eastAsia" w:ascii="仿宋" w:hAnsi="仿宋" w:eastAsia="仿宋" w:cs="仿宋"/>
          <w:color w:val="auto"/>
          <w:sz w:val="24"/>
          <w:szCs w:val="24"/>
          <w:lang w:val="en-US" w:eastAsia="zh-CN"/>
        </w:rPr>
        <w:t>托管</w:t>
      </w:r>
      <w:r>
        <w:rPr>
          <w:rFonts w:hint="eastAsia" w:ascii="仿宋" w:hAnsi="仿宋" w:eastAsia="仿宋" w:cs="仿宋"/>
          <w:color w:val="auto"/>
          <w:sz w:val="24"/>
          <w:szCs w:val="24"/>
        </w:rPr>
        <w:t>期）相关资料等完好、平稳地移交移交给甲方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应包含纸质版及电子版完整的全套资料）</w:t>
      </w:r>
      <w:r>
        <w:rPr>
          <w:rFonts w:hint="eastAsia" w:ascii="仿宋" w:hAnsi="仿宋" w:eastAsia="仿宋" w:cs="仿宋"/>
          <w:color w:val="auto"/>
          <w:sz w:val="24"/>
          <w:szCs w:val="24"/>
        </w:rPr>
        <w:t>，确保项目顺利移交。除项目设备设施外，在托管期结束后，乙方所搭建的路灯智慧控制平台需一并移交给甲方，包括但不限于用户账号密码、操作手册等。</w:t>
      </w:r>
    </w:p>
    <w:p w14:paraId="2F04416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移交之前双方共同对项目进行一次全面检修。项目移交时乙</w:t>
      </w:r>
      <w:r>
        <w:rPr>
          <w:rFonts w:hint="eastAsia" w:ascii="仿宋" w:hAnsi="仿宋" w:eastAsia="仿宋" w:cs="仿宋"/>
          <w:color w:val="auto"/>
          <w:sz w:val="24"/>
          <w:szCs w:val="24"/>
          <w:highlight w:val="none"/>
        </w:rPr>
        <w:t>方应保证</w:t>
      </w:r>
      <w:r>
        <w:rPr>
          <w:rFonts w:hint="eastAsia" w:ascii="仿宋" w:hAnsi="仿宋" w:eastAsia="仿宋" w:cs="仿宋"/>
          <w:color w:val="auto"/>
          <w:kern w:val="2"/>
          <w:sz w:val="24"/>
          <w:szCs w:val="24"/>
          <w:highlight w:val="none"/>
          <w:lang w:val="zh-CN" w:eastAsia="zh-CN" w:bidi="ar-SA"/>
        </w:rPr>
        <w:t>亮灯率达到98%及以上、</w:t>
      </w:r>
      <w:r>
        <w:rPr>
          <w:rFonts w:hint="eastAsia" w:ascii="仿宋" w:hAnsi="仿宋" w:eastAsia="仿宋" w:cs="仿宋"/>
          <w:color w:val="auto"/>
          <w:sz w:val="24"/>
          <w:szCs w:val="24"/>
          <w:highlight w:val="none"/>
        </w:rPr>
        <w:t>设备和设施完好</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能够正常运行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lang w:val="zh-CN" w:eastAsia="zh-CN" w:bidi="ar-SA"/>
        </w:rPr>
        <w:t>综合节能率不低于</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%，项目托管期内新增的非照明用电、新移交LED灯具产生的用能不在节能率计算范畴内</w:t>
      </w:r>
      <w:r>
        <w:rPr>
          <w:rFonts w:hint="eastAsia" w:ascii="仿宋" w:hAnsi="仿宋" w:eastAsia="仿宋" w:cs="仿宋"/>
          <w:color w:val="auto"/>
          <w:kern w:val="2"/>
          <w:sz w:val="24"/>
          <w:szCs w:val="24"/>
          <w:highlight w:val="none"/>
          <w:lang w:val="zh-CN" w:eastAsia="zh-CN" w:bidi="ar-SA"/>
        </w:rPr>
        <w:t>。</w:t>
      </w:r>
    </w:p>
    <w:p w14:paraId="48A31CAF">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一</w:t>
      </w:r>
      <w:r>
        <w:rPr>
          <w:rFonts w:hint="eastAsia" w:ascii="仿宋" w:hAnsi="仿宋" w:eastAsia="仿宋" w:cs="仿宋"/>
          <w:b/>
          <w:color w:val="auto"/>
          <w:sz w:val="24"/>
          <w:szCs w:val="24"/>
        </w:rPr>
        <w:t>条  项目验收</w:t>
      </w:r>
    </w:p>
    <w:p w14:paraId="27F12A61">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满足城市道路照明标准的前提下，改造路灯灯具需采用绿色环保的高光效LED光源。LED改造使用的光源作为公共产品，必须按照道路照度要求（《城市道路照明设计标准》（CJJ45-2015）及灯具设备的技术参数，采用高光效的LED灯具对现有照明灯具进行节能改造。乙方若提出有利于项目节能改造的建设方案，改造前需将节能建设方案提前报甲方审批，经甲方同意后方可实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highlight w:val="none"/>
          <w:lang w:val="en-US" w:eastAsia="zh-CN"/>
        </w:rPr>
        <w:t>本项目涉及到采购人委托第三方验收、评估及检测等的所有相关费用均由乙方支付。</w:t>
      </w:r>
    </w:p>
    <w:p w14:paraId="37019C4C">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1</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rPr>
        <w:t>建设期验收要求</w:t>
      </w:r>
    </w:p>
    <w:p w14:paraId="0A56E2F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1）严格遵守国家法律法规和项目建设所在地的建设工程基本建设程序及流程要求，依法依规建设。包括但不限于：《城市道路照明工程施工及验收规程》CJJ89-2012、《城市道路照明设计标准》（CJJ45-2015）等相关技术标准要求。2）项目需满足电力部门对于系统接入的相关要求。3）加强整体设计协调，统筹好不同子项、不同专业的协调关系，在确保功能、质量的前提下，在设计阶段充分考虑功能定位及经营需求，并对设计进行优化，提高项目综合开发价值。4）适当深化初步设计深度，在多方案论证比选的基础上，提高设计质量、降低工程造价。5）加强建设管理，确保工程质量、进度、安全，不得影响正常道路照明。6）鼓励技术和节能环保方面的创新，鼓励使用新技术或新型节能环保材料。7）搭建智慧控制平台，并承担托管期内维护、升级，在托管期结束后所有设施设备应确保完好，并无偿移交回甲方。8）甲方和乙方双方可根据项目实际情况，通过能源费用托管合同补充协议等方式进一步明确产出标准。9）建设期验收前，甲方将委托第三方机构开展托管项目改造后标准道路的照度检测，抽取道路的条数由甲乙双方商议而定，检测结果符合《城市道路照明设计标准》（CJJ45-2015）后方可组织验收，相关费用由乙方支付。</w:t>
      </w:r>
    </w:p>
    <w:p w14:paraId="030450D2">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2</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托管</w:t>
      </w:r>
      <w:r>
        <w:rPr>
          <w:rFonts w:hint="eastAsia" w:ascii="仿宋" w:hAnsi="仿宋" w:eastAsia="仿宋" w:cs="仿宋"/>
          <w:b/>
          <w:color w:val="auto"/>
          <w:sz w:val="24"/>
          <w:szCs w:val="24"/>
        </w:rPr>
        <w:t>期验收要求</w:t>
      </w:r>
    </w:p>
    <w:p w14:paraId="1951EF04">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1）严格按照约定的运维服务范围和标准提供路灯照明服务，并达到《城市道路照明设计标准》（CJJ45-2015等相关技术标准要求。2）根据区域功能，实现城市路灯的统一运营及管理。3）建立、健全突发事件的应急处理机制，确保公共利益和公众安全；服从政府相关职能部门的管理，在特殊情况下，政府有权临时接管项目，乙方必须无条件执行。4）对于改造范围内设施设备出现故障，需及时提供更换的设备器件。以上托管内容需符合能源费用托管合同及其补充协议约定，和相关运营标准。</w:t>
      </w:r>
    </w:p>
    <w:p w14:paraId="069A2D2D">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验收程序</w:t>
      </w:r>
    </w:p>
    <w:p w14:paraId="09001025">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乙方在项目完工后向甲方提出书面验收文件，</w:t>
      </w:r>
      <w:r>
        <w:rPr>
          <w:rFonts w:hint="eastAsia" w:ascii="仿宋" w:hAnsi="仿宋" w:eastAsia="仿宋" w:cs="仿宋"/>
          <w:color w:val="auto"/>
          <w:sz w:val="24"/>
          <w:szCs w:val="24"/>
          <w:highlight w:val="none"/>
        </w:rPr>
        <w:t>甲方在</w:t>
      </w:r>
      <w:r>
        <w:rPr>
          <w:rFonts w:hint="eastAsia" w:ascii="仿宋" w:hAnsi="仿宋" w:eastAsia="仿宋" w:cs="仿宋"/>
          <w:color w:val="auto"/>
          <w:sz w:val="24"/>
          <w:szCs w:val="24"/>
          <w:highlight w:val="none"/>
          <w:u w:val="single"/>
        </w:rPr>
        <w:t>30</w:t>
      </w:r>
      <w:r>
        <w:rPr>
          <w:rFonts w:hint="eastAsia" w:ascii="仿宋" w:hAnsi="仿宋" w:eastAsia="仿宋" w:cs="仿宋"/>
          <w:color w:val="auto"/>
          <w:sz w:val="24"/>
          <w:szCs w:val="24"/>
          <w:highlight w:val="none"/>
          <w:u w:val="none"/>
        </w:rPr>
        <w:t>个</w:t>
      </w:r>
      <w:r>
        <w:rPr>
          <w:rFonts w:hint="eastAsia" w:ascii="仿宋" w:hAnsi="仿宋" w:eastAsia="仿宋" w:cs="仿宋"/>
          <w:color w:val="auto"/>
          <w:sz w:val="24"/>
          <w:szCs w:val="24"/>
          <w:highlight w:val="none"/>
          <w:u w:val="none"/>
          <w:lang w:eastAsia="zh-CN"/>
        </w:rPr>
        <w:t>自然日</w:t>
      </w:r>
      <w:r>
        <w:rPr>
          <w:rFonts w:hint="eastAsia" w:ascii="仿宋" w:hAnsi="仿宋" w:eastAsia="仿宋" w:cs="仿宋"/>
          <w:color w:val="auto"/>
          <w:sz w:val="24"/>
          <w:szCs w:val="24"/>
        </w:rPr>
        <w:t>内组织相关单位组成验收小组，根据本项目规定的验收要求对项目完成审核验收并出具验收报告，若甲方未按期出具验收报告则视为验收合格。若项目未通过验收，乙方应在甲方要求期限内对项目进行整改，并申请最终验收，且须保证验收合格。</w:t>
      </w:r>
    </w:p>
    <w:p w14:paraId="122CB9BE">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二</w:t>
      </w:r>
      <w:r>
        <w:rPr>
          <w:rFonts w:hint="eastAsia" w:ascii="仿宋" w:hAnsi="仿宋" w:eastAsia="仿宋" w:cs="仿宋"/>
          <w:b/>
          <w:color w:val="auto"/>
          <w:sz w:val="24"/>
          <w:szCs w:val="24"/>
        </w:rPr>
        <w:t>条  所有权和风险分担</w:t>
      </w:r>
    </w:p>
    <w:p w14:paraId="0BD6959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本项目下的所有由乙方采购并安装的设备、设施和仪器等财产（简称“项目财产”）的所有权属于甲方，使用权属于乙方。</w:t>
      </w:r>
    </w:p>
    <w:p w14:paraId="7CCCABD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项目移交时，乙方应同时向甲方移交本项目运行所必需的技术资料</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文字版及电子版各3份）</w:t>
      </w:r>
      <w:r>
        <w:rPr>
          <w:rFonts w:hint="eastAsia" w:ascii="仿宋" w:hAnsi="仿宋" w:eastAsia="仿宋" w:cs="仿宋"/>
          <w:color w:val="auto"/>
          <w:sz w:val="24"/>
          <w:szCs w:val="24"/>
        </w:rPr>
        <w:t>。</w:t>
      </w:r>
    </w:p>
    <w:p w14:paraId="71EADAB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甲方未支付完全部托管费用前，不得处置、变卖项目资产（即乙方节能改造的项目资产）；不得抵押和质押项目资产（即乙方节能改造的项目资产）。在项目</w:t>
      </w:r>
      <w:r>
        <w:rPr>
          <w:rFonts w:hint="eastAsia" w:ascii="仿宋" w:hAnsi="仿宋" w:eastAsia="仿宋" w:cs="仿宋"/>
          <w:color w:val="auto"/>
          <w:sz w:val="24"/>
          <w:szCs w:val="24"/>
          <w:lang w:val="en-US" w:eastAsia="zh-CN"/>
        </w:rPr>
        <w:t>托管</w:t>
      </w:r>
      <w:r>
        <w:rPr>
          <w:rFonts w:hint="eastAsia" w:ascii="仿宋" w:hAnsi="仿宋" w:eastAsia="仿宋" w:cs="仿宋"/>
          <w:color w:val="auto"/>
          <w:sz w:val="24"/>
          <w:szCs w:val="24"/>
        </w:rPr>
        <w:t>期乙方不得将项目资产抵押或转让给第三方。</w:t>
      </w:r>
    </w:p>
    <w:p w14:paraId="05102608">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在本项目托管合同期限内，乙方对项目资产有运营、使用的权利。在本合同期限内，未经乙方同意，甲方不得将项目资产授权任何第三方运营、使用等。</w:t>
      </w:r>
    </w:p>
    <w:p w14:paraId="63A954B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本项目运行成本超支风险由乙方承担。</w:t>
      </w:r>
    </w:p>
    <w:p w14:paraId="1259C9FC">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三</w:t>
      </w:r>
      <w:r>
        <w:rPr>
          <w:rFonts w:hint="eastAsia" w:ascii="仿宋" w:hAnsi="仿宋" w:eastAsia="仿宋" w:cs="仿宋"/>
          <w:b/>
          <w:color w:val="auto"/>
          <w:sz w:val="24"/>
          <w:szCs w:val="24"/>
        </w:rPr>
        <w:t>条  安全生产和环境保护</w:t>
      </w:r>
    </w:p>
    <w:p w14:paraId="6C5EE4CE">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乙方在运营管理过程中应当严格遵守能源管理使用的法律、法规、规章制度，因违章操作或不尽职尽责导致在运行期间出现安全事故和经济损失由乙方负责。</w:t>
      </w:r>
    </w:p>
    <w:p w14:paraId="213A62E5">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乙方进行的节能改造部分，由于乙方原因导致改造自身存在系统缺陷或施工质量导致安全事故和经济损失由乙方负责。</w:t>
      </w:r>
    </w:p>
    <w:p w14:paraId="2222B9FE">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针对安全生产和环境保护，甲、乙双方应当制定专项规范，划分相关的责任。</w:t>
      </w:r>
    </w:p>
    <w:p w14:paraId="3A029C7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4、项目改造期及托管期内，乙方为本项目安全生产的第一责任人，期间如发生与项目相关的一切安全责任事故，均有乙方承担主体责任。</w:t>
      </w:r>
    </w:p>
    <w:p w14:paraId="59DFA0FD">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四</w:t>
      </w:r>
      <w:r>
        <w:rPr>
          <w:rFonts w:hint="eastAsia" w:ascii="仿宋" w:hAnsi="仿宋" w:eastAsia="仿宋" w:cs="仿宋"/>
          <w:b/>
          <w:color w:val="auto"/>
          <w:sz w:val="24"/>
          <w:szCs w:val="24"/>
        </w:rPr>
        <w:t>条  禁止商业贿赂</w:t>
      </w:r>
    </w:p>
    <w:p w14:paraId="5C4EC44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甲、乙双方应当遵守廉洁从政、廉洁经商的有关规定，禁止一方向另一方提供实物、现金、有价证券、超标准宴请、高消费娱乐活动等行为。</w:t>
      </w:r>
    </w:p>
    <w:p w14:paraId="71D70DFA">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五</w:t>
      </w:r>
      <w:r>
        <w:rPr>
          <w:rFonts w:hint="eastAsia" w:ascii="仿宋" w:hAnsi="仿宋" w:eastAsia="仿宋" w:cs="仿宋"/>
          <w:b/>
          <w:color w:val="auto"/>
          <w:sz w:val="24"/>
          <w:szCs w:val="24"/>
        </w:rPr>
        <w:t>条  合同变更、终止、解除</w:t>
      </w:r>
    </w:p>
    <w:p w14:paraId="7372E528">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出现需要变更合同内容的客观情形，或者一方提出合理的诉求，经双方协商一致可以变更合同内容。</w:t>
      </w:r>
    </w:p>
    <w:p w14:paraId="67D7598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本合同的权利义务不可转让，特殊情况下，如乙方确需转让本合同权利义务，须经甲方书面同意，并另行签署合同约定。</w:t>
      </w:r>
    </w:p>
    <w:p w14:paraId="05048F2E">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双方协商一致可以解除本合同。</w:t>
      </w:r>
    </w:p>
    <w:p w14:paraId="0DFF2B1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一方严重违约，导致合同不能继续履行或者使合同履行成为不必要。守约方有权解除合同，守约方应当书面通知对方，书面通知到达违约方时即产生解除合同的效力。</w:t>
      </w:r>
    </w:p>
    <w:p w14:paraId="63D5BF4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本合同经双方签字并盖章之日起</w:t>
      </w:r>
      <w:r>
        <w:rPr>
          <w:rFonts w:hint="eastAsia" w:ascii="仿宋" w:hAnsi="仿宋" w:eastAsia="仿宋" w:cs="仿宋"/>
          <w:color w:val="auto"/>
          <w:sz w:val="24"/>
          <w:szCs w:val="24"/>
          <w:u w:val="single"/>
        </w:rPr>
        <w:t>90天</w:t>
      </w:r>
      <w:r>
        <w:rPr>
          <w:rFonts w:hint="eastAsia" w:ascii="仿宋" w:hAnsi="仿宋" w:eastAsia="仿宋" w:cs="仿宋"/>
          <w:color w:val="auto"/>
          <w:sz w:val="24"/>
          <w:szCs w:val="24"/>
        </w:rPr>
        <w:t>内没有实际履行，任何一方均可书面通知对方解除合同。</w:t>
      </w:r>
    </w:p>
    <w:p w14:paraId="57508587">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乙方在甲方提供必要的改造条件后</w:t>
      </w:r>
      <w:r>
        <w:rPr>
          <w:rFonts w:hint="eastAsia" w:ascii="仿宋" w:hAnsi="仿宋" w:eastAsia="仿宋" w:cs="仿宋"/>
          <w:color w:val="auto"/>
          <w:sz w:val="24"/>
          <w:szCs w:val="24"/>
          <w:u w:val="single"/>
        </w:rPr>
        <w:t>30日</w:t>
      </w:r>
      <w:r>
        <w:rPr>
          <w:rFonts w:hint="eastAsia" w:ascii="仿宋" w:hAnsi="仿宋" w:eastAsia="仿宋" w:cs="仿宋"/>
          <w:color w:val="auto"/>
          <w:sz w:val="24"/>
          <w:szCs w:val="24"/>
        </w:rPr>
        <w:t>未开工建设的或乙方在改造过程中发生重大质量、安全事故导致合同无法履行的，甲方有权书面通知乙方后解除本合同。</w:t>
      </w:r>
    </w:p>
    <w:p w14:paraId="0C3BF37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7、乙方未在规定时间内缴纳履约保证金或补齐履约保证金的，甲方先给与警告，警告后10个工作日内仍未缴纳履约保证金或补齐履约保证金的，</w:t>
      </w:r>
      <w:r>
        <w:rPr>
          <w:rFonts w:hint="eastAsia" w:ascii="仿宋" w:hAnsi="仿宋" w:eastAsia="仿宋" w:cs="仿宋"/>
          <w:color w:val="auto"/>
          <w:sz w:val="24"/>
          <w:szCs w:val="24"/>
          <w:highlight w:val="none"/>
        </w:rPr>
        <w:t>甲方有权单方面解除合同且不须承担任何违约责任。</w:t>
      </w:r>
    </w:p>
    <w:p w14:paraId="01A2C55F">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若本合同提前终止，赔偿事宜双方另行协商。</w:t>
      </w:r>
    </w:p>
    <w:p w14:paraId="5EA59CA8">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六</w:t>
      </w:r>
      <w:r>
        <w:rPr>
          <w:rFonts w:hint="eastAsia" w:ascii="仿宋" w:hAnsi="仿宋" w:eastAsia="仿宋" w:cs="仿宋"/>
          <w:b/>
          <w:color w:val="auto"/>
          <w:sz w:val="24"/>
          <w:szCs w:val="24"/>
        </w:rPr>
        <w:t>条  违约责任</w:t>
      </w:r>
    </w:p>
    <w:p w14:paraId="060796BF">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甲方违约责任</w:t>
      </w:r>
    </w:p>
    <w:p w14:paraId="7D16AA13">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如甲方未遵守本合同附件及其他条款约定，导致乙方经济损失，甲方应当按照乙方的实际损失额向乙方赔偿。</w:t>
      </w:r>
    </w:p>
    <w:p w14:paraId="1256F244">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乙方违约责任</w:t>
      </w:r>
    </w:p>
    <w:p w14:paraId="65D58EE5">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乙方未能按照服务标准提供服务，违反操作规章制度、违反相关的服务标准，经甲方催告仍不能改正的，按照对甲方的实际影响，向甲方支付违约金不少于</w:t>
      </w:r>
      <w:r>
        <w:rPr>
          <w:rFonts w:hint="eastAsia" w:ascii="仿宋" w:hAnsi="仿宋" w:eastAsia="仿宋" w:cs="仿宋"/>
          <w:color w:val="auto"/>
          <w:sz w:val="24"/>
          <w:szCs w:val="24"/>
          <w:u w:val="single"/>
          <w:lang w:val="en-US" w:eastAsia="zh-CN"/>
        </w:rPr>
        <w:t>50万元</w:t>
      </w:r>
      <w:r>
        <w:rPr>
          <w:rFonts w:hint="eastAsia" w:ascii="仿宋" w:hAnsi="仿宋" w:eastAsia="仿宋" w:cs="仿宋"/>
          <w:color w:val="auto"/>
          <w:sz w:val="24"/>
          <w:szCs w:val="24"/>
          <w:highlight w:val="none"/>
        </w:rPr>
        <w:t>。甲</w:t>
      </w:r>
      <w:r>
        <w:rPr>
          <w:rFonts w:hint="eastAsia" w:ascii="仿宋" w:hAnsi="仿宋" w:eastAsia="仿宋" w:cs="仿宋"/>
          <w:color w:val="auto"/>
          <w:sz w:val="24"/>
          <w:szCs w:val="24"/>
        </w:rPr>
        <w:t>方有权在应付未付托管费中直接扣减。</w:t>
      </w:r>
    </w:p>
    <w:p w14:paraId="7555AD82">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如乙方未能遵守能源使用的规章制度导致浪费，浪费的费用乙方自行承担。</w:t>
      </w:r>
    </w:p>
    <w:p w14:paraId="6E0F796F">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如乙方未遵守本合同附件及其他条款规定，导致甲方经济损失，应当按照甲方的实际损失额向甲方赔偿。</w:t>
      </w:r>
    </w:p>
    <w:p w14:paraId="0BFBE3F3">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eastAsia="zh-CN"/>
        </w:rPr>
      </w:pPr>
    </w:p>
    <w:p w14:paraId="06079BD1">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eastAsia="zh-CN"/>
        </w:rPr>
      </w:pPr>
    </w:p>
    <w:p w14:paraId="2FDC2AF0">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4）乙方提供的产品必须达到国家现行质量标准，必须为正规厂商生产的产品（必须是全新、原装、合格正品，货物完好，配件齐全），有正规的出厂合格证，且满足所有的关键性技术参数。货物到场后，采购人将抽样送正规、有资质的第三方检测机构检测，各项关键性技术参数检测均满足要求后，方能正式进场施工；若没有满足关键性技术参数要求，视为虚假响应，采购人有权终止合同，且一切后果由乙方自行负责。</w:t>
      </w:r>
    </w:p>
    <w:p w14:paraId="15300208">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乙方未按合同约定项目建设未如期完工、项目竣工未能通过验收的质量标准、智慧控制平台未能如期移交，甲方有权书面通知乙方后解除本合同，给甲方造成损失的，甲方可要求乙方据实赔偿。</w:t>
      </w:r>
    </w:p>
    <w:p w14:paraId="35EDE3A3">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）乙方</w:t>
      </w:r>
      <w:r>
        <w:rPr>
          <w:rFonts w:hint="eastAsia" w:ascii="仿宋" w:hAnsi="仿宋" w:eastAsia="仿宋" w:cs="仿宋"/>
          <w:color w:val="auto"/>
          <w:sz w:val="24"/>
          <w:szCs w:val="24"/>
        </w:rPr>
        <w:t>在托管期内，经整改后的绩效考核结果连续两次考核得分低于70分或一年内出现三次考核得分低于70分视为严重违约。甲方有权向乙方发出书面函件终止合同，并不再支付任何费用，且已建成或已投入的设施设备（包括但不限于智慧控制平台、已完成改造的设施设备等）30天内无偿交回甲方，甲方有权追究其违约而造成的经济损失</w:t>
      </w:r>
      <w:r>
        <w:rPr>
          <w:rFonts w:hint="eastAsia" w:ascii="仿宋" w:hAnsi="仿宋" w:eastAsia="仿宋" w:cs="仿宋"/>
          <w:color w:val="auto"/>
          <w:sz w:val="24"/>
          <w:szCs w:val="24"/>
          <w:highlight w:val="none"/>
          <w:lang w:eastAsia="zh-CN"/>
        </w:rPr>
        <w:t>且没收其所有履约保证金</w:t>
      </w:r>
      <w:r>
        <w:rPr>
          <w:rFonts w:hint="eastAsia" w:ascii="仿宋" w:hAnsi="仿宋" w:eastAsia="仿宋" w:cs="仿宋"/>
          <w:color w:val="auto"/>
          <w:sz w:val="24"/>
          <w:szCs w:val="24"/>
        </w:rPr>
        <w:t>。</w:t>
      </w:r>
    </w:p>
    <w:p w14:paraId="482D322F">
      <w:pPr>
        <w:pStyle w:val="7"/>
        <w:keepNext w:val="0"/>
        <w:keepLines w:val="0"/>
        <w:pageBreakBefore w:val="0"/>
        <w:widowControl/>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乙方在托管期内，若未安装全部承诺的单灯控制器，则扣除相应费用，费用按已安装的单灯控制器均价乘以未安装的个数计算。如乙方在收到甲方扣款协商通知后15日内未提供已安装的单灯控制器采购凭证或其他价格凭证，则单灯控制器扣款单价按甲方市场询价结果计算。</w:t>
      </w:r>
    </w:p>
    <w:p w14:paraId="75B8DBA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乙方每月按照合同代缴托管期内发生的电费</w:t>
      </w:r>
      <w:r>
        <w:rPr>
          <w:rFonts w:hint="eastAsia" w:ascii="仿宋" w:hAnsi="仿宋" w:eastAsia="仿宋" w:cs="仿宋"/>
          <w:color w:val="auto"/>
          <w:sz w:val="24"/>
          <w:szCs w:val="24"/>
          <w:lang w:eastAsia="zh-CN"/>
        </w:rPr>
        <w:t>缴纳</w:t>
      </w:r>
      <w:r>
        <w:rPr>
          <w:rFonts w:hint="eastAsia" w:ascii="仿宋" w:hAnsi="仿宋" w:eastAsia="仿宋" w:cs="仿宋"/>
          <w:color w:val="auto"/>
          <w:sz w:val="24"/>
          <w:szCs w:val="24"/>
        </w:rPr>
        <w:t>。若因乙方不及时缴纳电费出现停电、断电等情况视为</w:t>
      </w:r>
      <w:r>
        <w:rPr>
          <w:rFonts w:hint="eastAsia" w:ascii="仿宋" w:hAnsi="仿宋" w:eastAsia="仿宋" w:cs="仿宋"/>
          <w:color w:val="auto"/>
          <w:sz w:val="24"/>
          <w:szCs w:val="24"/>
          <w:lang w:val="en-US" w:eastAsia="zh-CN"/>
        </w:rPr>
        <w:t>严重</w:t>
      </w:r>
      <w:r>
        <w:rPr>
          <w:rFonts w:hint="eastAsia" w:ascii="仿宋" w:hAnsi="仿宋" w:eastAsia="仿宋" w:cs="仿宋"/>
          <w:color w:val="auto"/>
          <w:sz w:val="24"/>
          <w:szCs w:val="24"/>
        </w:rPr>
        <w:t>违约，甲方有权向乙方发出书面函件终止合同并追究其违约责任</w:t>
      </w:r>
      <w:r>
        <w:rPr>
          <w:rFonts w:hint="eastAsia" w:ascii="仿宋" w:hAnsi="仿宋" w:eastAsia="仿宋" w:cs="仿宋"/>
          <w:color w:val="auto"/>
          <w:sz w:val="24"/>
          <w:szCs w:val="24"/>
          <w:highlight w:val="none"/>
          <w:lang w:eastAsia="zh-CN"/>
        </w:rPr>
        <w:t>且没收其所有履约保证金</w:t>
      </w:r>
      <w:r>
        <w:rPr>
          <w:rFonts w:hint="eastAsia" w:ascii="仿宋" w:hAnsi="仿宋" w:eastAsia="仿宋" w:cs="仿宋"/>
          <w:color w:val="auto"/>
          <w:sz w:val="24"/>
          <w:szCs w:val="24"/>
        </w:rPr>
        <w:t>。</w:t>
      </w:r>
    </w:p>
    <w:p w14:paraId="430641BD">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9）在改造和托管期内，因乙方原因发生较大的质量事故或安全事故的，甲方有权向乙方发出书面函件终止合同并追究其违约责任，给甲方造成损失的，应向甲方进行赔偿。</w:t>
      </w:r>
    </w:p>
    <w:p w14:paraId="4CAB743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在改造和托管期内，乙方因自身原因出现经营不善，无力继续经营或被行政部门处罚停业等情况，造成实质无法继续履约的情况，视为乙方违约，甲方有权向乙方发出书面函件终止合同，并不再支付任何费用，且已建成或已投入的设施设备（包括但不限于智慧控制平台、已完成改造的设施设备等）30天内无偿交回甲方，甲方有权追究其违约而造成的经济损失且没收其所有履约保证金。</w:t>
      </w:r>
    </w:p>
    <w:p w14:paraId="0F9F7ED7">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七</w:t>
      </w:r>
      <w:r>
        <w:rPr>
          <w:rFonts w:hint="eastAsia" w:ascii="仿宋" w:hAnsi="仿宋" w:eastAsia="仿宋" w:cs="仿宋"/>
          <w:b/>
          <w:color w:val="auto"/>
          <w:sz w:val="24"/>
          <w:szCs w:val="24"/>
        </w:rPr>
        <w:t>条  不可抗力</w:t>
      </w:r>
    </w:p>
    <w:p w14:paraId="21464270">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由于地震、水灾、战争、暴乱及其他不能预见并且对其发生和后果不能避免并不能克服的不可抗力事件，直接导致本合同及附件的全部或部分不能履行时，遇有不可抗力事件的一方应立即将详细情况通知另一方，并随后提供事件详情的有效证明文件。按照不可抗力事件对履行合同的影响程度，由甲、乙双方协商确定：延期履行或终止合同。</w:t>
      </w:r>
    </w:p>
    <w:p w14:paraId="21318FD8">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遇有不可抗力事件的一方可以中止履行，直至不可抗力事件结束，但中止时间超过90天且无法继续履行，终止本合同的履行。</w:t>
      </w:r>
    </w:p>
    <w:p w14:paraId="526C6914">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遇有不可抗力事件的一方可以在通知另一方并经双方确认后10日内终止合同，任何一方将不对另一方继续承担义务，但甲方和乙方应当据实结算托管费用。</w:t>
      </w:r>
    </w:p>
    <w:p w14:paraId="67591EA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遇有不可抗力事件的一方应采取措施，避免损失的扩大。如果因为未采取相应的措施而导致损失扩大，应向另一方承担赔偿责任。</w:t>
      </w:r>
    </w:p>
    <w:p w14:paraId="076142C6">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lang w:eastAsia="zh-CN"/>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条  履约</w:t>
      </w:r>
      <w:r>
        <w:rPr>
          <w:rFonts w:hint="eastAsia" w:ascii="仿宋" w:hAnsi="仿宋" w:eastAsia="仿宋" w:cs="仿宋"/>
          <w:b/>
          <w:color w:val="auto"/>
          <w:sz w:val="24"/>
          <w:szCs w:val="24"/>
          <w:lang w:val="en-US" w:eastAsia="zh-CN"/>
        </w:rPr>
        <w:t>担保</w:t>
      </w:r>
    </w:p>
    <w:p w14:paraId="55FB7EEB">
      <w:pPr>
        <w:numPr>
          <w:ilvl w:val="2"/>
          <w:numId w:val="0"/>
        </w:numPr>
        <w:spacing w:line="360" w:lineRule="auto"/>
        <w:ind w:firstLine="480" w:firstLineChars="200"/>
        <w:jc w:val="both"/>
        <w:outlineLvl w:val="3"/>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color w:val="auto"/>
          <w:sz w:val="24"/>
          <w:highlight w:val="none"/>
          <w:lang w:val="en-US" w:eastAsia="zh-CN"/>
        </w:rPr>
        <w:t>1、本项目设置履约保证金</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乙方自本项目合同生效之日起10个工作日内，向甲方提交本项目履约保证金，履约保证金的金额为合同价的1%，乙方须保证其履约保证金的担保有效期从合同签订之日起至项目移交完成结束之日前一直有效（托管期满终止时至乙方完全将相关设施无偿完好移交甲方或政府指定机构，最长不超过6个月）。</w:t>
      </w:r>
      <w:r>
        <w:rPr>
          <w:rFonts w:hint="eastAsia" w:ascii="仿宋" w:hAnsi="仿宋" w:eastAsia="仿宋" w:cs="仿宋"/>
          <w:b w:val="0"/>
          <w:bCs/>
          <w:color w:val="auto"/>
          <w:kern w:val="2"/>
          <w:sz w:val="24"/>
          <w:szCs w:val="24"/>
          <w:highlight w:val="none"/>
          <w:lang w:val="en-US" w:eastAsia="zh-CN" w:bidi="ar-SA"/>
        </w:rPr>
        <w:t xml:space="preserve"> </w:t>
      </w:r>
    </w:p>
    <w:p w14:paraId="66CA28BC">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2、履约保证金形式：可以银行转账/转账支票/银行汇票/保函等形式提交。（履约保函有效期至项目移交完成结束止）</w:t>
      </w:r>
    </w:p>
    <w:p w14:paraId="38B1E4D6">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说明：</w:t>
      </w:r>
    </w:p>
    <w:p w14:paraId="4126BB6B">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（1）以银行转账、转帐支票、银行汇票等形式提交的：从供应商基本账户转出；</w:t>
      </w:r>
    </w:p>
    <w:p w14:paraId="110D712B">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（2）若采用保函形式的，应满足以下几个条件：</w:t>
      </w:r>
    </w:p>
    <w:p w14:paraId="067947B2">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1)保函为见索即付保函：即在乙方没有实施合同或者未履行合同义务时，甲方不需要出具任何证明和理由，只要看到乙方违约，就可对保函进行收兑；</w:t>
      </w:r>
    </w:p>
    <w:p w14:paraId="633D5D71">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2)如果由于项目延误或保函出具机构要求分期出具保函的，则在前一份保函有效期满之日1个月前必须重新出具相同内容的保函；</w:t>
      </w:r>
    </w:p>
    <w:p w14:paraId="2695BE8C">
      <w:pPr>
        <w:widowControl/>
        <w:shd w:val="clear" w:color="auto" w:fill="FFFFFF"/>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3)保函开具方需开通官方网站进行在线查询功能。甲方通过开具方的官方网站进行在线查询后，可以确认真实性的，对原件进行收讫。否则，甲方有权不予收讫。</w:t>
      </w:r>
    </w:p>
    <w:p w14:paraId="26D3B95E">
      <w:pPr>
        <w:widowControl/>
        <w:shd w:val="clear" w:color="auto" w:fill="FFFFFF"/>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、履约保证金的退取：</w:t>
      </w:r>
    </w:p>
    <w:p w14:paraId="044F7211">
      <w:pPr>
        <w:widowControl/>
        <w:shd w:val="clear" w:color="auto" w:fill="FFFFFF"/>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履约保证金的退还：项目托管期满终止时至乙方完全将相关设施无偿移交甲方或政府指定机构后90日内且无质量问题，甲方将履约保证金（无息）退还给乙方。</w:t>
      </w:r>
    </w:p>
    <w:p w14:paraId="55D9EB7F">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bCs w:val="0"/>
          <w:color w:val="auto"/>
          <w:kern w:val="2"/>
          <w:sz w:val="24"/>
          <w:szCs w:val="24"/>
          <w:lang w:val="en-US" w:eastAsia="zh-CN" w:bidi="ar-SA"/>
        </w:rPr>
        <w:t>4、</w:t>
      </w:r>
      <w:r>
        <w:rPr>
          <w:rFonts w:hint="eastAsia" w:ascii="仿宋" w:hAnsi="仿宋" w:eastAsia="仿宋" w:cs="仿宋"/>
          <w:b/>
          <w:bCs w:val="0"/>
          <w:color w:val="auto"/>
          <w:kern w:val="2"/>
          <w:sz w:val="24"/>
          <w:szCs w:val="24"/>
          <w:highlight w:val="none"/>
          <w:lang w:val="en-US" w:eastAsia="zh-CN" w:bidi="ar-SA"/>
        </w:rPr>
        <w:t>若乙方在合同履行期间违约，甲方有权从履约担保中扣除违约金（乙方须保证每一年度履约担保金额为合同价的</w:t>
      </w:r>
      <w:r>
        <w:rPr>
          <w:rFonts w:hint="eastAsia" w:ascii="仿宋" w:hAnsi="仿宋" w:eastAsia="仿宋" w:cs="仿宋"/>
          <w:b/>
          <w:bCs w:val="0"/>
          <w:color w:val="auto"/>
          <w:kern w:val="2"/>
          <w:sz w:val="24"/>
          <w:szCs w:val="24"/>
          <w:highlight w:val="none"/>
          <w:u w:val="single"/>
          <w:lang w:val="en-US" w:eastAsia="zh-CN" w:bidi="ar-SA"/>
        </w:rPr>
        <w:t xml:space="preserve">     </w:t>
      </w:r>
      <w:r>
        <w:rPr>
          <w:rFonts w:hint="eastAsia" w:ascii="仿宋" w:hAnsi="仿宋" w:eastAsia="仿宋" w:cs="仿宋"/>
          <w:b/>
          <w:bCs w:val="0"/>
          <w:color w:val="auto"/>
          <w:kern w:val="2"/>
          <w:sz w:val="24"/>
          <w:szCs w:val="24"/>
          <w:highlight w:val="none"/>
          <w:lang w:val="en-US" w:eastAsia="zh-CN" w:bidi="ar-SA"/>
        </w:rPr>
        <w:t>%，若有扣罚金额，乙方应在下一年度补齐履约保证金），</w:t>
      </w:r>
      <w:r>
        <w:rPr>
          <w:rFonts w:hint="eastAsia" w:ascii="仿宋" w:hAnsi="仿宋" w:eastAsia="仿宋" w:cs="仿宋"/>
          <w:b w:val="0"/>
          <w:bCs/>
          <w:color w:val="auto"/>
          <w:kern w:val="2"/>
          <w:sz w:val="24"/>
          <w:szCs w:val="24"/>
          <w:highlight w:val="none"/>
          <w:lang w:val="en-US" w:eastAsia="zh-CN" w:bidi="ar-SA"/>
        </w:rPr>
        <w:t>履约保证金金额不足以扣除的部分甲方可向乙方进一步索赔。乙方不按合同规定提交履约保证金的，甲方先给与警告，警告后10个工作日内仍未缴纳履约保证金或补齐履约保证金的，甲方有权单方面解除合同且不须承担任何违约责任。</w:t>
      </w:r>
    </w:p>
    <w:p w14:paraId="633EFDC2">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十九</w:t>
      </w:r>
      <w:r>
        <w:rPr>
          <w:rFonts w:hint="eastAsia" w:ascii="仿宋" w:hAnsi="仿宋" w:eastAsia="仿宋" w:cs="仿宋"/>
          <w:b/>
          <w:color w:val="auto"/>
          <w:sz w:val="24"/>
          <w:szCs w:val="24"/>
        </w:rPr>
        <w:t>条  法律适用和争议解决</w:t>
      </w:r>
    </w:p>
    <w:p w14:paraId="6475525B">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本合同的订立、履行和解释，应遵守中华人民共和国法律、法规，并应遵守行业惯例。</w:t>
      </w:r>
    </w:p>
    <w:p w14:paraId="7D008BD5">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因本合同的履行、解释等引起的争议，双方应友好协商解决。如双方无法达成一致，双方同意依法向项目所在地有管辖权的人民法院提起诉讼。</w:t>
      </w:r>
    </w:p>
    <w:p w14:paraId="4C23FFB0">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在违约引发的诉讼程序中，违约方应赔偿对方因诉讼产生的律师费及为维权支出的其它合理费用。</w:t>
      </w:r>
    </w:p>
    <w:p w14:paraId="324DA964">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第二十条  知识产权</w:t>
      </w:r>
    </w:p>
    <w:p w14:paraId="79518E47">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本合同涉及的专利实施许可和技术秘密许可，双方约定如下：</w:t>
      </w:r>
    </w:p>
    <w:p w14:paraId="7EBE896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乙方应保证甲方在使用本合同项下的服务或其任何一部分时免受第三方提出侵犯其知识产权、商标权或工业设计权的起诉。如果发生此类问题，乙方负责交涉、处理并承担由此引起的全部法律及经济责任。</w:t>
      </w:r>
    </w:p>
    <w:p w14:paraId="74F04B65">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乙方应保证所供服务符合国家的有关规定。</w:t>
      </w:r>
    </w:p>
    <w:p w14:paraId="78776DFA">
      <w:pPr>
        <w:pStyle w:val="7"/>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乙方保证依据本合同提供的服务及相关的软件和技术资料，均已得到有关知识产权的权利人的合法授权，如发生涉及到专利权、著作权、商标权等争议，乙方负责交涉、处理，并承担由此引起的全部法律及经济责任。</w:t>
      </w:r>
    </w:p>
    <w:p w14:paraId="2501CE1D">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第二十</w:t>
      </w:r>
      <w:r>
        <w:rPr>
          <w:rFonts w:hint="eastAsia" w:ascii="仿宋" w:hAnsi="仿宋" w:eastAsia="仿宋" w:cs="仿宋"/>
          <w:b/>
          <w:color w:val="auto"/>
          <w:sz w:val="24"/>
          <w:szCs w:val="24"/>
          <w:lang w:eastAsia="zh-CN"/>
        </w:rPr>
        <w:t>一</w:t>
      </w:r>
      <w:r>
        <w:rPr>
          <w:rFonts w:hint="eastAsia" w:ascii="仿宋" w:hAnsi="仿宋" w:eastAsia="仿宋" w:cs="仿宋"/>
          <w:b/>
          <w:color w:val="auto"/>
          <w:sz w:val="24"/>
          <w:szCs w:val="24"/>
        </w:rPr>
        <w:t>条  合同的生效及其他</w:t>
      </w:r>
    </w:p>
    <w:p w14:paraId="3C6B5F51">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本合同适用于能源费用托管形式的合同能源管理项目。</w:t>
      </w:r>
    </w:p>
    <w:p w14:paraId="7974BC42">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份，甲、乙双方各执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份，具有同等法律效力。本合同经双方法定代表人或授权代表签字并加盖公章之日起生效。</w:t>
      </w:r>
    </w:p>
    <w:p w14:paraId="41EC91A2">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甲乙双方发送给对方的通知，如用电话、微信、传真、电子邮件等形式发送通知时，凡涉及各方权利、义务的，应随之以书面形式通知对方。</w:t>
      </w:r>
    </w:p>
    <w:p w14:paraId="5926B972">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本项目的招标文件、投标文件、中标通知书及双方有关本项目的洽商、变更等书面协议或文件均视为本合同的组成部分，具有同等法律效力。</w:t>
      </w:r>
    </w:p>
    <w:p w14:paraId="7BB412D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本合同的附件为本合同不可分割的组成部分，与本合同具有同等法律效力。本合同与附件及附件之间规定不一致时，以规定详细的文件为准。</w:t>
      </w:r>
    </w:p>
    <w:p w14:paraId="297C594F">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附件共____份：</w:t>
      </w:r>
    </w:p>
    <w:p w14:paraId="3CAABACC">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南郑区</w:t>
      </w:r>
      <w:r>
        <w:rPr>
          <w:rFonts w:hint="eastAsia" w:ascii="仿宋" w:hAnsi="仿宋" w:eastAsia="仿宋" w:cs="仿宋"/>
          <w:color w:val="auto"/>
          <w:sz w:val="24"/>
          <w:szCs w:val="24"/>
          <w:highlight w:val="none"/>
        </w:rPr>
        <w:t>路灯及附属设施统计表</w:t>
      </w:r>
    </w:p>
    <w:p w14:paraId="1AE99943">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：考核标准表</w:t>
      </w:r>
    </w:p>
    <w:p w14:paraId="6AA6A2EF">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yellow"/>
        </w:rPr>
      </w:pPr>
    </w:p>
    <w:p w14:paraId="1CB2DEAD">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（以下无正文）</w:t>
      </w:r>
    </w:p>
    <w:p w14:paraId="6D79BDCA">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甲方（盖章）：                      乙方（盖章）：</w:t>
      </w:r>
    </w:p>
    <w:p w14:paraId="518D284E">
      <w:pPr>
        <w:pStyle w:val="7"/>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color w:val="auto"/>
          <w:sz w:val="24"/>
          <w:szCs w:val="24"/>
        </w:rPr>
      </w:pPr>
      <w:r>
        <w:rPr>
          <w:rFonts w:hint="eastAsia" w:ascii="仿宋" w:hAnsi="仿宋" w:eastAsia="仿宋" w:cs="仿宋"/>
          <w:b/>
          <w:color w:val="auto"/>
          <w:sz w:val="24"/>
          <w:szCs w:val="24"/>
        </w:rPr>
        <w:t>代表：                              代表：</w:t>
      </w:r>
    </w:p>
    <w:p w14:paraId="003DAACA">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签订地点：</w:t>
      </w:r>
    </w:p>
    <w:p w14:paraId="71038EE9">
      <w:pPr>
        <w:pStyle w:val="7"/>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签订日期：   年     月    日        签订日期：   年     月     日</w:t>
      </w:r>
    </w:p>
    <w:p w14:paraId="00157882">
      <w:pPr>
        <w:numPr>
          <w:ilvl w:val="0"/>
          <w:numId w:val="0"/>
        </w:numPr>
        <w:spacing w:before="34" w:line="360" w:lineRule="auto"/>
        <w:jc w:val="center"/>
        <w:rPr>
          <w:rFonts w:hint="eastAsia" w:ascii="仿宋" w:hAnsi="仿宋" w:eastAsia="仿宋" w:cs="仿宋"/>
          <w:b/>
          <w:bCs/>
          <w:color w:val="auto"/>
          <w:kern w:val="2"/>
          <w:sz w:val="32"/>
          <w:szCs w:val="32"/>
          <w:highlight w:val="none"/>
          <w:lang w:val="en-US" w:eastAsia="zh-CN" w:bidi="ar-SA"/>
        </w:rPr>
      </w:pPr>
    </w:p>
    <w:p w14:paraId="3D7C3037">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2CEB56EC">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02F70E16">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2A77DA6D">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49C7BE06">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420AB187">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426F847C">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2C8DDDF2">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32167001">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79ED64D8">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附件一</w:t>
      </w:r>
    </w:p>
    <w:p w14:paraId="54E6F18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2" w:firstLineChars="200"/>
        <w:jc w:val="both"/>
        <w:textAlignment w:val="baseline"/>
        <w:rPr>
          <w:rFonts w:hint="eastAsia" w:ascii="仿宋" w:hAnsi="仿宋" w:eastAsia="仿宋" w:cs="仿宋"/>
          <w:b/>
          <w:bCs/>
          <w:i w:val="0"/>
          <w:iCs w:val="0"/>
          <w:snapToGrid w:val="0"/>
          <w:color w:val="auto"/>
          <w:kern w:val="0"/>
          <w:sz w:val="24"/>
          <w:szCs w:val="24"/>
          <w:highlight w:val="none"/>
          <w:u w:val="none"/>
          <w:lang w:val="en-US" w:eastAsia="zh-CN" w:bidi="ar"/>
        </w:rPr>
      </w:pPr>
      <w:r>
        <w:rPr>
          <w:rFonts w:hint="eastAsia" w:ascii="仿宋" w:hAnsi="仿宋" w:eastAsia="仿宋" w:cs="仿宋"/>
          <w:b/>
          <w:bCs/>
          <w:i w:val="0"/>
          <w:iCs w:val="0"/>
          <w:snapToGrid w:val="0"/>
          <w:color w:val="auto"/>
          <w:kern w:val="0"/>
          <w:sz w:val="24"/>
          <w:szCs w:val="24"/>
          <w:highlight w:val="none"/>
          <w:u w:val="none"/>
          <w:lang w:val="en-US" w:eastAsia="zh-CN" w:bidi="ar"/>
        </w:rPr>
        <w:t>南郑区全域路灯分布汇总表（以实际为准）</w:t>
      </w:r>
    </w:p>
    <w:p w14:paraId="65C9D7E7">
      <w:pPr>
        <w:pStyle w:val="2"/>
        <w:keepNext w:val="0"/>
        <w:keepLines w:val="0"/>
        <w:pageBreakBefore w:val="0"/>
        <w:widowControl/>
        <w:kinsoku w:val="0"/>
        <w:wordWrap/>
        <w:overflowPunct/>
        <w:topLinePunct w:val="0"/>
        <w:autoSpaceDE w:val="0"/>
        <w:autoSpaceDN w:val="0"/>
        <w:bidi w:val="0"/>
        <w:adjustRightInd w:val="0"/>
        <w:snapToGrid w:val="0"/>
        <w:spacing w:line="420" w:lineRule="exact"/>
        <w:ind w:firstLine="0" w:firstLineChars="0"/>
        <w:jc w:val="center"/>
        <w:textAlignment w:val="baseline"/>
        <w:rPr>
          <w:rFonts w:hint="eastAsia" w:ascii="仿宋" w:hAnsi="仿宋" w:eastAsia="仿宋" w:cs="仿宋"/>
          <w:color w:val="auto"/>
          <w:sz w:val="24"/>
          <w:szCs w:val="24"/>
          <w:highlight w:val="none"/>
          <w:lang w:val="en-US"/>
        </w:rPr>
      </w:pPr>
      <w:r>
        <w:rPr>
          <w:rFonts w:hint="eastAsia" w:ascii="仿宋" w:hAnsi="仿宋" w:eastAsia="仿宋" w:cs="仿宋"/>
          <w:b/>
          <w:bCs/>
          <w:i w:val="0"/>
          <w:iCs w:val="0"/>
          <w:snapToGrid w:val="0"/>
          <w:color w:val="auto"/>
          <w:kern w:val="0"/>
          <w:sz w:val="24"/>
          <w:szCs w:val="24"/>
          <w:highlight w:val="none"/>
          <w:u w:val="none"/>
          <w:lang w:val="en-US" w:eastAsia="zh-CN" w:bidi="ar"/>
        </w:rPr>
        <w:t>南郑区全域路灯分布汇总表（以实际为准）</w:t>
      </w:r>
    </w:p>
    <w:tbl>
      <w:tblPr>
        <w:tblStyle w:val="5"/>
        <w:tblW w:w="90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6"/>
        <w:gridCol w:w="1666"/>
        <w:gridCol w:w="1946"/>
        <w:gridCol w:w="2074"/>
        <w:gridCol w:w="2391"/>
      </w:tblGrid>
      <w:tr w14:paraId="40666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A5A0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snapToGrid w:val="0"/>
                <w:color w:val="auto"/>
                <w:kern w:val="0"/>
                <w:sz w:val="24"/>
                <w:szCs w:val="24"/>
                <w:highlight w:val="none"/>
                <w:u w:val="none"/>
                <w:lang w:val="en-US" w:eastAsia="zh-CN" w:bidi="ar"/>
              </w:rPr>
            </w:pPr>
            <w:r>
              <w:rPr>
                <w:rFonts w:hint="eastAsia" w:ascii="仿宋" w:hAnsi="仿宋" w:eastAsia="仿宋" w:cs="仿宋"/>
                <w:i w:val="0"/>
                <w:iCs w:val="0"/>
                <w:snapToGrid w:val="0"/>
                <w:color w:val="auto"/>
                <w:kern w:val="0"/>
                <w:sz w:val="24"/>
                <w:szCs w:val="24"/>
                <w:highlight w:val="none"/>
                <w:u w:val="none"/>
                <w:lang w:val="en-US" w:eastAsia="zh-CN" w:bidi="ar"/>
              </w:rPr>
              <w:t>序号</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37E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snapToGrid w:val="0"/>
                <w:color w:val="auto"/>
                <w:kern w:val="0"/>
                <w:sz w:val="24"/>
                <w:szCs w:val="24"/>
                <w:highlight w:val="none"/>
                <w:u w:val="none"/>
                <w:lang w:val="en-US" w:eastAsia="zh-CN" w:bidi="ar"/>
              </w:rPr>
            </w:pPr>
            <w:r>
              <w:rPr>
                <w:rFonts w:hint="eastAsia" w:ascii="仿宋" w:hAnsi="仿宋" w:eastAsia="仿宋" w:cs="仿宋"/>
                <w:i w:val="0"/>
                <w:iCs w:val="0"/>
                <w:snapToGrid w:val="0"/>
                <w:color w:val="auto"/>
                <w:kern w:val="0"/>
                <w:sz w:val="24"/>
                <w:szCs w:val="24"/>
                <w:highlight w:val="none"/>
                <w:u w:val="none"/>
                <w:lang w:val="en-US" w:eastAsia="zh-CN" w:bidi="ar"/>
              </w:rPr>
              <w:t>所属范围</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CDB6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snapToGrid w:val="0"/>
                <w:color w:val="auto"/>
                <w:kern w:val="0"/>
                <w:sz w:val="24"/>
                <w:szCs w:val="24"/>
                <w:highlight w:val="none"/>
                <w:u w:val="none"/>
                <w:lang w:val="en-US" w:eastAsia="zh-CN" w:bidi="ar"/>
              </w:rPr>
            </w:pPr>
            <w:r>
              <w:rPr>
                <w:rFonts w:hint="eastAsia" w:ascii="仿宋" w:hAnsi="仿宋" w:eastAsia="仿宋" w:cs="仿宋"/>
                <w:i w:val="0"/>
                <w:iCs w:val="0"/>
                <w:snapToGrid w:val="0"/>
                <w:color w:val="auto"/>
                <w:kern w:val="0"/>
                <w:sz w:val="24"/>
                <w:szCs w:val="24"/>
                <w:highlight w:val="none"/>
                <w:u w:val="none"/>
                <w:lang w:val="en-US" w:eastAsia="zh-CN" w:bidi="ar"/>
              </w:rPr>
              <w:t>电箱数量</w:t>
            </w:r>
            <w:r>
              <w:rPr>
                <w:rFonts w:hint="eastAsia" w:ascii="仿宋" w:hAnsi="仿宋" w:eastAsia="仿宋" w:cs="仿宋"/>
                <w:i w:val="0"/>
                <w:iCs w:val="0"/>
                <w:snapToGrid w:val="0"/>
                <w:color w:val="auto"/>
                <w:kern w:val="0"/>
                <w:sz w:val="24"/>
                <w:szCs w:val="24"/>
                <w:highlight w:val="none"/>
                <w:u w:val="none"/>
                <w:lang w:val="en-US" w:eastAsia="zh-CN" w:bidi="ar"/>
              </w:rPr>
              <w:br w:type="textWrapping"/>
            </w:r>
            <w:r>
              <w:rPr>
                <w:rFonts w:hint="eastAsia" w:ascii="仿宋" w:hAnsi="仿宋" w:eastAsia="仿宋" w:cs="仿宋"/>
                <w:i w:val="0"/>
                <w:iCs w:val="0"/>
                <w:snapToGrid w:val="0"/>
                <w:color w:val="auto"/>
                <w:kern w:val="0"/>
                <w:sz w:val="24"/>
                <w:szCs w:val="24"/>
                <w:highlight w:val="none"/>
                <w:u w:val="none"/>
                <w:lang w:val="en-US" w:eastAsia="zh-CN" w:bidi="ar"/>
              </w:rPr>
              <w:t>（个）</w:t>
            </w: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B09B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snapToGrid w:val="0"/>
                <w:color w:val="auto"/>
                <w:kern w:val="0"/>
                <w:sz w:val="24"/>
                <w:szCs w:val="24"/>
                <w:highlight w:val="none"/>
                <w:u w:val="none"/>
                <w:lang w:val="en-US" w:eastAsia="zh-CN" w:bidi="ar"/>
              </w:rPr>
            </w:pPr>
            <w:r>
              <w:rPr>
                <w:rFonts w:hint="eastAsia" w:ascii="仿宋" w:hAnsi="仿宋" w:eastAsia="仿宋" w:cs="仿宋"/>
                <w:i w:val="0"/>
                <w:iCs w:val="0"/>
                <w:snapToGrid w:val="0"/>
                <w:color w:val="auto"/>
                <w:kern w:val="0"/>
                <w:sz w:val="24"/>
                <w:szCs w:val="24"/>
                <w:highlight w:val="none"/>
                <w:u w:val="none"/>
                <w:lang w:val="en-US" w:eastAsia="zh-CN" w:bidi="ar"/>
              </w:rPr>
              <w:t>合计杆数</w:t>
            </w:r>
            <w:r>
              <w:rPr>
                <w:rFonts w:hint="eastAsia" w:ascii="仿宋" w:hAnsi="仿宋" w:eastAsia="仿宋" w:cs="仿宋"/>
                <w:i w:val="0"/>
                <w:iCs w:val="0"/>
                <w:snapToGrid w:val="0"/>
                <w:color w:val="auto"/>
                <w:kern w:val="0"/>
                <w:sz w:val="24"/>
                <w:szCs w:val="24"/>
                <w:highlight w:val="none"/>
                <w:u w:val="none"/>
                <w:lang w:val="en-US" w:eastAsia="zh-CN" w:bidi="ar"/>
              </w:rPr>
              <w:br w:type="textWrapping"/>
            </w:r>
            <w:r>
              <w:rPr>
                <w:rFonts w:hint="eastAsia" w:ascii="仿宋" w:hAnsi="仿宋" w:eastAsia="仿宋" w:cs="仿宋"/>
                <w:i w:val="0"/>
                <w:iCs w:val="0"/>
                <w:snapToGrid w:val="0"/>
                <w:color w:val="auto"/>
                <w:kern w:val="0"/>
                <w:sz w:val="24"/>
                <w:szCs w:val="24"/>
                <w:highlight w:val="none"/>
                <w:u w:val="none"/>
                <w:lang w:val="en-US" w:eastAsia="zh-CN" w:bidi="ar"/>
              </w:rPr>
              <w:t>（杆）</w:t>
            </w: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5EB4">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snapToGrid w:val="0"/>
                <w:color w:val="auto"/>
                <w:kern w:val="0"/>
                <w:sz w:val="24"/>
                <w:szCs w:val="24"/>
                <w:highlight w:val="none"/>
                <w:u w:val="none"/>
                <w:lang w:val="en-US" w:eastAsia="zh-CN" w:bidi="ar"/>
              </w:rPr>
            </w:pPr>
            <w:r>
              <w:rPr>
                <w:rFonts w:hint="eastAsia" w:ascii="仿宋" w:hAnsi="仿宋" w:eastAsia="仿宋" w:cs="仿宋"/>
                <w:i w:val="0"/>
                <w:iCs w:val="0"/>
                <w:snapToGrid w:val="0"/>
                <w:color w:val="auto"/>
                <w:kern w:val="0"/>
                <w:sz w:val="24"/>
                <w:szCs w:val="24"/>
                <w:highlight w:val="none"/>
                <w:u w:val="none"/>
                <w:lang w:val="en-US" w:eastAsia="zh-CN" w:bidi="ar"/>
              </w:rPr>
              <w:t>合计盏数</w:t>
            </w:r>
            <w:r>
              <w:rPr>
                <w:rFonts w:hint="eastAsia" w:ascii="仿宋" w:hAnsi="仿宋" w:eastAsia="仿宋" w:cs="仿宋"/>
                <w:i w:val="0"/>
                <w:iCs w:val="0"/>
                <w:snapToGrid w:val="0"/>
                <w:color w:val="auto"/>
                <w:kern w:val="0"/>
                <w:sz w:val="24"/>
                <w:szCs w:val="24"/>
                <w:highlight w:val="none"/>
                <w:u w:val="none"/>
                <w:lang w:val="en-US" w:eastAsia="zh-CN" w:bidi="ar"/>
              </w:rPr>
              <w:br w:type="textWrapping"/>
            </w:r>
            <w:r>
              <w:rPr>
                <w:rFonts w:hint="eastAsia" w:ascii="仿宋" w:hAnsi="仿宋" w:eastAsia="仿宋" w:cs="仿宋"/>
                <w:i w:val="0"/>
                <w:iCs w:val="0"/>
                <w:snapToGrid w:val="0"/>
                <w:color w:val="auto"/>
                <w:kern w:val="0"/>
                <w:sz w:val="24"/>
                <w:szCs w:val="24"/>
                <w:highlight w:val="none"/>
                <w:u w:val="none"/>
                <w:lang w:val="en-US" w:eastAsia="zh-CN" w:bidi="ar"/>
              </w:rPr>
              <w:t>（盏）</w:t>
            </w:r>
          </w:p>
        </w:tc>
      </w:tr>
      <w:tr w14:paraId="50568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DE1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65E6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B69BF">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C61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BE9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06907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C72B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2</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0E1E">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723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4923">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11E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599F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1CE2F">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3</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C38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2CE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DB65">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7EE39">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2439D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3E99">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4</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9B3E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5586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E3FB">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C39B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28C42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23AA9">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5</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80B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525F9">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467F">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96D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3B1C7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590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6</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7B394">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643F3">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39F3">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FAC4C">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1422C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AA97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7</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8D99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CACA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D1F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0CD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32FC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A5BE">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8</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F34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3F7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BDF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F40F">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0F8BD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9AFC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9</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DD8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0384">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E2A4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E2EB">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798DB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B2A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10</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7A56B">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44FFE">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CD9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863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lang w:val="en-US"/>
              </w:rPr>
            </w:pPr>
          </w:p>
        </w:tc>
      </w:tr>
      <w:tr w14:paraId="0A68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12E8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11</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ECD7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926C">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D70F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C6D5">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01AFE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DA2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12</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B52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825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E22E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06CB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6A7C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E2DC9">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13</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7C28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5BAAC">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F47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F52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70A80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F2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14</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5795">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81F8">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90A4F">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21ED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3A6BA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4C33">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15</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CD3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725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A8EB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972B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4671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989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16</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4BF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A5A31">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0E746">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2854A">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21C4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7AD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17</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0404">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A25D">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B3DB">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1333E">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705AE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exac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B4A7">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snapToGrid w:val="0"/>
                <w:color w:val="auto"/>
                <w:kern w:val="0"/>
                <w:sz w:val="24"/>
                <w:szCs w:val="24"/>
                <w:highlight w:val="none"/>
                <w:u w:val="none"/>
                <w:lang w:val="en-US" w:eastAsia="zh-CN" w:bidi="ar"/>
              </w:rPr>
              <w:t>18</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AB5C">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A754">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455E">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3A45">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i w:val="0"/>
                <w:iCs w:val="0"/>
                <w:color w:val="auto"/>
                <w:sz w:val="24"/>
                <w:szCs w:val="24"/>
                <w:highlight w:val="none"/>
                <w:u w:val="none"/>
              </w:rPr>
            </w:pPr>
          </w:p>
        </w:tc>
      </w:tr>
      <w:tr w14:paraId="741D3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jc w:val="center"/>
        </w:trPr>
        <w:tc>
          <w:tcPr>
            <w:tcW w:w="25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05BCC">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b w:val="0"/>
                <w:bCs w:val="0"/>
                <w:i w:val="0"/>
                <w:iCs w:val="0"/>
                <w:color w:val="auto"/>
                <w:sz w:val="24"/>
                <w:szCs w:val="24"/>
                <w:highlight w:val="none"/>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1E53B">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b w:val="0"/>
                <w:bCs w:val="0"/>
                <w:i w:val="0"/>
                <w:iCs w:val="0"/>
                <w:color w:val="auto"/>
                <w:sz w:val="24"/>
                <w:szCs w:val="24"/>
                <w:highlight w:val="none"/>
                <w:u w:val="none"/>
                <w:lang w:val="en-US"/>
              </w:rPr>
            </w:pPr>
          </w:p>
        </w:tc>
        <w:tc>
          <w:tcPr>
            <w:tcW w:w="2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99612">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b w:val="0"/>
                <w:bCs w:val="0"/>
                <w:i w:val="0"/>
                <w:iCs w:val="0"/>
                <w:color w:val="auto"/>
                <w:sz w:val="24"/>
                <w:szCs w:val="24"/>
                <w:highlight w:val="none"/>
                <w:u w:val="none"/>
                <w:lang w:val="en-US"/>
              </w:rPr>
            </w:pPr>
          </w:p>
        </w:tc>
        <w:tc>
          <w:tcPr>
            <w:tcW w:w="2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0A60">
            <w:pPr>
              <w:keepNext w:val="0"/>
              <w:keepLines w:val="0"/>
              <w:pageBreakBefore w:val="0"/>
              <w:widowControl/>
              <w:suppressLineNumbers w:val="0"/>
              <w:kinsoku w:val="0"/>
              <w:wordWrap/>
              <w:overflowPunct/>
              <w:topLinePunct w:val="0"/>
              <w:autoSpaceDE w:val="0"/>
              <w:autoSpaceDN w:val="0"/>
              <w:bidi w:val="0"/>
              <w:adjustRightInd w:val="0"/>
              <w:snapToGrid w:val="0"/>
              <w:spacing w:line="260" w:lineRule="exact"/>
              <w:jc w:val="center"/>
              <w:textAlignment w:val="center"/>
              <w:rPr>
                <w:rFonts w:hint="eastAsia" w:ascii="仿宋" w:hAnsi="仿宋" w:eastAsia="仿宋" w:cs="仿宋"/>
                <w:b w:val="0"/>
                <w:bCs w:val="0"/>
                <w:i w:val="0"/>
                <w:iCs w:val="0"/>
                <w:color w:val="auto"/>
                <w:sz w:val="24"/>
                <w:szCs w:val="24"/>
                <w:highlight w:val="none"/>
                <w:u w:val="none"/>
                <w:lang w:val="en-US"/>
              </w:rPr>
            </w:pPr>
          </w:p>
        </w:tc>
      </w:tr>
    </w:tbl>
    <w:p w14:paraId="1D1D9C1C">
      <w:pPr>
        <w:pStyle w:val="2"/>
        <w:rPr>
          <w:rFonts w:hint="eastAsia" w:ascii="仿宋" w:hAnsi="仿宋" w:eastAsia="仿宋" w:cs="仿宋"/>
          <w:color w:val="auto"/>
          <w:lang w:val="en-US" w:eastAsia="zh-CN"/>
        </w:rPr>
      </w:pPr>
    </w:p>
    <w:p w14:paraId="7ABEB1C9">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2F06BB6D">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09DD300B">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3D5F6CBC">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6F380F92">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68CDE5A0">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6A926D17">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1B3F4A08">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p>
    <w:p w14:paraId="5A1C7FF9">
      <w:pPr>
        <w:numPr>
          <w:ilvl w:val="0"/>
          <w:numId w:val="0"/>
        </w:numPr>
        <w:spacing w:before="34" w:line="360" w:lineRule="auto"/>
        <w:jc w:val="both"/>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附件二</w:t>
      </w:r>
    </w:p>
    <w:p w14:paraId="031613A0">
      <w:pPr>
        <w:numPr>
          <w:ilvl w:val="0"/>
          <w:numId w:val="0"/>
        </w:numPr>
        <w:spacing w:before="34" w:line="360" w:lineRule="auto"/>
        <w:jc w:val="center"/>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考核标准</w:t>
      </w:r>
    </w:p>
    <w:p w14:paraId="7D5A39A7">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rPr>
        <w:t>本项目绩效考核机制</w:t>
      </w:r>
      <w:r>
        <w:rPr>
          <w:rFonts w:hint="eastAsia" w:ascii="仿宋" w:hAnsi="仿宋" w:eastAsia="仿宋" w:cs="仿宋"/>
          <w:color w:val="auto"/>
          <w:sz w:val="24"/>
          <w:szCs w:val="24"/>
          <w:lang w:val="en-US" w:eastAsia="zh-CN"/>
        </w:rPr>
        <w:t>为</w:t>
      </w:r>
      <w:r>
        <w:rPr>
          <w:rFonts w:hint="eastAsia" w:ascii="仿宋" w:hAnsi="仿宋" w:eastAsia="仿宋" w:cs="仿宋"/>
          <w:color w:val="auto"/>
          <w:sz w:val="24"/>
          <w:szCs w:val="24"/>
        </w:rPr>
        <w:t>托管期绩效考核，最终以合同约定为准。</w:t>
      </w:r>
    </w:p>
    <w:p w14:paraId="78AA036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b/>
          <w:color w:val="auto"/>
          <w:sz w:val="24"/>
          <w:szCs w:val="24"/>
        </w:rPr>
        <w:t>绩效考核</w:t>
      </w:r>
    </w:p>
    <w:p w14:paraId="358591E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绩效考核方法</w:t>
      </w:r>
    </w:p>
    <w:p w14:paraId="1523D00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托管期内，采购人组织实施开展绩效考核，每</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rPr>
        <w:t>进行一次考核，考核现场即时进行考核登记，考核结果关联</w:t>
      </w:r>
      <w:r>
        <w:rPr>
          <w:rFonts w:hint="eastAsia" w:ascii="仿宋" w:hAnsi="仿宋" w:eastAsia="仿宋" w:cs="仿宋"/>
          <w:color w:val="auto"/>
          <w:sz w:val="24"/>
          <w:szCs w:val="24"/>
          <w:lang w:val="en-US" w:eastAsia="zh-CN"/>
        </w:rPr>
        <w:t>6个月</w:t>
      </w:r>
      <w:r>
        <w:rPr>
          <w:rFonts w:hint="eastAsia" w:ascii="仿宋" w:hAnsi="仿宋" w:eastAsia="仿宋" w:cs="仿宋"/>
          <w:color w:val="auto"/>
          <w:sz w:val="24"/>
          <w:szCs w:val="24"/>
        </w:rPr>
        <w:t>托管费用的支付。根据考核结果按“扣罚细则”的规定支付托管费用。每次考核需中标人相关负责人签字确认。</w:t>
      </w:r>
    </w:p>
    <w:p w14:paraId="0340D24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扣罚细则：</w:t>
      </w:r>
    </w:p>
    <w:p w14:paraId="408300F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rPr>
        <w:t>绩效考核得分≥90分，不予扣减当</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highlight w:val="none"/>
          <w:lang w:eastAsia="zh-CN"/>
        </w:rPr>
        <w:t>托管费用</w:t>
      </w:r>
      <w:r>
        <w:rPr>
          <w:rFonts w:hint="eastAsia" w:ascii="仿宋" w:hAnsi="仿宋" w:eastAsia="仿宋" w:cs="仿宋"/>
          <w:color w:val="auto"/>
          <w:sz w:val="24"/>
          <w:szCs w:val="24"/>
          <w:highlight w:val="none"/>
        </w:rPr>
        <w:t>；</w:t>
      </w:r>
    </w:p>
    <w:p w14:paraId="63D8849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80分≤绩效考核得分&lt;90分，每扣1分扣减当</w:t>
      </w:r>
      <w:r>
        <w:rPr>
          <w:rFonts w:hint="eastAsia" w:ascii="仿宋" w:hAnsi="仿宋" w:eastAsia="仿宋" w:cs="仿宋"/>
          <w:color w:val="auto"/>
          <w:sz w:val="24"/>
          <w:szCs w:val="24"/>
          <w:highlight w:val="none"/>
          <w:lang w:eastAsia="zh-CN"/>
        </w:rPr>
        <w:t>月托管费用</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0.5</w:t>
      </w:r>
      <w:r>
        <w:rPr>
          <w:rFonts w:hint="eastAsia" w:ascii="仿宋" w:hAnsi="仿宋" w:eastAsia="仿宋" w:cs="仿宋"/>
          <w:color w:val="auto"/>
          <w:sz w:val="24"/>
          <w:szCs w:val="24"/>
          <w:highlight w:val="none"/>
        </w:rPr>
        <w:t>%；</w:t>
      </w:r>
    </w:p>
    <w:p w14:paraId="308EAB9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70分≤绩效考核得分&lt;80分，每扣1分扣减当</w:t>
      </w:r>
      <w:r>
        <w:rPr>
          <w:rFonts w:hint="eastAsia" w:ascii="仿宋" w:hAnsi="仿宋" w:eastAsia="仿宋" w:cs="仿宋"/>
          <w:color w:val="auto"/>
          <w:sz w:val="24"/>
          <w:szCs w:val="24"/>
          <w:highlight w:val="none"/>
          <w:lang w:eastAsia="zh-CN"/>
        </w:rPr>
        <w:t>月托管费用</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p>
    <w:p w14:paraId="006C672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若绩效考核得分低于70分，当</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rPr>
        <w:t>暂不支付</w:t>
      </w:r>
      <w:r>
        <w:rPr>
          <w:rFonts w:hint="eastAsia" w:ascii="仿宋" w:hAnsi="仿宋" w:eastAsia="仿宋" w:cs="仿宋"/>
          <w:color w:val="auto"/>
          <w:sz w:val="24"/>
          <w:szCs w:val="24"/>
          <w:highlight w:val="none"/>
          <w:lang w:eastAsia="zh-CN"/>
        </w:rPr>
        <w:t>托管费用</w:t>
      </w:r>
      <w:r>
        <w:rPr>
          <w:rFonts w:hint="eastAsia" w:ascii="仿宋" w:hAnsi="仿宋" w:eastAsia="仿宋" w:cs="仿宋"/>
          <w:color w:val="auto"/>
          <w:sz w:val="24"/>
          <w:szCs w:val="24"/>
          <w:highlight w:val="none"/>
        </w:rPr>
        <w:t>，给予中标人15天整改期，期间发生的整改费用由中标人自行承担。</w:t>
      </w:r>
    </w:p>
    <w:p w14:paraId="4F1B181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整改期结束后由中标人重新提请整改考核，由采购人进行绩效考核，考核结果达到90分或以上，支付考核当</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rPr>
        <w:t>实际发生的</w:t>
      </w:r>
      <w:r>
        <w:rPr>
          <w:rFonts w:hint="eastAsia" w:ascii="仿宋" w:hAnsi="仿宋" w:eastAsia="仿宋" w:cs="仿宋"/>
          <w:color w:val="auto"/>
          <w:sz w:val="24"/>
          <w:szCs w:val="24"/>
          <w:highlight w:val="none"/>
          <w:lang w:eastAsia="zh-CN"/>
        </w:rPr>
        <w:t>费用</w:t>
      </w:r>
      <w:r>
        <w:rPr>
          <w:rFonts w:hint="eastAsia" w:ascii="仿宋" w:hAnsi="仿宋" w:eastAsia="仿宋" w:cs="仿宋"/>
          <w:color w:val="auto"/>
          <w:sz w:val="24"/>
          <w:szCs w:val="24"/>
          <w:highlight w:val="none"/>
        </w:rPr>
        <w:t>；若整改后考核结果低于90分的，当</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rPr>
        <w:t>则不支付任何</w:t>
      </w:r>
      <w:r>
        <w:rPr>
          <w:rFonts w:hint="eastAsia" w:ascii="仿宋" w:hAnsi="仿宋" w:eastAsia="仿宋" w:cs="仿宋"/>
          <w:color w:val="auto"/>
          <w:sz w:val="24"/>
          <w:szCs w:val="24"/>
          <w:highlight w:val="none"/>
          <w:lang w:eastAsia="zh-CN"/>
        </w:rPr>
        <w:t>托管费用</w:t>
      </w:r>
      <w:r>
        <w:rPr>
          <w:rFonts w:hint="eastAsia" w:ascii="仿宋" w:hAnsi="仿宋" w:eastAsia="仿宋" w:cs="仿宋"/>
          <w:color w:val="auto"/>
          <w:sz w:val="24"/>
          <w:szCs w:val="24"/>
          <w:highlight w:val="none"/>
        </w:rPr>
        <w:t>。</w:t>
      </w:r>
    </w:p>
    <w:p w14:paraId="17D6148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中标人若</w:t>
      </w:r>
      <w:r>
        <w:rPr>
          <w:rFonts w:hint="eastAsia" w:ascii="仿宋" w:hAnsi="仿宋" w:eastAsia="仿宋" w:cs="仿宋"/>
          <w:color w:val="auto"/>
          <w:sz w:val="24"/>
          <w:szCs w:val="24"/>
          <w:lang w:val="en-US" w:eastAsia="zh-CN"/>
        </w:rPr>
        <w:t>托管</w:t>
      </w:r>
      <w:r>
        <w:rPr>
          <w:rFonts w:hint="eastAsia" w:ascii="仿宋" w:hAnsi="仿宋" w:eastAsia="仿宋" w:cs="仿宋"/>
          <w:color w:val="auto"/>
          <w:sz w:val="24"/>
          <w:szCs w:val="24"/>
        </w:rPr>
        <w:t>期绩效考核结果连续两次</w:t>
      </w:r>
      <w:r>
        <w:rPr>
          <w:rFonts w:hint="eastAsia" w:ascii="仿宋" w:hAnsi="仿宋" w:eastAsia="仿宋" w:cs="仿宋"/>
          <w:color w:val="auto"/>
          <w:sz w:val="24"/>
          <w:szCs w:val="24"/>
          <w:lang w:eastAsia="zh-CN"/>
        </w:rPr>
        <w:t>（每月的第一次考核）</w:t>
      </w:r>
      <w:r>
        <w:rPr>
          <w:rFonts w:hint="eastAsia" w:ascii="仿宋" w:hAnsi="仿宋" w:eastAsia="仿宋" w:cs="仿宋"/>
          <w:color w:val="auto"/>
          <w:sz w:val="24"/>
          <w:szCs w:val="24"/>
        </w:rPr>
        <w:t>考核得分低于70分或一年内出现三次</w:t>
      </w:r>
      <w:r>
        <w:rPr>
          <w:rFonts w:hint="eastAsia" w:ascii="仿宋" w:hAnsi="仿宋" w:eastAsia="仿宋" w:cs="仿宋"/>
          <w:color w:val="auto"/>
          <w:sz w:val="24"/>
          <w:szCs w:val="24"/>
          <w:lang w:eastAsia="zh-CN"/>
        </w:rPr>
        <w:t>（每月的第一次考核）</w:t>
      </w:r>
      <w:r>
        <w:rPr>
          <w:rFonts w:hint="eastAsia" w:ascii="仿宋" w:hAnsi="仿宋" w:eastAsia="仿宋" w:cs="仿宋"/>
          <w:color w:val="auto"/>
          <w:sz w:val="24"/>
          <w:szCs w:val="24"/>
        </w:rPr>
        <w:t>考核得分低于70分视为</w:t>
      </w:r>
      <w:r>
        <w:rPr>
          <w:rFonts w:hint="eastAsia" w:ascii="仿宋" w:hAnsi="仿宋" w:eastAsia="仿宋" w:cs="仿宋"/>
          <w:color w:val="auto"/>
          <w:sz w:val="24"/>
          <w:szCs w:val="24"/>
          <w:lang w:val="en-US" w:eastAsia="zh-CN"/>
        </w:rPr>
        <w:t>严重</w:t>
      </w:r>
      <w:r>
        <w:rPr>
          <w:rFonts w:hint="eastAsia" w:ascii="仿宋" w:hAnsi="仿宋" w:eastAsia="仿宋" w:cs="仿宋"/>
          <w:color w:val="auto"/>
          <w:sz w:val="24"/>
          <w:szCs w:val="24"/>
        </w:rPr>
        <w:t>违约，采购人有权向中标人发出书面函件终止合同，并不再支付任何费用，且已建成或已投入的设施设备（包括但不限于智慧控制平台、已完成改造的设施设备等）30天内无偿交回采购人，采购人有权追究其违约而造成的经济损失</w:t>
      </w:r>
      <w:r>
        <w:rPr>
          <w:rFonts w:hint="eastAsia" w:ascii="仿宋" w:hAnsi="仿宋" w:eastAsia="仿宋" w:cs="仿宋"/>
          <w:color w:val="auto"/>
          <w:sz w:val="24"/>
          <w:szCs w:val="24"/>
          <w:lang w:val="en-US" w:eastAsia="zh-CN"/>
        </w:rPr>
        <w:t>且没收其所有履约保证金</w:t>
      </w:r>
      <w:r>
        <w:rPr>
          <w:rFonts w:hint="eastAsia" w:ascii="仿宋" w:hAnsi="仿宋" w:eastAsia="仿宋" w:cs="仿宋"/>
          <w:color w:val="auto"/>
          <w:sz w:val="24"/>
          <w:szCs w:val="24"/>
        </w:rPr>
        <w:t>。</w:t>
      </w:r>
    </w:p>
    <w:p w14:paraId="305ACD6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考核标准详见“表</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托管期绩效考核标准表”。</w:t>
      </w:r>
    </w:p>
    <w:p w14:paraId="3A843E5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关于考核标准的调整</w:t>
      </w:r>
    </w:p>
    <w:p w14:paraId="55683F64">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因本项目托管期长达</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eastAsia="zh-CN"/>
        </w:rPr>
        <w:t xml:space="preserve"> 年</w:t>
      </w:r>
      <w:r>
        <w:rPr>
          <w:rFonts w:hint="eastAsia" w:ascii="仿宋" w:hAnsi="仿宋" w:eastAsia="仿宋" w:cs="仿宋"/>
          <w:color w:val="auto"/>
          <w:sz w:val="24"/>
          <w:szCs w:val="24"/>
        </w:rPr>
        <w:t>时间，期间可能发生经营范围改变、相关标准改变、新工艺出现等不可预测情形发生，为保障</w:t>
      </w:r>
      <w:r>
        <w:rPr>
          <w:rFonts w:hint="eastAsia" w:ascii="仿宋" w:hAnsi="仿宋" w:eastAsia="仿宋" w:cs="仿宋"/>
          <w:color w:val="auto"/>
          <w:sz w:val="24"/>
          <w:szCs w:val="24"/>
          <w:lang w:val="en-US" w:eastAsia="zh-CN"/>
        </w:rPr>
        <w:t>托管</w:t>
      </w:r>
      <w:r>
        <w:rPr>
          <w:rFonts w:hint="eastAsia" w:ascii="仿宋" w:hAnsi="仿宋" w:eastAsia="仿宋" w:cs="仿宋"/>
          <w:color w:val="auto"/>
          <w:sz w:val="24"/>
          <w:szCs w:val="24"/>
        </w:rPr>
        <w:t>期考核标准的合理性和公平性，在</w:t>
      </w:r>
      <w:r>
        <w:rPr>
          <w:rFonts w:hint="eastAsia" w:ascii="仿宋" w:hAnsi="仿宋" w:eastAsia="仿宋" w:cs="仿宋"/>
          <w:color w:val="auto"/>
          <w:sz w:val="24"/>
          <w:szCs w:val="24"/>
          <w:lang w:val="en-US" w:eastAsia="zh-CN"/>
        </w:rPr>
        <w:t>托管</w:t>
      </w:r>
      <w:r>
        <w:rPr>
          <w:rFonts w:hint="eastAsia" w:ascii="仿宋" w:hAnsi="仿宋" w:eastAsia="仿宋" w:cs="仿宋"/>
          <w:color w:val="auto"/>
          <w:sz w:val="24"/>
          <w:szCs w:val="24"/>
        </w:rPr>
        <w:t>期内采购人可对本考核方案进行调整。托管期间，中标人可提出调整申请，若该调整方案合理，有利于提供更高效、更优质的管理服务的，经采购人批准后予以调整。</w:t>
      </w:r>
    </w:p>
    <w:p w14:paraId="10E44015">
      <w:pPr>
        <w:pStyle w:val="7"/>
        <w:jc w:val="left"/>
        <w:rPr>
          <w:rFonts w:hint="eastAsia" w:ascii="仿宋" w:hAnsi="仿宋" w:eastAsia="仿宋" w:cs="仿宋"/>
          <w:b/>
          <w:bCs/>
          <w:color w:val="auto"/>
          <w:sz w:val="24"/>
          <w:szCs w:val="24"/>
        </w:rPr>
      </w:pPr>
    </w:p>
    <w:p w14:paraId="2BCC6CC5">
      <w:pPr>
        <w:pStyle w:val="7"/>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 xml:space="preserve"> 托管期绩效考核标准表</w:t>
      </w:r>
    </w:p>
    <w:p w14:paraId="578B32DC">
      <w:pPr>
        <w:pStyle w:val="7"/>
        <w:jc w:val="left"/>
        <w:rPr>
          <w:rFonts w:hint="eastAsia" w:ascii="仿宋" w:hAnsi="仿宋" w:eastAsia="仿宋" w:cs="仿宋"/>
          <w:b/>
          <w:bCs/>
          <w:color w:val="auto"/>
          <w:sz w:val="24"/>
          <w:szCs w:val="24"/>
        </w:rPr>
      </w:pPr>
    </w:p>
    <w:tbl>
      <w:tblPr>
        <w:tblStyle w:val="5"/>
        <w:tblW w:w="0" w:type="auto"/>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14"/>
        <w:gridCol w:w="4484"/>
        <w:gridCol w:w="703"/>
        <w:gridCol w:w="790"/>
      </w:tblGrid>
      <w:tr w14:paraId="72F5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517" w:type="dxa"/>
            <w:gridSpan w:val="5"/>
            <w:tcMar>
              <w:top w:w="0" w:type="dxa"/>
              <w:left w:w="105" w:type="dxa"/>
              <w:bottom w:w="0" w:type="dxa"/>
              <w:right w:w="105" w:type="dxa"/>
            </w:tcMar>
            <w:vAlign w:val="center"/>
          </w:tcPr>
          <w:p w14:paraId="4F4184F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项目实施业主单位：以下简称“甲方”；受委托方：以下简称“中标人”</w:t>
            </w:r>
          </w:p>
        </w:tc>
      </w:tr>
      <w:tr w14:paraId="335B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Mar>
              <w:top w:w="0" w:type="dxa"/>
              <w:left w:w="105" w:type="dxa"/>
              <w:bottom w:w="0" w:type="dxa"/>
              <w:right w:w="105" w:type="dxa"/>
            </w:tcMar>
            <w:vAlign w:val="center"/>
          </w:tcPr>
          <w:p w14:paraId="50DD7A1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w:t>
            </w:r>
          </w:p>
        </w:tc>
        <w:tc>
          <w:tcPr>
            <w:tcW w:w="1714" w:type="dxa"/>
            <w:tcMar>
              <w:top w:w="0" w:type="dxa"/>
              <w:left w:w="105" w:type="dxa"/>
              <w:bottom w:w="0" w:type="dxa"/>
              <w:right w:w="105" w:type="dxa"/>
            </w:tcMar>
            <w:vAlign w:val="center"/>
          </w:tcPr>
          <w:p w14:paraId="0F34D3E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考核内容</w:t>
            </w:r>
          </w:p>
        </w:tc>
        <w:tc>
          <w:tcPr>
            <w:tcW w:w="4484" w:type="dxa"/>
            <w:tcMar>
              <w:top w:w="0" w:type="dxa"/>
              <w:left w:w="105" w:type="dxa"/>
              <w:bottom w:w="0" w:type="dxa"/>
              <w:right w:w="105" w:type="dxa"/>
            </w:tcMar>
            <w:vAlign w:val="center"/>
          </w:tcPr>
          <w:p w14:paraId="557D0D0B">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评分标准</w:t>
            </w:r>
          </w:p>
        </w:tc>
        <w:tc>
          <w:tcPr>
            <w:tcW w:w="703" w:type="dxa"/>
            <w:tcMar>
              <w:top w:w="0" w:type="dxa"/>
              <w:left w:w="105" w:type="dxa"/>
              <w:bottom w:w="0" w:type="dxa"/>
              <w:right w:w="105" w:type="dxa"/>
            </w:tcMar>
            <w:vAlign w:val="center"/>
          </w:tcPr>
          <w:p w14:paraId="17DB29FF">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满分</w:t>
            </w:r>
          </w:p>
        </w:tc>
        <w:tc>
          <w:tcPr>
            <w:tcW w:w="790" w:type="dxa"/>
            <w:tcMar>
              <w:top w:w="0" w:type="dxa"/>
              <w:left w:w="105" w:type="dxa"/>
              <w:bottom w:w="0" w:type="dxa"/>
              <w:right w:w="105" w:type="dxa"/>
            </w:tcMar>
            <w:vAlign w:val="center"/>
          </w:tcPr>
          <w:p w14:paraId="665B2386">
            <w:pPr>
              <w:pStyle w:val="7"/>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得分</w:t>
            </w:r>
          </w:p>
        </w:tc>
      </w:tr>
      <w:tr w14:paraId="384E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tcMar>
              <w:top w:w="0" w:type="dxa"/>
              <w:left w:w="105" w:type="dxa"/>
              <w:bottom w:w="0" w:type="dxa"/>
              <w:right w:w="105" w:type="dxa"/>
            </w:tcMar>
            <w:vAlign w:val="center"/>
          </w:tcPr>
          <w:p w14:paraId="145AFCE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技术指标考核</w:t>
            </w:r>
          </w:p>
        </w:tc>
        <w:tc>
          <w:tcPr>
            <w:tcW w:w="1714" w:type="dxa"/>
            <w:tcMar>
              <w:top w:w="0" w:type="dxa"/>
              <w:left w:w="105" w:type="dxa"/>
              <w:bottom w:w="0" w:type="dxa"/>
              <w:right w:w="105" w:type="dxa"/>
            </w:tcMar>
            <w:vAlign w:val="center"/>
          </w:tcPr>
          <w:p w14:paraId="636B3487">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亮灯率及路灯照度</w:t>
            </w:r>
          </w:p>
        </w:tc>
        <w:tc>
          <w:tcPr>
            <w:tcW w:w="4484" w:type="dxa"/>
            <w:tcMar>
              <w:top w:w="0" w:type="dxa"/>
              <w:left w:w="105" w:type="dxa"/>
              <w:bottom w:w="0" w:type="dxa"/>
              <w:right w:w="105" w:type="dxa"/>
            </w:tcMar>
            <w:vAlign w:val="center"/>
          </w:tcPr>
          <w:p w14:paraId="30B3A5CF">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甲方牵头每</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rPr>
              <w:t>不定期</w:t>
            </w:r>
            <w:r>
              <w:rPr>
                <w:rFonts w:hint="eastAsia" w:ascii="仿宋" w:hAnsi="仿宋" w:eastAsia="仿宋" w:cs="仿宋"/>
                <w:color w:val="auto"/>
                <w:sz w:val="24"/>
                <w:szCs w:val="24"/>
                <w:highlight w:val="none"/>
                <w:lang w:eastAsia="zh-CN"/>
              </w:rPr>
              <w:t>至少</w:t>
            </w:r>
            <w:r>
              <w:rPr>
                <w:rFonts w:hint="eastAsia" w:ascii="仿宋" w:hAnsi="仿宋" w:eastAsia="仿宋" w:cs="仿宋"/>
                <w:color w:val="auto"/>
                <w:sz w:val="24"/>
                <w:szCs w:val="24"/>
                <w:highlight w:val="none"/>
              </w:rPr>
              <w:t>开展一次路灯亮灯率及路灯照度随机抽查（抽查工作由中标人具体落实，原则上每次随机抽查辖区内的5</w:t>
            </w:r>
            <w:r>
              <w:rPr>
                <w:rFonts w:hint="eastAsia" w:ascii="仿宋" w:hAnsi="仿宋" w:eastAsia="仿宋" w:cs="仿宋"/>
                <w:color w:val="auto"/>
                <w:sz w:val="24"/>
                <w:szCs w:val="24"/>
                <w:highlight w:val="none"/>
                <w:lang w:eastAsia="zh-CN"/>
              </w:rPr>
              <w:t>到</w:t>
            </w:r>
            <w:r>
              <w:rPr>
                <w:rFonts w:hint="eastAsia" w:ascii="仿宋" w:hAnsi="仿宋" w:eastAsia="仿宋" w:cs="仿宋"/>
                <w:color w:val="auto"/>
                <w:sz w:val="24"/>
                <w:szCs w:val="24"/>
                <w:highlight w:val="none"/>
                <w:lang w:val="en-US" w:eastAsia="zh-CN"/>
              </w:rPr>
              <w:t>10条路</w:t>
            </w:r>
            <w:r>
              <w:rPr>
                <w:rFonts w:hint="eastAsia" w:ascii="仿宋" w:hAnsi="仿宋" w:eastAsia="仿宋" w:cs="仿宋"/>
                <w:color w:val="auto"/>
                <w:sz w:val="24"/>
                <w:szCs w:val="24"/>
                <w:highlight w:val="none"/>
              </w:rPr>
              <w:t>）。</w:t>
            </w:r>
          </w:p>
          <w:p w14:paraId="41B2DCD6">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亮灯率：项目实施亮灯率标准为98%。亮灯率大于或等于98%，本项得满分；亮灯率在95％～97％的，以98%为基数，每低于98%的1个百分点扣0.5分；亮灯率在90%～94%的，以95%为基数,每低于95%的1个百分点扣1分；亮灯率低于90％的，以90%为基数,每低于90%的1个百分点扣2分，本项最多扣</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分。注：数值精确到个位数，小数点后四舍五入。</w:t>
            </w:r>
          </w:p>
          <w:p w14:paraId="0B361312">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2.路灯照度：每条路抽取5个测量点取平均值，平均照度不达标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《城市道路照明设计标准（CJJ45-2015）》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的，每条路扣2分，本项最多扣10分。</w:t>
            </w:r>
          </w:p>
          <w:p w14:paraId="309BD8D0">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注：数值精确到个位数，小数点后四舍五入。</w:t>
            </w:r>
          </w:p>
        </w:tc>
        <w:tc>
          <w:tcPr>
            <w:tcW w:w="703" w:type="dxa"/>
            <w:tcMar>
              <w:top w:w="0" w:type="dxa"/>
              <w:left w:w="105" w:type="dxa"/>
              <w:bottom w:w="0" w:type="dxa"/>
              <w:right w:w="105" w:type="dxa"/>
            </w:tcMar>
            <w:vAlign w:val="center"/>
          </w:tcPr>
          <w:p w14:paraId="5DA8315C">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分</w:t>
            </w:r>
          </w:p>
        </w:tc>
        <w:tc>
          <w:tcPr>
            <w:tcW w:w="790" w:type="dxa"/>
            <w:tcMar>
              <w:top w:w="0" w:type="dxa"/>
              <w:left w:w="105" w:type="dxa"/>
              <w:bottom w:w="0" w:type="dxa"/>
              <w:right w:w="105" w:type="dxa"/>
            </w:tcMar>
            <w:vAlign w:val="center"/>
          </w:tcPr>
          <w:p w14:paraId="46F0196A">
            <w:pPr>
              <w:pStyle w:val="7"/>
              <w:jc w:val="center"/>
              <w:rPr>
                <w:rFonts w:hint="eastAsia" w:ascii="仿宋" w:hAnsi="仿宋" w:eastAsia="仿宋" w:cs="仿宋"/>
                <w:color w:val="auto"/>
                <w:sz w:val="24"/>
                <w:szCs w:val="24"/>
                <w:highlight w:val="none"/>
              </w:rPr>
            </w:pPr>
          </w:p>
        </w:tc>
      </w:tr>
      <w:tr w14:paraId="2793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Mar>
              <w:top w:w="0" w:type="dxa"/>
              <w:left w:w="105" w:type="dxa"/>
              <w:bottom w:w="0" w:type="dxa"/>
              <w:right w:w="105" w:type="dxa"/>
            </w:tcMar>
            <w:vAlign w:val="center"/>
          </w:tcPr>
          <w:p w14:paraId="3399CCCC">
            <w:pPr>
              <w:pStyle w:val="7"/>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4A71528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单灯</w:t>
            </w:r>
          </w:p>
          <w:p w14:paraId="781E3A9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上线率</w:t>
            </w:r>
          </w:p>
        </w:tc>
        <w:tc>
          <w:tcPr>
            <w:tcW w:w="4484" w:type="dxa"/>
            <w:tcMar>
              <w:top w:w="0" w:type="dxa"/>
              <w:left w:w="105" w:type="dxa"/>
              <w:bottom w:w="0" w:type="dxa"/>
              <w:right w:w="105" w:type="dxa"/>
            </w:tcMar>
            <w:vAlign w:val="center"/>
          </w:tcPr>
          <w:p w14:paraId="299B953C">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新安装的单灯控制器，上线率需达到98%及以上。低于98%的，每低1%扣1分。</w:t>
            </w:r>
          </w:p>
        </w:tc>
        <w:tc>
          <w:tcPr>
            <w:tcW w:w="703" w:type="dxa"/>
            <w:tcMar>
              <w:top w:w="0" w:type="dxa"/>
              <w:left w:w="105" w:type="dxa"/>
              <w:bottom w:w="0" w:type="dxa"/>
              <w:right w:w="105" w:type="dxa"/>
            </w:tcMar>
            <w:vAlign w:val="center"/>
          </w:tcPr>
          <w:p w14:paraId="5AF281DA">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790" w:type="dxa"/>
            <w:tcMar>
              <w:top w:w="0" w:type="dxa"/>
              <w:left w:w="105" w:type="dxa"/>
              <w:bottom w:w="0" w:type="dxa"/>
              <w:right w:w="105" w:type="dxa"/>
            </w:tcMar>
            <w:vAlign w:val="center"/>
          </w:tcPr>
          <w:p w14:paraId="728E64EA">
            <w:pPr>
              <w:pStyle w:val="7"/>
              <w:jc w:val="center"/>
              <w:rPr>
                <w:rFonts w:hint="eastAsia" w:ascii="仿宋" w:hAnsi="仿宋" w:eastAsia="仿宋" w:cs="仿宋"/>
                <w:color w:val="auto"/>
                <w:sz w:val="24"/>
                <w:szCs w:val="24"/>
                <w:highlight w:val="none"/>
              </w:rPr>
            </w:pPr>
          </w:p>
        </w:tc>
      </w:tr>
      <w:tr w14:paraId="7424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Mar>
              <w:top w:w="0" w:type="dxa"/>
              <w:left w:w="105" w:type="dxa"/>
              <w:bottom w:w="0" w:type="dxa"/>
              <w:right w:w="105" w:type="dxa"/>
            </w:tcMar>
            <w:vAlign w:val="center"/>
          </w:tcPr>
          <w:p w14:paraId="4D2EB24C">
            <w:pPr>
              <w:pStyle w:val="7"/>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273F01A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智控设备</w:t>
            </w:r>
          </w:p>
        </w:tc>
        <w:tc>
          <w:tcPr>
            <w:tcW w:w="4484" w:type="dxa"/>
            <w:tcMar>
              <w:top w:w="0" w:type="dxa"/>
              <w:left w:w="105" w:type="dxa"/>
              <w:bottom w:w="0" w:type="dxa"/>
              <w:right w:w="105" w:type="dxa"/>
            </w:tcMar>
            <w:vAlign w:val="center"/>
          </w:tcPr>
          <w:p w14:paraId="4B7D305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单灯控制器安装稳固，部件完整，连接可靠，运行情况进行现场抽查测试，不符合要求发现1处，扣1分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本项最多扣4分。</w:t>
            </w:r>
          </w:p>
          <w:p w14:paraId="1E761D2E">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2.集中</w:t>
            </w:r>
            <w:r>
              <w:rPr>
                <w:rFonts w:hint="eastAsia" w:ascii="仿宋" w:hAnsi="仿宋" w:eastAsia="仿宋" w:cs="仿宋"/>
                <w:color w:val="auto"/>
                <w:sz w:val="24"/>
                <w:szCs w:val="24"/>
                <w:highlight w:val="none"/>
              </w:rPr>
              <w:t>控制器安装稳固，部件完整，连接可靠，运行情况进行现场抽查测试，不符合要求发现1处，扣1分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本项最多扣4分。</w:t>
            </w:r>
          </w:p>
        </w:tc>
        <w:tc>
          <w:tcPr>
            <w:tcW w:w="703" w:type="dxa"/>
            <w:tcMar>
              <w:top w:w="0" w:type="dxa"/>
              <w:left w:w="105" w:type="dxa"/>
              <w:bottom w:w="0" w:type="dxa"/>
              <w:right w:w="105" w:type="dxa"/>
            </w:tcMar>
            <w:vAlign w:val="center"/>
          </w:tcPr>
          <w:p w14:paraId="204FD5A6">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8分</w:t>
            </w:r>
          </w:p>
        </w:tc>
        <w:tc>
          <w:tcPr>
            <w:tcW w:w="790" w:type="dxa"/>
            <w:tcMar>
              <w:top w:w="0" w:type="dxa"/>
              <w:left w:w="105" w:type="dxa"/>
              <w:bottom w:w="0" w:type="dxa"/>
              <w:right w:w="105" w:type="dxa"/>
            </w:tcMar>
            <w:vAlign w:val="center"/>
          </w:tcPr>
          <w:p w14:paraId="195450C9">
            <w:pPr>
              <w:pStyle w:val="7"/>
              <w:jc w:val="center"/>
              <w:rPr>
                <w:rFonts w:hint="eastAsia" w:ascii="仿宋" w:hAnsi="仿宋" w:eastAsia="仿宋" w:cs="仿宋"/>
                <w:color w:val="auto"/>
                <w:sz w:val="24"/>
                <w:szCs w:val="24"/>
                <w:highlight w:val="none"/>
              </w:rPr>
            </w:pPr>
          </w:p>
        </w:tc>
      </w:tr>
      <w:tr w14:paraId="0AFA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vAlign w:val="center"/>
          </w:tcPr>
          <w:p w14:paraId="317D0105">
            <w:pPr>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624077A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设备完好</w:t>
            </w:r>
            <w:r>
              <w:rPr>
                <w:rFonts w:hint="eastAsia" w:ascii="仿宋" w:hAnsi="仿宋" w:eastAsia="仿宋" w:cs="仿宋"/>
                <w:color w:val="auto"/>
                <w:sz w:val="24"/>
                <w:szCs w:val="24"/>
                <w:highlight w:val="none"/>
                <w:lang w:eastAsia="zh-CN"/>
              </w:rPr>
              <w:t>及整洁</w:t>
            </w:r>
            <w:r>
              <w:rPr>
                <w:rFonts w:hint="eastAsia" w:ascii="仿宋" w:hAnsi="仿宋" w:eastAsia="仿宋" w:cs="仿宋"/>
                <w:color w:val="auto"/>
                <w:sz w:val="24"/>
                <w:szCs w:val="24"/>
                <w:highlight w:val="none"/>
              </w:rPr>
              <w:t>率</w:t>
            </w:r>
          </w:p>
        </w:tc>
        <w:tc>
          <w:tcPr>
            <w:tcW w:w="4484" w:type="dxa"/>
            <w:tcMar>
              <w:top w:w="0" w:type="dxa"/>
              <w:left w:w="105" w:type="dxa"/>
              <w:bottom w:w="0" w:type="dxa"/>
              <w:right w:w="105" w:type="dxa"/>
            </w:tcMar>
            <w:vAlign w:val="center"/>
          </w:tcPr>
          <w:p w14:paraId="3733A616">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项目设备完好</w:t>
            </w:r>
            <w:r>
              <w:rPr>
                <w:rFonts w:hint="eastAsia" w:ascii="仿宋" w:hAnsi="仿宋" w:eastAsia="仿宋" w:cs="仿宋"/>
                <w:color w:val="auto"/>
                <w:sz w:val="24"/>
                <w:szCs w:val="24"/>
                <w:highlight w:val="none"/>
                <w:lang w:eastAsia="zh-CN"/>
              </w:rPr>
              <w:t>及整洁</w:t>
            </w:r>
            <w:r>
              <w:rPr>
                <w:rFonts w:hint="eastAsia" w:ascii="仿宋" w:hAnsi="仿宋" w:eastAsia="仿宋" w:cs="仿宋"/>
                <w:color w:val="auto"/>
                <w:sz w:val="24"/>
                <w:szCs w:val="24"/>
                <w:highlight w:val="none"/>
              </w:rPr>
              <w:t>率应大于或等于96%，每低1个百分点扣1分，本项最多扣</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分。</w:t>
            </w:r>
          </w:p>
        </w:tc>
        <w:tc>
          <w:tcPr>
            <w:tcW w:w="703" w:type="dxa"/>
            <w:tcMar>
              <w:top w:w="0" w:type="dxa"/>
              <w:left w:w="105" w:type="dxa"/>
              <w:bottom w:w="0" w:type="dxa"/>
              <w:right w:w="105" w:type="dxa"/>
            </w:tcMar>
            <w:vAlign w:val="center"/>
          </w:tcPr>
          <w:p w14:paraId="7EA243C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分</w:t>
            </w:r>
          </w:p>
        </w:tc>
        <w:tc>
          <w:tcPr>
            <w:tcW w:w="790" w:type="dxa"/>
            <w:tcMar>
              <w:top w:w="0" w:type="dxa"/>
              <w:left w:w="105" w:type="dxa"/>
              <w:bottom w:w="0" w:type="dxa"/>
              <w:right w:w="105" w:type="dxa"/>
            </w:tcMar>
            <w:vAlign w:val="center"/>
          </w:tcPr>
          <w:p w14:paraId="01052669">
            <w:pPr>
              <w:pStyle w:val="7"/>
              <w:jc w:val="center"/>
              <w:rPr>
                <w:rFonts w:hint="eastAsia" w:ascii="仿宋" w:hAnsi="仿宋" w:eastAsia="仿宋" w:cs="仿宋"/>
                <w:color w:val="auto"/>
                <w:sz w:val="24"/>
                <w:szCs w:val="24"/>
                <w:highlight w:val="none"/>
              </w:rPr>
            </w:pPr>
          </w:p>
        </w:tc>
      </w:tr>
      <w:tr w14:paraId="30B3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vAlign w:val="center"/>
          </w:tcPr>
          <w:p w14:paraId="076ADB14">
            <w:pPr>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7F9B575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安全文明施工</w:t>
            </w:r>
          </w:p>
        </w:tc>
        <w:tc>
          <w:tcPr>
            <w:tcW w:w="4484" w:type="dxa"/>
            <w:tcMar>
              <w:top w:w="0" w:type="dxa"/>
              <w:left w:w="105" w:type="dxa"/>
              <w:bottom w:w="0" w:type="dxa"/>
              <w:right w:w="105" w:type="dxa"/>
            </w:tcMar>
            <w:vAlign w:val="center"/>
          </w:tcPr>
          <w:p w14:paraId="6A98C997">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按照安全生产有关法律法规实施作业，施工现场要确保干净整洁，施工现场出现乱抛现象1次扣0.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分。本项最多扣5分。</w:t>
            </w:r>
          </w:p>
        </w:tc>
        <w:tc>
          <w:tcPr>
            <w:tcW w:w="703" w:type="dxa"/>
            <w:tcMar>
              <w:top w:w="0" w:type="dxa"/>
              <w:left w:w="105" w:type="dxa"/>
              <w:bottom w:w="0" w:type="dxa"/>
              <w:right w:w="105" w:type="dxa"/>
            </w:tcMar>
            <w:vAlign w:val="center"/>
          </w:tcPr>
          <w:p w14:paraId="41886CD7">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5分</w:t>
            </w:r>
          </w:p>
        </w:tc>
        <w:tc>
          <w:tcPr>
            <w:tcW w:w="790" w:type="dxa"/>
            <w:tcMar>
              <w:top w:w="0" w:type="dxa"/>
              <w:left w:w="105" w:type="dxa"/>
              <w:bottom w:w="0" w:type="dxa"/>
              <w:right w:w="105" w:type="dxa"/>
            </w:tcMar>
            <w:vAlign w:val="center"/>
          </w:tcPr>
          <w:p w14:paraId="4EDAB32E">
            <w:pPr>
              <w:pStyle w:val="7"/>
              <w:jc w:val="center"/>
              <w:rPr>
                <w:rFonts w:hint="eastAsia" w:ascii="仿宋" w:hAnsi="仿宋" w:eastAsia="仿宋" w:cs="仿宋"/>
                <w:color w:val="auto"/>
                <w:sz w:val="24"/>
                <w:szCs w:val="24"/>
                <w:highlight w:val="none"/>
              </w:rPr>
            </w:pPr>
          </w:p>
        </w:tc>
      </w:tr>
      <w:tr w14:paraId="6F48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vAlign w:val="center"/>
          </w:tcPr>
          <w:p w14:paraId="20DA5FBE">
            <w:pPr>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6AD79589">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积极配合甲方对道路照明设施设备的检查工作，各类设施台账齐全</w:t>
            </w:r>
          </w:p>
        </w:tc>
        <w:tc>
          <w:tcPr>
            <w:tcW w:w="4484" w:type="dxa"/>
            <w:tcMar>
              <w:top w:w="0" w:type="dxa"/>
              <w:left w:w="105" w:type="dxa"/>
              <w:bottom w:w="0" w:type="dxa"/>
              <w:right w:w="105" w:type="dxa"/>
            </w:tcMar>
            <w:vAlign w:val="center"/>
          </w:tcPr>
          <w:p w14:paraId="5A299D64">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中标人积极配合甲方日常巡查工作，若中标人无故不配合甲方对设备安全巡检工作，出现一次扣</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分，本项最多扣</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分。中标人应制定各类设施台账及巡检工作台账，台账内容缺失</w:t>
            </w:r>
            <w:r>
              <w:rPr>
                <w:rFonts w:hint="eastAsia" w:ascii="仿宋" w:hAnsi="仿宋" w:eastAsia="仿宋" w:cs="仿宋"/>
                <w:color w:val="auto"/>
                <w:sz w:val="24"/>
                <w:szCs w:val="24"/>
                <w:highlight w:val="none"/>
                <w:lang w:eastAsia="zh-CN"/>
              </w:rPr>
              <w:t>或不完整</w:t>
            </w:r>
            <w:r>
              <w:rPr>
                <w:rFonts w:hint="eastAsia" w:ascii="仿宋" w:hAnsi="仿宋" w:eastAsia="仿宋" w:cs="仿宋"/>
                <w:color w:val="auto"/>
                <w:sz w:val="24"/>
                <w:szCs w:val="24"/>
                <w:highlight w:val="none"/>
              </w:rPr>
              <w:t>每次扣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分，本项最多扣</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03" w:type="dxa"/>
            <w:tcMar>
              <w:top w:w="0" w:type="dxa"/>
              <w:left w:w="105" w:type="dxa"/>
              <w:bottom w:w="0" w:type="dxa"/>
              <w:right w:w="105" w:type="dxa"/>
            </w:tcMar>
            <w:vAlign w:val="center"/>
          </w:tcPr>
          <w:p w14:paraId="7CF2291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90" w:type="dxa"/>
            <w:tcMar>
              <w:top w:w="0" w:type="dxa"/>
              <w:left w:w="105" w:type="dxa"/>
              <w:bottom w:w="0" w:type="dxa"/>
              <w:right w:w="105" w:type="dxa"/>
            </w:tcMar>
            <w:vAlign w:val="center"/>
          </w:tcPr>
          <w:p w14:paraId="7A202E2A">
            <w:pPr>
              <w:pStyle w:val="7"/>
              <w:jc w:val="center"/>
              <w:rPr>
                <w:rFonts w:hint="eastAsia" w:ascii="仿宋" w:hAnsi="仿宋" w:eastAsia="仿宋" w:cs="仿宋"/>
                <w:color w:val="auto"/>
                <w:sz w:val="24"/>
                <w:szCs w:val="24"/>
                <w:highlight w:val="none"/>
              </w:rPr>
            </w:pPr>
          </w:p>
        </w:tc>
      </w:tr>
      <w:tr w14:paraId="1F3B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Mar>
              <w:top w:w="0" w:type="dxa"/>
              <w:left w:w="105" w:type="dxa"/>
              <w:bottom w:w="0" w:type="dxa"/>
              <w:right w:w="105" w:type="dxa"/>
            </w:tcMar>
            <w:vAlign w:val="center"/>
          </w:tcPr>
          <w:p w14:paraId="42A8958C">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应急处理</w:t>
            </w:r>
          </w:p>
        </w:tc>
        <w:tc>
          <w:tcPr>
            <w:tcW w:w="1714" w:type="dxa"/>
            <w:tcMar>
              <w:top w:w="0" w:type="dxa"/>
              <w:left w:w="105" w:type="dxa"/>
              <w:bottom w:w="0" w:type="dxa"/>
              <w:right w:w="105" w:type="dxa"/>
            </w:tcMar>
            <w:vAlign w:val="center"/>
          </w:tcPr>
          <w:p w14:paraId="102017B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及时正确处理突发事件</w:t>
            </w:r>
          </w:p>
        </w:tc>
        <w:tc>
          <w:tcPr>
            <w:tcW w:w="4484" w:type="dxa"/>
            <w:tcMar>
              <w:top w:w="0" w:type="dxa"/>
              <w:left w:w="105" w:type="dxa"/>
              <w:bottom w:w="0" w:type="dxa"/>
              <w:right w:w="105" w:type="dxa"/>
            </w:tcMar>
            <w:vAlign w:val="center"/>
          </w:tcPr>
          <w:p w14:paraId="44CC8002">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重大突发事件未及时上报每次扣0.5分，本项最多扣</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分；防洪防汛事件未及时上报每次扣0.5分，若出现安全事故，扣</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分；未按照应急预案及时妥善处置的每次扣1分，本项最多扣</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分。未按要求配合做好</w:t>
            </w:r>
            <w:r>
              <w:rPr>
                <w:rFonts w:hint="eastAsia" w:ascii="仿宋" w:hAnsi="仿宋" w:eastAsia="仿宋" w:cs="仿宋"/>
                <w:color w:val="auto"/>
                <w:sz w:val="24"/>
                <w:szCs w:val="24"/>
                <w:highlight w:val="none"/>
                <w:lang w:val="en-US" w:eastAsia="zh-CN"/>
              </w:rPr>
              <w:t>上级部门</w:t>
            </w:r>
            <w:r>
              <w:rPr>
                <w:rFonts w:hint="eastAsia" w:ascii="仿宋" w:hAnsi="仿宋" w:eastAsia="仿宋" w:cs="仿宋"/>
                <w:color w:val="auto"/>
                <w:sz w:val="24"/>
                <w:szCs w:val="24"/>
                <w:highlight w:val="none"/>
              </w:rPr>
              <w:t>交办的专项工作的，每次扣1分，本项最多扣</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w:t>
            </w:r>
          </w:p>
        </w:tc>
        <w:tc>
          <w:tcPr>
            <w:tcW w:w="703" w:type="dxa"/>
            <w:tcMar>
              <w:top w:w="0" w:type="dxa"/>
              <w:left w:w="105" w:type="dxa"/>
              <w:bottom w:w="0" w:type="dxa"/>
              <w:right w:w="105" w:type="dxa"/>
            </w:tcMar>
            <w:vAlign w:val="center"/>
          </w:tcPr>
          <w:p w14:paraId="20029A7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90" w:type="dxa"/>
            <w:tcMar>
              <w:top w:w="0" w:type="dxa"/>
              <w:left w:w="105" w:type="dxa"/>
              <w:bottom w:w="0" w:type="dxa"/>
              <w:right w:w="105" w:type="dxa"/>
            </w:tcMar>
            <w:vAlign w:val="center"/>
          </w:tcPr>
          <w:p w14:paraId="37366891">
            <w:pPr>
              <w:pStyle w:val="7"/>
              <w:jc w:val="center"/>
              <w:rPr>
                <w:rFonts w:hint="eastAsia" w:ascii="仿宋" w:hAnsi="仿宋" w:eastAsia="仿宋" w:cs="仿宋"/>
                <w:color w:val="auto"/>
                <w:sz w:val="24"/>
                <w:szCs w:val="24"/>
                <w:highlight w:val="none"/>
              </w:rPr>
            </w:pPr>
          </w:p>
        </w:tc>
      </w:tr>
      <w:tr w14:paraId="22B9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Mar>
              <w:top w:w="0" w:type="dxa"/>
              <w:left w:w="105" w:type="dxa"/>
              <w:bottom w:w="0" w:type="dxa"/>
              <w:right w:w="105" w:type="dxa"/>
            </w:tcMar>
            <w:vAlign w:val="center"/>
          </w:tcPr>
          <w:p w14:paraId="7CE7C420">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平台的管理及预警</w:t>
            </w:r>
          </w:p>
        </w:tc>
        <w:tc>
          <w:tcPr>
            <w:tcW w:w="1714" w:type="dxa"/>
            <w:tcMar>
              <w:top w:w="0" w:type="dxa"/>
              <w:left w:w="105" w:type="dxa"/>
              <w:bottom w:w="0" w:type="dxa"/>
              <w:right w:w="105" w:type="dxa"/>
            </w:tcMar>
            <w:vAlign w:val="center"/>
          </w:tcPr>
          <w:p w14:paraId="5FDFA6F1">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平台的数据与现场的实际情况的对比</w:t>
            </w:r>
          </w:p>
        </w:tc>
        <w:tc>
          <w:tcPr>
            <w:tcW w:w="4484" w:type="dxa"/>
            <w:tcMar>
              <w:top w:w="0" w:type="dxa"/>
              <w:left w:w="105" w:type="dxa"/>
              <w:bottom w:w="0" w:type="dxa"/>
              <w:right w:w="105" w:type="dxa"/>
            </w:tcMar>
            <w:vAlign w:val="center"/>
          </w:tcPr>
          <w:p w14:paraId="6E71B013">
            <w:pPr>
              <w:pStyle w:val="7"/>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平台显示的亮灯率需与现场实际的亮灯率保持一致，出现不一致的一次扣3分，本项最多扣6分。</w:t>
            </w:r>
          </w:p>
        </w:tc>
        <w:tc>
          <w:tcPr>
            <w:tcW w:w="703" w:type="dxa"/>
            <w:tcMar>
              <w:top w:w="0" w:type="dxa"/>
              <w:left w:w="105" w:type="dxa"/>
              <w:bottom w:w="0" w:type="dxa"/>
              <w:right w:w="105" w:type="dxa"/>
            </w:tcMar>
            <w:vAlign w:val="center"/>
          </w:tcPr>
          <w:p w14:paraId="6EA6E1DD">
            <w:pPr>
              <w:pStyle w:val="7"/>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6分</w:t>
            </w:r>
          </w:p>
        </w:tc>
        <w:tc>
          <w:tcPr>
            <w:tcW w:w="790" w:type="dxa"/>
            <w:tcMar>
              <w:top w:w="0" w:type="dxa"/>
              <w:left w:w="105" w:type="dxa"/>
              <w:bottom w:w="0" w:type="dxa"/>
              <w:right w:w="105" w:type="dxa"/>
            </w:tcMar>
            <w:vAlign w:val="center"/>
          </w:tcPr>
          <w:p w14:paraId="1205484C">
            <w:pPr>
              <w:pStyle w:val="7"/>
              <w:jc w:val="center"/>
              <w:rPr>
                <w:rFonts w:hint="eastAsia" w:ascii="仿宋" w:hAnsi="仿宋" w:eastAsia="仿宋" w:cs="仿宋"/>
                <w:color w:val="auto"/>
                <w:sz w:val="24"/>
                <w:szCs w:val="24"/>
                <w:highlight w:val="none"/>
              </w:rPr>
            </w:pPr>
          </w:p>
        </w:tc>
      </w:tr>
      <w:tr w14:paraId="4FE1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tcMar>
              <w:top w:w="0" w:type="dxa"/>
              <w:left w:w="105" w:type="dxa"/>
              <w:bottom w:w="0" w:type="dxa"/>
              <w:right w:w="105" w:type="dxa"/>
            </w:tcMar>
            <w:vAlign w:val="center"/>
          </w:tcPr>
          <w:p w14:paraId="649DE347">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w:t>
            </w:r>
          </w:p>
          <w:p w14:paraId="114375A0">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共</w:t>
            </w:r>
          </w:p>
          <w:p w14:paraId="0E46EFA8">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舆</w:t>
            </w:r>
          </w:p>
          <w:p w14:paraId="4B915E0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论</w:t>
            </w:r>
          </w:p>
          <w:p w14:paraId="793FC653">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w:t>
            </w:r>
          </w:p>
          <w:p w14:paraId="23D5FC27">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督</w:t>
            </w:r>
          </w:p>
        </w:tc>
        <w:tc>
          <w:tcPr>
            <w:tcW w:w="1714" w:type="dxa"/>
            <w:tcMar>
              <w:top w:w="0" w:type="dxa"/>
              <w:left w:w="105" w:type="dxa"/>
              <w:bottom w:w="0" w:type="dxa"/>
              <w:right w:w="105" w:type="dxa"/>
            </w:tcMar>
            <w:vAlign w:val="center"/>
          </w:tcPr>
          <w:p w14:paraId="1EC38C3D">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中标人应采取一切措施保证项目设施的正常运转并且不影响民众的正常生活</w:t>
            </w:r>
          </w:p>
        </w:tc>
        <w:tc>
          <w:tcPr>
            <w:tcW w:w="4484" w:type="dxa"/>
            <w:tcMar>
              <w:top w:w="0" w:type="dxa"/>
              <w:left w:w="105" w:type="dxa"/>
              <w:bottom w:w="0" w:type="dxa"/>
              <w:right w:w="105" w:type="dxa"/>
            </w:tcMar>
            <w:vAlign w:val="center"/>
          </w:tcPr>
          <w:p w14:paraId="412079F0">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甲方应设公共投诉监督电话。每发生一起社会民众投诉事件，甲方通告中标人投诉事件后，原则上中标人须在24小时内解决问题，特殊情况最多不超过</w:t>
            </w:r>
            <w:r>
              <w:rPr>
                <w:rFonts w:hint="eastAsia" w:ascii="仿宋" w:hAnsi="仿宋" w:eastAsia="仿宋" w:cs="仿宋"/>
                <w:color w:val="auto"/>
                <w:sz w:val="24"/>
                <w:szCs w:val="24"/>
                <w:highlight w:val="none"/>
                <w:lang w:val="en-US" w:eastAsia="zh-CN"/>
              </w:rPr>
              <w:t>48</w:t>
            </w:r>
            <w:r>
              <w:rPr>
                <w:rFonts w:hint="eastAsia" w:ascii="仿宋" w:hAnsi="仿宋" w:eastAsia="仿宋" w:cs="仿宋"/>
                <w:color w:val="auto"/>
                <w:sz w:val="24"/>
                <w:szCs w:val="24"/>
                <w:highlight w:val="none"/>
              </w:rPr>
              <w:t>小时内解决问题，</w:t>
            </w:r>
            <w:r>
              <w:rPr>
                <w:rFonts w:hint="eastAsia" w:ascii="仿宋" w:hAnsi="仿宋" w:eastAsia="仿宋" w:cs="仿宋"/>
                <w:color w:val="auto"/>
                <w:sz w:val="24"/>
                <w:szCs w:val="24"/>
                <w:highlight w:val="none"/>
                <w:lang w:val="en-US" w:eastAsia="zh-CN"/>
              </w:rPr>
              <w:t>48</w:t>
            </w:r>
            <w:r>
              <w:rPr>
                <w:rFonts w:hint="eastAsia" w:ascii="仿宋" w:hAnsi="仿宋" w:eastAsia="仿宋" w:cs="仿宋"/>
                <w:color w:val="auto"/>
                <w:sz w:val="24"/>
                <w:szCs w:val="24"/>
                <w:highlight w:val="none"/>
              </w:rPr>
              <w:t>小时后中标人仍未及时解决问题且无法提供合理解释说明的，扣</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分，之后每天扣</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分直至投诉问题得到妥善满意的解决。本项最多扣</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tc>
        <w:tc>
          <w:tcPr>
            <w:tcW w:w="703" w:type="dxa"/>
            <w:tcMar>
              <w:top w:w="0" w:type="dxa"/>
              <w:left w:w="105" w:type="dxa"/>
              <w:bottom w:w="0" w:type="dxa"/>
              <w:right w:w="105" w:type="dxa"/>
            </w:tcMar>
            <w:vAlign w:val="center"/>
          </w:tcPr>
          <w:p w14:paraId="2A8350A7">
            <w:pPr>
              <w:pStyle w:val="7"/>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790" w:type="dxa"/>
            <w:tcMar>
              <w:top w:w="0" w:type="dxa"/>
              <w:left w:w="105" w:type="dxa"/>
              <w:bottom w:w="0" w:type="dxa"/>
              <w:right w:w="105" w:type="dxa"/>
            </w:tcMar>
            <w:vAlign w:val="center"/>
          </w:tcPr>
          <w:p w14:paraId="1BAE02C9">
            <w:pPr>
              <w:pStyle w:val="7"/>
              <w:jc w:val="center"/>
              <w:rPr>
                <w:rFonts w:hint="eastAsia" w:ascii="仿宋" w:hAnsi="仿宋" w:eastAsia="仿宋" w:cs="仿宋"/>
                <w:color w:val="auto"/>
                <w:sz w:val="24"/>
                <w:szCs w:val="24"/>
                <w:highlight w:val="none"/>
              </w:rPr>
            </w:pPr>
          </w:p>
        </w:tc>
      </w:tr>
      <w:tr w14:paraId="439B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vAlign w:val="center"/>
          </w:tcPr>
          <w:p w14:paraId="636926F7">
            <w:pPr>
              <w:jc w:val="center"/>
              <w:rPr>
                <w:rFonts w:hint="eastAsia" w:ascii="仿宋" w:hAnsi="仿宋" w:eastAsia="仿宋" w:cs="仿宋"/>
                <w:color w:val="auto"/>
                <w:sz w:val="24"/>
                <w:szCs w:val="24"/>
                <w:highlight w:val="none"/>
              </w:rPr>
            </w:pPr>
          </w:p>
        </w:tc>
        <w:tc>
          <w:tcPr>
            <w:tcW w:w="1714" w:type="dxa"/>
            <w:tcMar>
              <w:top w:w="0" w:type="dxa"/>
              <w:left w:w="105" w:type="dxa"/>
              <w:bottom w:w="0" w:type="dxa"/>
              <w:right w:w="105" w:type="dxa"/>
            </w:tcMar>
            <w:vAlign w:val="center"/>
          </w:tcPr>
          <w:p w14:paraId="42B15AB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中标人若发现项目运营对周边民众存在安全、环保等不良影响，应及时告知甲方并积极配合处理</w:t>
            </w:r>
          </w:p>
        </w:tc>
        <w:tc>
          <w:tcPr>
            <w:tcW w:w="4484" w:type="dxa"/>
            <w:tcMar>
              <w:top w:w="0" w:type="dxa"/>
              <w:left w:w="105" w:type="dxa"/>
              <w:bottom w:w="0" w:type="dxa"/>
              <w:right w:w="105" w:type="dxa"/>
            </w:tcMar>
            <w:vAlign w:val="center"/>
          </w:tcPr>
          <w:p w14:paraId="42A81542">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中标人对有关问题知情不报，未积极履行告知义务的，每次扣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分。本项最多扣</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tc>
        <w:tc>
          <w:tcPr>
            <w:tcW w:w="703" w:type="dxa"/>
            <w:tcMar>
              <w:top w:w="0" w:type="dxa"/>
              <w:left w:w="105" w:type="dxa"/>
              <w:bottom w:w="0" w:type="dxa"/>
              <w:right w:w="105" w:type="dxa"/>
            </w:tcMar>
            <w:vAlign w:val="center"/>
          </w:tcPr>
          <w:p w14:paraId="6852E7D3">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tc>
        <w:tc>
          <w:tcPr>
            <w:tcW w:w="790" w:type="dxa"/>
            <w:tcMar>
              <w:top w:w="0" w:type="dxa"/>
              <w:left w:w="105" w:type="dxa"/>
              <w:bottom w:w="0" w:type="dxa"/>
              <w:right w:w="105" w:type="dxa"/>
            </w:tcMar>
            <w:vAlign w:val="center"/>
          </w:tcPr>
          <w:p w14:paraId="0CA6BAC5">
            <w:pPr>
              <w:pStyle w:val="7"/>
              <w:jc w:val="center"/>
              <w:rPr>
                <w:rFonts w:hint="eastAsia" w:ascii="仿宋" w:hAnsi="仿宋" w:eastAsia="仿宋" w:cs="仿宋"/>
                <w:color w:val="auto"/>
                <w:sz w:val="24"/>
                <w:szCs w:val="24"/>
                <w:highlight w:val="none"/>
              </w:rPr>
            </w:pPr>
          </w:p>
        </w:tc>
      </w:tr>
      <w:tr w14:paraId="4C69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4" w:type="dxa"/>
            <w:gridSpan w:val="3"/>
            <w:tcMar>
              <w:top w:w="0" w:type="dxa"/>
              <w:left w:w="105" w:type="dxa"/>
              <w:bottom w:w="0" w:type="dxa"/>
              <w:right w:w="105" w:type="dxa"/>
            </w:tcMar>
            <w:vAlign w:val="center"/>
          </w:tcPr>
          <w:p w14:paraId="18C260AC">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tc>
        <w:tc>
          <w:tcPr>
            <w:tcW w:w="703" w:type="dxa"/>
            <w:tcMar>
              <w:top w:w="0" w:type="dxa"/>
              <w:left w:w="105" w:type="dxa"/>
              <w:bottom w:w="0" w:type="dxa"/>
              <w:right w:w="105" w:type="dxa"/>
            </w:tcMar>
            <w:vAlign w:val="center"/>
          </w:tcPr>
          <w:p w14:paraId="7C1829A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100分</w:t>
            </w:r>
          </w:p>
        </w:tc>
        <w:tc>
          <w:tcPr>
            <w:tcW w:w="790" w:type="dxa"/>
            <w:tcMar>
              <w:top w:w="0" w:type="dxa"/>
              <w:left w:w="105" w:type="dxa"/>
              <w:bottom w:w="0" w:type="dxa"/>
              <w:right w:w="105" w:type="dxa"/>
            </w:tcMar>
            <w:vAlign w:val="center"/>
          </w:tcPr>
          <w:p w14:paraId="34A36887">
            <w:pPr>
              <w:pStyle w:val="7"/>
              <w:jc w:val="center"/>
              <w:rPr>
                <w:rFonts w:hint="eastAsia" w:ascii="仿宋" w:hAnsi="仿宋" w:eastAsia="仿宋" w:cs="仿宋"/>
                <w:color w:val="auto"/>
                <w:sz w:val="24"/>
                <w:szCs w:val="24"/>
                <w:highlight w:val="yellow"/>
              </w:rPr>
            </w:pPr>
          </w:p>
        </w:tc>
      </w:tr>
      <w:tr w14:paraId="0D3C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7727" w:type="dxa"/>
            <w:gridSpan w:val="4"/>
            <w:tcMar>
              <w:top w:w="0" w:type="dxa"/>
              <w:left w:w="105" w:type="dxa"/>
              <w:bottom w:w="0" w:type="dxa"/>
              <w:right w:w="105" w:type="dxa"/>
            </w:tcMar>
            <w:vAlign w:val="center"/>
          </w:tcPr>
          <w:p w14:paraId="10365358">
            <w:pPr>
              <w:pStyle w:val="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经查实因中标人责任出现媒体曝光或上级通报或重大事故的每次</w:t>
            </w:r>
          </w:p>
          <w:p w14:paraId="6CCFB588">
            <w:pPr>
              <w:pStyle w:val="7"/>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额外扣5分。</w:t>
            </w:r>
          </w:p>
          <w:p w14:paraId="3481BB0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应急抢修，设施故障报修响应时间</w:t>
            </w:r>
            <w:r>
              <w:rPr>
                <w:rFonts w:hint="eastAsia" w:ascii="仿宋" w:hAnsi="仿宋" w:eastAsia="仿宋" w:cs="仿宋"/>
                <w:color w:val="auto"/>
                <w:sz w:val="24"/>
                <w:szCs w:val="24"/>
                <w:highlight w:val="none"/>
                <w:lang w:eastAsia="zh-CN"/>
              </w:rPr>
              <w:t>：</w:t>
            </w:r>
          </w:p>
          <w:p w14:paraId="1E52220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一般故障报修：应在</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分钟内响应，中心城区在</w:t>
            </w:r>
            <w:r>
              <w:rPr>
                <w:rFonts w:hint="eastAsia" w:ascii="仿宋" w:hAnsi="仿宋" w:eastAsia="仿宋" w:cs="仿宋"/>
                <w:color w:val="auto"/>
                <w:sz w:val="24"/>
                <w:szCs w:val="24"/>
                <w:highlight w:val="none"/>
                <w:lang w:val="en-US" w:eastAsia="zh-CN"/>
              </w:rPr>
              <w:t>30分钟</w:t>
            </w:r>
            <w:r>
              <w:rPr>
                <w:rFonts w:hint="eastAsia" w:ascii="仿宋" w:hAnsi="仿宋" w:eastAsia="仿宋" w:cs="仿宋"/>
                <w:color w:val="auto"/>
                <w:sz w:val="24"/>
                <w:szCs w:val="24"/>
                <w:highlight w:val="none"/>
              </w:rPr>
              <w:t>内到达现场处理，故障或设备应在1天内进行修复；</w:t>
            </w:r>
            <w:r>
              <w:rPr>
                <w:rFonts w:hint="eastAsia" w:ascii="仿宋" w:hAnsi="仿宋" w:eastAsia="仿宋" w:cs="仿宋"/>
                <w:color w:val="auto"/>
                <w:sz w:val="24"/>
                <w:szCs w:val="24"/>
                <w:highlight w:val="none"/>
                <w:lang w:val="en-US" w:eastAsia="zh-CN"/>
              </w:rPr>
              <w:t>若遇特殊情况无法在规定的时间内修复，需提前向甲方报备，提供准确的修复时间。</w:t>
            </w:r>
          </w:p>
          <w:p w14:paraId="398E9E6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b w:val="0"/>
                <w:bCs w:val="0"/>
                <w:color w:val="auto"/>
                <w:sz w:val="24"/>
                <w:szCs w:val="24"/>
                <w:highlight w:val="none"/>
              </w:rPr>
              <w:t>系统性故障和重大故障报修：应在</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分钟内响应，中心城区在</w:t>
            </w:r>
            <w:r>
              <w:rPr>
                <w:rFonts w:hint="eastAsia" w:ascii="仿宋" w:hAnsi="仿宋" w:eastAsia="仿宋" w:cs="仿宋"/>
                <w:b w:val="0"/>
                <w:bCs w:val="0"/>
                <w:color w:val="auto"/>
                <w:sz w:val="24"/>
                <w:szCs w:val="24"/>
                <w:highlight w:val="none"/>
                <w:lang w:val="en-US" w:eastAsia="zh-CN"/>
              </w:rPr>
              <w:t>30分钟</w:t>
            </w:r>
            <w:r>
              <w:rPr>
                <w:rFonts w:hint="eastAsia" w:ascii="仿宋" w:hAnsi="仿宋" w:eastAsia="仿宋" w:cs="仿宋"/>
                <w:b w:val="0"/>
                <w:bCs w:val="0"/>
                <w:color w:val="auto"/>
                <w:sz w:val="24"/>
                <w:szCs w:val="24"/>
                <w:highlight w:val="none"/>
              </w:rPr>
              <w:t>内到达现场处理，并应采取临时措施保证不发生二次事故，保障道路畅通，应在</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天内修复；</w:t>
            </w:r>
            <w:r>
              <w:rPr>
                <w:rFonts w:hint="eastAsia" w:ascii="仿宋" w:hAnsi="仿宋" w:eastAsia="仿宋" w:cs="仿宋"/>
                <w:b w:val="0"/>
                <w:bCs w:val="0"/>
                <w:color w:val="auto"/>
                <w:sz w:val="24"/>
                <w:szCs w:val="24"/>
                <w:highlight w:val="none"/>
                <w:lang w:val="en-US" w:eastAsia="zh-CN"/>
              </w:rPr>
              <w:t>若遇特殊情况无法在规定的时间内修复，需提前向甲方报备，提供准确的修复时间。</w:t>
            </w:r>
          </w:p>
          <w:p w14:paraId="3342471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强台风、强降雨等不可抗力因素造成的严重故障或设施损坏，应在</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0分钟内响应，中心城区在</w:t>
            </w:r>
            <w:r>
              <w:rPr>
                <w:rFonts w:hint="eastAsia" w:ascii="仿宋" w:hAnsi="仿宋" w:eastAsia="仿宋" w:cs="仿宋"/>
                <w:color w:val="auto"/>
                <w:sz w:val="24"/>
                <w:szCs w:val="24"/>
                <w:highlight w:val="none"/>
                <w:lang w:val="en-US" w:eastAsia="zh-CN"/>
              </w:rPr>
              <w:t>30分钟内</w:t>
            </w:r>
            <w:r>
              <w:rPr>
                <w:rFonts w:hint="eastAsia" w:ascii="仿宋" w:hAnsi="仿宋" w:eastAsia="仿宋" w:cs="仿宋"/>
                <w:color w:val="auto"/>
                <w:sz w:val="24"/>
                <w:szCs w:val="24"/>
                <w:highlight w:val="none"/>
              </w:rPr>
              <w:t>到达现场处理，并采取应急措施，故障或设备应于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天内修复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若遇特殊情况无法在规定的时间内修复，需提前向甲方报备，提供准确的修复时间。</w:t>
            </w:r>
          </w:p>
          <w:p w14:paraId="7D5156E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3、日常巡查发现问题的处罚：</w:t>
            </w:r>
          </w:p>
          <w:p w14:paraId="57761D2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（1）单盏路灯灭灯超过4小时，每发现1例，扣除当月托管服务费200元；</w:t>
            </w:r>
          </w:p>
          <w:p w14:paraId="710F1A04">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（2）单个灯杆损坏、污染超过1天未到现场处理，每出现1例，扣除当月托管服务费500元。</w:t>
            </w:r>
          </w:p>
          <w:p w14:paraId="373DFEA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（3）路灯智慧管理平台每出现一次系统谷站、平台失效，扣除当月托管服务费1000元。</w:t>
            </w:r>
          </w:p>
          <w:p w14:paraId="5FD026B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sz w:val="24"/>
                <w:szCs w:val="24"/>
                <w:highlight w:val="none"/>
                <w:lang w:val="en-US" w:eastAsia="zh-CN"/>
              </w:rPr>
            </w:pPr>
          </w:p>
        </w:tc>
        <w:tc>
          <w:tcPr>
            <w:tcW w:w="790" w:type="dxa"/>
            <w:tcMar>
              <w:top w:w="0" w:type="dxa"/>
              <w:left w:w="105" w:type="dxa"/>
              <w:bottom w:w="0" w:type="dxa"/>
              <w:right w:w="105" w:type="dxa"/>
            </w:tcMar>
            <w:vAlign w:val="center"/>
          </w:tcPr>
          <w:p w14:paraId="75FD78BF">
            <w:pPr>
              <w:pStyle w:val="7"/>
              <w:jc w:val="center"/>
              <w:rPr>
                <w:rFonts w:hint="eastAsia" w:ascii="仿宋" w:hAnsi="仿宋" w:eastAsia="仿宋" w:cs="仿宋"/>
                <w:color w:val="auto"/>
                <w:sz w:val="24"/>
                <w:szCs w:val="24"/>
                <w:highlight w:val="none"/>
              </w:rPr>
            </w:pPr>
          </w:p>
        </w:tc>
      </w:tr>
      <w:tr w14:paraId="2ECC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517" w:type="dxa"/>
            <w:gridSpan w:val="5"/>
            <w:tcMar>
              <w:top w:w="0" w:type="dxa"/>
              <w:left w:w="105" w:type="dxa"/>
              <w:bottom w:w="0" w:type="dxa"/>
              <w:right w:w="105" w:type="dxa"/>
            </w:tcMar>
            <w:vAlign w:val="center"/>
          </w:tcPr>
          <w:p w14:paraId="6013B634">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考核小组代表签名：（盖章）</w:t>
            </w:r>
          </w:p>
          <w:p w14:paraId="5F9A600D">
            <w:pPr>
              <w:bidi w:val="0"/>
              <w:rPr>
                <w:rFonts w:hint="eastAsia" w:ascii="仿宋" w:hAnsi="仿宋" w:eastAsia="仿宋" w:cs="仿宋"/>
                <w:color w:val="auto"/>
                <w:highlight w:val="none"/>
              </w:rPr>
            </w:pPr>
          </w:p>
          <w:p w14:paraId="18F0A3A0">
            <w:pPr>
              <w:tabs>
                <w:tab w:val="left" w:pos="1132"/>
              </w:tabs>
              <w:bidi w:val="0"/>
              <w:jc w:val="left"/>
              <w:rPr>
                <w:rFonts w:hint="eastAsia" w:ascii="仿宋" w:hAnsi="仿宋" w:eastAsia="仿宋" w:cs="仿宋"/>
                <w:color w:val="auto"/>
                <w:highlight w:val="none"/>
                <w:lang w:val="en-US" w:eastAsia="zh-CN"/>
              </w:rPr>
            </w:pPr>
          </w:p>
        </w:tc>
      </w:tr>
    </w:tbl>
    <w:p w14:paraId="49D536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方正公文小标宋"/>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ED93A"/>
    <w:multiLevelType w:val="singleLevel"/>
    <w:tmpl w:val="E71ED93A"/>
    <w:lvl w:ilvl="0" w:tentative="0">
      <w:start w:val="2"/>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4692C"/>
    <w:rsid w:val="7CA4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eastAsia="??"/>
      <w:sz w:val="24"/>
      <w:szCs w:val="28"/>
    </w:rPr>
  </w:style>
  <w:style w:type="paragraph" w:styleId="3">
    <w:name w:val="toc 6"/>
    <w:basedOn w:val="1"/>
    <w:next w:val="1"/>
    <w:qFormat/>
    <w:uiPriority w:val="39"/>
    <w:pPr>
      <w:ind w:left="1050"/>
      <w:jc w:val="left"/>
    </w:pPr>
    <w:rPr>
      <w:sz w:val="18"/>
      <w:szCs w:val="18"/>
    </w:rPr>
  </w:style>
  <w:style w:type="paragraph" w:styleId="4">
    <w:name w:val="Body Text First Indent"/>
    <w:basedOn w:val="2"/>
    <w:next w:val="3"/>
    <w:qFormat/>
    <w:uiPriority w:val="0"/>
    <w:pPr>
      <w:autoSpaceDE w:val="0"/>
      <w:autoSpaceDN w:val="0"/>
      <w:adjustRightInd w:val="0"/>
      <w:spacing w:line="360" w:lineRule="auto"/>
      <w:ind w:firstLine="420"/>
    </w:pPr>
    <w:rPr>
      <w:rFonts w:ascii="宋体" w:hAnsi="Times New Roman" w:eastAsia="宋体"/>
      <w:szCs w:val="20"/>
      <w:lang w:val="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2026-05-17T12:56:00Z</dcterms:created>
  <dc:creator>林俊成</dc:creator>
  <cp:lastModifiedBy>林俊成</cp:lastModifiedBy>
  <dcterms:modified xsi:type="dcterms:W3CDTF">2026-05-17T12:56:30Z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8976CC3A9E1549509274F09FAB004D1B_11</vt:lpwstr>
  </property>
  <property fmtid="{D5CDD505-2E9C-101B-9397-08002B2CF9AE}" pid="4" name="KSOTemplateDocerSaveRecord">
    <vt:lpwstr>eyJoZGlkIjoiZmE0ZDY5MmE1ODExY2M3ZTBkNmZhN2U5MGU0YmZlNzIiLCJ1c2VySWQiOiIzMzI3NjAyMTMifQ==</vt:lpwstr>
  </property>
</Properties>
</file>