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版本号：CDQL20261220260603002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汉中市南郑区城市照明路灯节能改造及运维托管项目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CDQL202612</w:t>
      </w:r>
      <w:r>
        <w:br/>
      </w:r>
      <w:r>
        <w:br/>
      </w:r>
      <w:r>
        <w:br/>
      </w:r>
    </w:p>
    <w:p>
      <w:pPr>
        <w:pStyle w:val="null3"/>
        <w:jc w:val="center"/>
        <w:outlineLvl w:val="2"/>
      </w:pPr>
      <w:r>
        <w:rPr>
          <w:rFonts w:ascii="仿宋_GB2312" w:hAnsi="仿宋_GB2312" w:cs="仿宋_GB2312" w:eastAsia="仿宋_GB2312"/>
          <w:sz w:val="28"/>
          <w:b/>
        </w:rPr>
        <w:t>汉中市南郑区城市管理局</w:t>
      </w:r>
    </w:p>
    <w:p>
      <w:pPr>
        <w:pStyle w:val="null3"/>
        <w:jc w:val="center"/>
        <w:outlineLvl w:val="2"/>
      </w:pPr>
      <w:r>
        <w:rPr>
          <w:rFonts w:ascii="仿宋_GB2312" w:hAnsi="仿宋_GB2312" w:cs="仿宋_GB2312" w:eastAsia="仿宋_GB2312"/>
          <w:sz w:val="28"/>
          <w:b/>
        </w:rPr>
        <w:t>陕西春秋工程项目管理有限公司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陕西春秋工程项目管理有限公司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汉中市南郑区城市管理局</w:t>
      </w:r>
      <w:r>
        <w:rPr>
          <w:rFonts w:ascii="仿宋_GB2312" w:hAnsi="仿宋_GB2312" w:cs="仿宋_GB2312" w:eastAsia="仿宋_GB2312"/>
        </w:rPr>
        <w:t>委托，拟对</w:t>
      </w:r>
      <w:r>
        <w:rPr>
          <w:rFonts w:ascii="仿宋_GB2312" w:hAnsi="仿宋_GB2312" w:cs="仿宋_GB2312" w:eastAsia="仿宋_GB2312"/>
        </w:rPr>
        <w:t>汉中市南郑区城市照明路灯节能改造及运维托管项目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CDQL202612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汉中市南郑区城市照明路灯节能改造及运维托管项目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贯彻落实国家、省、市关于节能减排指导精神，进一步提高南郑区照明管理水平、优化城市照明环境，逐步推动智慧路灯建设全面开展，拟通过采用能源费用托管服务的模式，委托具备相关资质或相关能力的第三方企业，以社会资本方投资的方式对汉中市南郑区路灯进行优化改造、建设，落实规整统一路灯管理模式，打造信息化管理平台，提高城市照明管理水平，推动形成城市照明托管运维的“城市照明管家”运作模式。南郑区道路照明智慧化节能改造能源托管服务（EMC）项目，采用物联网和云计算技术，通过安装智能控制器对全域路灯实现路灯集中管控、运维信息化、照明智能化，以便及时快速处理故障，全面提升路灯管理养护水平。本次采用合同能源管理（EMC管理）运作，改造原有路灯，通过智慧路灯管理平台，把全县城区范围内路灯及城市道路照明实现万物互联大数据化，可视化。EMC能源费用托管模式下，由中标供应商在合同期内负责向政府提供节能诊断、方案设计、技术选择、项目融资、安装调试、运行维护、车辆设备、人员培训、节能量检测、节能量跟踪等全方位服务，建设及运维成本由中标供应商承担。由中标供应商负责向电力部门缴纳托管期内的电费，并负责合同期内的相关养护工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采购包1（汉中市南郑区城市照明路灯节能改造及运维托管项目）：属于专门面向中小企业采购。</w:t>
      </w:r>
    </w:p>
    <w:p>
      <w:pPr>
        <w:pStyle w:val="null3"/>
      </w:pPr>
      <w:r>
        <w:rPr>
          <w:rFonts w:ascii="仿宋_GB2312" w:hAnsi="仿宋_GB2312" w:cs="仿宋_GB2312" w:eastAsia="仿宋_GB2312"/>
        </w:rPr>
        <w:t>供应商合同分包的，分包意向协议中分包意向供应商应当为中小企业。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基本资格要求：供应商应为合法注册的企业法人、事业法人、其他组织或自然人。企业法人应提供合法有效的标识有统一社会信用代码的营业执照；事业法人应提供事业单位法人证书；其他组织应提供合法登记证明文件；自然人提供身份证明</w:t>
      </w:r>
    </w:p>
    <w:p>
      <w:pPr>
        <w:pStyle w:val="null3"/>
      </w:pPr>
      <w:r>
        <w:rPr>
          <w:rFonts w:ascii="仿宋_GB2312" w:hAnsi="仿宋_GB2312" w:cs="仿宋_GB2312" w:eastAsia="仿宋_GB2312"/>
        </w:rPr>
        <w:t>2、供应商资格承诺函：供应商应按照汉中市财政局《关于全面推行政府采购供应商基本资格条件承诺制的通知》（汉采办采管〔2024〕20号）文件要求，提供资格承诺函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汉中市南郑区城市管理局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南郑区汉山街道办南环路中段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汉中市南郑区汉山街道办事处南环路</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南郑区城市管理局经办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0916-5519008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陕西春秋工程项目管理有限公司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汉中市南郑区汉山街道办西大街14号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林俊成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0916-5515799/18700645682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0916-2995312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采购包1：173,000,000.00元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开户名称：陕西春秋工程项目管理有限公司</w:t>
            </w:r>
          </w:p>
          <w:p>
            <w:pPr>
              <w:pStyle w:val="null3"/>
            </w:pPr>
            <w:r>
              <w:rPr>
                <w:rFonts w:ascii="仿宋_GB2312" w:hAnsi="仿宋_GB2312" w:cs="仿宋_GB2312" w:eastAsia="仿宋_GB2312"/>
              </w:rPr>
              <w:t>开户银行：中国银行股份有限公司南郑支行</w:t>
            </w:r>
          </w:p>
          <w:p>
            <w:pPr>
              <w:pStyle w:val="null3"/>
            </w:pPr>
            <w:r>
              <w:rPr>
                <w:rFonts w:ascii="仿宋_GB2312" w:hAnsi="仿宋_GB2312" w:cs="仿宋_GB2312" w:eastAsia="仿宋_GB2312"/>
              </w:rPr>
              <w:t>银行账号：103673580835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w:t>
            </w:r>
          </w:p>
          <w:p>
            <w:pPr>
              <w:pStyle w:val="null3"/>
            </w:pPr>
            <w:r>
              <w:rPr>
                <w:rFonts w:ascii="仿宋_GB2312" w:hAnsi="仿宋_GB2312" w:cs="仿宋_GB2312" w:eastAsia="仿宋_GB2312"/>
              </w:rPr>
              <w:t>说明：本项目设置履约保证金，乙方自本项目合同生效之日起10个工作日内，向甲方提交本项目履约保证金，履约保证金的金额为合同价的1%，乙方须保证其履约保证金的担保有效期从合同签订之日起至项目移交完成结束之日前一直有效（托管期满终止时至乙方完全将相关设施无偿完好移交甲方或政府指定机构，最长不超过6个月）。</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 代理服务费收费标准：参考国家计委关于印发招标代理服务收费管理暂行办法的通知》（计价格〔2002〕1980号）和国家发改委办公厅《关于招标代理服务收费有关问题的通知》（发改办价格〔2003〕857号）文件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汉中市南郑区城市管理局</w:t>
      </w:r>
      <w:r>
        <w:rPr>
          <w:rFonts w:ascii="仿宋_GB2312" w:hAnsi="仿宋_GB2312" w:cs="仿宋_GB2312" w:eastAsia="仿宋_GB2312"/>
        </w:rPr>
        <w:t>和</w:t>
      </w:r>
      <w:r>
        <w:rPr>
          <w:rFonts w:ascii="仿宋_GB2312" w:hAnsi="仿宋_GB2312" w:cs="仿宋_GB2312" w:eastAsia="仿宋_GB2312"/>
        </w:rPr>
        <w:t>陕西春秋工程项目管理有限公司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汉中市南郑区城市管理局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陕西春秋工程项目管理有限公司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汉中市南郑区城市管理局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陕西春秋工程项目管理有限公司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采购包1：分包比例100%；资质要求详见第4章</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详见采购合同模板</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陕西春秋工程项目管理有限公司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陕西春秋工程项目管理有限公司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陕西春秋工程项目管理有限公司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联系人：林俊成</w:t>
      </w:r>
    </w:p>
    <w:p>
      <w:pPr>
        <w:pStyle w:val="null3"/>
      </w:pPr>
      <w:r>
        <w:rPr>
          <w:rFonts w:ascii="仿宋_GB2312" w:hAnsi="仿宋_GB2312" w:cs="仿宋_GB2312" w:eastAsia="仿宋_GB2312"/>
        </w:rPr>
        <w:t>联系电话：18700645682</w:t>
      </w:r>
    </w:p>
    <w:p>
      <w:pPr>
        <w:pStyle w:val="null3"/>
      </w:pPr>
      <w:r>
        <w:rPr>
          <w:rFonts w:ascii="仿宋_GB2312" w:hAnsi="仿宋_GB2312" w:cs="仿宋_GB2312" w:eastAsia="仿宋_GB2312"/>
        </w:rPr>
        <w:t>地址：汉中市南郑区汉山街道办事处西大街14号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路灯改造托管项目，采用合同能源管理中的能源托管模式，根据国管局、国家发展改革委、财政部联合印发的《关于鼓励和支持公共机构采用能源费用托管服务的意见》文件精神，结合实际情况，由成交供应商对南郑区全区市政管辖照明路灯进行智慧化升级节能改造。中标人负责投资、建设、运营、维护、移交、电费缴交等工作。服务期满前一个月，供应商必须将所使用的设施设备维护维修好，保证运转正常，服务期满经双方组织验收确认后，中标人将全部路灯设施、设备、智慧照明管理控制平台完好无损交还采购人或政府指定部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173,000,000.00</w:t>
      </w:r>
    </w:p>
    <w:p>
      <w:pPr>
        <w:pStyle w:val="null3"/>
      </w:pPr>
      <w:r>
        <w:rPr>
          <w:rFonts w:ascii="仿宋_GB2312" w:hAnsi="仿宋_GB2312" w:cs="仿宋_GB2312" w:eastAsia="仿宋_GB2312"/>
        </w:rPr>
        <w:t>采购包最高限价（元）: 173,000,000.00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汉中市南郑区城市照明路灯节能改造及运维托管项目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173,000,000.00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标的名称：汉中市南郑区城市照明路灯节能改造及运维托管项目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1"/>
              <w:gridCol w:w="2947"/>
            </w:tblGrid>
            <w:tr>
              <w:tc>
                <w:tcPr>
                  <w:tcW w:type="dxa" w:w="1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18"/>
                      <w:b/>
                    </w:rPr>
                    <w:t>项目概况：</w:t>
                  </w:r>
                </w:p>
                <w:p>
                  <w:pPr>
                    <w:pStyle w:val="null3"/>
                    <w:ind w:firstLine="480"/>
                  </w:pPr>
                  <w:r>
                    <w:rPr>
                      <w:rFonts w:ascii="仿宋_GB2312" w:hAnsi="仿宋_GB2312" w:cs="仿宋_GB2312" w:eastAsia="仿宋_GB2312"/>
                      <w:sz w:val="18"/>
                    </w:rPr>
                    <w:t>本次路灯改造托管项目，采用合同能源管理中的能源托管模式，根据国管局、国家发展改革委、财政部联合印发的《关于鼓励和支持公共机构采用能源费用托管服务的意见》文件精神，结合实际情况，本项目合同期15年（含6个月的改造期），由中标人对南郑区全区市政管辖照明路灯进行智慧化升级节能改造。中标人负责投资、建设、运营、维护、移交、电费缴交等工作。服务期满前一个月，中标人必须将所使用的设施设备维护维修好，保证运转正常，服务期满经双方组织验收确认后，中标人将全部路灯设施、设备、智慧照明管理控制平台完好无损交还采购人或政府指定部门。</w:t>
                  </w:r>
                </w:p>
                <w:p>
                  <w:pPr>
                    <w:pStyle w:val="null3"/>
                    <w:ind w:firstLine="480"/>
                  </w:pPr>
                  <w:r>
                    <w:rPr>
                      <w:rFonts w:ascii="仿宋_GB2312" w:hAnsi="仿宋_GB2312" w:cs="仿宋_GB2312" w:eastAsia="仿宋_GB2312"/>
                      <w:sz w:val="18"/>
                    </w:rPr>
                    <w:t>1、项目地区</w:t>
                  </w:r>
                </w:p>
                <w:p>
                  <w:pPr>
                    <w:pStyle w:val="null3"/>
                    <w:ind w:firstLine="480"/>
                  </w:pPr>
                  <w:r>
                    <w:rPr>
                      <w:rFonts w:ascii="仿宋_GB2312" w:hAnsi="仿宋_GB2312" w:cs="仿宋_GB2312" w:eastAsia="仿宋_GB2312"/>
                      <w:sz w:val="18"/>
                    </w:rPr>
                    <w:t>南郑区位于陕西省汉中市，全区总面积2809.04 平方公里，地处秦巴山区、汉中盆地西南部，是汉中市的重要市辖区。近年来，南郑区经济稳步发展，城镇化持续推进，城市基础设施不断完善。然而，随着城区拓展与人口集聚，区域照明系统面临不少挑战。现有照明设施虽已基本完成 LED 改造，但部分老旧路段仍沿用传统灯具，夜间多以固定时段常亮运行，存在能耗偏高、运维成本高、局部照明效果不佳等问题，既增加了电力消耗与管护支出，也影响市民夜间出行安全与城市整体风貌。</w:t>
                  </w:r>
                </w:p>
                <w:p>
                  <w:pPr>
                    <w:pStyle w:val="null3"/>
                    <w:ind w:firstLine="400"/>
                    <w:jc w:val="left"/>
                  </w:pPr>
                  <w:r>
                    <w:rPr>
                      <w:rFonts w:ascii="仿宋_GB2312" w:hAnsi="仿宋_GB2312" w:cs="仿宋_GB2312" w:eastAsia="仿宋_GB2312"/>
                      <w:sz w:val="18"/>
                    </w:rPr>
                    <w:t>南郑区照明设施主要覆盖城区主次干道、公共广场、公园及背街小巷，点位多、分布广。目前中心城区已改造路灯7776 盏，年市政照明耗电量较大。在照明效果上，部分背街小巷、城乡接合路段存在光线不足、眩光明显、照度不均等情况，难以满足市民安全出行与舒适夜间环境的需求。同时，部分老旧灯具与线路老化，需频繁检修更换，人力物力投入较高，运维压力持续存在。</w:t>
                  </w:r>
                </w:p>
                <w:p>
                  <w:pPr>
                    <w:pStyle w:val="null3"/>
                    <w:ind w:firstLine="480"/>
                  </w:pPr>
                  <w:r>
                    <w:rPr>
                      <w:rFonts w:ascii="仿宋_GB2312" w:hAnsi="仿宋_GB2312" w:cs="仿宋_GB2312" w:eastAsia="仿宋_GB2312"/>
                      <w:sz w:val="18"/>
                    </w:rPr>
                    <w:t>2、建设背景</w:t>
                  </w:r>
                </w:p>
                <w:p>
                  <w:pPr>
                    <w:pStyle w:val="null3"/>
                    <w:ind w:firstLine="480"/>
                  </w:pPr>
                  <w:r>
                    <w:rPr>
                      <w:rFonts w:ascii="仿宋_GB2312" w:hAnsi="仿宋_GB2312" w:cs="仿宋_GB2312" w:eastAsia="仿宋_GB2312"/>
                      <w:sz w:val="18"/>
                    </w:rPr>
                    <w:t>根据国管局、国家发改委、财政部印发《关于鼓励和支持公共机构采用能源费用托管服务的意见》（国管节能〔2022〕287号）；陕西省机关事务管理局、陕西省发展和改革委员会、陕西省财政厅《关于进一步推进公共机构合同能源管理工作的实施意见》，为进一步提升市政照明智慧化程度，实现市政照明设施的提能换新、智能化管理及减少用能设施运营维护开支、减轻财政压力。以能源托管方式对南郑区全域路灯进行路灯设施节能改造及运营维护，财政每年支付托管费用。能源托管服务期内节能服务公司负责项目的节能诊断、项目建设、设备运营、电费代缴等。</w:t>
                  </w:r>
                </w:p>
                <w:p>
                  <w:pPr>
                    <w:pStyle w:val="null3"/>
                    <w:ind w:firstLine="480"/>
                  </w:pPr>
                  <w:r>
                    <w:rPr>
                      <w:rFonts w:ascii="仿宋_GB2312" w:hAnsi="仿宋_GB2312" w:cs="仿宋_GB2312" w:eastAsia="仿宋_GB2312"/>
                      <w:sz w:val="18"/>
                    </w:rPr>
                    <w:t>3、项目实施模式</w:t>
                  </w:r>
                </w:p>
                <w:p>
                  <w:pPr>
                    <w:pStyle w:val="null3"/>
                    <w:ind w:firstLine="480"/>
                  </w:pPr>
                  <w:r>
                    <w:rPr>
                      <w:rFonts w:ascii="仿宋_GB2312" w:hAnsi="仿宋_GB2312" w:cs="仿宋_GB2312" w:eastAsia="仿宋_GB2312"/>
                      <w:sz w:val="18"/>
                    </w:rPr>
                    <w:t>（1）为贯彻落实国家、省、市关于节能减排指导精神，进一步提高南郑区照明管理水平、优化城市照明环境，逐步推动智慧路灯建设全面开展，拟通过采用能源费用托管服务的模式，委托具备相关资质或相关能力的第三方企业，以社会资本方投资的方式对汉中市南郑区路灯进行优化改造、建设，落实规整统一路灯管理模式，打造信息化管理平台，提高城市照明管理水平，推动形成城市照明托管运维的“城市照明管家”运作模式。南郑区道路照明智慧化节能改造能源托管服务（EMC）项目，采用物联网和云计算技术，通过安装智能控制器对全域路灯实现路灯集中管控、运维信息化、照明智能化，以便及时快速处理故障，全面提升路灯管理养护水平。本次采用合同能源管理（EMC管理）运作，改造原有路灯，通过智慧路灯管理平台，把全县城区范围内路灯及城市道路照明实现万物互联大数据化，可视化。EMC能源费用托管模式下，由中标供应商在合同期内负责向政府提供节能诊断、方案设计、技术选择、项目融资、安装调试、运行维护、车辆设备、人员培训、节能量检测、节能量跟踪等全方位服务，建设及运维成本由中标供应商承担。由中标供应商负责向电力部门缴纳托管期内的电费，并负责合同期内的相关养护工作。</w:t>
                  </w:r>
                </w:p>
                <w:p>
                  <w:pPr>
                    <w:pStyle w:val="null3"/>
                    <w:ind w:firstLine="480"/>
                  </w:pPr>
                  <w:r>
                    <w:rPr>
                      <w:rFonts w:ascii="仿宋_GB2312" w:hAnsi="仿宋_GB2312" w:cs="仿宋_GB2312" w:eastAsia="仿宋_GB2312"/>
                      <w:sz w:val="18"/>
                    </w:rPr>
                    <w:t>（2）项目前期投资建设由中标人负责，托管期内由中标人负责投融资、建设、托管（运营）、升级、移交等工作，托管期结束后所有设施设备应确保无缺陷且完好，并无偿移交回采购人。</w:t>
                  </w:r>
                </w:p>
                <w:p>
                  <w:pPr>
                    <w:pStyle w:val="null3"/>
                    <w:ind w:firstLine="480"/>
                  </w:pPr>
                  <w:r>
                    <w:rPr>
                      <w:rFonts w:ascii="仿宋_GB2312" w:hAnsi="仿宋_GB2312" w:cs="仿宋_GB2312" w:eastAsia="仿宋_GB2312"/>
                      <w:sz w:val="18"/>
                    </w:rPr>
                    <w:t>（3）托管期间由采购人按照合同约定条款向中标人支付托管费用。</w:t>
                  </w:r>
                </w:p>
                <w:p>
                  <w:pPr>
                    <w:pStyle w:val="null3"/>
                    <w:ind w:firstLine="480"/>
                  </w:pPr>
                  <w:r>
                    <w:rPr>
                      <w:rFonts w:ascii="仿宋_GB2312" w:hAnsi="仿宋_GB2312" w:cs="仿宋_GB2312" w:eastAsia="仿宋_GB2312"/>
                      <w:sz w:val="18"/>
                    </w:rPr>
                    <w:t>4、改造目标</w:t>
                  </w:r>
                </w:p>
                <w:p>
                  <w:pPr>
                    <w:pStyle w:val="null3"/>
                    <w:ind w:firstLine="480"/>
                    <w:jc w:val="left"/>
                  </w:pPr>
                  <w:r>
                    <w:rPr>
                      <w:rFonts w:ascii="仿宋_GB2312" w:hAnsi="仿宋_GB2312" w:cs="仿宋_GB2312" w:eastAsia="仿宋_GB2312"/>
                      <w:sz w:val="18"/>
                    </w:rPr>
                    <w:t>本项目的总体目标是通过照明系统的节能改造，实现能源消耗的大幅降低，提升照明质量和效果，提高照明设施的智能化管理水平，为南郑区的可持续发展提供有力支撑。具体目标包括：</w:t>
                  </w:r>
                </w:p>
                <w:p>
                  <w:pPr>
                    <w:pStyle w:val="null3"/>
                    <w:ind w:firstLine="480"/>
                    <w:jc w:val="left"/>
                  </w:pPr>
                  <w:r>
                    <w:rPr>
                      <w:rFonts w:ascii="仿宋_GB2312" w:hAnsi="仿宋_GB2312" w:cs="仿宋_GB2312" w:eastAsia="仿宋_GB2312"/>
                      <w:sz w:val="18"/>
                    </w:rPr>
                    <w:t>节能降耗：本项目核心是显著降低能源消耗，预计通过一系列节能措施，使南郑区路灯系统整体能耗降低</w:t>
                  </w:r>
                  <w:r>
                    <w:rPr>
                      <w:rFonts w:ascii="仿宋_GB2312" w:hAnsi="仿宋_GB2312" w:cs="仿宋_GB2312" w:eastAsia="仿宋_GB2312"/>
                      <w:sz w:val="18"/>
                      <w:b/>
                    </w:rPr>
                    <w:t>不低于40%</w:t>
                  </w:r>
                  <w:r>
                    <w:rPr>
                      <w:rFonts w:ascii="仿宋_GB2312" w:hAnsi="仿宋_GB2312" w:cs="仿宋_GB2312" w:eastAsia="仿宋_GB2312"/>
                      <w:sz w:val="18"/>
                    </w:rPr>
                    <w:t>，从而大幅削减照明电费支出，缓解财政压力。在节能改造过程中，将全面更新老化、低效的照明设备，预计更新路灯及景观灯，选用高效节能且性能稳定的新型产品，显著提升照明系统的稳定性与可靠性。</w:t>
                  </w:r>
                </w:p>
                <w:p>
                  <w:pPr>
                    <w:pStyle w:val="null3"/>
                    <w:ind w:firstLine="480"/>
                    <w:jc w:val="left"/>
                  </w:pPr>
                  <w:r>
                    <w:rPr>
                      <w:rFonts w:ascii="仿宋_GB2312" w:hAnsi="仿宋_GB2312" w:cs="仿宋_GB2312" w:eastAsia="仿宋_GB2312"/>
                      <w:sz w:val="18"/>
                    </w:rPr>
                    <w:t>提升照明质量：采用高效节能的LED灯具和智慧照明系统，改善照明效果，使光线更加均匀、柔和、明亮，提高市民的视觉舒适度和夜间出行的安全性，雨雾天气光源应具有穿透性，同时结合南郑区秦巴山区、汉中盆地风貌特色，增强城区的美观度和吸引力，助力城市品质提升。</w:t>
                  </w:r>
                </w:p>
                <w:p>
                  <w:pPr>
                    <w:pStyle w:val="null3"/>
                    <w:ind w:firstLine="480"/>
                    <w:jc w:val="left"/>
                  </w:pPr>
                  <w:r>
                    <w:rPr>
                      <w:rFonts w:ascii="仿宋_GB2312" w:hAnsi="仿宋_GB2312" w:cs="仿宋_GB2312" w:eastAsia="仿宋_GB2312"/>
                      <w:sz w:val="18"/>
                    </w:rPr>
                    <w:t>智能化管理：通过智慧照明系统的应用，实现全域照明设施的远程监控、自动调光、故障预警等功能，提高照明设施的管理水平和运营效率，降低维护成本，确保照明系统的长期稳定运行，适配南郑区城镇化发展过程中照明管理的实际需求。</w:t>
                  </w:r>
                </w:p>
                <w:p>
                  <w:pPr>
                    <w:pStyle w:val="null3"/>
                    <w:ind w:firstLine="480"/>
                    <w:jc w:val="left"/>
                  </w:pPr>
                  <w:r>
                    <w:rPr>
                      <w:rFonts w:ascii="仿宋_GB2312" w:hAnsi="仿宋_GB2312" w:cs="仿宋_GB2312" w:eastAsia="仿宋_GB2312"/>
                      <w:sz w:val="18"/>
                    </w:rPr>
                    <w:t>环境与社会效益：积极响应国家“双碳”战略，减少能源消耗和碳排放，降低对环境的污染和破坏，符合国家和陕西省、汉中市的环保要求，贴合南郑区绿色生态发展定位，为实现南郑区的绿色发展、生态发展目标做出贡献。</w:t>
                  </w:r>
                </w:p>
                <w:p>
                  <w:pPr>
                    <w:pStyle w:val="null3"/>
                    <w:ind w:firstLine="480"/>
                    <w:jc w:val="left"/>
                  </w:pPr>
                  <w:r>
                    <w:rPr>
                      <w:rFonts w:ascii="仿宋_GB2312" w:hAnsi="仿宋_GB2312" w:cs="仿宋_GB2312" w:eastAsia="仿宋_GB2312"/>
                      <w:sz w:val="18"/>
                    </w:rPr>
                    <w:t>安全保障：通过更新灯具设备及安全断路器，结合先进的驱动控制技术等措施，可有效防止系统过流、过热等故障风险的扩大，提升系统的可靠性和节能率，极大程度保障市民的生命安全。同时，改造后的系统显著降低了灯具高空维修的作业难度和安全风险，不仅提高了维修效率，还进一步保障了维修人员的人身安全，为南郑区城市照明系统的稳定运行与高效维护奠定了坚实基础。</w:t>
                  </w:r>
                </w:p>
                <w:p>
                  <w:pPr>
                    <w:pStyle w:val="null3"/>
                    <w:ind w:firstLine="480"/>
                    <w:jc w:val="left"/>
                  </w:pPr>
                  <w:r>
                    <w:rPr>
                      <w:rFonts w:ascii="仿宋_GB2312" w:hAnsi="仿宋_GB2312" w:cs="仿宋_GB2312" w:eastAsia="仿宋_GB2312"/>
                      <w:sz w:val="18"/>
                    </w:rPr>
                    <w:t>质量目标：力争获得城市照明合同能源管理能源费用托管类获奖或荣誉。中标人须负责提供申报奖项或荣誉所需材料及办理相关手续，同时承担申报过程中产生的费用。</w:t>
                  </w:r>
                </w:p>
                <w:p>
                  <w:pPr>
                    <w:pStyle w:val="null3"/>
                    <w:ind w:firstLine="480"/>
                    <w:jc w:val="left"/>
                  </w:pPr>
                  <w:r>
                    <w:rPr>
                      <w:rFonts w:ascii="仿宋_GB2312" w:hAnsi="仿宋_GB2312" w:cs="仿宋_GB2312" w:eastAsia="仿宋_GB2312"/>
                      <w:sz w:val="18"/>
                    </w:rPr>
                    <w:t>其他：若采购人以南郑区本项目整体或部分申报政策性资金或上级其他相关资金支持、补贴、奖励等，中标人需在合理范围内提供支持和配合，所得资金归采购人所有。</w:t>
                  </w:r>
                </w:p>
                <w:p>
                  <w:pPr>
                    <w:pStyle w:val="null3"/>
                    <w:jc w:val="both"/>
                  </w:pPr>
                  <w:r>
                    <w:rPr>
                      <w:rFonts w:ascii="仿宋_GB2312" w:hAnsi="仿宋_GB2312" w:cs="仿宋_GB2312" w:eastAsia="仿宋_GB2312"/>
                      <w:sz w:val="18"/>
                    </w:rPr>
                    <w:t>二、项目服务内容和相关要求</w:t>
                  </w:r>
                </w:p>
                <w:p>
                  <w:pPr>
                    <w:pStyle w:val="null3"/>
                    <w:ind w:firstLine="402"/>
                  </w:pPr>
                  <w:r>
                    <w:rPr>
                      <w:rFonts w:ascii="仿宋_GB2312" w:hAnsi="仿宋_GB2312" w:cs="仿宋_GB2312" w:eastAsia="仿宋_GB2312"/>
                      <w:sz w:val="18"/>
                    </w:rPr>
                    <w:t>1、节能改造</w:t>
                  </w:r>
                </w:p>
                <w:p>
                  <w:pPr>
                    <w:pStyle w:val="null3"/>
                    <w:ind w:firstLine="400"/>
                    <w:jc w:val="both"/>
                  </w:pPr>
                  <w:r>
                    <w:rPr>
                      <w:rFonts w:ascii="仿宋_GB2312" w:hAnsi="仿宋_GB2312" w:cs="仿宋_GB2312" w:eastAsia="仿宋_GB2312"/>
                      <w:sz w:val="18"/>
                    </w:rPr>
                    <w:t>改造内容：将传统的钠灯、金卤灯、节能灯、老旧LED灯等灯具全面替换为照明亮度更高、更节能的LED路灯（包含灯具采购、制作、安装、调试、安装单灯控制器，费用由中标人承担），具体路灯、灯杆统计情况详见招标文件附件。</w:t>
                  </w:r>
                </w:p>
                <w:p>
                  <w:pPr>
                    <w:pStyle w:val="null3"/>
                    <w:ind w:firstLine="201"/>
                    <w:jc w:val="both"/>
                  </w:pPr>
                  <w:r>
                    <w:rPr>
                      <w:rFonts w:ascii="仿宋_GB2312" w:hAnsi="仿宋_GB2312" w:cs="仿宋_GB2312" w:eastAsia="仿宋_GB2312"/>
                      <w:sz w:val="18"/>
                      <w:shd w:fill="FFFFFF" w:val="clear"/>
                    </w:rPr>
                    <w:t>（1）纳入</w:t>
                  </w:r>
                  <w:r>
                    <w:rPr>
                      <w:rFonts w:ascii="仿宋_GB2312" w:hAnsi="仿宋_GB2312" w:cs="仿宋_GB2312" w:eastAsia="仿宋_GB2312"/>
                      <w:sz w:val="18"/>
                      <w:shd w:fill="FFFFFF" w:val="clear"/>
                    </w:rPr>
                    <w:t>本项目改造托管的路灯（3246杆，灯头7776盏，已在统计表中计入）中包含部分当前仍在履约期内，由采购人与</w:t>
                  </w:r>
                  <w:r>
                    <w:rPr>
                      <w:rFonts w:ascii="仿宋_GB2312" w:hAnsi="仿宋_GB2312" w:cs="仿宋_GB2312" w:eastAsia="仿宋_GB2312"/>
                      <w:sz w:val="18"/>
                      <w:shd w:fill="FFFFFF" w:val="clear"/>
                    </w:rPr>
                    <w:t>其他第三方</w:t>
                  </w:r>
                  <w:r>
                    <w:rPr>
                      <w:rFonts w:ascii="仿宋_GB2312" w:hAnsi="仿宋_GB2312" w:cs="仿宋_GB2312" w:eastAsia="仿宋_GB2312"/>
                      <w:sz w:val="18"/>
                      <w:shd w:fill="FFFFFF" w:val="clear"/>
                    </w:rPr>
                    <w:t>签订的照明能源托管项目，该合同将于</w:t>
                  </w:r>
                  <w:r>
                    <w:rPr>
                      <w:rFonts w:ascii="仿宋_GB2312" w:hAnsi="仿宋_GB2312" w:cs="仿宋_GB2312" w:eastAsia="仿宋_GB2312"/>
                      <w:sz w:val="18"/>
                      <w:shd w:fill="FFFFFF" w:val="clear"/>
                    </w:rPr>
                    <w:t>2</w:t>
                  </w:r>
                  <w:r>
                    <w:rPr>
                      <w:rFonts w:ascii="仿宋_GB2312" w:hAnsi="仿宋_GB2312" w:cs="仿宋_GB2312" w:eastAsia="仿宋_GB2312"/>
                      <w:sz w:val="18"/>
                      <w:shd w:fill="FFFFFF" w:val="clear"/>
                    </w:rPr>
                    <w:t>026年</w:t>
                  </w:r>
                  <w:r>
                    <w:rPr>
                      <w:rFonts w:ascii="仿宋_GB2312" w:hAnsi="仿宋_GB2312" w:cs="仿宋_GB2312" w:eastAsia="仿宋_GB2312"/>
                      <w:sz w:val="18"/>
                      <w:shd w:fill="FFFFFF" w:val="clear"/>
                    </w:rPr>
                    <w:t>9月到期</w:t>
                  </w:r>
                  <w:r>
                    <w:rPr>
                      <w:rFonts w:ascii="仿宋_GB2312" w:hAnsi="仿宋_GB2312" w:cs="仿宋_GB2312" w:eastAsia="仿宋_GB2312"/>
                      <w:sz w:val="18"/>
                      <w:shd w:fill="FFFFFF" w:val="clear"/>
                    </w:rPr>
                    <w:t>，</w:t>
                  </w:r>
                  <w:r>
                    <w:rPr>
                      <w:rFonts w:ascii="仿宋_GB2312" w:hAnsi="仿宋_GB2312" w:cs="仿宋_GB2312" w:eastAsia="仿宋_GB2312"/>
                      <w:sz w:val="18"/>
                    </w:rPr>
                    <w:t>为确保项目平稳移交，采购人承诺以下事宜：</w:t>
                  </w:r>
                </w:p>
                <w:p>
                  <w:pPr>
                    <w:pStyle w:val="null3"/>
                    <w:ind w:firstLine="420"/>
                    <w:jc w:val="both"/>
                  </w:pPr>
                  <w:r>
                    <w:rPr>
                      <w:rFonts w:ascii="仿宋_GB2312" w:hAnsi="仿宋_GB2312" w:cs="仿宋_GB2312" w:eastAsia="仿宋_GB2312"/>
                      <w:sz w:val="18"/>
                    </w:rPr>
                    <w:t>①与原合同方就合同到期后的资产移交、数据对接、撤离交接等事宜进行充分协调；</w:t>
                  </w:r>
                </w:p>
                <w:p>
                  <w:pPr>
                    <w:pStyle w:val="null3"/>
                    <w:ind w:firstLine="420"/>
                    <w:jc w:val="both"/>
                  </w:pPr>
                  <w:r>
                    <w:rPr>
                      <w:rFonts w:ascii="仿宋_GB2312" w:hAnsi="仿宋_GB2312" w:cs="仿宋_GB2312" w:eastAsia="仿宋_GB2312"/>
                      <w:sz w:val="18"/>
                    </w:rPr>
                    <w:t>②确保移交给中标人的设备经完好性验收合格，不存在未披露的债务、纠纷或遗留问题；</w:t>
                  </w:r>
                </w:p>
                <w:p>
                  <w:pPr>
                    <w:pStyle w:val="null3"/>
                    <w:ind w:firstLine="420"/>
                    <w:jc w:val="both"/>
                  </w:pPr>
                  <w:r>
                    <w:rPr>
                      <w:rFonts w:ascii="仿宋_GB2312" w:hAnsi="仿宋_GB2312" w:cs="仿宋_GB2312" w:eastAsia="仿宋_GB2312"/>
                      <w:sz w:val="18"/>
                    </w:rPr>
                    <w:t>③因采购人或原合同方原因导致移交延迟、设备不合格或产生额外成本的，中标人不承担责任，本项目改造期相应顺延。</w:t>
                  </w:r>
                </w:p>
                <w:p>
                  <w:pPr>
                    <w:pStyle w:val="null3"/>
                    <w:ind w:firstLine="420"/>
                    <w:jc w:val="both"/>
                  </w:pPr>
                  <w:r>
                    <w:rPr>
                      <w:rFonts w:ascii="仿宋_GB2312" w:hAnsi="仿宋_GB2312" w:cs="仿宋_GB2312" w:eastAsia="仿宋_GB2312"/>
                      <w:sz w:val="18"/>
                    </w:rPr>
                    <w:t>④现有合同项下的全部历史遗留问题、债务、纠纷，由采购人与原合同方依法依约处理，与本次招标的中标人无关。</w:t>
                  </w:r>
                </w:p>
                <w:p>
                  <w:pPr>
                    <w:pStyle w:val="null3"/>
                    <w:ind w:firstLine="420"/>
                    <w:jc w:val="both"/>
                  </w:pPr>
                  <w:r>
                    <w:rPr>
                      <w:rFonts w:ascii="仿宋_GB2312" w:hAnsi="仿宋_GB2312" w:cs="仿宋_GB2312" w:eastAsia="仿宋_GB2312"/>
                      <w:sz w:val="18"/>
                    </w:rPr>
                    <w:t>⑤现有合同项下合同方的权利义务，在合同期内独立行使和承担，与本次招标的中标人无关。</w:t>
                  </w:r>
                </w:p>
                <w:p>
                  <w:pPr>
                    <w:pStyle w:val="null3"/>
                    <w:jc w:val="both"/>
                  </w:pPr>
                  <w:r>
                    <w:rPr>
                      <w:rFonts w:ascii="仿宋_GB2312" w:hAnsi="仿宋_GB2312" w:cs="仿宋_GB2312" w:eastAsia="仿宋_GB2312"/>
                      <w:sz w:val="18"/>
                    </w:rPr>
                    <w:t xml:space="preserve">  （2）控制要求：对南郑区全域主次重要道路所改造的LED路灯更换为具备单灯控制功能的智能灯具（安装区域以现场实际为准），实现对单盏路灯的精细化管控，包括但不限于LED路灯的开关、调光及故障反馈等操作；对改造范围内全部路灯配电箱安装集中控制器（以现场实际为准）实现总体集成监控，故障反馈，智能化管理等；搭建一套照明智慧化管理系统，系统平台安装部署于云服务器，总控制室搭建地点由中标人自行考虑并经采购人同意后实施。</w:t>
                  </w:r>
                </w:p>
                <w:p>
                  <w:pPr>
                    <w:pStyle w:val="null3"/>
                    <w:ind w:firstLine="400"/>
                    <w:jc w:val="both"/>
                  </w:pPr>
                  <w:r>
                    <w:rPr>
                      <w:rFonts w:ascii="仿宋_GB2312" w:hAnsi="仿宋_GB2312" w:cs="仿宋_GB2312" w:eastAsia="仿宋_GB2312"/>
                      <w:sz w:val="18"/>
                    </w:rPr>
                    <w:t>（3）安全要求：①在改造和管养期内，中标人对自身人员及有可能委托的第三方安装队伍资质、安装质量、安装安全等负全责，承担施工过程期间及托管期间涉及人身安全责任、设备安全责任及第三者责任等一切责任和风险。②其中，改造期间及托管期间造成第三方损害的由供应商全权负责，如发生人身伤害事故及设备、物品损坏，由供应商承担一切费用（包括民事赔偿）。③供应商应切实做好安全防范工作，避免在维护工作中出现人身与财产的意外伤害。供应商承担项目改造期及托管期内一切的安全生产责任。④供应商应每年为本项目购买公众责任保险，每次事故赔偿限额不低于500万元。</w:t>
                  </w:r>
                </w:p>
                <w:p>
                  <w:pPr>
                    <w:pStyle w:val="null3"/>
                    <w:ind w:firstLine="400"/>
                    <w:jc w:val="both"/>
                  </w:pPr>
                  <w:r>
                    <w:rPr>
                      <w:rFonts w:ascii="仿宋_GB2312" w:hAnsi="仿宋_GB2312" w:cs="仿宋_GB2312" w:eastAsia="仿宋_GB2312"/>
                      <w:sz w:val="18"/>
                    </w:rPr>
                    <w:t>（4）建设技术要求</w:t>
                  </w:r>
                </w:p>
                <w:tbl>
                  <w:tblPr>
                    <w:tblInd w:type="dxa" w:w="105"/>
                    <w:tblBorders>
                      <w:top w:val="none" w:color="000000" w:sz="4"/>
                      <w:left w:val="none" w:color="000000" w:sz="4"/>
                      <w:bottom w:val="none" w:color="000000" w:sz="4"/>
                      <w:right w:val="none" w:color="000000" w:sz="4"/>
                      <w:insideH w:val="none"/>
                      <w:insideV w:val="none"/>
                    </w:tblBorders>
                  </w:tblPr>
                  <w:tblGrid>
                    <w:gridCol w:w="3411"/>
                  </w:tblGrid>
                  <w:tr>
                    <w:tc>
                      <w:tcPr>
                        <w:tcW w:type="dxa" w:w="3411"/>
                        <w:tcBorders>
                          <w:top w:val="single" w:color="000000" w:sz="4"/>
                          <w:left w:val="single" w:color="000000" w:sz="4"/>
                          <w:bottom w:val="single" w:color="000000" w:sz="4"/>
                          <w:right w:val="single" w:color="000000" w:sz="4"/>
                        </w:tcBorders>
                        <w:tcMar>
                          <w:top w:type="dxa" w:w="105"/>
                          <w:left w:type="dxa" w:w="105"/>
                          <w:bottom w:type="dxa" w:w="105"/>
                          <w:right w:type="dxa" w:w="105"/>
                        </w:tcMar>
                        <w:vAlign w:val="top"/>
                      </w:tcPr>
                      <w:p>
                        <w:pPr>
                          <w:pStyle w:val="null3"/>
                          <w:jc w:val="left"/>
                        </w:pPr>
                        <w:r>
                          <w:rPr>
                            <w:rFonts w:ascii="仿宋_GB2312" w:hAnsi="仿宋_GB2312" w:cs="仿宋_GB2312" w:eastAsia="仿宋_GB2312"/>
                            <w:sz w:val="18"/>
                            <w:b/>
                          </w:rPr>
                          <w:t>道路照明分类</w:t>
                        </w:r>
                      </w:p>
                      <w:p>
                        <w:pPr>
                          <w:pStyle w:val="null3"/>
                          <w:jc w:val="left"/>
                        </w:pPr>
                        <w:r>
                          <w:rPr>
                            <w:rFonts w:ascii="仿宋_GB2312" w:hAnsi="仿宋_GB2312" w:cs="仿宋_GB2312" w:eastAsia="仿宋_GB2312"/>
                            <w:sz w:val="18"/>
                          </w:rPr>
                          <w:t>①</w:t>
                        </w:r>
                        <w:r>
                          <w:rPr>
                            <w:rFonts w:ascii="仿宋_GB2312" w:hAnsi="仿宋_GB2312" w:cs="仿宋_GB2312" w:eastAsia="仿宋_GB2312"/>
                            <w:sz w:val="18"/>
                          </w:rPr>
                          <w:t>根据道路使用功能，城市道路照明可分为主要供机动车使用的机动车交通道路照明和主要供非机动车与行人的人行道路照明两类。</w:t>
                        </w:r>
                      </w:p>
                      <w:p>
                        <w:pPr>
                          <w:pStyle w:val="null3"/>
                          <w:jc w:val="left"/>
                        </w:pPr>
                        <w:r>
                          <w:rPr>
                            <w:rFonts w:ascii="仿宋_GB2312" w:hAnsi="仿宋_GB2312" w:cs="仿宋_GB2312" w:eastAsia="仿宋_GB2312"/>
                            <w:sz w:val="18"/>
                          </w:rPr>
                          <w:t>②</w:t>
                        </w:r>
                        <w:r>
                          <w:rPr>
                            <w:rFonts w:ascii="仿宋_GB2312" w:hAnsi="仿宋_GB2312" w:cs="仿宋_GB2312" w:eastAsia="仿宋_GB2312"/>
                            <w:sz w:val="18"/>
                          </w:rPr>
                          <w:t>机动车交通道路照明应按快速路与主干路、次干路、支路分为三级。</w:t>
                        </w:r>
                      </w:p>
                    </w:tc>
                  </w:tr>
                  <w:tr>
                    <w:tc>
                      <w:tcPr>
                        <w:tcW w:type="dxa" w:w="3411"/>
                        <w:tcBorders>
                          <w:top w:val="none" w:color="000000" w:sz="4"/>
                          <w:left w:val="single" w:color="000000" w:sz="4"/>
                          <w:bottom w:val="single" w:color="000000" w:sz="4"/>
                          <w:right w:val="single" w:color="000000" w:sz="4"/>
                        </w:tcBorders>
                        <w:tcMar>
                          <w:top w:type="dxa" w:w="105"/>
                          <w:left w:type="dxa" w:w="105"/>
                          <w:bottom w:type="dxa" w:w="105"/>
                          <w:right w:type="dxa" w:w="105"/>
                        </w:tcMar>
                        <w:vAlign w:val="top"/>
                      </w:tcPr>
                      <w:p>
                        <w:pPr>
                          <w:pStyle w:val="null3"/>
                          <w:jc w:val="left"/>
                        </w:pPr>
                        <w:r>
                          <w:rPr>
                            <w:rFonts w:ascii="仿宋_GB2312" w:hAnsi="仿宋_GB2312" w:cs="仿宋_GB2312" w:eastAsia="仿宋_GB2312"/>
                            <w:sz w:val="18"/>
                            <w:b/>
                          </w:rPr>
                          <w:t>道路照明评价指标</w:t>
                        </w:r>
                      </w:p>
                      <w:p>
                        <w:pPr>
                          <w:pStyle w:val="null3"/>
                          <w:jc w:val="left"/>
                        </w:pPr>
                        <w:r>
                          <w:rPr>
                            <w:rFonts w:ascii="仿宋_GB2312" w:hAnsi="仿宋_GB2312" w:cs="仿宋_GB2312" w:eastAsia="仿宋_GB2312"/>
                            <w:sz w:val="18"/>
                          </w:rPr>
                          <w:t>①</w:t>
                        </w:r>
                        <w:r>
                          <w:rPr>
                            <w:rFonts w:ascii="仿宋_GB2312" w:hAnsi="仿宋_GB2312" w:cs="仿宋_GB2312" w:eastAsia="仿宋_GB2312"/>
                            <w:sz w:val="18"/>
                          </w:rPr>
                          <w:t>机动车交通道路照明应以路面平均照度、路面照度均匀度、眩光限</w:t>
                        </w:r>
                        <w:r>
                          <w:rPr>
                            <w:rFonts w:ascii="仿宋_GB2312" w:hAnsi="仿宋_GB2312" w:cs="仿宋_GB2312" w:eastAsia="仿宋_GB2312"/>
                            <w:sz w:val="18"/>
                          </w:rPr>
                          <w:t>值</w:t>
                        </w:r>
                        <w:r>
                          <w:rPr>
                            <w:rFonts w:ascii="仿宋_GB2312" w:hAnsi="仿宋_GB2312" w:cs="仿宋_GB2312" w:eastAsia="仿宋_GB2312"/>
                            <w:sz w:val="18"/>
                          </w:rPr>
                          <w:t>等为评价指标。</w:t>
                        </w:r>
                      </w:p>
                      <w:p>
                        <w:pPr>
                          <w:pStyle w:val="null3"/>
                          <w:jc w:val="left"/>
                        </w:pPr>
                        <w:r>
                          <w:rPr>
                            <w:rFonts w:ascii="仿宋_GB2312" w:hAnsi="仿宋_GB2312" w:cs="仿宋_GB2312" w:eastAsia="仿宋_GB2312"/>
                            <w:sz w:val="18"/>
                          </w:rPr>
                          <w:t>②</w:t>
                        </w:r>
                        <w:r>
                          <w:rPr>
                            <w:rFonts w:ascii="仿宋_GB2312" w:hAnsi="仿宋_GB2312" w:cs="仿宋_GB2312" w:eastAsia="仿宋_GB2312"/>
                            <w:sz w:val="18"/>
                          </w:rPr>
                          <w:t>人行道路照明应以路面平均照度、路面最小照度和垂直照度为评价指标。</w:t>
                        </w:r>
                      </w:p>
                    </w:tc>
                  </w:tr>
                  <w:tr>
                    <w:tc>
                      <w:tcPr>
                        <w:tcW w:type="dxa" w:w="3411"/>
                        <w:tcBorders>
                          <w:top w:val="none" w:color="000000" w:sz="4"/>
                          <w:left w:val="single" w:color="000000" w:sz="4"/>
                          <w:bottom w:val="single" w:color="000000" w:sz="4"/>
                          <w:right w:val="single" w:color="000000" w:sz="4"/>
                        </w:tcBorders>
                        <w:tcMar>
                          <w:top w:type="dxa" w:w="105"/>
                          <w:left w:type="dxa" w:w="105"/>
                          <w:bottom w:type="dxa" w:w="105"/>
                          <w:right w:type="dxa" w:w="105"/>
                        </w:tcMar>
                        <w:vAlign w:val="top"/>
                      </w:tcPr>
                      <w:p>
                        <w:pPr>
                          <w:pStyle w:val="null3"/>
                          <w:jc w:val="left"/>
                        </w:pPr>
                        <w:r>
                          <w:rPr>
                            <w:rFonts w:ascii="仿宋_GB2312" w:hAnsi="仿宋_GB2312" w:cs="仿宋_GB2312" w:eastAsia="仿宋_GB2312"/>
                            <w:sz w:val="18"/>
                            <w:b/>
                          </w:rPr>
                          <w:t>机动车交通照明标准值</w:t>
                        </w:r>
                      </w:p>
                      <w:p>
                        <w:pPr>
                          <w:pStyle w:val="null3"/>
                          <w:jc w:val="left"/>
                        </w:pPr>
                        <w:r>
                          <w:rPr>
                            <w:rFonts w:ascii="仿宋_GB2312" w:hAnsi="仿宋_GB2312" w:cs="仿宋_GB2312" w:eastAsia="仿宋_GB2312"/>
                            <w:sz w:val="18"/>
                          </w:rPr>
                          <w:t>①</w:t>
                        </w:r>
                        <w:r>
                          <w:rPr>
                            <w:rFonts w:ascii="仿宋_GB2312" w:hAnsi="仿宋_GB2312" w:cs="仿宋_GB2312" w:eastAsia="仿宋_GB2312"/>
                            <w:sz w:val="18"/>
                          </w:rPr>
                          <w:t>设置连续照明的机动车交通道路的照明标准值应符合表1的规定。</w:t>
                        </w:r>
                      </w:p>
                      <w:p>
                        <w:pPr>
                          <w:pStyle w:val="null3"/>
                          <w:jc w:val="left"/>
                        </w:pPr>
                        <w:r>
                          <w:rPr>
                            <w:rFonts w:ascii="仿宋_GB2312" w:hAnsi="仿宋_GB2312" w:cs="仿宋_GB2312" w:eastAsia="仿宋_GB2312"/>
                            <w:sz w:val="18"/>
                          </w:rPr>
                          <w:t>②</w:t>
                        </w:r>
                        <w:r>
                          <w:rPr>
                            <w:rFonts w:ascii="仿宋_GB2312" w:hAnsi="仿宋_GB2312" w:cs="仿宋_GB2312" w:eastAsia="仿宋_GB2312"/>
                            <w:sz w:val="18"/>
                          </w:rPr>
                          <w:t>在设计道路照明时，应确保其具有良好的诱导性。</w:t>
                        </w:r>
                      </w:p>
                      <w:p>
                        <w:pPr>
                          <w:pStyle w:val="null3"/>
                          <w:jc w:val="left"/>
                        </w:pPr>
                        <w:r>
                          <w:rPr>
                            <w:rFonts w:ascii="仿宋_GB2312" w:hAnsi="仿宋_GB2312" w:cs="仿宋_GB2312" w:eastAsia="仿宋_GB2312"/>
                            <w:sz w:val="18"/>
                          </w:rPr>
                          <w:t>③</w:t>
                        </w:r>
                        <w:r>
                          <w:rPr>
                            <w:rFonts w:ascii="仿宋_GB2312" w:hAnsi="仿宋_GB2312" w:cs="仿宋_GB2312" w:eastAsia="仿宋_GB2312"/>
                            <w:sz w:val="18"/>
                          </w:rPr>
                          <w:t>对同一级道路选定照明标准值时，应考虑城市的性质和规模，交通控制系统和道路分隔设施完善的道路，宜选择表1中的低档值，反之宜选择高档值。</w:t>
                        </w:r>
                      </w:p>
                      <w:p>
                        <w:pPr>
                          <w:pStyle w:val="null3"/>
                          <w:jc w:val="center"/>
                        </w:pPr>
                        <w:r>
                          <w:rPr>
                            <w:rFonts w:ascii="仿宋_GB2312" w:hAnsi="仿宋_GB2312" w:cs="仿宋_GB2312" w:eastAsia="仿宋_GB2312"/>
                            <w:sz w:val="18"/>
                            <w:b/>
                          </w:rPr>
                          <w:t>表1 机动车交通道路的简单划分方法及相应照度值</w:t>
                        </w:r>
                      </w:p>
                      <w:tbl>
                        <w:tblPr>
                          <w:tblBorders>
                            <w:top w:val="none" w:color="000000" w:sz="4"/>
                            <w:left w:val="none" w:color="000000" w:sz="4"/>
                            <w:bottom w:val="none" w:color="000000" w:sz="4"/>
                            <w:right w:val="none" w:color="000000" w:sz="4"/>
                            <w:insideH w:val="none"/>
                            <w:insideV w:val="none"/>
                          </w:tblBorders>
                        </w:tblPr>
                        <w:tblGrid>
                          <w:gridCol w:w="1055"/>
                          <w:gridCol w:w="978"/>
                          <w:gridCol w:w="1162"/>
                        </w:tblGrid>
                        <w:tr>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道路级别</w:t>
                              </w:r>
                            </w:p>
                          </w:tc>
                          <w:tc>
                            <w:tcPr>
                              <w:tcW w:type="dxa" w:w="9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车道数（条）</w:t>
                              </w:r>
                            </w:p>
                          </w:tc>
                          <w:tc>
                            <w:tcPr>
                              <w:tcW w:type="dxa" w:w="1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对应的照度值（lx）</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快速路/主干路</w:t>
                              </w: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4～6</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20～30</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次干路</w:t>
                              </w: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2～4</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15～20</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支路</w:t>
                              </w: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1～2</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8～10</w:t>
                              </w:r>
                            </w:p>
                          </w:tc>
                        </w:tr>
                      </w:tbl>
                      <w:p>
                        <w:pPr>
                          <w:pStyle w:val="null3"/>
                          <w:jc w:val="center"/>
                        </w:pPr>
                        <w:r>
                          <w:rPr>
                            <w:rFonts w:ascii="仿宋_GB2312" w:hAnsi="仿宋_GB2312" w:cs="仿宋_GB2312" w:eastAsia="仿宋_GB2312"/>
                            <w:sz w:val="18"/>
                            <w:b/>
                          </w:rPr>
                          <w:t>机动车交通道路照明标准值</w:t>
                        </w:r>
                      </w:p>
                      <w:tbl>
                        <w:tblPr>
                          <w:tblBorders>
                            <w:top w:val="none" w:color="000000" w:sz="4"/>
                            <w:left w:val="none" w:color="000000" w:sz="4"/>
                            <w:bottom w:val="none" w:color="000000" w:sz="4"/>
                            <w:right w:val="none" w:color="000000" w:sz="4"/>
                            <w:insideH w:val="none"/>
                            <w:insideV w:val="none"/>
                          </w:tblBorders>
                        </w:tblPr>
                        <w:tblGrid>
                          <w:gridCol w:w="269"/>
                          <w:gridCol w:w="396"/>
                          <w:gridCol w:w="388"/>
                          <w:gridCol w:w="306"/>
                          <w:gridCol w:w="307"/>
                          <w:gridCol w:w="361"/>
                          <w:gridCol w:w="323"/>
                          <w:gridCol w:w="416"/>
                          <w:gridCol w:w="426"/>
                        </w:tblGrid>
                        <w:tr>
                          <w:tc>
                            <w:tcPr>
                              <w:tcW w:type="dxa" w:w="26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级别</w:t>
                              </w:r>
                            </w:p>
                          </w:tc>
                          <w:tc>
                            <w:tcPr>
                              <w:tcW w:type="dxa" w:w="39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道路</w:t>
                              </w:r>
                            </w:p>
                            <w:p>
                              <w:pPr>
                                <w:pStyle w:val="null3"/>
                                <w:jc w:val="left"/>
                              </w:pPr>
                              <w:r>
                                <w:rPr>
                                  <w:rFonts w:ascii="仿宋_GB2312" w:hAnsi="仿宋_GB2312" w:cs="仿宋_GB2312" w:eastAsia="仿宋_GB2312"/>
                                  <w:sz w:val="18"/>
                                </w:rPr>
                                <w:t>类型</w:t>
                              </w:r>
                            </w:p>
                          </w:tc>
                          <w:tc>
                            <w:tcPr>
                              <w:tcW w:type="dxa" w:w="1001"/>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路面亮度</w:t>
                              </w:r>
                            </w:p>
                          </w:tc>
                          <w:tc>
                            <w:tcPr>
                              <w:tcW w:type="dxa" w:w="68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路面照度</w:t>
                              </w:r>
                            </w:p>
                          </w:tc>
                          <w:tc>
                            <w:tcPr>
                              <w:tcW w:type="dxa" w:w="41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眩光限制阈值增量T1（%）最大初始值</w:t>
                              </w:r>
                            </w:p>
                          </w:tc>
                          <w:tc>
                            <w:tcPr>
                              <w:tcW w:type="dxa" w:w="42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环境比SR最小</w:t>
                              </w:r>
                            </w:p>
                            <w:p>
                              <w:pPr>
                                <w:pStyle w:val="null3"/>
                                <w:jc w:val="left"/>
                              </w:pPr>
                              <w:r>
                                <w:rPr>
                                  <w:rFonts w:ascii="仿宋_GB2312" w:hAnsi="仿宋_GB2312" w:cs="仿宋_GB2312" w:eastAsia="仿宋_GB2312"/>
                                  <w:sz w:val="18"/>
                                </w:rPr>
                                <w:t>值</w:t>
                              </w:r>
                            </w:p>
                          </w:tc>
                        </w:tr>
                        <w:tr>
                          <w:tc>
                            <w:tcPr>
                              <w:tcW w:type="dxa" w:w="269"/>
                              <w:vMerge/>
                              <w:tcBorders>
                                <w:top w:val="single" w:color="000000" w:sz="4"/>
                                <w:left w:val="single" w:color="000000" w:sz="4"/>
                                <w:bottom w:val="single" w:color="000000" w:sz="4"/>
                                <w:right w:val="single" w:color="000000" w:sz="4"/>
                              </w:tcBorders>
                            </w:tcPr>
                            <w:p/>
                          </w:tc>
                          <w:tc>
                            <w:tcPr>
                              <w:tcW w:type="dxa" w:w="396"/>
                              <w:vMerge/>
                              <w:tcBorders>
                                <w:top w:val="single" w:color="000000" w:sz="4"/>
                                <w:left w:val="single" w:color="000000" w:sz="4"/>
                                <w:bottom w:val="single" w:color="000000" w:sz="4"/>
                                <w:right w:val="single" w:color="000000" w:sz="4"/>
                              </w:tcBorders>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平均亮度Lav（cd/m2）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总均匀度Uo最小值</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纵向均匀度UL最小值</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平均照</w:t>
                              </w:r>
                            </w:p>
                            <w:p>
                              <w:pPr>
                                <w:pStyle w:val="null3"/>
                                <w:jc w:val="left"/>
                              </w:pPr>
                              <w:r>
                                <w:rPr>
                                  <w:rFonts w:ascii="仿宋_GB2312" w:hAnsi="仿宋_GB2312" w:cs="仿宋_GB2312" w:eastAsia="仿宋_GB2312"/>
                                  <w:sz w:val="18"/>
                                </w:rPr>
                                <w:t>度Eav（lx）维持值</w:t>
                              </w:r>
                            </w:p>
                          </w:tc>
                          <w:tc>
                            <w:tcPr>
                              <w:tcW w:type="dxa" w:w="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均匀度UE最小值</w:t>
                              </w:r>
                            </w:p>
                          </w:tc>
                          <w:tc>
                            <w:tcPr>
                              <w:tcW w:type="dxa" w:w="416"/>
                              <w:vMerge/>
                              <w:tcBorders>
                                <w:top w:val="single" w:color="000000" w:sz="4"/>
                                <w:left w:val="single" w:color="000000" w:sz="4"/>
                                <w:bottom w:val="single" w:color="000000" w:sz="4"/>
                                <w:right w:val="single" w:color="000000" w:sz="4"/>
                              </w:tcBorders>
                            </w:tcPr>
                            <w:p/>
                          </w:tc>
                          <w:tc>
                            <w:tcPr>
                              <w:tcW w:type="dxa" w:w="426"/>
                              <w:vMerge/>
                              <w:tcBorders>
                                <w:top w:val="single" w:color="000000" w:sz="4"/>
                                <w:left w:val="single" w:color="000000" w:sz="4"/>
                                <w:bottom w:val="single" w:color="000000" w:sz="4"/>
                                <w:right w:val="single" w:color="000000" w:sz="4"/>
                              </w:tcBorders>
                            </w:tc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Ⅰ</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快速路、主干路</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1.5/2.0</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0.4</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0.7</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20/30</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0.4</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0.5</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Ⅱ</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次干路</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1.0/1.5</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0.4</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0.5</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15/20</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0.4</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0.5</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Ⅲ</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支路</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0.5/0.75</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0.4</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8/10</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0.3</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bl>
                      <w:p>
                        <w:pPr>
                          <w:pStyle w:val="null3"/>
                          <w:jc w:val="left"/>
                        </w:pPr>
                        <w:r>
                          <w:rPr>
                            <w:rFonts w:ascii="仿宋_GB2312" w:hAnsi="仿宋_GB2312" w:cs="仿宋_GB2312" w:eastAsia="仿宋_GB2312"/>
                            <w:sz w:val="18"/>
                          </w:rPr>
                          <w:t xml:space="preserve">注: </w:t>
                        </w:r>
                        <w:r>
                          <w:rPr>
                            <w:rFonts w:ascii="仿宋_GB2312" w:hAnsi="仿宋_GB2312" w:cs="仿宋_GB2312" w:eastAsia="仿宋_GB2312"/>
                            <w:sz w:val="18"/>
                          </w:rPr>
                          <w:t>1）</w:t>
                        </w:r>
                        <w:r>
                          <w:rPr>
                            <w:rFonts w:ascii="仿宋_GB2312" w:hAnsi="仿宋_GB2312" w:cs="仿宋_GB2312" w:eastAsia="仿宋_GB2312"/>
                            <w:sz w:val="18"/>
                          </w:rPr>
                          <w:t>表中所列的平均照度仅适用于沥青路面。若系水泥混凝土路面，其平均照度值可相应降低约30%。根据本标准附录A给出的平均亮度系数可求出相同的路面平均亮度，沥青路面和水泥混凝土路面分别需要的平均照度。</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对于市区路段的道路类型，由采购单位依据实际路况确定。</w:t>
                        </w:r>
                      </w:p>
                      <w:p>
                        <w:pPr>
                          <w:pStyle w:val="null3"/>
                          <w:jc w:val="left"/>
                        </w:pPr>
                        <w:r>
                          <w:rPr>
                            <w:rFonts w:ascii="仿宋_GB2312" w:hAnsi="仿宋_GB2312" w:cs="仿宋_GB2312" w:eastAsia="仿宋_GB2312"/>
                            <w:sz w:val="18"/>
                          </w:rPr>
                          <w:t>（4）交会区照明标准值</w:t>
                        </w:r>
                      </w:p>
                      <w:p>
                        <w:pPr>
                          <w:pStyle w:val="null3"/>
                          <w:jc w:val="left"/>
                        </w:pPr>
                        <w:r>
                          <w:rPr>
                            <w:rFonts w:ascii="仿宋_GB2312" w:hAnsi="仿宋_GB2312" w:cs="仿宋_GB2312" w:eastAsia="仿宋_GB2312"/>
                            <w:sz w:val="18"/>
                          </w:rPr>
                          <w:t>交会区照明宜采用照度作为评价指标。交会区的照明标准值应符合表2的规定。</w:t>
                        </w:r>
                      </w:p>
                      <w:p>
                        <w:pPr>
                          <w:pStyle w:val="null3"/>
                          <w:jc w:val="center"/>
                        </w:pPr>
                        <w:r>
                          <w:rPr>
                            <w:rFonts w:ascii="仿宋_GB2312" w:hAnsi="仿宋_GB2312" w:cs="仿宋_GB2312" w:eastAsia="仿宋_GB2312"/>
                            <w:sz w:val="18"/>
                            <w:b/>
                          </w:rPr>
                          <w:t>表2交会区照明标准值</w:t>
                        </w:r>
                      </w:p>
                      <w:tbl>
                        <w:tblPr>
                          <w:tblBorders>
                            <w:top w:val="none" w:color="000000" w:sz="4"/>
                            <w:left w:val="none" w:color="000000" w:sz="4"/>
                            <w:bottom w:val="none" w:color="000000" w:sz="4"/>
                            <w:right w:val="none" w:color="000000" w:sz="4"/>
                            <w:insideH w:val="none"/>
                            <w:insideV w:val="none"/>
                          </w:tblBorders>
                        </w:tblPr>
                        <w:tblGrid>
                          <w:gridCol w:w="1140"/>
                          <w:gridCol w:w="859"/>
                          <w:gridCol w:w="675"/>
                          <w:gridCol w:w="1308"/>
                        </w:tblGrid>
                        <w:tr>
                          <w:tc>
                            <w:tcPr>
                              <w:tcW w:type="dxa" w:w="1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交会区类型</w:t>
                              </w:r>
                            </w:p>
                          </w:tc>
                          <w:tc>
                            <w:tcPr>
                              <w:tcW w:type="dxa" w:w="8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路面平均照度Eav（lx），维持值</w:t>
                              </w:r>
                            </w:p>
                          </w:tc>
                          <w:tc>
                            <w:tcPr>
                              <w:tcW w:type="dxa" w:w="6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照度均匀度UE</w:t>
                              </w:r>
                            </w:p>
                          </w:tc>
                          <w:tc>
                            <w:tcPr>
                              <w:tcW w:type="dxa" w:w="13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眩光限制</w:t>
                              </w:r>
                            </w:p>
                          </w:tc>
                        </w:tr>
                        <w:tr>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主干路与主干路交会</w:t>
                              </w:r>
                            </w:p>
                          </w:tc>
                          <w:tc>
                            <w:tcPr>
                              <w:tcW w:type="dxa" w:w="8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30/50</w:t>
                              </w:r>
                            </w:p>
                          </w:tc>
                          <w:tc>
                            <w:tcPr>
                              <w:tcW w:type="dxa" w:w="6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0.4</w:t>
                              </w:r>
                            </w:p>
                          </w:tc>
                          <w:tc>
                            <w:tcPr>
                              <w:tcW w:type="dxa" w:w="13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在驾驶员观看灯具的方位角上，灯具在80°和90°高度角方向上的光强分别不得超过30cd/1000lm和10cd/1000lm</w:t>
                              </w:r>
                            </w:p>
                          </w:tc>
                        </w:tr>
                        <w:tr>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主干路与次干路交会</w:t>
                              </w:r>
                            </w:p>
                          </w:tc>
                          <w:tc>
                            <w:tcPr>
                              <w:tcW w:type="dxa" w:w="859"/>
                              <w:vMerge/>
                              <w:tcBorders>
                                <w:top w:val="none" w:color="000000" w:sz="4"/>
                                <w:left w:val="non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1308"/>
                              <w:vMerge/>
                              <w:tcBorders>
                                <w:top w:val="none" w:color="000000" w:sz="4"/>
                                <w:left w:val="none" w:color="000000" w:sz="4"/>
                                <w:bottom w:val="single" w:color="000000" w:sz="4"/>
                                <w:right w:val="single" w:color="000000" w:sz="4"/>
                              </w:tcBorders>
                            </w:tcPr>
                            <w:p/>
                          </w:tc>
                        </w:tr>
                        <w:tr>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主干路与支路交会</w:t>
                              </w:r>
                            </w:p>
                          </w:tc>
                          <w:tc>
                            <w:tcPr>
                              <w:tcW w:type="dxa" w:w="859"/>
                              <w:vMerge/>
                              <w:tcBorders>
                                <w:top w:val="none" w:color="000000" w:sz="4"/>
                                <w:left w:val="none" w:color="000000" w:sz="4"/>
                                <w:bottom w:val="singl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1308"/>
                              <w:vMerge/>
                              <w:tcBorders>
                                <w:top w:val="none" w:color="000000" w:sz="4"/>
                                <w:left w:val="none" w:color="000000" w:sz="4"/>
                                <w:bottom w:val="single" w:color="000000" w:sz="4"/>
                                <w:right w:val="single" w:color="000000" w:sz="4"/>
                              </w:tcBorders>
                            </w:tcPr>
                            <w:p/>
                          </w:tc>
                        </w:tr>
                        <w:tr>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次干路与次干路交会</w:t>
                              </w:r>
                            </w:p>
                          </w:tc>
                          <w:tc>
                            <w:tcPr>
                              <w:tcW w:type="dxa" w:w="85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20/30</w:t>
                              </w:r>
                            </w:p>
                            <w:p>
                              <w:pPr>
                                <w:pStyle w:val="null3"/>
                                <w:jc w:val="left"/>
                              </w:pPr>
                            </w:p>
                          </w:tc>
                          <w:tc>
                            <w:tcPr>
                              <w:tcW w:type="dxa" w:w="675"/>
                              <w:vMerge/>
                              <w:tcBorders>
                                <w:top w:val="none" w:color="000000" w:sz="4"/>
                                <w:left w:val="none" w:color="000000" w:sz="4"/>
                                <w:bottom w:val="single" w:color="000000" w:sz="4"/>
                                <w:right w:val="single" w:color="000000" w:sz="4"/>
                              </w:tcBorders>
                            </w:tcPr>
                            <w:p/>
                          </w:tc>
                          <w:tc>
                            <w:tcPr>
                              <w:tcW w:type="dxa" w:w="1308"/>
                              <w:vMerge/>
                              <w:tcBorders>
                                <w:top w:val="none" w:color="000000" w:sz="4"/>
                                <w:left w:val="none" w:color="000000" w:sz="4"/>
                                <w:bottom w:val="single" w:color="000000" w:sz="4"/>
                                <w:right w:val="single" w:color="000000" w:sz="4"/>
                              </w:tcBorders>
                            </w:tcPr>
                            <w:p/>
                          </w:tc>
                        </w:tr>
                        <w:tr>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次干路与支路交会</w:t>
                              </w:r>
                            </w:p>
                          </w:tc>
                          <w:tc>
                            <w:tcPr>
                              <w:tcW w:type="dxa" w:w="859"/>
                              <w:vMerge/>
                              <w:tcBorders>
                                <w:top w:val="none" w:color="000000" w:sz="4"/>
                                <w:left w:val="none" w:color="000000" w:sz="4"/>
                                <w:bottom w:val="none" w:color="000000" w:sz="4"/>
                                <w:right w:val="single" w:color="000000" w:sz="4"/>
                              </w:tcBorders>
                            </w:tcPr>
                            <w:p/>
                          </w:tc>
                          <w:tc>
                            <w:tcPr>
                              <w:tcW w:type="dxa" w:w="675"/>
                              <w:vMerge/>
                              <w:tcBorders>
                                <w:top w:val="none" w:color="000000" w:sz="4"/>
                                <w:left w:val="none" w:color="000000" w:sz="4"/>
                                <w:bottom w:val="single" w:color="000000" w:sz="4"/>
                                <w:right w:val="single" w:color="000000" w:sz="4"/>
                              </w:tcBorders>
                            </w:tcPr>
                            <w:p/>
                          </w:tc>
                          <w:tc>
                            <w:tcPr>
                              <w:tcW w:type="dxa" w:w="1308"/>
                              <w:vMerge/>
                              <w:tcBorders>
                                <w:top w:val="none" w:color="000000" w:sz="4"/>
                                <w:left w:val="none" w:color="000000" w:sz="4"/>
                                <w:bottom w:val="single" w:color="000000" w:sz="4"/>
                                <w:right w:val="single" w:color="000000" w:sz="4"/>
                              </w:tcBorders>
                            </w:tcPr>
                            <w:p/>
                          </w:tc>
                        </w:tr>
                        <w:tr>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支路与支路交会</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15/20</w:t>
                              </w:r>
                            </w:p>
                          </w:tc>
                          <w:tc>
                            <w:tcPr>
                              <w:tcW w:type="dxa" w:w="675"/>
                              <w:vMerge/>
                              <w:tcBorders>
                                <w:top w:val="none" w:color="000000" w:sz="4"/>
                                <w:left w:val="none" w:color="000000" w:sz="4"/>
                                <w:bottom w:val="single" w:color="000000" w:sz="4"/>
                                <w:right w:val="single" w:color="000000" w:sz="4"/>
                              </w:tcBorders>
                            </w:tcPr>
                            <w:p/>
                          </w:tc>
                          <w:tc>
                            <w:tcPr>
                              <w:tcW w:type="dxa" w:w="1308"/>
                              <w:vMerge/>
                              <w:tcBorders>
                                <w:top w:val="none" w:color="000000" w:sz="4"/>
                                <w:left w:val="none" w:color="000000" w:sz="4"/>
                                <w:bottom w:val="single" w:color="000000" w:sz="4"/>
                                <w:right w:val="single" w:color="000000" w:sz="4"/>
                              </w:tcBorders>
                            </w:tcPr>
                            <w:p/>
                          </w:tc>
                        </w:tr>
                      </w:tbl>
                      <w:p>
                        <w:pPr>
                          <w:pStyle w:val="null3"/>
                          <w:jc w:val="left"/>
                        </w:pPr>
                        <w:r>
                          <w:rPr>
                            <w:rFonts w:ascii="仿宋_GB2312" w:hAnsi="仿宋_GB2312" w:cs="仿宋_GB2312" w:eastAsia="仿宋_GB2312"/>
                            <w:sz w:val="18"/>
                          </w:rPr>
                          <w:t>注:1）灯具的高度角是在现场安装使用姿态下度量。</w:t>
                        </w:r>
                      </w:p>
                      <w:p>
                        <w:pPr>
                          <w:pStyle w:val="null3"/>
                          <w:jc w:val="left"/>
                        </w:pPr>
                        <w:r>
                          <w:rPr>
                            <w:rFonts w:ascii="仿宋_GB2312" w:hAnsi="仿宋_GB2312" w:cs="仿宋_GB2312" w:eastAsia="仿宋_GB2312"/>
                            <w:sz w:val="18"/>
                          </w:rPr>
                          <w:t>表中对每一类道路交会区的路面平均照度给出了两档标准值，“/”的左侧为低档照度值，右侧为高档照度值。</w:t>
                        </w:r>
                      </w:p>
                      <w:p>
                        <w:pPr>
                          <w:pStyle w:val="null3"/>
                          <w:jc w:val="left"/>
                        </w:pPr>
                        <w:r>
                          <w:rPr>
                            <w:rFonts w:ascii="仿宋_GB2312" w:hAnsi="仿宋_GB2312" w:cs="仿宋_GB2312" w:eastAsia="仿宋_GB2312"/>
                            <w:sz w:val="18"/>
                            <w:b/>
                          </w:rPr>
                          <w:t>人行道标准值</w:t>
                        </w:r>
                      </w:p>
                      <w:p>
                        <w:pPr>
                          <w:pStyle w:val="null3"/>
                          <w:jc w:val="left"/>
                        </w:pPr>
                        <w:r>
                          <w:rPr>
                            <w:rFonts w:ascii="仿宋_GB2312" w:hAnsi="仿宋_GB2312" w:cs="仿宋_GB2312" w:eastAsia="仿宋_GB2312"/>
                            <w:sz w:val="18"/>
                          </w:rPr>
                          <w:t>主要供行人和非机动车混合的商业区、居住区人行道路的照明标准值应符合表3的规定。</w:t>
                        </w:r>
                      </w:p>
                      <w:p>
                        <w:pPr>
                          <w:pStyle w:val="null3"/>
                          <w:jc w:val="center"/>
                        </w:pPr>
                        <w:r>
                          <w:rPr>
                            <w:rFonts w:ascii="仿宋_GB2312" w:hAnsi="仿宋_GB2312" w:cs="仿宋_GB2312" w:eastAsia="仿宋_GB2312"/>
                            <w:sz w:val="18"/>
                            <w:b/>
                          </w:rPr>
                          <w:t>表3人行道标准值</w:t>
                        </w:r>
                      </w:p>
                      <w:tbl>
                        <w:tblPr>
                          <w:tblInd w:type="dxa" w:w="165"/>
                          <w:tblBorders>
                            <w:top w:val="none" w:color="000000" w:sz="4"/>
                            <w:left w:val="none" w:color="000000" w:sz="4"/>
                            <w:bottom w:val="none" w:color="000000" w:sz="4"/>
                            <w:right w:val="none" w:color="000000" w:sz="4"/>
                            <w:insideH w:val="none"/>
                            <w:insideV w:val="none"/>
                          </w:tblBorders>
                        </w:tblPr>
                        <w:tblGrid>
                          <w:gridCol w:w="806"/>
                          <w:gridCol w:w="560"/>
                          <w:gridCol w:w="822"/>
                          <w:gridCol w:w="902"/>
                          <w:gridCol w:w="886"/>
                        </w:tblGrid>
                        <w:tr>
                          <w:tc>
                            <w:tcPr>
                              <w:tcW w:type="dxa" w:w="8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夜间行人流量</w:t>
                              </w:r>
                            </w:p>
                          </w:tc>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w:t>
                              </w:r>
                            </w:p>
                          </w:tc>
                          <w:tc>
                            <w:tcPr>
                              <w:tcW w:type="dxa" w:w="8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路面平均照度Eav（lx），维持值</w:t>
                              </w:r>
                            </w:p>
                          </w:tc>
                          <w:tc>
                            <w:tcPr>
                              <w:tcW w:type="dxa" w:w="9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路面最小照度Emin（lx），维持值</w:t>
                              </w:r>
                            </w:p>
                          </w:tc>
                          <w:tc>
                            <w:tcPr>
                              <w:tcW w:type="dxa" w:w="8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最小垂直照度Evmin（lx），维持值</w:t>
                              </w:r>
                            </w:p>
                          </w:tc>
                        </w:tr>
                        <w:tr>
                          <w:tc>
                            <w:tcPr>
                              <w:tcW w:type="dxa" w:w="8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流量大的道路</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商业区</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20</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7.5</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4</w:t>
                              </w:r>
                            </w:p>
                          </w:tc>
                        </w:tr>
                        <w:tr>
                          <w:tc>
                            <w:tcPr>
                              <w:tcW w:type="dxa" w:w="806"/>
                              <w:vMerge/>
                              <w:tcBorders>
                                <w:top w:val="none" w:color="000000" w:sz="4"/>
                                <w:left w:val="single" w:color="000000" w:sz="4"/>
                                <w:bottom w:val="single" w:color="000000" w:sz="4"/>
                                <w:right w:val="single" w:color="000000" w:sz="4"/>
                              </w:tcBorders>
                            </w:tc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居住区</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10</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3</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w:t>
                              </w:r>
                            </w:p>
                          </w:tc>
                        </w:tr>
                        <w:tr>
                          <w:tc>
                            <w:tcPr>
                              <w:tcW w:type="dxa" w:w="8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流量中的道路</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商业区</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15</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5</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3</w:t>
                              </w:r>
                            </w:p>
                          </w:tc>
                        </w:tr>
                        <w:tr>
                          <w:tc>
                            <w:tcPr>
                              <w:tcW w:type="dxa" w:w="806"/>
                              <w:vMerge/>
                              <w:tcBorders>
                                <w:top w:val="none" w:color="000000" w:sz="4"/>
                                <w:left w:val="single" w:color="000000" w:sz="4"/>
                                <w:bottom w:val="single" w:color="000000" w:sz="4"/>
                                <w:right w:val="single" w:color="000000" w:sz="4"/>
                              </w:tcBorders>
                            </w:tc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居住区</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7.5</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1.5</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1.5</w:t>
                              </w:r>
                            </w:p>
                          </w:tc>
                        </w:tr>
                        <w:tr>
                          <w:tc>
                            <w:tcPr>
                              <w:tcW w:type="dxa" w:w="8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流量小的道路</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商业区</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10</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3</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w:t>
                              </w:r>
                            </w:p>
                          </w:tc>
                        </w:tr>
                        <w:tr>
                          <w:tc>
                            <w:tcPr>
                              <w:tcW w:type="dxa" w:w="806"/>
                              <w:vMerge/>
                              <w:tcBorders>
                                <w:top w:val="none" w:color="000000" w:sz="4"/>
                                <w:left w:val="single" w:color="000000" w:sz="4"/>
                                <w:bottom w:val="single" w:color="000000" w:sz="4"/>
                                <w:right w:val="single" w:color="000000" w:sz="4"/>
                              </w:tcBorders>
                            </w:tc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居住区</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5</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p>
                          </w:tc>
                        </w:tr>
                      </w:tbl>
                      <w:p>
                        <w:pPr>
                          <w:pStyle w:val="null3"/>
                          <w:jc w:val="left"/>
                        </w:pPr>
                        <w:r>
                          <w:rPr>
                            <w:rFonts w:ascii="仿宋_GB2312" w:hAnsi="仿宋_GB2312" w:cs="仿宋_GB2312" w:eastAsia="仿宋_GB2312"/>
                            <w:sz w:val="18"/>
                          </w:rPr>
                          <w:t>注: 1）最小垂直照度为道路中心线上距路面1.5m高度处，垂直于路轴的平面的两个方向上的最小照度。</w:t>
                        </w:r>
                      </w:p>
                      <w:p>
                        <w:pPr>
                          <w:pStyle w:val="null3"/>
                          <w:ind w:firstLine="400"/>
                          <w:jc w:val="left"/>
                        </w:pPr>
                        <w:r>
                          <w:rPr>
                            <w:rFonts w:ascii="仿宋_GB2312" w:hAnsi="仿宋_GB2312" w:cs="仿宋_GB2312" w:eastAsia="仿宋_GB2312"/>
                            <w:sz w:val="18"/>
                          </w:rPr>
                          <w:t>2）机动车交通道路一侧或两侧设置的与机动车道没有分隔的非机动车道的照明应执行机动车交通道路的照明标准；与机动车交通道路分隔的非机动车道路的平均照度值宜为相邻机动车交通道路的照度值的1/2。</w:t>
                        </w:r>
                      </w:p>
                      <w:p>
                        <w:pPr>
                          <w:pStyle w:val="null3"/>
                          <w:ind w:firstLine="400"/>
                          <w:jc w:val="left"/>
                        </w:pPr>
                        <w:r>
                          <w:rPr>
                            <w:rFonts w:ascii="仿宋_GB2312" w:hAnsi="仿宋_GB2312" w:cs="仿宋_GB2312" w:eastAsia="仿宋_GB2312"/>
                            <w:sz w:val="18"/>
                          </w:rPr>
                          <w:t>3）机动车交通道路一侧或两侧设置的人行道路照明，当人行道与非机动车道混用时，人行道路的平均照度值与非机动车道路相同。当人行道路与非机动车道路分设时，人行道路的平均照度值宜为相邻非机动车道路的照度值的1/2，但不得小于5lx。</w:t>
                        </w:r>
                      </w:p>
                    </w:tc>
                  </w:tr>
                </w:tbl>
                <w:p>
                  <w:pPr>
                    <w:pStyle w:val="null3"/>
                    <w:ind w:firstLine="402"/>
                  </w:pPr>
                  <w:r>
                    <w:rPr>
                      <w:rFonts w:ascii="仿宋_GB2312" w:hAnsi="仿宋_GB2312" w:cs="仿宋_GB2312" w:eastAsia="仿宋_GB2312"/>
                      <w:sz w:val="18"/>
                      <w:b/>
                    </w:rPr>
                    <w:t>项目建成后，当日开灯时间至</w:t>
                  </w:r>
                  <w:r>
                    <w:rPr>
                      <w:rFonts w:ascii="仿宋_GB2312" w:hAnsi="仿宋_GB2312" w:cs="仿宋_GB2312" w:eastAsia="仿宋_GB2312"/>
                      <w:sz w:val="18"/>
                      <w:b/>
                    </w:rPr>
                    <w:t>23</w:t>
                  </w:r>
                  <w:r>
                    <w:rPr>
                      <w:rFonts w:ascii="仿宋_GB2312" w:hAnsi="仿宋_GB2312" w:cs="仿宋_GB2312" w:eastAsia="仿宋_GB2312"/>
                      <w:sz w:val="18"/>
                      <w:b/>
                    </w:rPr>
                    <w:t>点前，路面平均照度不低于《城市道路照明设计标准》CJJ45-2015 中规定的中档值，</w:t>
                  </w:r>
                  <w:r>
                    <w:rPr>
                      <w:rFonts w:ascii="仿宋_GB2312" w:hAnsi="仿宋_GB2312" w:cs="仿宋_GB2312" w:eastAsia="仿宋_GB2312"/>
                      <w:sz w:val="18"/>
                      <w:b/>
                    </w:rPr>
                    <w:t>23</w:t>
                  </w:r>
                  <w:r>
                    <w:rPr>
                      <w:rFonts w:ascii="仿宋_GB2312" w:hAnsi="仿宋_GB2312" w:cs="仿宋_GB2312" w:eastAsia="仿宋_GB2312"/>
                      <w:sz w:val="18"/>
                      <w:b/>
                    </w:rPr>
                    <w:t>点至关灯时间，路面平均照度不低于《城市道路照明设计标准》 CJJ45-2015 中规定的低档值，综合考虑本项目投入灯具的能效可以通过分时段对灯具功率进行调节。</w:t>
                  </w:r>
                </w:p>
                <w:p>
                  <w:pPr>
                    <w:pStyle w:val="null3"/>
                    <w:jc w:val="both"/>
                  </w:pPr>
                  <w:r>
                    <w:rPr>
                      <w:rFonts w:ascii="仿宋_GB2312" w:hAnsi="仿宋_GB2312" w:cs="仿宋_GB2312" w:eastAsia="仿宋_GB2312"/>
                      <w:sz w:val="18"/>
                      <w:b/>
                    </w:rPr>
                    <w:t>（5）照明设备和智能控制系统的相关技术要求</w:t>
                  </w:r>
                </w:p>
                <w:tbl>
                  <w:tblPr>
                    <w:tblInd w:type="dxa" w:w="150"/>
                    <w:tblBorders>
                      <w:top w:val="none" w:color="000000" w:sz="4"/>
                      <w:left w:val="none" w:color="000000" w:sz="4"/>
                      <w:bottom w:val="none" w:color="000000" w:sz="4"/>
                      <w:right w:val="none" w:color="000000" w:sz="4"/>
                      <w:insideH w:val="none"/>
                      <w:insideV w:val="none"/>
                    </w:tblBorders>
                  </w:tblPr>
                  <w:tblGrid>
                    <w:gridCol w:w="251"/>
                    <w:gridCol w:w="753"/>
                    <w:gridCol w:w="2402"/>
                  </w:tblGrid>
                  <w:tr>
                    <w:tc>
                      <w:tcPr>
                        <w:tcW w:type="dxa" w:w="3406"/>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LED灯具参数配置要求</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7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灯具参数</w:t>
                        </w:r>
                      </w:p>
                    </w:tc>
                    <w:tc>
                      <w:tcPr>
                        <w:tcW w:type="dxa" w:w="2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目标要求值</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▲灯具综合光效</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≥210LM/W</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灯具防护等级</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≥IP67</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色温</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4000K-4500K</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PF值</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≥0.96</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显色指数</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Ra≥70</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色容差</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≤7SDCM</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绝缘等级</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CLASS1</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电气安全等级</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Ⅰ级</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输入功率</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输入功率不超过额定值的110%</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配光特性</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根据现场情况，配置满足照明要求的灯具</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高低温测试</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-30℃~85℃正常工作</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灯具外壳</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灯体采用压铸、拉伸铝外壳，紧固件使用 304 不锈钢</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安全指标</w:t>
                        </w:r>
                      </w:p>
                    </w:tc>
                    <w:tc>
                      <w:tcPr>
                        <w:tcW w:type="dxa" w:w="240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应符合国家强制性标准要求</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谐波电流限值</w:t>
                        </w:r>
                      </w:p>
                    </w:tc>
                    <w:tc>
                      <w:tcPr>
                        <w:tcW w:type="dxa" w:w="2402"/>
                        <w:vMerge/>
                        <w:tcBorders>
                          <w:top w:val="none" w:color="000000" w:sz="4"/>
                          <w:left w:val="single" w:color="000000" w:sz="4"/>
                          <w:bottom w:val="none" w:color="000000" w:sz="4"/>
                          <w:right w:val="single" w:color="000000" w:sz="4"/>
                        </w:tcBorders>
                      </w:tcP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电磁兼容抗扰度</w:t>
                        </w:r>
                      </w:p>
                    </w:tc>
                    <w:tc>
                      <w:tcPr>
                        <w:tcW w:type="dxa" w:w="2402"/>
                        <w:vMerge/>
                        <w:tcBorders>
                          <w:top w:val="none" w:color="000000" w:sz="4"/>
                          <w:left w:val="single" w:color="000000" w:sz="4"/>
                          <w:bottom w:val="none" w:color="000000" w:sz="4"/>
                          <w:right w:val="single" w:color="000000" w:sz="4"/>
                        </w:tcBorders>
                      </w:tcP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无线电骚扰特性</w:t>
                        </w:r>
                      </w:p>
                    </w:tc>
                    <w:tc>
                      <w:tcPr>
                        <w:tcW w:type="dxa" w:w="2402"/>
                        <w:vMerge/>
                        <w:tcBorders>
                          <w:top w:val="none" w:color="000000" w:sz="4"/>
                          <w:left w:val="single" w:color="000000" w:sz="4"/>
                          <w:bottom w:val="none" w:color="000000" w:sz="4"/>
                          <w:right w:val="single" w:color="000000" w:sz="4"/>
                        </w:tcBorders>
                      </w:tcP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控制装置</w:t>
                        </w:r>
                      </w:p>
                    </w:tc>
                    <w:tc>
                      <w:tcPr>
                        <w:tcW w:type="dxa" w:w="2402"/>
                        <w:vMerge/>
                        <w:tcBorders>
                          <w:top w:val="none" w:color="000000" w:sz="4"/>
                          <w:left w:val="single" w:color="000000" w:sz="4"/>
                          <w:bottom w:val="none" w:color="000000" w:sz="4"/>
                          <w:right w:val="single" w:color="000000" w:sz="4"/>
                        </w:tcBorders>
                      </w:tcP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抗扰度</w:t>
                        </w:r>
                      </w:p>
                    </w:tc>
                    <w:tc>
                      <w:tcPr>
                        <w:tcW w:type="dxa" w:w="2402"/>
                        <w:vMerge/>
                        <w:tcBorders>
                          <w:top w:val="none" w:color="000000" w:sz="4"/>
                          <w:left w:val="single" w:color="000000" w:sz="4"/>
                          <w:bottom w:val="none" w:color="000000" w:sz="4"/>
                          <w:right w:val="single" w:color="000000" w:sz="4"/>
                        </w:tcBorders>
                      </w:tcP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浪涌防护</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LED灯具的交流电源线路上应装设浪涌保护器。</w:t>
                        </w:r>
                      </w:p>
                    </w:tc>
                  </w:tr>
                </w:tbl>
                <w:tbl>
                  <w:tblPr>
                    <w:tblInd w:type="dxa" w:w="150"/>
                    <w:tblBorders>
                      <w:top w:val="none" w:color="000000" w:sz="4"/>
                      <w:left w:val="none" w:color="000000" w:sz="4"/>
                      <w:bottom w:val="none" w:color="000000" w:sz="4"/>
                      <w:right w:val="none" w:color="000000" w:sz="4"/>
                      <w:insideH w:val="none"/>
                      <w:insideV w:val="none"/>
                    </w:tblBorders>
                  </w:tblPr>
                  <w:tblGrid>
                    <w:gridCol w:w="251"/>
                    <w:gridCol w:w="753"/>
                    <w:gridCol w:w="2402"/>
                  </w:tblGrid>
                  <w:tr>
                    <w:tc>
                      <w:tcPr>
                        <w:tcW w:type="dxa" w:w="3406"/>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灯具性能配置要求</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7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项目</w:t>
                        </w:r>
                      </w:p>
                    </w:tc>
                    <w:tc>
                      <w:tcPr>
                        <w:tcW w:type="dxa" w:w="2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标准值</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LED芯片</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LED芯片性能应满足上述灯具技术参数需求，并达到本项目检测标准。</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LED电源</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LED电源性能应满足上述灯具技术参数需求，并达到本项目检测标准。</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调光方式</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4G 通讯</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低压电涌保护器</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灯具须加装电涌保护器</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防腐性能</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WF2等级，试验时间不小于168h</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控制接口</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单灯控制器+调光电源</w:t>
                        </w:r>
                      </w:p>
                    </w:tc>
                  </w:tr>
                  <w:tr>
                    <w:tc>
                      <w:tcPr>
                        <w:tcW w:type="dxa" w:w="25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75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模块性能</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光学透镜具备良好的抗紫外线性能，应通过耐候性评价，按照GB/T16422.3方法A进行500小时人工气候老化试验，试验后透光率保持率≥98%</w:t>
                        </w:r>
                      </w:p>
                    </w:tc>
                  </w:tr>
                  <w:tr>
                    <w:tc>
                      <w:tcPr>
                        <w:tcW w:type="dxa" w:w="251"/>
                        <w:vMerge/>
                        <w:tcBorders>
                          <w:top w:val="none" w:color="000000" w:sz="4"/>
                          <w:left w:val="single" w:color="000000" w:sz="4"/>
                          <w:bottom w:val="none" w:color="000000" w:sz="4"/>
                          <w:right w:val="single" w:color="000000" w:sz="4"/>
                        </w:tcBorders>
                      </w:tcPr>
                      <w:p/>
                    </w:tc>
                    <w:tc>
                      <w:tcPr>
                        <w:tcW w:type="dxa" w:w="753"/>
                        <w:vMerge/>
                        <w:tcBorders>
                          <w:top w:val="none" w:color="000000" w:sz="4"/>
                          <w:left w:val="single" w:color="000000" w:sz="4"/>
                          <w:bottom w:val="none" w:color="000000" w:sz="4"/>
                          <w:right w:val="single" w:color="000000" w:sz="4"/>
                        </w:tcBorders>
                      </w:tcP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光学透镜具备良好的热稳定性能，放置在250℃高温箱中 2小时，试验后光学透镜不变形。</w:t>
                        </w:r>
                      </w:p>
                    </w:tc>
                  </w:tr>
                  <w:tr>
                    <w:tc>
                      <w:tcPr>
                        <w:tcW w:type="dxa" w:w="251"/>
                        <w:vMerge/>
                        <w:tcBorders>
                          <w:top w:val="none" w:color="000000" w:sz="4"/>
                          <w:left w:val="single" w:color="000000" w:sz="4"/>
                          <w:bottom w:val="none" w:color="000000" w:sz="4"/>
                          <w:right w:val="single" w:color="000000" w:sz="4"/>
                        </w:tcBorders>
                      </w:tcPr>
                      <w:p/>
                    </w:tc>
                    <w:tc>
                      <w:tcPr>
                        <w:tcW w:type="dxa" w:w="753"/>
                        <w:vMerge/>
                        <w:tcBorders>
                          <w:top w:val="none" w:color="000000" w:sz="4"/>
                          <w:left w:val="single" w:color="000000" w:sz="4"/>
                          <w:bottom w:val="none" w:color="000000" w:sz="4"/>
                          <w:right w:val="single" w:color="000000" w:sz="4"/>
                        </w:tcBorders>
                      </w:tcP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LED模块光学透镜透光率≥97%</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盐雾试验</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灯具盐雾测试不小于500h</w:t>
                        </w:r>
                      </w:p>
                    </w:tc>
                  </w:tr>
                  <w:tr>
                    <w:tc>
                      <w:tcPr>
                        <w:tcW w:type="dxa" w:w="25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75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安全性能</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灯具应具有防止坠落保护功能</w:t>
                        </w:r>
                      </w:p>
                    </w:tc>
                  </w:tr>
                  <w:tr>
                    <w:tc>
                      <w:tcPr>
                        <w:tcW w:type="dxa" w:w="251"/>
                        <w:vMerge/>
                        <w:tcBorders>
                          <w:top w:val="none" w:color="000000" w:sz="4"/>
                          <w:left w:val="single" w:color="000000" w:sz="4"/>
                          <w:bottom w:val="none" w:color="000000" w:sz="4"/>
                          <w:right w:val="single" w:color="000000" w:sz="4"/>
                        </w:tcBorders>
                      </w:tcPr>
                      <w:p/>
                    </w:tc>
                    <w:tc>
                      <w:tcPr>
                        <w:tcW w:type="dxa" w:w="753"/>
                        <w:vMerge/>
                        <w:tcBorders>
                          <w:top w:val="none" w:color="000000" w:sz="4"/>
                          <w:left w:val="single" w:color="000000" w:sz="4"/>
                          <w:bottom w:val="none" w:color="000000" w:sz="4"/>
                          <w:right w:val="single" w:color="000000" w:sz="4"/>
                        </w:tcBorders>
                      </w:tcP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灯具的防触电保护型式为Ⅰ类</w:t>
                        </w:r>
                      </w:p>
                    </w:tc>
                  </w:tr>
                  <w:tr>
                    <w:tc>
                      <w:tcPr>
                        <w:tcW w:type="dxa" w:w="251"/>
                        <w:vMerge/>
                        <w:tcBorders>
                          <w:top w:val="none" w:color="000000" w:sz="4"/>
                          <w:left w:val="single" w:color="000000" w:sz="4"/>
                          <w:bottom w:val="none" w:color="000000" w:sz="4"/>
                          <w:right w:val="single" w:color="000000" w:sz="4"/>
                        </w:tcBorders>
                      </w:tcPr>
                      <w:p/>
                    </w:tc>
                    <w:tc>
                      <w:tcPr>
                        <w:tcW w:type="dxa" w:w="753"/>
                        <w:vMerge/>
                        <w:tcBorders>
                          <w:top w:val="none" w:color="000000" w:sz="4"/>
                          <w:left w:val="single" w:color="000000" w:sz="4"/>
                          <w:bottom w:val="none" w:color="000000" w:sz="4"/>
                          <w:right w:val="single" w:color="000000" w:sz="4"/>
                        </w:tcBorders>
                      </w:tcP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灯具满足风力试验要求</w:t>
                        </w:r>
                      </w:p>
                      <w:p>
                        <w:pPr>
                          <w:pStyle w:val="null3"/>
                          <w:jc w:val="both"/>
                        </w:pPr>
                        <w:r>
                          <w:rPr>
                            <w:rFonts w:ascii="仿宋_GB2312" w:hAnsi="仿宋_GB2312" w:cs="仿宋_GB2312" w:eastAsia="仿宋_GB2312"/>
                            <w:sz w:val="18"/>
                          </w:rPr>
                          <w:t>灯具满足振动试验要求</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可靠性</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灯具满足可靠性要求，应通过规定的恒定湿热试验。将试验箱内温度调节到85℃±2℃，然后在2h内将试验箱内湿度调节到93%±3%，待箱内的温度和湿度达到规定值并稳定后进行60min、120min通断电循环，持续168h。</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灯具角度可调节</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与杆体的接口方式应能适应杆体不同孔径的要求，且灯具仰角可在-10°~15°范围调整</w:t>
                        </w:r>
                      </w:p>
                    </w:tc>
                  </w:tr>
                </w:tbl>
                <w:tbl>
                  <w:tblPr>
                    <w:tblInd w:type="dxa" w:w="150"/>
                    <w:tblBorders>
                      <w:top w:val="none" w:color="000000" w:sz="4"/>
                      <w:left w:val="none" w:color="000000" w:sz="4"/>
                      <w:bottom w:val="none" w:color="000000" w:sz="4"/>
                      <w:right w:val="none" w:color="000000" w:sz="4"/>
                      <w:insideH w:val="none"/>
                      <w:insideV w:val="none"/>
                    </w:tblBorders>
                  </w:tblPr>
                  <w:tblGrid>
                    <w:gridCol w:w="251"/>
                    <w:gridCol w:w="753"/>
                    <w:gridCol w:w="818"/>
                    <w:gridCol w:w="1584"/>
                  </w:tblGrid>
                  <w:tr>
                    <w:tc>
                      <w:tcPr>
                        <w:tcW w:type="dxa" w:w="3406"/>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LED灯具相关检测项目</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7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检测项目</w:t>
                        </w:r>
                      </w:p>
                    </w:tc>
                    <w:tc>
                      <w:tcPr>
                        <w:tcW w:type="dxa" w:w="8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检测标准</w:t>
                        </w:r>
                      </w:p>
                    </w:tc>
                    <w:tc>
                      <w:tcPr>
                        <w:tcW w:type="dxa" w:w="15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技术要求</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外壳防护等级</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GB/T4208-2017</w:t>
                        </w:r>
                      </w:p>
                    </w:tc>
                    <w:tc>
                      <w:tcPr>
                        <w:tcW w:type="dxa" w:w="1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光色电</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GB/T24907-2010</w:t>
                        </w:r>
                      </w:p>
                    </w:tc>
                    <w:tc>
                      <w:tcPr>
                        <w:tcW w:type="dxa" w:w="1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抗风试验</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GB7000.203-2013</w:t>
                        </w:r>
                      </w:p>
                    </w:tc>
                    <w:tc>
                      <w:tcPr>
                        <w:tcW w:type="dxa" w:w="1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盐雾试验</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GB/T2423.17-2008</w:t>
                        </w:r>
                      </w:p>
                    </w:tc>
                    <w:tc>
                      <w:tcPr>
                        <w:tcW w:type="dxa" w:w="1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35±2℃盐雾试验箱内（5±1）%氯化钠喷雾1000H</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恒温恒湿</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GB/T2423.3-2016</w:t>
                        </w:r>
                      </w:p>
                    </w:tc>
                    <w:tc>
                      <w:tcPr>
                        <w:tcW w:type="dxa" w:w="1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恒温恒湿试验(85℃，85RH%，持续1000h)</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浪涌</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GB/T18595</w:t>
                        </w:r>
                      </w:p>
                    </w:tc>
                    <w:tc>
                      <w:tcPr>
                        <w:tcW w:type="dxa" w:w="1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6KV</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50000h寿命</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GB/T33721-2017</w:t>
                        </w:r>
                      </w:p>
                    </w:tc>
                    <w:tc>
                      <w:tcPr>
                        <w:tcW w:type="dxa" w:w="1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50000h寿命（1000h寿命法）</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光通量维持率</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GB/T31897</w:t>
                        </w:r>
                      </w:p>
                    </w:tc>
                    <w:tc>
                      <w:tcPr>
                        <w:tcW w:type="dxa" w:w="1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使用有LM-80报告的LED封装且验证通过，100000H 大于 70%</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温度循环试验</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GB/T2423.22</w:t>
                        </w:r>
                      </w:p>
                    </w:tc>
                    <w:tc>
                      <w:tcPr>
                        <w:tcW w:type="dxa" w:w="1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高温：85℃，低温：-30℃</w:t>
                        </w:r>
                      </w:p>
                      <w:p>
                        <w:pPr>
                          <w:pStyle w:val="null3"/>
                          <w:jc w:val="both"/>
                        </w:pPr>
                        <w:r>
                          <w:rPr>
                            <w:rFonts w:ascii="仿宋_GB2312" w:hAnsi="仿宋_GB2312" w:cs="仿宋_GB2312" w:eastAsia="仿宋_GB2312"/>
                            <w:sz w:val="18"/>
                          </w:rPr>
                          <w:t>暴露持续时间1小时，循环次数250次</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开关试验</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GB/T33721-2017</w:t>
                        </w:r>
                      </w:p>
                    </w:tc>
                    <w:tc>
                      <w:tcPr>
                        <w:tcW w:type="dxa" w:w="1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以开30s，关30s为一个开关循环。10000次试验后，不低于初始光通量的90%</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高温贮存</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GB/T2423.2-2008</w:t>
                        </w:r>
                      </w:p>
                    </w:tc>
                    <w:tc>
                      <w:tcPr>
                        <w:tcW w:type="dxa" w:w="1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样品在整个实验过程中通电，持续时间168h，流向试验样品的空气温度应处于试验严酷等级温度的±2℃范围</w:t>
                        </w:r>
                      </w:p>
                      <w:p>
                        <w:pPr>
                          <w:pStyle w:val="null3"/>
                          <w:jc w:val="both"/>
                        </w:pPr>
                        <w:r>
                          <w:rPr>
                            <w:rFonts w:ascii="仿宋_GB2312" w:hAnsi="仿宋_GB2312" w:cs="仿宋_GB2312" w:eastAsia="仿宋_GB2312"/>
                            <w:sz w:val="18"/>
                          </w:rPr>
                          <w:t>内，严酷等级温度：85℃</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低温贮存</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GB/T2423.1-2008</w:t>
                        </w:r>
                      </w:p>
                    </w:tc>
                    <w:tc>
                      <w:tcPr>
                        <w:tcW w:type="dxa" w:w="1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流向试验样品的空气温度应处于试验严酷等级温度的±2℃范围内严酷等级温度：-40℃样品在整个试验过程中通电，持续时间168h</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振动(正弦)</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GB/T2423.10-2019</w:t>
                        </w:r>
                      </w:p>
                    </w:tc>
                    <w:tc>
                      <w:tcPr>
                        <w:tcW w:type="dxa" w:w="1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振动频率在10Hz~46Hz时采用恒定位移法，振幅0.35mm（峰值0.7mm）；在46Hz~150Hz时采用恒定加速度法，加速度为30m/s²（3.0g）。</w:t>
                        </w:r>
                      </w:p>
                      <w:p>
                        <w:pPr>
                          <w:pStyle w:val="null3"/>
                          <w:jc w:val="both"/>
                        </w:pPr>
                        <w:r>
                          <w:rPr>
                            <w:rFonts w:ascii="仿宋_GB2312" w:hAnsi="仿宋_GB2312" w:cs="仿宋_GB2312" w:eastAsia="仿宋_GB2312"/>
                            <w:sz w:val="18"/>
                          </w:rPr>
                          <w:t>10Hz→46Hz→150Hz→46Hz→10Hz为1个循环，扫频速率为每一分钟一个倍频程，在互相垂直的三个方向上分别经历20个扫频循环。试验中样品功能正常，试验后样品结构应无破裂，无明显变形，紧固件应无松动现象。</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机械碰撞防护等级(IK10)</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GB/T20138-2023</w:t>
                        </w:r>
                      </w:p>
                    </w:tc>
                    <w:tc>
                      <w:tcPr>
                        <w:tcW w:type="dxa" w:w="1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20J，每个暴露面撞击5次</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户外防强腐蚀型（WF2）(二氧化硫)</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GB/T2423.33-2021</w:t>
                        </w:r>
                      </w:p>
                    </w:tc>
                    <w:tc>
                      <w:tcPr>
                        <w:tcW w:type="dxa" w:w="1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第一阶段：试验温度（40±3）℃，相对湿度~100%RH，试验时间8h，二氧化硫浓度为0.67%（体积比）；第二阶段：试验温度（18~28）℃，相对湿度≤75%，试验时间16h；共进行10周期。</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UV老化弯曲强度</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GB16422.3-2022</w:t>
                        </w:r>
                      </w:p>
                    </w:tc>
                    <w:tc>
                      <w:tcPr>
                        <w:tcW w:type="dxa" w:w="1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GB16422.3-2022塑料实验室光源暴露试验方法</w:t>
                        </w:r>
                      </w:p>
                    </w:tc>
                  </w:tr>
                </w:tbl>
                <w:p>
                  <w:pPr>
                    <w:pStyle w:val="null3"/>
                    <w:jc w:val="both"/>
                  </w:pPr>
                  <w:r>
                    <w:rPr>
                      <w:rFonts w:ascii="仿宋_GB2312" w:hAnsi="仿宋_GB2312" w:cs="仿宋_GB2312" w:eastAsia="仿宋_GB2312"/>
                      <w:sz w:val="18"/>
                    </w:rPr>
                    <w:t>注：①节能改造期内国标发生变更的以新的国标要求为准；</w:t>
                  </w:r>
                </w:p>
                <w:p>
                  <w:pPr>
                    <w:pStyle w:val="null3"/>
                    <w:ind w:firstLine="400"/>
                    <w:jc w:val="both"/>
                  </w:pPr>
                  <w:r>
                    <w:rPr>
                      <w:rFonts w:ascii="仿宋_GB2312" w:hAnsi="仿宋_GB2312" w:cs="仿宋_GB2312" w:eastAsia="仿宋_GB2312"/>
                      <w:sz w:val="18"/>
                    </w:rPr>
                    <w:t>②对LED灯具技术参数及性能配置要求、检测项目技术要求高于国标要求的以招标文件要求为准；以上技术参数证明文件投标人应承诺在合同签订前提供国家认可的第三方检测机构出具的检测报告扫描件。</w:t>
                  </w:r>
                </w:p>
                <w:p>
                  <w:pPr>
                    <w:pStyle w:val="null3"/>
                  </w:pPr>
                  <w:r>
                    <w:rPr>
                      <w:rFonts w:ascii="仿宋_GB2312" w:hAnsi="仿宋_GB2312" w:cs="仿宋_GB2312" w:eastAsia="仿宋_GB2312"/>
                      <w:sz w:val="18"/>
                      <w:b/>
                    </w:rPr>
                    <w:t>（6）电源要求</w:t>
                  </w:r>
                </w:p>
                <w:p>
                  <w:pPr>
                    <w:pStyle w:val="null3"/>
                  </w:pPr>
                  <w:r>
                    <w:rPr>
                      <w:rFonts w:ascii="仿宋_GB2312" w:hAnsi="仿宋_GB2312" w:cs="仿宋_GB2312" w:eastAsia="仿宋_GB2312"/>
                      <w:sz w:val="18"/>
                    </w:rPr>
                    <w:t>①所采用的驱动电源须通过CCC认证，具有开路、短路、过载保护特性，电源质保期与灯具一致，效率大于92%，功率因数大于0.95；并具有过流、过热、过压、短路以及开关冲击等防护功能。</w:t>
                  </w:r>
                </w:p>
                <w:p>
                  <w:pPr>
                    <w:pStyle w:val="null3"/>
                  </w:pPr>
                  <w:r>
                    <w:rPr>
                      <w:rFonts w:ascii="仿宋_GB2312" w:hAnsi="仿宋_GB2312" w:cs="仿宋_GB2312" w:eastAsia="仿宋_GB2312"/>
                      <w:sz w:val="18"/>
                    </w:rPr>
                    <w:t>②灯具的额定电源：AC90~305，防护等级不低于IP67。</w:t>
                  </w:r>
                </w:p>
                <w:p>
                  <w:pPr>
                    <w:pStyle w:val="null3"/>
                  </w:pPr>
                  <w:r>
                    <w:rPr>
                      <w:rFonts w:ascii="仿宋_GB2312" w:hAnsi="仿宋_GB2312" w:cs="仿宋_GB2312" w:eastAsia="仿宋_GB2312"/>
                      <w:sz w:val="18"/>
                    </w:rPr>
                    <w:t>③电源效率：≥95%</w:t>
                  </w:r>
                </w:p>
                <w:p>
                  <w:pPr>
                    <w:pStyle w:val="null3"/>
                  </w:pPr>
                  <w:r>
                    <w:rPr>
                      <w:rFonts w:ascii="仿宋_GB2312" w:hAnsi="仿宋_GB2312" w:cs="仿宋_GB2312" w:eastAsia="仿宋_GB2312"/>
                      <w:sz w:val="18"/>
                    </w:rPr>
                    <w:t>④功率因数：≥0.98</w:t>
                  </w:r>
                </w:p>
                <w:p>
                  <w:pPr>
                    <w:pStyle w:val="null3"/>
                  </w:pPr>
                  <w:r>
                    <w:rPr>
                      <w:rFonts w:ascii="仿宋_GB2312" w:hAnsi="仿宋_GB2312" w:cs="仿宋_GB2312" w:eastAsia="仿宋_GB2312"/>
                      <w:sz w:val="18"/>
                    </w:rPr>
                    <w:t>⑤LED电源应具备良好的密封防护性，并且方便维修更换。</w:t>
                  </w:r>
                </w:p>
                <w:p>
                  <w:pPr>
                    <w:pStyle w:val="null3"/>
                  </w:pPr>
                  <w:r>
                    <w:rPr>
                      <w:rFonts w:ascii="仿宋_GB2312" w:hAnsi="仿宋_GB2312" w:cs="仿宋_GB2312" w:eastAsia="仿宋_GB2312"/>
                      <w:sz w:val="18"/>
                      <w:b/>
                    </w:rPr>
                    <w:t>（7）</w:t>
                  </w:r>
                  <w:r>
                    <w:rPr>
                      <w:rFonts w:ascii="仿宋_GB2312" w:hAnsi="仿宋_GB2312" w:cs="仿宋_GB2312" w:eastAsia="仿宋_GB2312"/>
                      <w:sz w:val="18"/>
                      <w:b/>
                    </w:rPr>
                    <w:t>智慧控制系统主要技术指标和功能要求</w:t>
                  </w:r>
                </w:p>
                <w:p>
                  <w:pPr>
                    <w:pStyle w:val="null3"/>
                    <w:ind w:firstLine="400"/>
                    <w:jc w:val="both"/>
                  </w:pPr>
                  <w:r>
                    <w:rPr>
                      <w:rFonts w:ascii="仿宋_GB2312" w:hAnsi="仿宋_GB2312" w:cs="仿宋_GB2312" w:eastAsia="仿宋_GB2312"/>
                      <w:sz w:val="18"/>
                    </w:rPr>
                    <w:t>1)单灯控制器</w:t>
                  </w:r>
                </w:p>
                <w:p>
                  <w:pPr>
                    <w:pStyle w:val="null3"/>
                    <w:ind w:firstLine="400"/>
                    <w:jc w:val="both"/>
                  </w:pPr>
                  <w:r>
                    <w:rPr>
                      <w:rFonts w:ascii="仿宋_GB2312" w:hAnsi="仿宋_GB2312" w:cs="仿宋_GB2312" w:eastAsia="仿宋_GB2312"/>
                      <w:sz w:val="18"/>
                    </w:rPr>
                    <w:t>主要功能：</w:t>
                  </w:r>
                </w:p>
                <w:p>
                  <w:pPr>
                    <w:pStyle w:val="null3"/>
                    <w:ind w:firstLine="400"/>
                    <w:jc w:val="both"/>
                  </w:pPr>
                  <w:r>
                    <w:rPr>
                      <w:rFonts w:ascii="仿宋_GB2312" w:hAnsi="仿宋_GB2312" w:cs="仿宋_GB2312" w:eastAsia="仿宋_GB2312"/>
                      <w:sz w:val="18"/>
                    </w:rPr>
                    <w:t>①支持开关灯控制、调光或变功率控制。</w:t>
                  </w:r>
                </w:p>
                <w:p>
                  <w:pPr>
                    <w:pStyle w:val="null3"/>
                    <w:ind w:firstLine="400"/>
                    <w:jc w:val="both"/>
                  </w:pPr>
                  <w:r>
                    <w:rPr>
                      <w:rFonts w:ascii="仿宋_GB2312" w:hAnsi="仿宋_GB2312" w:cs="仿宋_GB2312" w:eastAsia="仿宋_GB2312"/>
                      <w:sz w:val="18"/>
                    </w:rPr>
                    <w:t>②能在基站信号不良或道路照明综合管理平台通信中断时，自主独立运行，按设定的计划、策略自主开关灯。</w:t>
                  </w:r>
                </w:p>
                <w:p>
                  <w:pPr>
                    <w:pStyle w:val="null3"/>
                    <w:ind w:firstLine="400"/>
                    <w:jc w:val="both"/>
                  </w:pPr>
                  <w:r>
                    <w:rPr>
                      <w:rFonts w:ascii="仿宋_GB2312" w:hAnsi="仿宋_GB2312" w:cs="仿宋_GB2312" w:eastAsia="仿宋_GB2312"/>
                      <w:sz w:val="18"/>
                    </w:rPr>
                    <w:t>③具有 0～100%输出调光节能的功能。</w:t>
                  </w:r>
                </w:p>
                <w:p>
                  <w:pPr>
                    <w:pStyle w:val="null3"/>
                    <w:ind w:firstLine="400"/>
                    <w:jc w:val="both"/>
                  </w:pPr>
                  <w:r>
                    <w:rPr>
                      <w:rFonts w:ascii="仿宋_GB2312" w:hAnsi="仿宋_GB2312" w:cs="仿宋_GB2312" w:eastAsia="仿宋_GB2312"/>
                      <w:sz w:val="18"/>
                    </w:rPr>
                    <w:t>④支持电压、电流、有功功率等实时监测。</w:t>
                  </w:r>
                </w:p>
                <w:p>
                  <w:pPr>
                    <w:pStyle w:val="null3"/>
                    <w:ind w:firstLine="400"/>
                    <w:jc w:val="both"/>
                  </w:pPr>
                  <w:r>
                    <w:rPr>
                      <w:rFonts w:ascii="仿宋_GB2312" w:hAnsi="仿宋_GB2312" w:cs="仿宋_GB2312" w:eastAsia="仿宋_GB2312"/>
                      <w:sz w:val="18"/>
                    </w:rPr>
                    <w:t>⑤支持 4G Cat.1通讯方式。</w:t>
                  </w:r>
                </w:p>
                <w:p>
                  <w:pPr>
                    <w:pStyle w:val="null3"/>
                    <w:ind w:firstLine="400"/>
                    <w:jc w:val="both"/>
                  </w:pPr>
                  <w:r>
                    <w:rPr>
                      <w:rFonts w:ascii="仿宋_GB2312" w:hAnsi="仿宋_GB2312" w:cs="仿宋_GB2312" w:eastAsia="仿宋_GB2312"/>
                      <w:sz w:val="18"/>
                    </w:rPr>
                    <w:t>⑥具有运行故障检测和故障主动上报功能。</w:t>
                  </w:r>
                </w:p>
                <w:p>
                  <w:pPr>
                    <w:pStyle w:val="null3"/>
                    <w:ind w:firstLine="400"/>
                    <w:jc w:val="both"/>
                  </w:pPr>
                  <w:r>
                    <w:rPr>
                      <w:rFonts w:ascii="仿宋_GB2312" w:hAnsi="仿宋_GB2312" w:cs="仿宋_GB2312" w:eastAsia="仿宋_GB2312"/>
                      <w:sz w:val="18"/>
                    </w:rPr>
                    <w:t>⑦具有根据控制中心发送的校时命令校正时间的功能。</w:t>
                  </w:r>
                </w:p>
                <w:p>
                  <w:pPr>
                    <w:pStyle w:val="null3"/>
                    <w:ind w:firstLine="400"/>
                    <w:jc w:val="both"/>
                  </w:pPr>
                  <w:r>
                    <w:rPr>
                      <w:rFonts w:ascii="仿宋_GB2312" w:hAnsi="仿宋_GB2312" w:cs="仿宋_GB2312" w:eastAsia="仿宋_GB2312"/>
                      <w:sz w:val="18"/>
                    </w:rPr>
                    <w:t>⑧支持软件远程升级（托管服务费包含软件升级费用）。</w:t>
                  </w:r>
                </w:p>
                <w:p>
                  <w:pPr>
                    <w:pStyle w:val="null3"/>
                    <w:ind w:firstLine="400"/>
                    <w:jc w:val="both"/>
                  </w:pPr>
                  <w:r>
                    <w:rPr>
                      <w:rFonts w:ascii="仿宋_GB2312" w:hAnsi="仿宋_GB2312" w:cs="仿宋_GB2312" w:eastAsia="仿宋_GB2312"/>
                      <w:sz w:val="18"/>
                    </w:rPr>
                    <w:t>⑨设备自身故障不影响其他终端设备及灯具的正常运行。</w:t>
                  </w:r>
                </w:p>
                <w:p>
                  <w:pPr>
                    <w:pStyle w:val="null3"/>
                    <w:ind w:firstLine="400"/>
                    <w:jc w:val="both"/>
                  </w:pPr>
                  <w:r>
                    <w:rPr>
                      <w:rFonts w:ascii="仿宋_GB2312" w:hAnsi="仿宋_GB2312" w:cs="仿宋_GB2312" w:eastAsia="仿宋_GB2312"/>
                      <w:sz w:val="18"/>
                    </w:rPr>
                    <w:t>⑩设备支持脱网运行具有按照预设置的参数自主执行控制的功能。</w:t>
                  </w:r>
                </w:p>
                <w:p>
                  <w:pPr>
                    <w:pStyle w:val="null3"/>
                    <w:ind w:firstLine="400"/>
                    <w:jc w:val="both"/>
                  </w:pPr>
                  <w:r>
                    <w:rPr>
                      <w:rFonts w:ascii="仿宋_GB2312" w:hAnsi="仿宋_GB2312" w:cs="仿宋_GB2312" w:eastAsia="仿宋_GB2312"/>
                      <w:sz w:val="18"/>
                    </w:rPr>
                    <w:t>⑪</w:t>
                  </w:r>
                  <w:r>
                    <w:rPr>
                      <w:rFonts w:ascii="仿宋_GB2312" w:hAnsi="仿宋_GB2312" w:cs="仿宋_GB2312" w:eastAsia="仿宋_GB2312"/>
                      <w:sz w:val="18"/>
                      <w:b/>
                    </w:rPr>
                    <w:t>▲</w:t>
                  </w:r>
                  <w:r>
                    <w:rPr>
                      <w:rFonts w:ascii="仿宋_GB2312" w:hAnsi="仿宋_GB2312" w:cs="仿宋_GB2312" w:eastAsia="仿宋_GB2312"/>
                      <w:sz w:val="18"/>
                    </w:rPr>
                    <w:t>设备支持异常开/关灯、灯具故障、通信失败等报警功能。支持手执设备通过无线对控制器实现自动获取设备UID信息、检测接线是否正确、对故障原因进行分析以及对无网络的控制设置开关灯自动任务。</w:t>
                  </w:r>
                </w:p>
                <w:p>
                  <w:pPr>
                    <w:pStyle w:val="null3"/>
                    <w:ind w:firstLine="400"/>
                    <w:jc w:val="both"/>
                  </w:pPr>
                  <w:r>
                    <w:rPr>
                      <w:rFonts w:ascii="仿宋_GB2312" w:hAnsi="仿宋_GB2312" w:cs="仿宋_GB2312" w:eastAsia="仿宋_GB2312"/>
                      <w:sz w:val="18"/>
                    </w:rPr>
                    <w:t>⑫</w:t>
                  </w:r>
                  <w:r>
                    <w:rPr>
                      <w:rFonts w:ascii="仿宋_GB2312" w:hAnsi="仿宋_GB2312" w:cs="仿宋_GB2312" w:eastAsia="仿宋_GB2312"/>
                      <w:sz w:val="18"/>
                      <w:b/>
                    </w:rPr>
                    <w:t>▲单灯控制器具有工业和信息化部无线电管理局颁发的无线电发射设备型号核准证（SRRC证书），需提供单灯控制器整体SRRC证书扫描件和工信部官网查询记录进行佐证。</w:t>
                  </w:r>
                </w:p>
                <w:p>
                  <w:pPr>
                    <w:pStyle w:val="null3"/>
                    <w:ind w:firstLine="402"/>
                    <w:jc w:val="both"/>
                  </w:pPr>
                  <w:r>
                    <w:rPr>
                      <w:rFonts w:ascii="仿宋_GB2312" w:hAnsi="仿宋_GB2312" w:cs="仿宋_GB2312" w:eastAsia="仿宋_GB2312"/>
                      <w:sz w:val="18"/>
                      <w:b/>
                    </w:rPr>
                    <w:t>单灯控制器主要性能：</w:t>
                  </w:r>
                </w:p>
                <w:p>
                  <w:pPr>
                    <w:pStyle w:val="null3"/>
                    <w:ind w:firstLine="402"/>
                    <w:jc w:val="both"/>
                  </w:pPr>
                  <w:r>
                    <w:rPr>
                      <w:rFonts w:ascii="仿宋_GB2312" w:hAnsi="仿宋_GB2312" w:cs="仿宋_GB2312" w:eastAsia="仿宋_GB2312"/>
                      <w:sz w:val="18"/>
                      <w:b/>
                    </w:rPr>
                    <w:t>▲</w:t>
                  </w:r>
                  <w:r>
                    <w:rPr>
                      <w:rFonts w:ascii="仿宋_GB2312" w:hAnsi="仿宋_GB2312" w:cs="仿宋_GB2312" w:eastAsia="仿宋_GB2312"/>
                      <w:sz w:val="18"/>
                    </w:rPr>
                    <w:t>通用电压，85-305VAC，50～60Hz。</w:t>
                  </w:r>
                </w:p>
                <w:p>
                  <w:pPr>
                    <w:pStyle w:val="null3"/>
                    <w:ind w:firstLine="400"/>
                    <w:jc w:val="both"/>
                  </w:pPr>
                  <w:r>
                    <w:rPr>
                      <w:rFonts w:ascii="仿宋_GB2312" w:hAnsi="仿宋_GB2312" w:cs="仿宋_GB2312" w:eastAsia="仿宋_GB2312"/>
                      <w:sz w:val="18"/>
                    </w:rPr>
                    <w:t>设备功率：≤3W。</w:t>
                  </w:r>
                </w:p>
                <w:p>
                  <w:pPr>
                    <w:pStyle w:val="null3"/>
                    <w:ind w:firstLine="400"/>
                    <w:jc w:val="both"/>
                  </w:pPr>
                  <w:r>
                    <w:rPr>
                      <w:rFonts w:ascii="仿宋_GB2312" w:hAnsi="仿宋_GB2312" w:cs="仿宋_GB2312" w:eastAsia="仿宋_GB2312"/>
                      <w:sz w:val="18"/>
                    </w:rPr>
                    <w:t>电压、电流测量最大容许误差≤±0.5％。</w:t>
                  </w:r>
                </w:p>
                <w:p>
                  <w:pPr>
                    <w:pStyle w:val="null3"/>
                    <w:jc w:val="both"/>
                  </w:pPr>
                  <w:r>
                    <w:rPr>
                      <w:rFonts w:ascii="仿宋_GB2312" w:hAnsi="仿宋_GB2312" w:cs="仿宋_GB2312" w:eastAsia="仿宋_GB2312"/>
                      <w:sz w:val="18"/>
                    </w:rPr>
                    <w:t>支持0~10V无极调光控制，调节误差不大于0.2V。</w:t>
                  </w:r>
                </w:p>
                <w:p>
                  <w:pPr>
                    <w:pStyle w:val="null3"/>
                    <w:ind w:firstLine="402"/>
                    <w:jc w:val="both"/>
                  </w:pPr>
                  <w:r>
                    <w:rPr>
                      <w:rFonts w:ascii="仿宋_GB2312" w:hAnsi="仿宋_GB2312" w:cs="仿宋_GB2312" w:eastAsia="仿宋_GB2312"/>
                      <w:sz w:val="18"/>
                      <w:b/>
                    </w:rPr>
                    <w:t>▲</w:t>
                  </w:r>
                  <w:r>
                    <w:rPr>
                      <w:rFonts w:ascii="仿宋_GB2312" w:hAnsi="仿宋_GB2312" w:cs="仿宋_GB2312" w:eastAsia="仿宋_GB2312"/>
                      <w:sz w:val="18"/>
                    </w:rPr>
                    <w:t>控制器常闭继电器≥16A，负载400瓦LED灯开关动作次数≥50000次。</w:t>
                  </w:r>
                </w:p>
                <w:p>
                  <w:pPr>
                    <w:pStyle w:val="null3"/>
                    <w:ind w:firstLine="400"/>
                    <w:jc w:val="both"/>
                  </w:pPr>
                  <w:r>
                    <w:rPr>
                      <w:rFonts w:ascii="仿宋_GB2312" w:hAnsi="仿宋_GB2312" w:cs="仿宋_GB2312" w:eastAsia="仿宋_GB2312"/>
                      <w:sz w:val="18"/>
                    </w:rPr>
                    <w:t>工作温度：-40℃～+80℃。</w:t>
                  </w:r>
                </w:p>
                <w:p>
                  <w:pPr>
                    <w:pStyle w:val="null3"/>
                    <w:ind w:firstLine="400"/>
                    <w:jc w:val="both"/>
                  </w:pPr>
                  <w:r>
                    <w:rPr>
                      <w:rFonts w:ascii="仿宋_GB2312" w:hAnsi="仿宋_GB2312" w:cs="仿宋_GB2312" w:eastAsia="仿宋_GB2312"/>
                      <w:sz w:val="18"/>
                    </w:rPr>
                    <w:t>安装方式：既可以安装在灯具电器腔内，也可以在灯杆的检修口内安装。</w:t>
                  </w:r>
                </w:p>
                <w:p>
                  <w:pPr>
                    <w:pStyle w:val="null3"/>
                    <w:ind w:firstLine="402"/>
                    <w:jc w:val="both"/>
                  </w:pPr>
                  <w:r>
                    <w:rPr>
                      <w:rFonts w:ascii="仿宋_GB2312" w:hAnsi="仿宋_GB2312" w:cs="仿宋_GB2312" w:eastAsia="仿宋_GB2312"/>
                      <w:sz w:val="18"/>
                      <w:b/>
                    </w:rPr>
                    <w:t>2）</w:t>
                  </w:r>
                  <w:r>
                    <w:rPr>
                      <w:rFonts w:ascii="仿宋_GB2312" w:hAnsi="仿宋_GB2312" w:cs="仿宋_GB2312" w:eastAsia="仿宋_GB2312"/>
                      <w:sz w:val="18"/>
                      <w:b/>
                    </w:rPr>
                    <w:t>集中控制器</w:t>
                  </w:r>
                </w:p>
                <w:p>
                  <w:pPr>
                    <w:pStyle w:val="null3"/>
                    <w:ind w:firstLine="402"/>
                    <w:jc w:val="both"/>
                  </w:pPr>
                  <w:r>
                    <w:rPr>
                      <w:rFonts w:ascii="仿宋_GB2312" w:hAnsi="仿宋_GB2312" w:cs="仿宋_GB2312" w:eastAsia="仿宋_GB2312"/>
                      <w:sz w:val="18"/>
                      <w:b/>
                    </w:rPr>
                    <w:t>主要功能：</w:t>
                  </w:r>
                </w:p>
                <w:p>
                  <w:pPr>
                    <w:pStyle w:val="null3"/>
                    <w:ind w:firstLine="400"/>
                    <w:jc w:val="both"/>
                  </w:pPr>
                  <w:r>
                    <w:rPr>
                      <w:rFonts w:ascii="仿宋_GB2312" w:hAnsi="仿宋_GB2312" w:cs="仿宋_GB2312" w:eastAsia="仿宋_GB2312"/>
                      <w:sz w:val="18"/>
                    </w:rPr>
                    <w:t>①具备遥控、遥信、遥调、自控、报警等先进功能。</w:t>
                  </w:r>
                </w:p>
                <w:p>
                  <w:pPr>
                    <w:pStyle w:val="null3"/>
                    <w:ind w:firstLine="400"/>
                    <w:jc w:val="both"/>
                  </w:pPr>
                  <w:r>
                    <w:rPr>
                      <w:rFonts w:ascii="仿宋_GB2312" w:hAnsi="仿宋_GB2312" w:cs="仿宋_GB2312" w:eastAsia="仿宋_GB2312"/>
                      <w:sz w:val="18"/>
                    </w:rPr>
                    <w:t>②具备多回路合闸、分闸时自动进行差时控制。</w:t>
                  </w:r>
                </w:p>
                <w:p>
                  <w:pPr>
                    <w:pStyle w:val="null3"/>
                    <w:ind w:firstLine="400"/>
                    <w:jc w:val="both"/>
                  </w:pPr>
                  <w:r>
                    <w:rPr>
                      <w:rFonts w:ascii="仿宋_GB2312" w:hAnsi="仿宋_GB2312" w:cs="仿宋_GB2312" w:eastAsia="仿宋_GB2312"/>
                      <w:sz w:val="18"/>
                    </w:rPr>
                    <w:t>③可兼容4G/以太网等公网通信方式，既可与中心站对接，也可与云平台对接。</w:t>
                  </w:r>
                </w:p>
                <w:p>
                  <w:pPr>
                    <w:pStyle w:val="null3"/>
                    <w:ind w:firstLine="400"/>
                    <w:jc w:val="both"/>
                  </w:pPr>
                  <w:r>
                    <w:rPr>
                      <w:rFonts w:ascii="仿宋_GB2312" w:hAnsi="仿宋_GB2312" w:cs="仿宋_GB2312" w:eastAsia="仿宋_GB2312"/>
                      <w:sz w:val="18"/>
                    </w:rPr>
                    <w:t>④支持软件远程升级（托管服务费包含软件升级费用）。</w:t>
                  </w:r>
                </w:p>
                <w:p>
                  <w:pPr>
                    <w:pStyle w:val="null3"/>
                    <w:ind w:firstLine="400"/>
                    <w:jc w:val="both"/>
                  </w:pPr>
                  <w:r>
                    <w:rPr>
                      <w:rFonts w:ascii="仿宋_GB2312" w:hAnsi="仿宋_GB2312" w:cs="仿宋_GB2312" w:eastAsia="仿宋_GB2312"/>
                      <w:sz w:val="18"/>
                    </w:rPr>
                    <w:t>⑤具备多种开关灯模式，可实现不同时段的组合控制，方便现场景和模式控制，能按经纬度、定时或光杆、默认计划自主开关灯。</w:t>
                  </w:r>
                </w:p>
                <w:p>
                  <w:pPr>
                    <w:pStyle w:val="null3"/>
                    <w:ind w:firstLine="400"/>
                    <w:jc w:val="both"/>
                  </w:pPr>
                  <w:r>
                    <w:rPr>
                      <w:rFonts w:ascii="仿宋_GB2312" w:hAnsi="仿宋_GB2312" w:cs="仿宋_GB2312" w:eastAsia="仿宋_GB2312"/>
                      <w:sz w:val="18"/>
                    </w:rPr>
                    <w:t>⑥支持开关量输入变化（门禁、水浸）故障主动报警。</w:t>
                  </w:r>
                </w:p>
                <w:p>
                  <w:pPr>
                    <w:pStyle w:val="null3"/>
                    <w:ind w:firstLine="400"/>
                    <w:jc w:val="both"/>
                  </w:pPr>
                  <w:r>
                    <w:rPr>
                      <w:rFonts w:ascii="仿宋_GB2312" w:hAnsi="仿宋_GB2312" w:cs="仿宋_GB2312" w:eastAsia="仿宋_GB2312"/>
                      <w:sz w:val="18"/>
                    </w:rPr>
                    <w:t>⑦具备自动冻结电能数据，冻结时间可设置。</w:t>
                  </w:r>
                </w:p>
                <w:p>
                  <w:pPr>
                    <w:pStyle w:val="null3"/>
                    <w:ind w:firstLine="400"/>
                    <w:jc w:val="both"/>
                  </w:pPr>
                  <w:r>
                    <w:rPr>
                      <w:rFonts w:ascii="仿宋_GB2312" w:hAnsi="仿宋_GB2312" w:cs="仿宋_GB2312" w:eastAsia="仿宋_GB2312"/>
                      <w:sz w:val="18"/>
                    </w:rPr>
                    <w:t>⑧自带开关电源，输入交流电源适用全球电压范围，并具有防浪涌措施。</w:t>
                  </w:r>
                </w:p>
                <w:p>
                  <w:pPr>
                    <w:pStyle w:val="null3"/>
                    <w:ind w:firstLine="400"/>
                    <w:jc w:val="both"/>
                  </w:pPr>
                  <w:r>
                    <w:rPr>
                      <w:rFonts w:ascii="仿宋_GB2312" w:hAnsi="仿宋_GB2312" w:cs="仿宋_GB2312" w:eastAsia="仿宋_GB2312"/>
                      <w:sz w:val="18"/>
                    </w:rPr>
                    <w:t>⑨采用通用的 RS-485 接口、隔离的开关量输入接口和独立的开关量输出接口，方便与外设对接或通信。</w:t>
                  </w:r>
                </w:p>
                <w:p>
                  <w:pPr>
                    <w:pStyle w:val="null3"/>
                    <w:ind w:firstLine="402"/>
                    <w:jc w:val="both"/>
                  </w:pPr>
                  <w:r>
                    <w:rPr>
                      <w:rFonts w:ascii="仿宋_GB2312" w:hAnsi="仿宋_GB2312" w:cs="仿宋_GB2312" w:eastAsia="仿宋_GB2312"/>
                      <w:sz w:val="18"/>
                      <w:b/>
                    </w:rPr>
                    <w:t>技术参数：</w:t>
                  </w:r>
                </w:p>
                <w:p>
                  <w:pPr>
                    <w:pStyle w:val="null3"/>
                    <w:ind w:firstLine="400"/>
                    <w:jc w:val="both"/>
                  </w:pPr>
                  <w:r>
                    <w:rPr>
                      <w:rFonts w:ascii="仿宋_GB2312" w:hAnsi="仿宋_GB2312" w:cs="仿宋_GB2312" w:eastAsia="仿宋_GB2312"/>
                      <w:sz w:val="18"/>
                    </w:rPr>
                    <w:t>①工作电压57~528VAC，50～60Hz。</w:t>
                  </w:r>
                </w:p>
                <w:p>
                  <w:pPr>
                    <w:pStyle w:val="null3"/>
                    <w:ind w:firstLine="400"/>
                    <w:jc w:val="both"/>
                  </w:pPr>
                  <w:r>
                    <w:rPr>
                      <w:rFonts w:ascii="仿宋_GB2312" w:hAnsi="仿宋_GB2312" w:cs="仿宋_GB2312" w:eastAsia="仿宋_GB2312"/>
                      <w:sz w:val="18"/>
                    </w:rPr>
                    <w:t>②支持4路220V控制输出，最大可扩展到36路。</w:t>
                  </w:r>
                </w:p>
                <w:p>
                  <w:pPr>
                    <w:pStyle w:val="null3"/>
                    <w:ind w:firstLine="400"/>
                    <w:jc w:val="both"/>
                  </w:pPr>
                  <w:r>
                    <w:rPr>
                      <w:rFonts w:ascii="仿宋_GB2312" w:hAnsi="仿宋_GB2312" w:cs="仿宋_GB2312" w:eastAsia="仿宋_GB2312"/>
                      <w:sz w:val="18"/>
                    </w:rPr>
                    <w:t>③支持6路状态量输入接口，最大可扩展到54路。</w:t>
                  </w:r>
                </w:p>
                <w:p>
                  <w:pPr>
                    <w:pStyle w:val="null3"/>
                    <w:ind w:firstLine="400"/>
                    <w:jc w:val="both"/>
                  </w:pPr>
                  <w:r>
                    <w:rPr>
                      <w:rFonts w:ascii="仿宋_GB2312" w:hAnsi="仿宋_GB2312" w:cs="仿宋_GB2312" w:eastAsia="仿宋_GB2312"/>
                      <w:sz w:val="18"/>
                    </w:rPr>
                    <w:t>④时钟精度：24h 时钟误差≤1s。</w:t>
                  </w:r>
                </w:p>
                <w:p>
                  <w:pPr>
                    <w:pStyle w:val="null3"/>
                    <w:ind w:firstLine="400"/>
                    <w:jc w:val="both"/>
                  </w:pPr>
                  <w:r>
                    <w:rPr>
                      <w:rFonts w:ascii="仿宋_GB2312" w:hAnsi="仿宋_GB2312" w:cs="仿宋_GB2312" w:eastAsia="仿宋_GB2312"/>
                      <w:sz w:val="18"/>
                    </w:rPr>
                    <w:t>⑤环境温度：－35～＋75℃。</w:t>
                  </w:r>
                </w:p>
                <w:p>
                  <w:pPr>
                    <w:pStyle w:val="null3"/>
                    <w:ind w:firstLine="400"/>
                    <w:jc w:val="both"/>
                  </w:pPr>
                  <w:r>
                    <w:rPr>
                      <w:rFonts w:ascii="仿宋_GB2312" w:hAnsi="仿宋_GB2312" w:cs="仿宋_GB2312" w:eastAsia="仿宋_GB2312"/>
                      <w:sz w:val="18"/>
                    </w:rPr>
                    <w:t>⑥相对湿度：95%RH 以下（＋25℃）。</w:t>
                  </w:r>
                </w:p>
                <w:p>
                  <w:pPr>
                    <w:pStyle w:val="null3"/>
                    <w:ind w:firstLine="400"/>
                    <w:jc w:val="both"/>
                  </w:pPr>
                  <w:r>
                    <w:rPr>
                      <w:rFonts w:ascii="仿宋_GB2312" w:hAnsi="仿宋_GB2312" w:cs="仿宋_GB2312" w:eastAsia="仿宋_GB2312"/>
                      <w:sz w:val="18"/>
                    </w:rPr>
                    <w:t>⑦大气压力：86～106kPa（海拔 4000m 及以下）。</w:t>
                  </w:r>
                </w:p>
                <w:p>
                  <w:pPr>
                    <w:pStyle w:val="null3"/>
                    <w:ind w:firstLine="400"/>
                    <w:jc w:val="both"/>
                  </w:pPr>
                  <w:r>
                    <w:rPr>
                      <w:rFonts w:ascii="仿宋_GB2312" w:hAnsi="仿宋_GB2312" w:cs="仿宋_GB2312" w:eastAsia="仿宋_GB2312"/>
                      <w:sz w:val="18"/>
                    </w:rPr>
                    <w:t>⑧静态功耗：≤5W。</w:t>
                  </w:r>
                </w:p>
                <w:p>
                  <w:pPr>
                    <w:pStyle w:val="null3"/>
                    <w:ind w:firstLine="400"/>
                    <w:jc w:val="both"/>
                  </w:pPr>
                  <w:r>
                    <w:rPr>
                      <w:rFonts w:ascii="仿宋_GB2312" w:hAnsi="仿宋_GB2312" w:cs="仿宋_GB2312" w:eastAsia="仿宋_GB2312"/>
                      <w:sz w:val="18"/>
                    </w:rPr>
                    <w:t>⑨M T B F：≥50000h（平均故障间隔时间）。</w:t>
                  </w:r>
                </w:p>
                <w:p>
                  <w:pPr>
                    <w:pStyle w:val="null3"/>
                    <w:ind w:firstLine="400"/>
                    <w:jc w:val="both"/>
                  </w:pPr>
                  <w:r>
                    <w:rPr>
                      <w:rFonts w:ascii="仿宋_GB2312" w:hAnsi="仿宋_GB2312" w:cs="仿宋_GB2312" w:eastAsia="仿宋_GB2312"/>
                      <w:sz w:val="18"/>
                    </w:rPr>
                    <w:t>⑩集中控制器产品具有中国质量认证中心颁发的CQC认证证书，该项需提供加盖厂商公章的证书复印件；</w:t>
                  </w:r>
                </w:p>
                <w:p>
                  <w:pPr>
                    <w:pStyle w:val="null3"/>
                    <w:ind w:firstLine="402"/>
                    <w:jc w:val="both"/>
                  </w:pPr>
                  <w:r>
                    <w:rPr>
                      <w:rFonts w:ascii="仿宋_GB2312" w:hAnsi="仿宋_GB2312" w:cs="仿宋_GB2312" w:eastAsia="仿宋_GB2312"/>
                      <w:sz w:val="18"/>
                      <w:b/>
                    </w:rPr>
                    <w:t>3）云服务器技术要求</w:t>
                  </w:r>
                </w:p>
                <w:p>
                  <w:pPr>
                    <w:pStyle w:val="null3"/>
                    <w:ind w:firstLine="400"/>
                    <w:jc w:val="both"/>
                  </w:pPr>
                  <w:r>
                    <w:rPr>
                      <w:rFonts w:ascii="仿宋_GB2312" w:hAnsi="仿宋_GB2312" w:cs="仿宋_GB2312" w:eastAsia="仿宋_GB2312"/>
                      <w:sz w:val="18"/>
                    </w:rPr>
                    <w:t>部署模式:采用公有云部署方式，云资源采用商务云，结合本项目体量，服务器配置如下：</w:t>
                  </w:r>
                </w:p>
                <w:p>
                  <w:pPr>
                    <w:pStyle w:val="null3"/>
                    <w:ind w:firstLine="400"/>
                    <w:jc w:val="both"/>
                  </w:pPr>
                  <w:r>
                    <w:rPr>
                      <w:rFonts w:ascii="仿宋_GB2312" w:hAnsi="仿宋_GB2312" w:cs="仿宋_GB2312" w:eastAsia="仿宋_GB2312"/>
                      <w:sz w:val="18"/>
                    </w:rPr>
                    <w:t>①云服务器参考配置（共4台）：</w:t>
                  </w:r>
                </w:p>
                <w:p>
                  <w:pPr>
                    <w:pStyle w:val="null3"/>
                    <w:ind w:firstLine="400"/>
                    <w:jc w:val="both"/>
                  </w:pPr>
                  <w:r>
                    <w:rPr>
                      <w:rFonts w:ascii="仿宋_GB2312" w:hAnsi="仿宋_GB2312" w:cs="仿宋_GB2312" w:eastAsia="仿宋_GB2312"/>
                      <w:sz w:val="18"/>
                    </w:rPr>
                    <w:t>CPU32核 64GB内存 1T固态硬盘（必需阵列） *1</w:t>
                  </w:r>
                </w:p>
                <w:p>
                  <w:pPr>
                    <w:pStyle w:val="null3"/>
                    <w:ind w:firstLine="400"/>
                    <w:jc w:val="both"/>
                  </w:pPr>
                  <w:r>
                    <w:rPr>
                      <w:rFonts w:ascii="仿宋_GB2312" w:hAnsi="仿宋_GB2312" w:cs="仿宋_GB2312" w:eastAsia="仿宋_GB2312"/>
                      <w:sz w:val="18"/>
                    </w:rPr>
                    <w:t>CPU32核 32GB内存 1T固态硬盘（必需阵列 * 1</w:t>
                  </w:r>
                </w:p>
                <w:p>
                  <w:pPr>
                    <w:pStyle w:val="null3"/>
                    <w:ind w:firstLine="400"/>
                    <w:jc w:val="both"/>
                  </w:pPr>
                  <w:r>
                    <w:rPr>
                      <w:rFonts w:ascii="仿宋_GB2312" w:hAnsi="仿宋_GB2312" w:cs="仿宋_GB2312" w:eastAsia="仿宋_GB2312"/>
                      <w:sz w:val="18"/>
                    </w:rPr>
                    <w:t>CPU16核 64GB内存 1TSata热插拔（必需阵列）* 2</w:t>
                  </w:r>
                </w:p>
                <w:p>
                  <w:pPr>
                    <w:pStyle w:val="null3"/>
                    <w:ind w:firstLine="400"/>
                    <w:jc w:val="both"/>
                  </w:pPr>
                  <w:r>
                    <w:rPr>
                      <w:rFonts w:ascii="仿宋_GB2312" w:hAnsi="仿宋_GB2312" w:cs="仿宋_GB2312" w:eastAsia="仿宋_GB2312"/>
                      <w:sz w:val="18"/>
                    </w:rPr>
                    <w:t>②云安全服务配置（共4套）：</w:t>
                  </w:r>
                </w:p>
                <w:p>
                  <w:pPr>
                    <w:pStyle w:val="null3"/>
                    <w:ind w:firstLine="400"/>
                    <w:jc w:val="both"/>
                  </w:pPr>
                  <w:r>
                    <w:rPr>
                      <w:rFonts w:ascii="仿宋_GB2312" w:hAnsi="仿宋_GB2312" w:cs="仿宋_GB2312" w:eastAsia="仿宋_GB2312"/>
                      <w:sz w:val="18"/>
                    </w:rPr>
                    <w:t>部署方式：每台云服务器实例配备一套独立云安全服务。</w:t>
                  </w:r>
                </w:p>
                <w:p>
                  <w:pPr>
                    <w:pStyle w:val="null3"/>
                    <w:ind w:firstLine="400"/>
                    <w:jc w:val="both"/>
                  </w:pPr>
                  <w:r>
                    <w:rPr>
                      <w:rFonts w:ascii="仿宋_GB2312" w:hAnsi="仿宋_GB2312" w:cs="仿宋_GB2312" w:eastAsia="仿宋_GB2312"/>
                      <w:sz w:val="18"/>
                    </w:rPr>
                    <w:t>③网络带宽配置（1套）：</w:t>
                  </w:r>
                </w:p>
                <w:p>
                  <w:pPr>
                    <w:pStyle w:val="null3"/>
                    <w:ind w:firstLine="800"/>
                    <w:jc w:val="both"/>
                  </w:pPr>
                  <w:r>
                    <w:rPr>
                      <w:rFonts w:ascii="仿宋_GB2312" w:hAnsi="仿宋_GB2312" w:cs="仿宋_GB2312" w:eastAsia="仿宋_GB2312"/>
                      <w:sz w:val="18"/>
                    </w:rPr>
                    <w:t>带宽规格：50Mbps共享带宽。</w:t>
                  </w:r>
                </w:p>
                <w:p>
                  <w:pPr>
                    <w:pStyle w:val="null3"/>
                    <w:ind w:firstLine="402"/>
                    <w:jc w:val="both"/>
                  </w:pPr>
                  <w:r>
                    <w:rPr>
                      <w:rFonts w:ascii="仿宋_GB2312" w:hAnsi="仿宋_GB2312" w:cs="仿宋_GB2312" w:eastAsia="仿宋_GB2312"/>
                      <w:sz w:val="18"/>
                      <w:b/>
                    </w:rPr>
                    <w:t>托管期内，云端部署费用、信息使用费用等其他智慧系统产生的费用包含在托管服务费内，采购人不额外支付任何费用。</w:t>
                  </w:r>
                </w:p>
                <w:p>
                  <w:pPr>
                    <w:pStyle w:val="null3"/>
                    <w:ind w:firstLine="402"/>
                    <w:jc w:val="both"/>
                  </w:pPr>
                  <w:r>
                    <w:rPr>
                      <w:rFonts w:ascii="仿宋_GB2312" w:hAnsi="仿宋_GB2312" w:cs="仿宋_GB2312" w:eastAsia="仿宋_GB2312"/>
                      <w:sz w:val="18"/>
                      <w:b/>
                    </w:rPr>
                    <w:t>（8）城市道路照明综合管理智慧云平台技术要求</w:t>
                  </w:r>
                </w:p>
                <w:p>
                  <w:pPr>
                    <w:pStyle w:val="null3"/>
                    <w:ind w:firstLine="400"/>
                  </w:pPr>
                  <w:r>
                    <w:rPr>
                      <w:rFonts w:ascii="仿宋_GB2312" w:hAnsi="仿宋_GB2312" w:cs="仿宋_GB2312" w:eastAsia="仿宋_GB2312"/>
                      <w:sz w:val="18"/>
                    </w:rPr>
                    <w:t>城市道路照明综合管理智慧云平台需要满足城市照明智慧化需求及管理部门的日常监管需求，具备一图统揽、监测监控、策略管理、告警管理、运维管理、资产管理、统计分析等功能，同时支持多功能智慧灯杆管理、支持照明移动APP等。</w:t>
                  </w:r>
                </w:p>
                <w:p>
                  <w:pPr>
                    <w:pStyle w:val="null3"/>
                    <w:numPr>
                      <w:ilvl w:val="0"/>
                      <w:numId w:val="1"/>
                    </w:numPr>
                    <w:jc w:val="both"/>
                  </w:pPr>
                  <w:r>
                    <w:rPr>
                      <w:rFonts w:ascii="仿宋_GB2312" w:hAnsi="仿宋_GB2312" w:cs="仿宋_GB2312" w:eastAsia="仿宋_GB2312"/>
                      <w:sz w:val="18"/>
                    </w:rPr>
                    <w:t>设备管理：支持对集中控制器、单灯控制器进行设备管理，包括录入、修改、删除、查询等功能，并支持设备远程升级功能；</w:t>
                  </w:r>
                </w:p>
                <w:p>
                  <w:pPr>
                    <w:pStyle w:val="null3"/>
                    <w:numPr>
                      <w:ilvl w:val="0"/>
                      <w:numId w:val="1"/>
                    </w:numPr>
                    <w:jc w:val="both"/>
                  </w:pPr>
                  <w:r>
                    <w:rPr>
                      <w:rFonts w:ascii="仿宋_GB2312" w:hAnsi="仿宋_GB2312" w:cs="仿宋_GB2312" w:eastAsia="仿宋_GB2312"/>
                      <w:sz w:val="18"/>
                    </w:rPr>
                    <w:t>远程控制：实现对灯具的远程开、关、查询、调光、电参数获取等功能；可设置开关灯、调光策略，如定时+经纬度、定时+光照度、定时+经纬+光照度；</w:t>
                  </w:r>
                </w:p>
                <w:p>
                  <w:pPr>
                    <w:pStyle w:val="null3"/>
                    <w:numPr>
                      <w:ilvl w:val="0"/>
                      <w:numId w:val="1"/>
                    </w:numPr>
                    <w:jc w:val="both"/>
                  </w:pPr>
                  <w:r>
                    <w:rPr>
                      <w:rFonts w:ascii="仿宋_GB2312" w:hAnsi="仿宋_GB2312" w:cs="仿宋_GB2312" w:eastAsia="仿宋_GB2312"/>
                      <w:sz w:val="18"/>
                    </w:rPr>
                    <w:t>状态查询：实现远程查询和采集每个单灯的运行状态，包括灯具开关状态、调光比例、电压、电流、功率、功率因素等信息；</w:t>
                  </w:r>
                </w:p>
                <w:p>
                  <w:pPr>
                    <w:pStyle w:val="null3"/>
                    <w:numPr>
                      <w:ilvl w:val="0"/>
                      <w:numId w:val="1"/>
                    </w:numPr>
                    <w:jc w:val="both"/>
                  </w:pPr>
                  <w:r>
                    <w:rPr>
                      <w:rFonts w:ascii="仿宋_GB2312" w:hAnsi="仿宋_GB2312" w:cs="仿宋_GB2312" w:eastAsia="仿宋_GB2312"/>
                      <w:sz w:val="18"/>
                    </w:rPr>
                    <w:t>策略管理：能够对路灯进行分组或标签定义，从而实现按照分组或标签进行策略关联，实现按照任务策略执行；</w:t>
                  </w:r>
                </w:p>
                <w:p>
                  <w:pPr>
                    <w:pStyle w:val="null3"/>
                    <w:numPr>
                      <w:ilvl w:val="0"/>
                      <w:numId w:val="1"/>
                    </w:numPr>
                    <w:jc w:val="both"/>
                  </w:pPr>
                  <w:r>
                    <w:rPr>
                      <w:rFonts w:ascii="仿宋_GB2312" w:hAnsi="仿宋_GB2312" w:cs="仿宋_GB2312" w:eastAsia="仿宋_GB2312"/>
                      <w:sz w:val="18"/>
                    </w:rPr>
                    <w:t>▲故障告警：支持管理警报，包含警报查询、警报设置、自定义警报、自动转警设置和自动推送设置，自定义警报等级分级、警报名称、配置警报触发条件、工单推送、警报合并基础参数，并可根据用户警报权限按需设置推送不同的警报信息；</w:t>
                  </w:r>
                </w:p>
                <w:p>
                  <w:pPr>
                    <w:pStyle w:val="null3"/>
                    <w:numPr>
                      <w:ilvl w:val="0"/>
                      <w:numId w:val="1"/>
                    </w:numPr>
                    <w:jc w:val="both"/>
                  </w:pPr>
                  <w:r>
                    <w:rPr>
                      <w:rFonts w:ascii="仿宋_GB2312" w:hAnsi="仿宋_GB2312" w:cs="仿宋_GB2312" w:eastAsia="仿宋_GB2312"/>
                      <w:sz w:val="18"/>
                    </w:rPr>
                    <w:t>▲故障处理：支持实时更新故障信息，包括故障发生时间、恢复时间、警报状态、工单状态、故障分析，可自动或手动消警，查看设备地理定位、电参数数据及历史故障，系统对故障原因进行分析并提供处理建议；</w:t>
                  </w:r>
                </w:p>
                <w:p>
                  <w:pPr>
                    <w:pStyle w:val="null3"/>
                    <w:numPr>
                      <w:ilvl w:val="0"/>
                      <w:numId w:val="1"/>
                    </w:numPr>
                    <w:jc w:val="both"/>
                  </w:pPr>
                  <w:r>
                    <w:rPr>
                      <w:rFonts w:ascii="仿宋_GB2312" w:hAnsi="仿宋_GB2312" w:cs="仿宋_GB2312" w:eastAsia="仿宋_GB2312"/>
                      <w:sz w:val="18"/>
                    </w:rPr>
                    <w:t>资产管理：可支持控制设备自动生成资产数据以及手动录入自定义类型的资产信息，可通过图表、地图的方式展示资产的增长率、使用率、普查率、整改完成率等；</w:t>
                  </w:r>
                </w:p>
                <w:p>
                  <w:pPr>
                    <w:pStyle w:val="null3"/>
                    <w:numPr>
                      <w:ilvl w:val="0"/>
                      <w:numId w:val="1"/>
                    </w:numPr>
                    <w:jc w:val="both"/>
                  </w:pPr>
                  <w:r>
                    <w:rPr>
                      <w:rFonts w:ascii="仿宋_GB2312" w:hAnsi="仿宋_GB2312" w:cs="仿宋_GB2312" w:eastAsia="仿宋_GB2312"/>
                      <w:sz w:val="18"/>
                    </w:rPr>
                    <w:t>▲运维巡检：支持从巡视计划制定、巡视任务执行、巡视记录上报到巡视报告生成进行全流程闭环管理；可根据需求进行巡视类型、巡视周期、巡视频率设置，并按道路、设备生成年度、月度巡视计划，可细化到每天、每周的巡视任务，派发计划到工区班组或个人；</w:t>
                  </w:r>
                </w:p>
                <w:p>
                  <w:pPr>
                    <w:pStyle w:val="null3"/>
                    <w:numPr>
                      <w:ilvl w:val="0"/>
                      <w:numId w:val="1"/>
                    </w:numPr>
                    <w:jc w:val="both"/>
                  </w:pPr>
                  <w:r>
                    <w:rPr>
                      <w:rFonts w:ascii="仿宋_GB2312" w:hAnsi="仿宋_GB2312" w:cs="仿宋_GB2312" w:eastAsia="仿宋_GB2312"/>
                      <w:sz w:val="18"/>
                    </w:rPr>
                    <w:t>▲运维工单：可展示当前登录用户的待办任务及数据统计信息，数据统计信息包括工单进度、工单处理统计、巡视进度、工单次数统计，以饼图、曲线图展示个人任务进度；支持多渠道问题反馈数据收集，统一生成工单；</w:t>
                  </w:r>
                </w:p>
                <w:p>
                  <w:pPr>
                    <w:pStyle w:val="null3"/>
                    <w:numPr>
                      <w:ilvl w:val="0"/>
                      <w:numId w:val="1"/>
                    </w:numPr>
                    <w:jc w:val="both"/>
                  </w:pPr>
                  <w:r>
                    <w:rPr>
                      <w:rFonts w:ascii="仿宋_GB2312" w:hAnsi="仿宋_GB2312" w:cs="仿宋_GB2312" w:eastAsia="仿宋_GB2312"/>
                      <w:sz w:val="18"/>
                    </w:rPr>
                    <w:t>▲耗材管理：支持管理耗材基本信息，包括新增、删除、批量删除、入库，统计入库次数和出库次数，统计耗材数据信息，包括库存统计、出入库统计、库位分布占比、各库位库存数量、出入库趋势、各类别库存数量、库存预警信息；</w:t>
                  </w:r>
                </w:p>
                <w:p>
                  <w:pPr>
                    <w:pStyle w:val="null3"/>
                    <w:numPr>
                      <w:ilvl w:val="0"/>
                      <w:numId w:val="1"/>
                    </w:numPr>
                    <w:jc w:val="both"/>
                  </w:pPr>
                  <w:r>
                    <w:rPr>
                      <w:rFonts w:ascii="仿宋_GB2312" w:hAnsi="仿宋_GB2312" w:cs="仿宋_GB2312" w:eastAsia="仿宋_GB2312"/>
                      <w:sz w:val="18"/>
                    </w:rPr>
                    <w:t>▲移动应用：支持对集中控制器、单灯控制器进行开灯、关灯、调光、召测操作，并且以地图的形式展示照明设施的点位信息，并查看相关设备的基本信息；同时支持对设备的定位信息、基础信息、关联信息、图片信息进行采集；</w:t>
                  </w:r>
                </w:p>
                <w:p>
                  <w:pPr>
                    <w:pStyle w:val="null3"/>
                    <w:ind w:firstLine="400"/>
                  </w:pPr>
                  <w:r>
                    <w:rPr>
                      <w:rFonts w:ascii="仿宋_GB2312" w:hAnsi="仿宋_GB2312" w:cs="仿宋_GB2312" w:eastAsia="仿宋_GB2312"/>
                      <w:sz w:val="18"/>
                    </w:rPr>
                    <w:t>⑫故障上报：支持上报故障，内容包括故障地址、故障类别、故障描述、现场照片、报修人联系方式；</w:t>
                  </w:r>
                </w:p>
                <w:p>
                  <w:pPr>
                    <w:pStyle w:val="null3"/>
                    <w:ind w:firstLine="400"/>
                  </w:pPr>
                  <w:r>
                    <w:rPr>
                      <w:rFonts w:ascii="仿宋_GB2312" w:hAnsi="仿宋_GB2312" w:cs="仿宋_GB2312" w:eastAsia="仿宋_GB2312"/>
                      <w:sz w:val="18"/>
                    </w:rPr>
                    <w:t>⑬▲防盗及防破坏：具有电缆防盗、设施防盗功能，具有设施防破坏，损坏感知反馈功能。</w:t>
                  </w:r>
                </w:p>
                <w:p>
                  <w:pPr>
                    <w:pStyle w:val="null3"/>
                    <w:ind w:firstLine="402"/>
                    <w:jc w:val="both"/>
                  </w:pPr>
                  <w:r>
                    <w:rPr>
                      <w:rFonts w:ascii="仿宋_GB2312" w:hAnsi="仿宋_GB2312" w:cs="仿宋_GB2312" w:eastAsia="仿宋_GB2312"/>
                      <w:sz w:val="18"/>
                      <w:b/>
                    </w:rPr>
                    <w:t>（9）其他配套设备</w:t>
                  </w:r>
                </w:p>
                <w:p>
                  <w:pPr>
                    <w:pStyle w:val="null3"/>
                    <w:ind w:firstLine="400"/>
                    <w:jc w:val="both"/>
                  </w:pPr>
                  <w:r>
                    <w:rPr>
                      <w:rFonts w:ascii="仿宋_GB2312" w:hAnsi="仿宋_GB2312" w:cs="仿宋_GB2312" w:eastAsia="仿宋_GB2312"/>
                      <w:sz w:val="18"/>
                    </w:rPr>
                    <w:t>①对改造范围内的路灯铭牌的制作及安装，铭牌要求为铝合金材质或者表面反光材质（防水、耐热、硬度、粘性需符合要求），具体尺寸以最终和业主确认为准。</w:t>
                  </w:r>
                </w:p>
                <w:p>
                  <w:pPr>
                    <w:pStyle w:val="null3"/>
                    <w:ind w:firstLine="400"/>
                    <w:jc w:val="both"/>
                  </w:pPr>
                  <w:r>
                    <w:rPr>
                      <w:rFonts w:ascii="仿宋_GB2312" w:hAnsi="仿宋_GB2312" w:cs="仿宋_GB2312" w:eastAsia="仿宋_GB2312"/>
                      <w:sz w:val="18"/>
                    </w:rPr>
                    <w:t>②铭牌标识需准确的描述出该路灯的位置及编号，并提供相应扫码、电话报修路径，并将相应设备信息在平台上进行GIS定位。</w:t>
                  </w:r>
                </w:p>
                <w:p>
                  <w:pPr>
                    <w:pStyle w:val="null3"/>
                    <w:ind w:firstLine="402"/>
                    <w:jc w:val="both"/>
                  </w:pPr>
                  <w:r>
                    <w:rPr>
                      <w:rFonts w:ascii="仿宋_GB2312" w:hAnsi="仿宋_GB2312" w:cs="仿宋_GB2312" w:eastAsia="仿宋_GB2312"/>
                      <w:sz w:val="18"/>
                      <w:b/>
                    </w:rPr>
                    <w:t>特别说明：上述标注“▲”的条款，需要在投标文件中提供承诺函，承诺中标后将提供满足要求的产品。</w:t>
                  </w:r>
                </w:p>
                <w:p>
                  <w:pPr>
                    <w:pStyle w:val="null3"/>
                    <w:ind w:firstLine="402"/>
                  </w:pPr>
                  <w:r>
                    <w:rPr>
                      <w:rFonts w:ascii="仿宋_GB2312" w:hAnsi="仿宋_GB2312" w:cs="仿宋_GB2312" w:eastAsia="仿宋_GB2312"/>
                      <w:sz w:val="18"/>
                      <w:b/>
                    </w:rPr>
                    <w:t>2.节能方案的要求和节能率的评价</w:t>
                  </w:r>
                </w:p>
                <w:p>
                  <w:pPr>
                    <w:pStyle w:val="null3"/>
                    <w:ind w:firstLine="400"/>
                  </w:pPr>
                  <w:r>
                    <w:rPr>
                      <w:rFonts w:ascii="仿宋_GB2312" w:hAnsi="仿宋_GB2312" w:cs="仿宋_GB2312" w:eastAsia="仿宋_GB2312"/>
                      <w:sz w:val="18"/>
                    </w:rPr>
                    <w:t>本项目为了降低项目实施的风险，要求项目（不含调光）的</w:t>
                  </w:r>
                  <w:r>
                    <w:rPr>
                      <w:rFonts w:ascii="仿宋_GB2312" w:hAnsi="仿宋_GB2312" w:cs="仿宋_GB2312" w:eastAsia="仿宋_GB2312"/>
                      <w:sz w:val="18"/>
                      <w:b/>
                    </w:rPr>
                    <w:t>总节能率≥40%。</w:t>
                  </w:r>
                </w:p>
                <w:p>
                  <w:pPr>
                    <w:pStyle w:val="null3"/>
                    <w:ind w:firstLine="400"/>
                  </w:pPr>
                  <w:r>
                    <w:rPr>
                      <w:rFonts w:ascii="仿宋_GB2312" w:hAnsi="仿宋_GB2312" w:cs="仿宋_GB2312" w:eastAsia="仿宋_GB2312"/>
                      <w:sz w:val="18"/>
                    </w:rPr>
                    <w:t>所有功能性照明灯具必须整夜亮灯和整体调光，夜间不能通过关掉部分灯具来实现节能，必须采用整体调光方案来实现二次节能。</w:t>
                  </w:r>
                </w:p>
                <w:p>
                  <w:pPr>
                    <w:pStyle w:val="null3"/>
                    <w:ind w:firstLine="400"/>
                  </w:pPr>
                  <w:r>
                    <w:rPr>
                      <w:rFonts w:ascii="仿宋_GB2312" w:hAnsi="仿宋_GB2312" w:cs="仿宋_GB2312" w:eastAsia="仿宋_GB2312"/>
                      <w:sz w:val="18"/>
                    </w:rPr>
                    <w:t>根据CJJ45-2015《城市道路照明设计规范》第7.1.1条：机动车道照明应以照明功率密度（LPD）作为照明节能水平的评价指标，照明功率密度（LPD）是单位照度功率密度（Dp）和平均照度的乘积。由于不同级别道路的平均照度指标是不同的，所以本招标采用Dialux模拟报告以及Dialux计算的单位照度功率密度（Dp）作为节能评价标准。</w:t>
                  </w:r>
                </w:p>
                <w:p>
                  <w:pPr>
                    <w:pStyle w:val="null3"/>
                    <w:ind w:firstLine="400"/>
                  </w:pPr>
                  <w:r>
                    <w:rPr>
                      <w:rFonts w:ascii="仿宋_GB2312" w:hAnsi="仿宋_GB2312" w:cs="仿宋_GB2312" w:eastAsia="仿宋_GB2312"/>
                      <w:sz w:val="18"/>
                    </w:rPr>
                    <w:t>根据南郑区的道路状况和布灯方式，典型的道路照明场景有8种，如下表所示：</w:t>
                  </w:r>
                </w:p>
                <w:tbl>
                  <w:tblPr>
                    <w:tblInd w:type="dxa" w:w="105"/>
                    <w:tblBorders>
                      <w:top w:val="none" w:color="000000" w:sz="4"/>
                      <w:left w:val="none" w:color="000000" w:sz="4"/>
                      <w:bottom w:val="none" w:color="000000" w:sz="4"/>
                      <w:right w:val="none" w:color="000000" w:sz="4"/>
                      <w:insideH w:val="none"/>
                      <w:insideV w:val="none"/>
                    </w:tblBorders>
                  </w:tblPr>
                  <w:tblGrid>
                    <w:gridCol w:w="273"/>
                    <w:gridCol w:w="273"/>
                    <w:gridCol w:w="273"/>
                    <w:gridCol w:w="273"/>
                    <w:gridCol w:w="273"/>
                    <w:gridCol w:w="273"/>
                    <w:gridCol w:w="273"/>
                    <w:gridCol w:w="273"/>
                    <w:gridCol w:w="273"/>
                    <w:gridCol w:w="273"/>
                  </w:tblGrid>
                  <w:tr>
                    <w:tc>
                      <w:tcPr>
                        <w:tcW w:type="dxa" w:w="2730"/>
                        <w:gridSpan w:val="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本项目主要道路类型和布灯方式以及照明设计要求（维持率0.9）</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道路类型</w:t>
                        </w:r>
                      </w:p>
                    </w:tc>
                    <w:tc>
                      <w:tcPr>
                        <w:tcW w:type="dxa" w:w="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布灯方式</w:t>
                        </w:r>
                      </w:p>
                    </w:tc>
                    <w:tc>
                      <w:tcPr>
                        <w:tcW w:type="dxa" w:w="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灯高</w:t>
                        </w:r>
                      </w:p>
                    </w:tc>
                    <w:tc>
                      <w:tcPr>
                        <w:tcW w:type="dxa" w:w="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行车道总宽度</w:t>
                        </w:r>
                      </w:p>
                    </w:tc>
                    <w:tc>
                      <w:tcPr>
                        <w:tcW w:type="dxa" w:w="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中间岛宽度</w:t>
                        </w:r>
                      </w:p>
                    </w:tc>
                    <w:tc>
                      <w:tcPr>
                        <w:tcW w:type="dxa" w:w="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人行道宽度</w:t>
                        </w:r>
                      </w:p>
                    </w:tc>
                    <w:tc>
                      <w:tcPr>
                        <w:tcW w:type="dxa" w:w="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灯杆间距</w:t>
                        </w:r>
                      </w:p>
                    </w:tc>
                    <w:tc>
                      <w:tcPr>
                        <w:tcW w:type="dxa" w:w="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平均照度Em</w:t>
                        </w:r>
                      </w:p>
                    </w:tc>
                    <w:tc>
                      <w:tcPr>
                        <w:tcW w:type="dxa" w:w="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环境比</w:t>
                        </w:r>
                      </w:p>
                    </w:tc>
                    <w:tc>
                      <w:tcPr>
                        <w:tcW w:type="dxa" w:w="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其他指标</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（m）</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（m）</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（m）</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（m）</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（m）</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（lx）</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双向8车道</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双侧对称</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12</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31.2</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1.2</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5</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36</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&gt;30</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&gt;0.5</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按主干道</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双向6车道</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双侧布灯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12</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23.0</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0.5</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5</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36</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&gt;30</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&gt;0.5</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按主干道</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双向4车道</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双侧布灯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10</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15.0</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30</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&gt;20</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&gt;0.5</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按次干道</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双向6车道</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中心布灯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12</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23.5</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1.0</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5</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36</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&gt;30</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&gt;0.5</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按主干道</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双向4车道</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单侧布灯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10</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15.0</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30</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&gt;20</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&gt;0.5</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按次干道</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单向2车道</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单侧布灯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10</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7.5</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30</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&gt;15</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&gt;0.5</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按次干道</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双向2车道</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单侧布灯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8</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7.5</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30</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&gt;10</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&gt;0.35</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按支路</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巷道或城中村</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单侧布灯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6</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6.0</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30</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&gt;10</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&gt;0.35</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w:t>
                        </w:r>
                      </w:p>
                    </w:tc>
                  </w:tr>
                  <w:tr>
                    <w:tc>
                      <w:tcPr>
                        <w:tcW w:type="dxa" w:w="2730"/>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 指CJJ 45-2015中的眩光阈值增量（TI）、照度均匀度、总亮度均匀度和纵向亮度均匀度。</w:t>
                        </w:r>
                        <w:r>
                          <w:br/>
                        </w:r>
                        <w:r>
                          <w:rPr>
                            <w:rFonts w:ascii="仿宋_GB2312" w:hAnsi="仿宋_GB2312" w:cs="仿宋_GB2312" w:eastAsia="仿宋_GB2312"/>
                            <w:sz w:val="18"/>
                          </w:rPr>
                          <w:t xml:space="preserve"> ** 照度均匀度0.3,眩光阈值增量TI&lt;25（车速慢、人流大的地方允许眩光以烘托气氛）</w:t>
                        </w:r>
                        <w:r>
                          <w:br/>
                        </w:r>
                        <w:r>
                          <w:rPr>
                            <w:rFonts w:ascii="仿宋_GB2312" w:hAnsi="仿宋_GB2312" w:cs="仿宋_GB2312" w:eastAsia="仿宋_GB2312"/>
                            <w:sz w:val="18"/>
                          </w:rPr>
                          <w:t xml:space="preserve"> *** 上述所有照明设计中，仰角不能超过15°。</w:t>
                        </w:r>
                      </w:p>
                    </w:tc>
                  </w:tr>
                </w:tbl>
                <w:p>
                  <w:pPr>
                    <w:pStyle w:val="null3"/>
                    <w:ind w:firstLine="400"/>
                  </w:pPr>
                  <w:r>
                    <w:rPr>
                      <w:rFonts w:ascii="仿宋_GB2312" w:hAnsi="仿宋_GB2312" w:cs="仿宋_GB2312" w:eastAsia="仿宋_GB2312"/>
                      <w:sz w:val="18"/>
                    </w:rPr>
                    <w:t>投标人须根据这8种道路照明场景进行照明设计，用实际路灯的实测IES数据，通过Dialux模拟前述各项指标。在前述各项指标均达标的条件下，计算单位照度功率密度（Dp）值。</w:t>
                  </w:r>
                </w:p>
                <w:p>
                  <w:pPr>
                    <w:pStyle w:val="null3"/>
                    <w:ind w:firstLine="402"/>
                  </w:pPr>
                  <w:r>
                    <w:rPr>
                      <w:rFonts w:ascii="仿宋_GB2312" w:hAnsi="仿宋_GB2312" w:cs="仿宋_GB2312" w:eastAsia="仿宋_GB2312"/>
                      <w:sz w:val="18"/>
                      <w:b/>
                    </w:rPr>
                    <w:t>3.项目节能改造验收</w:t>
                  </w:r>
                </w:p>
                <w:p>
                  <w:pPr>
                    <w:pStyle w:val="null3"/>
                    <w:ind w:firstLine="400"/>
                  </w:pPr>
                  <w:r>
                    <w:rPr>
                      <w:rFonts w:ascii="仿宋_GB2312" w:hAnsi="仿宋_GB2312" w:cs="仿宋_GB2312" w:eastAsia="仿宋_GB2312"/>
                      <w:sz w:val="18"/>
                    </w:rPr>
                    <w:t>中标人按采购人要求完成节能改造和智慧化升级建设后，由采购人聘请第三方兼有照明检测业务范围和能源审计资格的机构对改造升级建设内容进行验收，验收具体内容如下：</w:t>
                  </w:r>
                </w:p>
                <w:p>
                  <w:pPr>
                    <w:pStyle w:val="null3"/>
                    <w:ind w:firstLine="400"/>
                  </w:pPr>
                  <w:r>
                    <w:rPr>
                      <w:rFonts w:ascii="仿宋_GB2312" w:hAnsi="仿宋_GB2312" w:cs="仿宋_GB2312" w:eastAsia="仿宋_GB2312"/>
                      <w:sz w:val="18"/>
                    </w:rPr>
                    <w:t>改造项目全部完成后，按不同级别道路和不同布灯方式等典型路段采取现场照度测试和灯具抽检的方式进行一次性工程整体验收方式。所有道路验收合格后由中标人提交项目竣工报告，由上述检测机构提供验收报告，采购人接到资料核实无误后七天内组织一次性工程整体验收。验收不合格，中标人应在3个月内进行整改直至验收合格。</w:t>
                  </w:r>
                </w:p>
                <w:p>
                  <w:pPr>
                    <w:pStyle w:val="null3"/>
                    <w:ind w:firstLine="400"/>
                  </w:pPr>
                  <w:r>
                    <w:rPr>
                      <w:rFonts w:ascii="仿宋_GB2312" w:hAnsi="仿宋_GB2312" w:cs="仿宋_GB2312" w:eastAsia="仿宋_GB2312"/>
                      <w:sz w:val="18"/>
                    </w:rPr>
                    <w:t>路面平均照度和照度均匀度的检测方法依据GB/T 5700-2023标准中第8.1.3条布置网格，并按四点法（测点设于网格四角）和中心法（测点设于网格中心），采用光谱型辐射仪（光谱型照度计）进行测试照度测试和色温显指测试。因为原有设施限制，改造路段中存在灯杆间距较大、灯杆高度不足、单侧布灯的情况，照度均匀度和眩光限制阈值增量T1(%)等指标无法同时达标的情况下，允许个别指标不达标。树木遮挡严重的现场可以通过测试（未遮挡）的点照度对应Dialux计算结果来验证达标情况。Dialux模拟也是初始照明设计的关键部分，应该在采购人处备案。</w:t>
                  </w:r>
                </w:p>
                <w:p>
                  <w:pPr>
                    <w:pStyle w:val="null3"/>
                    <w:ind w:firstLine="400"/>
                  </w:pPr>
                  <w:r>
                    <w:rPr>
                      <w:rFonts w:ascii="仿宋_GB2312" w:hAnsi="仿宋_GB2312" w:cs="仿宋_GB2312" w:eastAsia="仿宋_GB2312"/>
                      <w:sz w:val="18"/>
                    </w:rPr>
                    <w:t>按照CJJ 89-2012《城市道路照明工程施工及验收规程》的规定，对CJJ45-2015规定的所有指标即色温、显色指数、路面平均照度、照度均匀度、眩光限制阈值增量T1(%)、路面亮度总均匀度和路面亮度纵向均匀度的达标情况进行分析和验收，并要求平均照度不得高于（高档）标准值的120%。由于眩光限制阈值增量T1(%)、路面平均亮度、路面亮度总均匀度和路面亮度纵向均匀度的检测比较复杂且费用非常高，在这种情况下，根据CJJ 89-2012的8.1.9 第六条，“灯的光度分布应符合现行行业标准CJJ45-2015《城市道路照明设计标准》规定的道路照明标准值的要求，供应商应完整提供灯的光学数据等计算资料”，第三方验收机构可以现场抽取灯具样品去测试IES数据，并通过Dialux计算上述各项指标，以确定达标情况。</w:t>
                  </w:r>
                </w:p>
                <w:p>
                  <w:pPr>
                    <w:pStyle w:val="null3"/>
                    <w:ind w:firstLine="400"/>
                  </w:pPr>
                  <w:r>
                    <w:rPr>
                      <w:rFonts w:ascii="仿宋_GB2312" w:hAnsi="仿宋_GB2312" w:cs="仿宋_GB2312" w:eastAsia="仿宋_GB2312"/>
                      <w:sz w:val="18"/>
                    </w:rPr>
                    <w:t>除了照明质量以外，第三方验收机构同时完成能源审计，确认节能率达标（符合中标人投标时的承诺），否则中标方必须进行整改。托管合同期到期交付前，还需要第三方验收机构再进行一次能源审计，确认同时段比较的节能率没有降低。</w:t>
                  </w:r>
                </w:p>
                <w:p>
                  <w:pPr>
                    <w:pStyle w:val="null3"/>
                    <w:ind w:firstLine="402"/>
                  </w:pPr>
                  <w:r>
                    <w:rPr>
                      <w:rFonts w:ascii="仿宋_GB2312" w:hAnsi="仿宋_GB2312" w:cs="仿宋_GB2312" w:eastAsia="仿宋_GB2312"/>
                      <w:sz w:val="18"/>
                      <w:b/>
                    </w:rPr>
                    <w:t>各项验收相关费用由中标人承担。</w:t>
                  </w:r>
                </w:p>
                <w:p>
                  <w:pPr>
                    <w:pStyle w:val="null3"/>
                    <w:ind w:firstLine="402"/>
                  </w:pPr>
                  <w:r>
                    <w:rPr>
                      <w:rFonts w:ascii="仿宋_GB2312" w:hAnsi="仿宋_GB2312" w:cs="仿宋_GB2312" w:eastAsia="仿宋_GB2312"/>
                      <w:sz w:val="18"/>
                      <w:b/>
                    </w:rPr>
                    <w:t>4.能源托管项目服务质量与要求</w:t>
                  </w:r>
                </w:p>
                <w:p>
                  <w:pPr>
                    <w:pStyle w:val="null3"/>
                    <w:ind w:firstLine="402"/>
                  </w:pPr>
                  <w:r>
                    <w:rPr>
                      <w:rFonts w:ascii="仿宋_GB2312" w:hAnsi="仿宋_GB2312" w:cs="仿宋_GB2312" w:eastAsia="仿宋_GB2312"/>
                      <w:sz w:val="18"/>
                      <w:b/>
                    </w:rPr>
                    <w:t>1、</w:t>
                  </w:r>
                  <w:r>
                    <w:rPr>
                      <w:rFonts w:ascii="仿宋_GB2312" w:hAnsi="仿宋_GB2312" w:cs="仿宋_GB2312" w:eastAsia="仿宋_GB2312"/>
                      <w:sz w:val="18"/>
                      <w:b/>
                    </w:rPr>
                    <w:t>项目托管内容</w:t>
                  </w:r>
                </w:p>
                <w:p>
                  <w:pPr>
                    <w:pStyle w:val="null3"/>
                    <w:ind w:firstLine="400"/>
                    <w:jc w:val="left"/>
                  </w:pPr>
                  <w:r>
                    <w:rPr>
                      <w:rFonts w:ascii="仿宋_GB2312" w:hAnsi="仿宋_GB2312" w:cs="仿宋_GB2312" w:eastAsia="仿宋_GB2312"/>
                      <w:sz w:val="18"/>
                    </w:rPr>
                    <w:t>（1）中标人负责项目的节能诊断、项目建设、设备提供安装、托管期的电费代缴以及基于路灯设施开展的其他服务等工作。包括但不局限于灯具、智控设备、灯杆、配电箱、电缆、电线、线路管道、架空线路及配件以及照明智慧化管理系统等的管理、维护和定期检测(变压器以下的所有照明设施)，设施台账定期更新，破损设施更换更新以及配合做好本级政府要求落实的其他工作任务等，确保城市照明整体正常运作，且托管范围内城区城市道路照明质量及路面平均照度、均匀度达到《城市道路照明设计标准》等相关技术标准要求，</w:t>
                  </w:r>
                  <w:r>
                    <w:rPr>
                      <w:rFonts w:ascii="仿宋_GB2312" w:hAnsi="仿宋_GB2312" w:cs="仿宋_GB2312" w:eastAsia="仿宋_GB2312"/>
                      <w:sz w:val="18"/>
                      <w:b/>
                    </w:rPr>
                    <w:t>全</w:t>
                  </w:r>
                  <w:r>
                    <w:rPr>
                      <w:rFonts w:ascii="仿宋_GB2312" w:hAnsi="仿宋_GB2312" w:cs="仿宋_GB2312" w:eastAsia="仿宋_GB2312"/>
                      <w:sz w:val="18"/>
                      <w:b/>
                    </w:rPr>
                    <w:t>区</w:t>
                  </w:r>
                  <w:r>
                    <w:rPr>
                      <w:rFonts w:ascii="仿宋_GB2312" w:hAnsi="仿宋_GB2312" w:cs="仿宋_GB2312" w:eastAsia="仿宋_GB2312"/>
                      <w:sz w:val="18"/>
                      <w:b/>
                    </w:rPr>
                    <w:t>区域道路照明亮灯率98%</w:t>
                  </w:r>
                  <w:r>
                    <w:rPr>
                      <w:rFonts w:ascii="仿宋_GB2312" w:hAnsi="仿宋_GB2312" w:cs="仿宋_GB2312" w:eastAsia="仿宋_GB2312"/>
                      <w:sz w:val="18"/>
                      <w:b/>
                    </w:rPr>
                    <w:t>及</w:t>
                  </w:r>
                  <w:r>
                    <w:rPr>
                      <w:rFonts w:ascii="仿宋_GB2312" w:hAnsi="仿宋_GB2312" w:cs="仿宋_GB2312" w:eastAsia="仿宋_GB2312"/>
                      <w:sz w:val="18"/>
                      <w:b/>
                    </w:rPr>
                    <w:t>以上。</w:t>
                  </w:r>
                </w:p>
                <w:p>
                  <w:pPr>
                    <w:pStyle w:val="null3"/>
                    <w:ind w:firstLine="400"/>
                    <w:jc w:val="left"/>
                  </w:pPr>
                  <w:r>
                    <w:rPr>
                      <w:rFonts w:ascii="仿宋_GB2312" w:hAnsi="仿宋_GB2312" w:cs="仿宋_GB2312" w:eastAsia="仿宋_GB2312"/>
                      <w:sz w:val="18"/>
                    </w:rPr>
                    <w:t>（2）采购人按照合同约定支付中标人托管费用。若因中标人不及时缴纳电费（每月）出现停电、断电等情况视为严重违约，采购人有权向中标人发出书面函件终止合同并追究其违约责任且没收其所有履约保证金。</w:t>
                  </w:r>
                </w:p>
                <w:p>
                  <w:pPr>
                    <w:pStyle w:val="null3"/>
                    <w:ind w:firstLine="400"/>
                    <w:jc w:val="left"/>
                  </w:pPr>
                  <w:r>
                    <w:rPr>
                      <w:rFonts w:ascii="仿宋_GB2312" w:hAnsi="仿宋_GB2312" w:cs="仿宋_GB2312" w:eastAsia="仿宋_GB2312"/>
                      <w:sz w:val="18"/>
                    </w:rPr>
                    <w:t>（3）由中标人承担托管期“项目托管、电费缴纳、灯具质保、智能系统运行管理、合作期满设备整体完好、照度达标移交、投诉处理”等全过程服务。</w:t>
                  </w:r>
                </w:p>
                <w:p>
                  <w:pPr>
                    <w:pStyle w:val="null3"/>
                    <w:ind w:firstLine="402"/>
                    <w:jc w:val="both"/>
                  </w:pPr>
                  <w:r>
                    <w:rPr>
                      <w:rFonts w:ascii="仿宋_GB2312" w:hAnsi="仿宋_GB2312" w:cs="仿宋_GB2312" w:eastAsia="仿宋_GB2312"/>
                      <w:sz w:val="18"/>
                      <w:b/>
                    </w:rPr>
                    <w:t>2.电费托管运营</w:t>
                  </w:r>
                </w:p>
                <w:p>
                  <w:pPr>
                    <w:pStyle w:val="null3"/>
                    <w:ind w:firstLine="400"/>
                    <w:jc w:val="both"/>
                  </w:pPr>
                  <w:r>
                    <w:rPr>
                      <w:rFonts w:ascii="仿宋_GB2312" w:hAnsi="仿宋_GB2312" w:cs="仿宋_GB2312" w:eastAsia="仿宋_GB2312"/>
                      <w:sz w:val="18"/>
                    </w:rPr>
                    <w:t>（1）电费缴纳</w:t>
                  </w:r>
                </w:p>
                <w:p>
                  <w:pPr>
                    <w:pStyle w:val="null3"/>
                    <w:ind w:firstLine="400"/>
                    <w:jc w:val="both"/>
                  </w:pPr>
                  <w:r>
                    <w:rPr>
                      <w:rFonts w:ascii="仿宋_GB2312" w:hAnsi="仿宋_GB2312" w:cs="仿宋_GB2312" w:eastAsia="仿宋_GB2312"/>
                      <w:sz w:val="18"/>
                    </w:rPr>
                    <w:t>中标人负责托管范围内电费的缴纳。</w:t>
                  </w:r>
                </w:p>
                <w:p>
                  <w:pPr>
                    <w:pStyle w:val="null3"/>
                    <w:ind w:firstLine="400"/>
                    <w:jc w:val="both"/>
                  </w:pPr>
                  <w:r>
                    <w:rPr>
                      <w:rFonts w:ascii="仿宋_GB2312" w:hAnsi="仿宋_GB2312" w:cs="仿宋_GB2312" w:eastAsia="仿宋_GB2312"/>
                      <w:sz w:val="18"/>
                    </w:rPr>
                    <w:t>（2）电表管理</w:t>
                  </w:r>
                </w:p>
                <w:p>
                  <w:pPr>
                    <w:pStyle w:val="null3"/>
                    <w:ind w:firstLine="400"/>
                    <w:jc w:val="both"/>
                  </w:pPr>
                  <w:r>
                    <w:rPr>
                      <w:rFonts w:ascii="仿宋_GB2312" w:hAnsi="仿宋_GB2312" w:cs="仿宋_GB2312" w:eastAsia="仿宋_GB2312"/>
                      <w:sz w:val="18"/>
                    </w:rPr>
                    <w:t>中标人有权对服务范围内的电表进行管理，路灯主管部门协同中标单位对公益用电以外，非路灯取电设备进行协商处理，收费双方协商。</w:t>
                  </w:r>
                </w:p>
                <w:p>
                  <w:pPr>
                    <w:pStyle w:val="null3"/>
                    <w:ind w:firstLine="400"/>
                    <w:jc w:val="both"/>
                  </w:pPr>
                  <w:r>
                    <w:rPr>
                      <w:rFonts w:ascii="仿宋_GB2312" w:hAnsi="仿宋_GB2312" w:cs="仿宋_GB2312" w:eastAsia="仿宋_GB2312"/>
                      <w:sz w:val="18"/>
                    </w:rPr>
                    <w:t>（3）托管电费浮动及其他</w:t>
                  </w:r>
                </w:p>
                <w:p>
                  <w:pPr>
                    <w:pStyle w:val="null3"/>
                    <w:ind w:firstLine="400"/>
                    <w:jc w:val="both"/>
                  </w:pPr>
                  <w:r>
                    <w:rPr>
                      <w:rFonts w:ascii="仿宋_GB2312" w:hAnsi="仿宋_GB2312" w:cs="仿宋_GB2312" w:eastAsia="仿宋_GB2312"/>
                      <w:sz w:val="18"/>
                    </w:rPr>
                    <w:t>（1）电费单价以合同约定电价为基准，托管期间如果年电费平均单价涨跌幅±8%以内不减少费用，涨跌幅超过 8%（含8%）据实核算电费，在次月按照最新标准结算。开灯时间为每日日落之后10分钟，关灯时间为每日日出之前10分钟；全年平均每日亮灯时长约为11小时15分钟。</w:t>
                  </w:r>
                </w:p>
                <w:p>
                  <w:pPr>
                    <w:pStyle w:val="null3"/>
                    <w:ind w:firstLine="400"/>
                    <w:jc w:val="both"/>
                  </w:pPr>
                  <w:r>
                    <w:rPr>
                      <w:rFonts w:ascii="仿宋_GB2312" w:hAnsi="仿宋_GB2312" w:cs="仿宋_GB2312" w:eastAsia="仿宋_GB2312"/>
                      <w:sz w:val="18"/>
                    </w:rPr>
                    <w:t>（2）亮灯时长增加：后期因城市发展亮化需求提高，按照实际灯具功率台账进行亮灯时长调整，托管费用同步增加。</w:t>
                  </w:r>
                </w:p>
                <w:p>
                  <w:pPr>
                    <w:pStyle w:val="null3"/>
                    <w:ind w:firstLine="402"/>
                    <w:jc w:val="both"/>
                  </w:pPr>
                  <w:r>
                    <w:rPr>
                      <w:rFonts w:ascii="仿宋_GB2312" w:hAnsi="仿宋_GB2312" w:cs="仿宋_GB2312" w:eastAsia="仿宋_GB2312"/>
                      <w:sz w:val="18"/>
                      <w:b/>
                    </w:rPr>
                    <w:t>（3）如遇重大节庆、会展、重要接待或突发恶劣天气等情况，中标人需及时响应应急亮灯，保障安全有序。</w:t>
                  </w:r>
                </w:p>
                <w:p>
                  <w:pPr>
                    <w:pStyle w:val="null3"/>
                    <w:ind w:firstLine="402"/>
                  </w:pPr>
                  <w:r>
                    <w:rPr>
                      <w:rFonts w:ascii="仿宋_GB2312" w:hAnsi="仿宋_GB2312" w:cs="仿宋_GB2312" w:eastAsia="仿宋_GB2312"/>
                      <w:sz w:val="18"/>
                      <w:b/>
                    </w:rPr>
                    <w:t>3.绩效考核标准：见合同模板附件</w:t>
                  </w:r>
                </w:p>
                <w:p>
                  <w:pPr>
                    <w:pStyle w:val="null3"/>
                    <w:ind w:firstLine="402"/>
                  </w:pPr>
                  <w:r>
                    <w:rPr>
                      <w:rFonts w:ascii="仿宋_GB2312" w:hAnsi="仿宋_GB2312" w:cs="仿宋_GB2312" w:eastAsia="仿宋_GB2312"/>
                      <w:sz w:val="18"/>
                      <w:b/>
                    </w:rPr>
                    <w:t>4、项目人员、设备、设施需求</w:t>
                  </w:r>
                </w:p>
                <w:p>
                  <w:pPr>
                    <w:pStyle w:val="null3"/>
                    <w:ind w:firstLine="400"/>
                    <w:jc w:val="left"/>
                  </w:pPr>
                  <w:r>
                    <w:rPr>
                      <w:rFonts w:ascii="仿宋_GB2312" w:hAnsi="仿宋_GB2312" w:cs="仿宋_GB2312" w:eastAsia="仿宋_GB2312"/>
                      <w:sz w:val="18"/>
                    </w:rPr>
                    <w:t>（1）根据本项目能源托管情况及质量要求，中标人应结合实际情况合理安排第三方的作业岗位、人员、车辆、服务网点。</w:t>
                  </w:r>
                </w:p>
                <w:p>
                  <w:pPr>
                    <w:pStyle w:val="null3"/>
                    <w:ind w:firstLine="400"/>
                    <w:jc w:val="both"/>
                  </w:pPr>
                  <w:r>
                    <w:rPr>
                      <w:rFonts w:ascii="仿宋_GB2312" w:hAnsi="仿宋_GB2312" w:cs="仿宋_GB2312" w:eastAsia="仿宋_GB2312"/>
                      <w:sz w:val="18"/>
                    </w:rPr>
                    <w:t>▲1）项目人员需求表</w:t>
                  </w:r>
                </w:p>
                <w:tbl>
                  <w:tblPr>
                    <w:tblInd w:type="dxa" w:w="135"/>
                    <w:tblBorders>
                      <w:top w:val="none" w:color="000000" w:sz="4"/>
                      <w:left w:val="none" w:color="000000" w:sz="4"/>
                      <w:bottom w:val="none" w:color="000000" w:sz="4"/>
                      <w:right w:val="none" w:color="000000" w:sz="4"/>
                      <w:insideH w:val="none"/>
                      <w:insideV w:val="none"/>
                    </w:tblBorders>
                  </w:tblPr>
                  <w:tblGrid>
                    <w:gridCol w:w="338"/>
                    <w:gridCol w:w="907"/>
                    <w:gridCol w:w="346"/>
                    <w:gridCol w:w="1810"/>
                  </w:tblGrid>
                  <w:tr>
                    <w:tc>
                      <w:tcPr>
                        <w:tcW w:type="dxa" w:w="3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9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岗位名称</w:t>
                        </w:r>
                      </w:p>
                    </w:tc>
                    <w:tc>
                      <w:tcPr>
                        <w:tcW w:type="dxa" w:w="3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18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岗位要求</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1</w:t>
                        </w:r>
                      </w:p>
                    </w:tc>
                    <w:tc>
                      <w:tcPr>
                        <w:tcW w:type="dxa" w:w="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项目负责人</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1人</w:t>
                        </w:r>
                      </w:p>
                    </w:tc>
                    <w:tc>
                      <w:tcPr>
                        <w:tcW w:type="dxa" w:w="1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b/>
                          </w:rPr>
                          <w:t>具有机电工程或市政公用工程专业中级及以上技术职称，</w:t>
                        </w:r>
                        <w:r>
                          <w:rPr>
                            <w:rFonts w:ascii="仿宋_GB2312" w:hAnsi="仿宋_GB2312" w:cs="仿宋_GB2312" w:eastAsia="仿宋_GB2312"/>
                            <w:sz w:val="18"/>
                          </w:rPr>
                          <w:t>且具有类似项目工作经验。</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技术负责人</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1人</w:t>
                        </w:r>
                      </w:p>
                    </w:tc>
                    <w:tc>
                      <w:tcPr>
                        <w:tcW w:type="dxa" w:w="1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具有机电工程或市政工程相关专业中级及以上工程师证，且具有类似项目工作经验。</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安全负责人</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1人</w:t>
                        </w:r>
                      </w:p>
                    </w:tc>
                    <w:tc>
                      <w:tcPr>
                        <w:tcW w:type="dxa" w:w="1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具有中级及以上工程师证，且具有类似项目工作经验。</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4</w:t>
                        </w:r>
                      </w:p>
                    </w:tc>
                    <w:tc>
                      <w:tcPr>
                        <w:tcW w:type="dxa" w:w="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专职安全员</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1人</w:t>
                        </w:r>
                      </w:p>
                    </w:tc>
                    <w:tc>
                      <w:tcPr>
                        <w:tcW w:type="dxa" w:w="1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b/>
                          </w:rPr>
                          <w:t>具有安全生产考核合格证（C证）</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平台系统管理负责人</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1人</w:t>
                        </w:r>
                      </w:p>
                    </w:tc>
                    <w:tc>
                      <w:tcPr>
                        <w:tcW w:type="dxa" w:w="1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参与过类似管理平台开发。</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施工（维护）管理人员</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2人</w:t>
                        </w:r>
                      </w:p>
                    </w:tc>
                    <w:tc>
                      <w:tcPr>
                        <w:tcW w:type="dxa" w:w="1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施工（维护）操作人员</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12人</w:t>
                        </w:r>
                      </w:p>
                    </w:tc>
                    <w:tc>
                      <w:tcPr>
                        <w:tcW w:type="dxa" w:w="1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其中：操作项目为低压电工作业不少于2人；；操作项目为高空安装、维护、拆除作业不少于4人</w:t>
                        </w:r>
                        <w:r>
                          <w:rPr>
                            <w:rFonts w:ascii="仿宋_GB2312" w:hAnsi="仿宋_GB2312" w:cs="仿宋_GB2312" w:eastAsia="仿宋_GB2312"/>
                            <w:sz w:val="18"/>
                          </w:rPr>
                          <w:t>；其它操作项目人员不少于3人。操作人员涉及特种作业的应持证上岗。</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现场驻场人员</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3人</w:t>
                        </w:r>
                      </w:p>
                    </w:tc>
                    <w:tc>
                      <w:tcPr>
                        <w:tcW w:type="dxa" w:w="1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大专及以上学历，具有类似项目驻场工作经验。</w:t>
                        </w:r>
                      </w:p>
                    </w:tc>
                  </w:tr>
                  <w:tr>
                    <w:tc>
                      <w:tcPr>
                        <w:tcW w:type="dxa" w:w="3401"/>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注：1.中标人在配备托管运营人员时，可结合实际情况在上述表格基础上合理增加人员，但不得少于规定的最少配备人数（至少22人（包括现场驻场人员）），且管理架构应当合理、分工明确。以上人员不得兼任。</w:t>
                        </w:r>
                      </w:p>
                      <w:p>
                        <w:pPr>
                          <w:pStyle w:val="null3"/>
                          <w:jc w:val="both"/>
                        </w:pPr>
                        <w:r>
                          <w:rPr>
                            <w:rFonts w:ascii="仿宋_GB2312" w:hAnsi="仿宋_GB2312" w:cs="仿宋_GB2312" w:eastAsia="仿宋_GB2312"/>
                            <w:sz w:val="18"/>
                          </w:rPr>
                          <w:t>▲2.投标时须在投标文件中须承诺中标后按以上要求配备，并提供承诺书。</w:t>
                        </w:r>
                      </w:p>
                      <w:p>
                        <w:pPr>
                          <w:pStyle w:val="null3"/>
                          <w:jc w:val="both"/>
                        </w:pPr>
                        <w:r>
                          <w:rPr>
                            <w:rFonts w:ascii="仿宋_GB2312" w:hAnsi="仿宋_GB2312" w:cs="仿宋_GB2312" w:eastAsia="仿宋_GB2312"/>
                            <w:sz w:val="18"/>
                          </w:rPr>
                          <w:t>3.在托管运营期间，以上所有人员都须考勤，每月在岗天数不少于22天。</w:t>
                        </w:r>
                      </w:p>
                    </w:tc>
                  </w:tr>
                </w:tbl>
                <w:p>
                  <w:pPr>
                    <w:pStyle w:val="null3"/>
                    <w:ind w:firstLine="210"/>
                    <w:jc w:val="both"/>
                  </w:pPr>
                  <w:r>
                    <w:rPr>
                      <w:rFonts w:ascii="仿宋_GB2312" w:hAnsi="仿宋_GB2312" w:cs="仿宋_GB2312" w:eastAsia="仿宋_GB2312"/>
                      <w:sz w:val="18"/>
                    </w:rPr>
                    <w:t>▲2）项目车辆需求表</w:t>
                  </w:r>
                </w:p>
                <w:tbl>
                  <w:tblPr>
                    <w:tblInd w:type="dxa" w:w="135"/>
                    <w:tblBorders>
                      <w:top w:val="none" w:color="000000" w:sz="4"/>
                      <w:left w:val="none" w:color="000000" w:sz="4"/>
                      <w:bottom w:val="none" w:color="000000" w:sz="4"/>
                      <w:right w:val="none" w:color="000000" w:sz="4"/>
                      <w:insideH w:val="none"/>
                      <w:insideV w:val="none"/>
                    </w:tblBorders>
                  </w:tblPr>
                  <w:tblGrid>
                    <w:gridCol w:w="379"/>
                    <w:gridCol w:w="1934"/>
                    <w:gridCol w:w="1094"/>
                  </w:tblGrid>
                  <w:tr>
                    <w:tc>
                      <w:tcPr>
                        <w:tcW w:type="dxa" w:w="3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1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设备名称</w:t>
                        </w:r>
                      </w:p>
                    </w:tc>
                    <w:tc>
                      <w:tcPr>
                        <w:tcW w:type="dxa" w:w="10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高空作业车</w:t>
                        </w:r>
                      </w:p>
                      <w:p>
                        <w:pPr>
                          <w:pStyle w:val="null3"/>
                          <w:jc w:val="center"/>
                        </w:pPr>
                        <w:r>
                          <w:rPr>
                            <w:rFonts w:ascii="仿宋_GB2312" w:hAnsi="仿宋_GB2312" w:cs="仿宋_GB2312" w:eastAsia="仿宋_GB2312"/>
                            <w:sz w:val="18"/>
                          </w:rPr>
                          <w:t>（中型或轻型非载货专项作业车）</w:t>
                        </w:r>
                      </w:p>
                    </w:tc>
                    <w:tc>
                      <w:tcPr>
                        <w:tcW w:type="dxa" w:w="1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4辆</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巡逻车</w:t>
                        </w:r>
                      </w:p>
                    </w:tc>
                    <w:tc>
                      <w:tcPr>
                        <w:tcW w:type="dxa" w:w="1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2辆</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防撞缓冲车（重型专门用途货车）</w:t>
                        </w:r>
                      </w:p>
                    </w:tc>
                    <w:tc>
                      <w:tcPr>
                        <w:tcW w:type="dxa" w:w="1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1辆</w:t>
                        </w:r>
                      </w:p>
                    </w:tc>
                  </w:tr>
                  <w:tr>
                    <w:tc>
                      <w:tcPr>
                        <w:tcW w:type="dxa" w:w="340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注：供应商在投标时需承诺车辆的数量不少于表中规定（其中一辆高空作业车的作业高度不低于20米），并提供承诺书，承诺书格式自拟。</w:t>
                        </w:r>
                      </w:p>
                    </w:tc>
                  </w:tr>
                </w:tbl>
                <w:p>
                  <w:pPr>
                    <w:pStyle w:val="null3"/>
                    <w:ind w:firstLine="400"/>
                    <w:jc w:val="both"/>
                  </w:pPr>
                  <w:r>
                    <w:rPr>
                      <w:rFonts w:ascii="仿宋_GB2312" w:hAnsi="仿宋_GB2312" w:cs="仿宋_GB2312" w:eastAsia="仿宋_GB2312"/>
                      <w:sz w:val="18"/>
                    </w:rPr>
                    <w:t>3）服务网点需求</w:t>
                  </w:r>
                </w:p>
                <w:p>
                  <w:pPr>
                    <w:pStyle w:val="null3"/>
                    <w:ind w:firstLine="400"/>
                    <w:jc w:val="both"/>
                  </w:pPr>
                  <w:r>
                    <w:rPr>
                      <w:rFonts w:ascii="仿宋_GB2312" w:hAnsi="仿宋_GB2312" w:cs="仿宋_GB2312" w:eastAsia="仿宋_GB2312"/>
                      <w:sz w:val="18"/>
                    </w:rPr>
                    <w:t>若供应商中标，应在服务区域内设置固定场所服务网点不少于2处，并向采购人报备。</w:t>
                  </w:r>
                </w:p>
                <w:p>
                  <w:pPr>
                    <w:pStyle w:val="null3"/>
                    <w:jc w:val="both"/>
                  </w:pPr>
                  <w:r>
                    <w:rPr>
                      <w:rFonts w:ascii="仿宋_GB2312" w:hAnsi="仿宋_GB2312" w:cs="仿宋_GB2312" w:eastAsia="仿宋_GB2312"/>
                      <w:sz w:val="18"/>
                      <w:b/>
                    </w:rPr>
                    <w:t>5、其他服务要求</w:t>
                  </w:r>
                </w:p>
                <w:p>
                  <w:pPr>
                    <w:pStyle w:val="null3"/>
                    <w:ind w:firstLine="400"/>
                    <w:jc w:val="both"/>
                  </w:pPr>
                  <w:r>
                    <w:rPr>
                      <w:rFonts w:ascii="仿宋_GB2312" w:hAnsi="仿宋_GB2312" w:cs="仿宋_GB2312" w:eastAsia="仿宋_GB2312"/>
                      <w:sz w:val="18"/>
                    </w:rPr>
                    <w:t>（1）应急抢修，设施故障报修响应时间：</w:t>
                  </w:r>
                </w:p>
                <w:p>
                  <w:pPr>
                    <w:pStyle w:val="null3"/>
                    <w:ind w:firstLine="400"/>
                    <w:jc w:val="both"/>
                  </w:pPr>
                  <w:r>
                    <w:rPr>
                      <w:rFonts w:ascii="仿宋_GB2312" w:hAnsi="仿宋_GB2312" w:cs="仿宋_GB2312" w:eastAsia="仿宋_GB2312"/>
                      <w:sz w:val="18"/>
                    </w:rPr>
                    <w:t>①一般故障报修：应在10分钟内响应，中心城区在30分钟内到达现场处理，故障或设备应在1天内进行修复；若遇特殊情况无法在规定的时间内修复，需提前向采购人报备，提供准确的修复时间。</w:t>
                  </w:r>
                </w:p>
                <w:p>
                  <w:pPr>
                    <w:pStyle w:val="null3"/>
                    <w:ind w:firstLine="400"/>
                    <w:jc w:val="both"/>
                  </w:pPr>
                  <w:r>
                    <w:rPr>
                      <w:rFonts w:ascii="仿宋_GB2312" w:hAnsi="仿宋_GB2312" w:cs="仿宋_GB2312" w:eastAsia="仿宋_GB2312"/>
                      <w:sz w:val="18"/>
                    </w:rPr>
                    <w:t>②系统性故障和重大故障报修：应在10分钟内响应，中心城区在30分钟内到达现场处理，并应采取临时措施保证不发生二次事故，保障道路畅通，应在2天内修复；若遇特殊情况无法在规定的时间内修复，需提前向采购人报备，提供准确的修复时间。</w:t>
                  </w:r>
                </w:p>
                <w:p>
                  <w:pPr>
                    <w:pStyle w:val="null3"/>
                    <w:ind w:firstLine="400"/>
                    <w:jc w:val="both"/>
                  </w:pPr>
                  <w:r>
                    <w:rPr>
                      <w:rFonts w:ascii="仿宋_GB2312" w:hAnsi="仿宋_GB2312" w:cs="仿宋_GB2312" w:eastAsia="仿宋_GB2312"/>
                      <w:sz w:val="18"/>
                    </w:rPr>
                    <w:t>③强台风、强降雨等不可抗力因素造成的严重故障或设施损坏，应在10分钟内响应，中心城区在30分钟内到达现场处理，并采取应急措施，故障或设备应于2天内修复；若遇特殊情况无法在规定的时间内修复，需提前向采购人报备，提供准确的修复时间。</w:t>
                  </w:r>
                </w:p>
                <w:p>
                  <w:pPr>
                    <w:pStyle w:val="null3"/>
                    <w:ind w:firstLine="400"/>
                    <w:jc w:val="both"/>
                  </w:pPr>
                  <w:r>
                    <w:rPr>
                      <w:rFonts w:ascii="仿宋_GB2312" w:hAnsi="仿宋_GB2312" w:cs="仿宋_GB2312" w:eastAsia="仿宋_GB2312"/>
                      <w:sz w:val="18"/>
                    </w:rPr>
                    <w:t>④若因中标人未及时响应、处理不及时，造成的损失及责任由中标人承担。</w:t>
                  </w:r>
                </w:p>
                <w:p>
                  <w:pPr>
                    <w:pStyle w:val="null3"/>
                    <w:ind w:firstLine="402"/>
                    <w:jc w:val="both"/>
                  </w:pPr>
                  <w:r>
                    <w:rPr>
                      <w:rFonts w:ascii="仿宋_GB2312" w:hAnsi="仿宋_GB2312" w:cs="仿宋_GB2312" w:eastAsia="仿宋_GB2312"/>
                      <w:sz w:val="18"/>
                      <w:b/>
                    </w:rPr>
                    <w:t>（2）应急处置</w:t>
                  </w:r>
                </w:p>
                <w:p>
                  <w:pPr>
                    <w:pStyle w:val="null3"/>
                    <w:ind w:firstLine="400"/>
                    <w:jc w:val="both"/>
                  </w:pPr>
                  <w:r>
                    <w:rPr>
                      <w:rFonts w:ascii="仿宋_GB2312" w:hAnsi="仿宋_GB2312" w:cs="仿宋_GB2312" w:eastAsia="仿宋_GB2312"/>
                      <w:sz w:val="18"/>
                    </w:rPr>
                    <w:t>①中标人应针对包括但不限于自然灾害、重特大事故、环境公害、人为破坏、路灯大面积灭灯、设施漏电、其他突发情况以及市民热线投诉、网络媒体曝光等事件的发生等各类可能发生的事故和所有危险源制定应急预案和现场处置方案，明确事前、事中、事后的各个过程中相关部门和有关人员的职责。应急预案应科学、及时，能有效减少因上述情况造成的损失，应急预案须报采购人备案。</w:t>
                  </w:r>
                </w:p>
                <w:p>
                  <w:pPr>
                    <w:pStyle w:val="null3"/>
                    <w:ind w:firstLine="400"/>
                    <w:jc w:val="both"/>
                  </w:pPr>
                  <w:r>
                    <w:rPr>
                      <w:rFonts w:ascii="仿宋_GB2312" w:hAnsi="仿宋_GB2312" w:cs="仿宋_GB2312" w:eastAsia="仿宋_GB2312"/>
                      <w:sz w:val="18"/>
                    </w:rPr>
                    <w:t>②项目托管期内，因交通事故或其他事故导致路灯设施受损的，由中标人负责修复，修复期限参考前款规定的设施故障报修响应时间。中标人修复受损路灯设施后，有权向第三方侵权人进行索赔，索赔金额应按造价相关标准进行制定，索赔流程及索赔金额应在采购人监督下进行，对于不合理的索赔，采购人有权制止。</w:t>
                  </w:r>
                </w:p>
                <w:p>
                  <w:pPr>
                    <w:pStyle w:val="null3"/>
                    <w:ind w:firstLine="400"/>
                    <w:jc w:val="both"/>
                  </w:pPr>
                  <w:r>
                    <w:rPr>
                      <w:rFonts w:ascii="仿宋_GB2312" w:hAnsi="仿宋_GB2312" w:cs="仿宋_GB2312" w:eastAsia="仿宋_GB2312"/>
                      <w:sz w:val="18"/>
                    </w:rPr>
                    <w:t>③自然灾害、重特大事故、环境公害、人为破坏、路灯大面积灭灯、设施漏电、其他突发情况以及市民热线投诉、网络媒体曝光等事件的发生等各类可能发生的事故，若因中标人处理不当造成的损失或责任，均由中标人承担。项目托管期内，若出现路灯电线电缆被偷盗由中标人负责报警处理及更换。因改造、维修导致道路、绿化等其他市政基础设施受损的，中标人应及时进行修复。</w:t>
                  </w:r>
                </w:p>
                <w:p>
                  <w:pPr>
                    <w:pStyle w:val="null3"/>
                    <w:ind w:firstLine="400"/>
                    <w:jc w:val="left"/>
                  </w:pPr>
                  <w:r>
                    <w:rPr>
                      <w:rFonts w:ascii="仿宋_GB2312" w:hAnsi="仿宋_GB2312" w:cs="仿宋_GB2312" w:eastAsia="仿宋_GB2312"/>
                      <w:sz w:val="18"/>
                    </w:rPr>
                    <w:t>（3）能源托管服务：</w:t>
                  </w:r>
                </w:p>
                <w:p>
                  <w:pPr>
                    <w:pStyle w:val="null3"/>
                    <w:ind w:firstLine="400"/>
                    <w:jc w:val="both"/>
                  </w:pPr>
                  <w:r>
                    <w:rPr>
                      <w:rFonts w:ascii="仿宋_GB2312" w:hAnsi="仿宋_GB2312" w:cs="仿宋_GB2312" w:eastAsia="仿宋_GB2312"/>
                      <w:sz w:val="18"/>
                    </w:rPr>
                    <w:t>①项目托管期内，中标人应每月对托管范围内路灯设施进行全面检修，保证设施的完整且正常运行。包括但不限于灯杆、灯具、配电箱、电缆以及变压器等的管理、维护和定期检测（由高压权属分界到负荷终端的所有设施），设施台账定期更新，破损设施更换更新以及配合做好本级政府要求落实的其他工作任务等，确保城市照明整体正常运作，且托管范围内城区城市道路照明质量及路面平均照度、均匀度达《城市道路照明设计标准》等相关技术标准要求，其中重点区域道路照明亮灯率98%以上，公园广场照明质量达《城市夜景照明设计规范》要求。</w:t>
                  </w:r>
                </w:p>
                <w:p>
                  <w:pPr>
                    <w:pStyle w:val="null3"/>
                    <w:ind w:firstLine="400"/>
                    <w:jc w:val="left"/>
                  </w:pPr>
                  <w:r>
                    <w:rPr>
                      <w:rFonts w:ascii="仿宋_GB2312" w:hAnsi="仿宋_GB2312" w:cs="仿宋_GB2312" w:eastAsia="仿宋_GB2312"/>
                      <w:sz w:val="18"/>
                    </w:rPr>
                    <w:t>②由中标人每月按照合同代缴托管期内发生的电费。在采购人正常支付托管费用情况下，若因中标人不及时缴纳电费出现停电、断电等情况导致发生的安全事故、电费滞纳违约金等经济损失，由中标人承担全部责任。</w:t>
                  </w:r>
                </w:p>
                <w:p>
                  <w:pPr>
                    <w:pStyle w:val="null3"/>
                    <w:ind w:firstLine="400"/>
                    <w:jc w:val="left"/>
                  </w:pPr>
                  <w:r>
                    <w:rPr>
                      <w:rFonts w:ascii="仿宋_GB2312" w:hAnsi="仿宋_GB2312" w:cs="仿宋_GB2312" w:eastAsia="仿宋_GB2312"/>
                      <w:sz w:val="18"/>
                    </w:rPr>
                    <w:t>③由中标人承担托管期内包括但不限于“项目托管、电费缴纳、灯具质保、智能系统运行管理、合作期满设备整体完好、照度达标移交”等全过程服务，确保项目持续稳定运行。</w:t>
                  </w:r>
                </w:p>
                <w:p>
                  <w:pPr>
                    <w:pStyle w:val="null3"/>
                    <w:ind w:firstLine="400"/>
                    <w:jc w:val="left"/>
                  </w:pPr>
                  <w:r>
                    <w:rPr>
                      <w:rFonts w:ascii="仿宋_GB2312" w:hAnsi="仿宋_GB2312" w:cs="仿宋_GB2312" w:eastAsia="仿宋_GB2312"/>
                      <w:sz w:val="18"/>
                    </w:rPr>
                    <w:t>④为保障托管期结束后路灯相关设施无缺陷移交给采购人（亮灯率达到98%及以上，设施完好，且综合节能率不低于40%，项目托管期内新增的非照明用电、新移交LED灯具产生的用能不在节能率计算范畴内，节能率=（改造前路灯用电量-改造后路灯用电量）/改造前路灯用电量）*100%），合同期结束前3个月的托管费用待移交验收完毕后90日内支付，但合同期内最后3个月电费由中标人正常支付。若在移交后2个月内，实际的节能率若低于40%的，中标人须无偿更换设备以确保节能率不低于40%且扣除相应的履约保证金。</w:t>
                  </w:r>
                </w:p>
                <w:p>
                  <w:pPr>
                    <w:pStyle w:val="null3"/>
                    <w:ind w:firstLine="400"/>
                    <w:jc w:val="left"/>
                  </w:pPr>
                  <w:r>
                    <w:rPr>
                      <w:rFonts w:ascii="仿宋_GB2312" w:hAnsi="仿宋_GB2312" w:cs="仿宋_GB2312" w:eastAsia="仿宋_GB2312"/>
                      <w:sz w:val="18"/>
                    </w:rPr>
                    <w:t>⑤为保障人民群众生命财产安全，合同期内，因中标人维护不及时，维护不到位而出现安全事故的，相关损失及赔偿由中标人负责。此外，中标人需每年为本项目购买公众责任保险，每次事故赔偿限额不低于500万元。</w:t>
                  </w:r>
                </w:p>
                <w:p>
                  <w:pPr>
                    <w:pStyle w:val="null3"/>
                    <w:jc w:val="both"/>
                  </w:pPr>
                  <w:r>
                    <w:rPr>
                      <w:rFonts w:ascii="仿宋_GB2312" w:hAnsi="仿宋_GB2312" w:cs="仿宋_GB2312" w:eastAsia="仿宋_GB2312"/>
                      <w:sz w:val="18"/>
                      <w:b/>
                    </w:rPr>
                    <w:t>三、项目其他要求</w:t>
                  </w:r>
                </w:p>
                <w:p>
                  <w:pPr>
                    <w:pStyle w:val="null3"/>
                    <w:ind w:firstLine="400"/>
                    <w:jc w:val="left"/>
                  </w:pPr>
                  <w:r>
                    <w:rPr>
                      <w:rFonts w:ascii="仿宋_GB2312" w:hAnsi="仿宋_GB2312" w:cs="仿宋_GB2312" w:eastAsia="仿宋_GB2312"/>
                      <w:sz w:val="18"/>
                    </w:rPr>
                    <w:t>1、项目托管期内，对于未纳入本次实施范围的照明项目，如以后需纳入托管，另行签署协议予以约定相关内容，由中标人免费提供灯具并进行安装调试，新增区域的照明设施由中标人纳入管养范围，对路灯加装智能单灯控制并承担该部分的电费缴纳，中标人按设计灯具功率计收电费及维护费，其结算方式与本方案相同。新增的设施及维护标准，中标人必须严格按照本合同约定的技术参数、产品标准和性能要求执行，并应确保与本项目建设的智慧照明系统兼容。</w:t>
                  </w:r>
                  <w:r>
                    <w:rPr>
                      <w:rFonts w:ascii="仿宋_GB2312" w:hAnsi="仿宋_GB2312" w:cs="仿宋_GB2312" w:eastAsia="仿宋_GB2312"/>
                      <w:sz w:val="18"/>
                      <w:b/>
                    </w:rPr>
                    <w:t>（提供承诺函，格式自拟）</w:t>
                  </w:r>
                </w:p>
                <w:p>
                  <w:pPr>
                    <w:pStyle w:val="null3"/>
                    <w:ind w:firstLine="400"/>
                    <w:jc w:val="left"/>
                  </w:pPr>
                  <w:r>
                    <w:rPr>
                      <w:rFonts w:ascii="仿宋_GB2312" w:hAnsi="仿宋_GB2312" w:cs="仿宋_GB2312" w:eastAsia="仿宋_GB2312"/>
                      <w:sz w:val="18"/>
                    </w:rPr>
                    <w:t>2、如遇道路新建、改建新增用能设备及用电接口（如红绿灯、公益用电（含节庆）、视频、监控等），中标人需在 24 小时内响应，48 小时内专人配合采购人进行接收工作，相关费用由中标人与用能单位自行协商。中标人对上述设施设备迁移改造，需要经采购人及用能单位同意。</w:t>
                  </w:r>
                </w:p>
                <w:p>
                  <w:pPr>
                    <w:pStyle w:val="null3"/>
                    <w:ind w:firstLine="400"/>
                    <w:jc w:val="left"/>
                  </w:pPr>
                  <w:r>
                    <w:rPr>
                      <w:rFonts w:ascii="仿宋_GB2312" w:hAnsi="仿宋_GB2312" w:cs="仿宋_GB2312" w:eastAsia="仿宋_GB2312"/>
                      <w:sz w:val="18"/>
                    </w:rPr>
                    <w:t>3、项目托管期内，新增移交的城市照明设施所产生的电费费用，由中标人预交电费后，于次月凭上一月缴费单据报采购人据实结算，并新增至次年度托管费用中，新增费用由采购人承担。</w:t>
                  </w:r>
                </w:p>
                <w:p>
                  <w:pPr>
                    <w:pStyle w:val="null3"/>
                    <w:ind w:firstLine="400"/>
                    <w:jc w:val="left"/>
                  </w:pPr>
                  <w:r>
                    <w:rPr>
                      <w:rFonts w:ascii="仿宋_GB2312" w:hAnsi="仿宋_GB2312" w:cs="仿宋_GB2312" w:eastAsia="仿宋_GB2312"/>
                      <w:sz w:val="18"/>
                    </w:rPr>
                    <w:t>4、托管费用中，包含汉中市南郑区接入市政路灯用电的红绿灯、治安监控、公交站牌等用电设施的合理用电，未经过主管部门同意的情况下，不得随意切开任何电路（含公园广场等公共场所公益活动电费包含在托管费用中，非公益活动可经采购人同意后按实收取活动电费，活动期间，中标人应派专人到现场监管，确保用电安全）。</w:t>
                  </w:r>
                </w:p>
                <w:p>
                  <w:pPr>
                    <w:pStyle w:val="null3"/>
                    <w:ind w:firstLine="400"/>
                    <w:jc w:val="left"/>
                  </w:pPr>
                  <w:r>
                    <w:rPr>
                      <w:rFonts w:ascii="仿宋_GB2312" w:hAnsi="仿宋_GB2312" w:cs="仿宋_GB2312" w:eastAsia="仿宋_GB2312"/>
                      <w:sz w:val="18"/>
                    </w:rPr>
                    <w:t>5、中标人需制定科学、合理的工作方案（含调节灯光），并经采购人同意后实施，确保管养质量和效果，如若发生由于中标人过失、不作为或其他人为原因所导致的一切安全事故和人财物损失，均由中标人承担相关法律和经济赔偿责任。如主管部门因路灯管养工作收到群众投诉或诉讼，中标人应当承担相关法律和经济赔偿责任。</w:t>
                  </w:r>
                </w:p>
                <w:p>
                  <w:pPr>
                    <w:pStyle w:val="null3"/>
                    <w:ind w:firstLine="400"/>
                    <w:jc w:val="left"/>
                  </w:pPr>
                  <w:r>
                    <w:rPr>
                      <w:rFonts w:ascii="仿宋_GB2312" w:hAnsi="仿宋_GB2312" w:cs="仿宋_GB2312" w:eastAsia="仿宋_GB2312"/>
                      <w:sz w:val="18"/>
                    </w:rPr>
                    <w:t>6、如合同期内，因其他单位或个人需要迁移或改造路灯的，报相关部门备案，以及核定具体费用，若需要中标人进行迁移或改造路灯的，则需求单位向中标人支付费用，按照有关标准进行施工，由采购人作最终验收。</w:t>
                  </w:r>
                </w:p>
                <w:p>
                  <w:pPr>
                    <w:pStyle w:val="null3"/>
                    <w:ind w:firstLine="400"/>
                    <w:jc w:val="left"/>
                  </w:pPr>
                  <w:r>
                    <w:rPr>
                      <w:rFonts w:ascii="仿宋_GB2312" w:hAnsi="仿宋_GB2312" w:cs="仿宋_GB2312" w:eastAsia="仿宋_GB2312"/>
                      <w:sz w:val="18"/>
                    </w:rPr>
                    <w:t>7、建设期及托管期拆除的灯具、线路及相关路灯设施由中标人进行无害化处理，处置工作产生的费用包含在托管服务费中，甲方不额外支付任何费用；处置中产生的废弃资源，应交由甲方处置。</w:t>
                  </w:r>
                </w:p>
                <w:p>
                  <w:pPr>
                    <w:pStyle w:val="null3"/>
                    <w:ind w:firstLine="400"/>
                    <w:jc w:val="left"/>
                  </w:pPr>
                  <w:r>
                    <w:rPr>
                      <w:rFonts w:ascii="仿宋_GB2312" w:hAnsi="仿宋_GB2312" w:cs="仿宋_GB2312" w:eastAsia="仿宋_GB2312"/>
                      <w:sz w:val="18"/>
                    </w:rPr>
                    <w:t>8、中标人须积极配合采购人对道路照明设施设备的日常巡查、检查工作。</w:t>
                  </w:r>
                </w:p>
                <w:p>
                  <w:pPr>
                    <w:pStyle w:val="null3"/>
                    <w:ind w:firstLine="420"/>
                    <w:jc w:val="both"/>
                  </w:pPr>
                  <w:r>
                    <w:rPr>
                      <w:rFonts w:ascii="仿宋_GB2312" w:hAnsi="仿宋_GB2312" w:cs="仿宋_GB2312" w:eastAsia="仿宋_GB2312"/>
                      <w:sz w:val="18"/>
                    </w:rPr>
                    <w:t>9、托管期限届满30天内，中标人将项目设备、设施、档案（建设期、托管期）相关资料等完好、平稳地移交给采购人（应包含纸质版及电子版完整的全套资料），确保项目顺利移交。除项目设备设施外，在托管期结束后，中标人所搭建的路灯智慧控制平台需一并移交给采购人，包括但不限于用户账号密码、操作手册等。移交之前双方共同对项目进行一次全面检修。项目移交时中标人应保证设备和设施完好和能够正常运行。</w:t>
                  </w:r>
                </w:p>
                <w:p>
                  <w:pPr>
                    <w:pStyle w:val="null3"/>
                  </w:pPr>
                  <w:r>
                    <w:rPr>
                      <w:rFonts w:ascii="仿宋_GB2312" w:hAnsi="仿宋_GB2312" w:cs="仿宋_GB2312" w:eastAsia="仿宋_GB2312"/>
                      <w:sz w:val="18"/>
                      <w:b/>
                    </w:rPr>
                    <w:t>重要提示</w:t>
                  </w:r>
                </w:p>
                <w:p>
                  <w:pPr>
                    <w:pStyle w:val="null3"/>
                    <w:ind w:firstLine="400"/>
                    <w:jc w:val="left"/>
                  </w:pPr>
                  <w:r>
                    <w:rPr>
                      <w:rFonts w:ascii="仿宋_GB2312" w:hAnsi="仿宋_GB2312" w:cs="仿宋_GB2312" w:eastAsia="仿宋_GB2312"/>
                      <w:sz w:val="18"/>
                    </w:rPr>
                    <w:t>（1）投标人须对本项目为单位进行整体投标，任何只对其中一部分内容进行的投标都被视为无效投标。</w:t>
                  </w:r>
                </w:p>
                <w:p>
                  <w:pPr>
                    <w:pStyle w:val="null3"/>
                    <w:ind w:firstLine="400"/>
                    <w:jc w:val="left"/>
                  </w:pPr>
                  <w:r>
                    <w:rPr>
                      <w:rFonts w:ascii="仿宋_GB2312" w:hAnsi="仿宋_GB2312" w:cs="仿宋_GB2312" w:eastAsia="仿宋_GB2312"/>
                      <w:sz w:val="18"/>
                    </w:rPr>
                    <w:t>（2）本招标文件中，如有标“▲”号的重要条款，投标人要特别加以注意，投标人如有任何一条不满足将影响本次的投标或否决投标。</w:t>
                  </w:r>
                </w:p>
                <w:p>
                  <w:pPr>
                    <w:pStyle w:val="null3"/>
                    <w:ind w:firstLine="400"/>
                    <w:jc w:val="left"/>
                  </w:pPr>
                  <w:r>
                    <w:rPr>
                      <w:rFonts w:ascii="仿宋_GB2312" w:hAnsi="仿宋_GB2312" w:cs="仿宋_GB2312" w:eastAsia="仿宋_GB2312"/>
                      <w:sz w:val="18"/>
                    </w:rPr>
                    <w:t>（3）本次的灯具如涉及国家规定强制认证的，均视为投标人投标产品符合了工业品生产许可证，3C认证，环保产品认证等强制认证规定的，中标人须在采购人对上述货物验收时提供相关证书证明资料（上述货物相关强制认证的证明文件投标时不需提供），否则按验收不能通过处理，并对中标人处以合同总金额10%的违约金罚款。</w:t>
                  </w:r>
                </w:p>
                <w:p>
                  <w:pPr>
                    <w:pStyle w:val="null3"/>
                    <w:ind w:firstLine="400"/>
                    <w:jc w:val="left"/>
                  </w:pPr>
                  <w:r>
                    <w:rPr>
                      <w:rFonts w:ascii="仿宋_GB2312" w:hAnsi="仿宋_GB2312" w:cs="仿宋_GB2312" w:eastAsia="仿宋_GB2312"/>
                      <w:sz w:val="18"/>
                    </w:rPr>
                    <w:t>（4）本采购文件在技术要求中指出的工艺、材料、设备，参照的商标、示例图或品牌仅作为说明并没有限制性，如出现了则默认添加“或相当于”字样，投标人可以在其提供的文件资料中选用替代标准，但这些替代标准要优于或相当于技术规格中要求的标准。若其标准在需求书中没有规定，投标人应说明所用的标准。如果实际使用的标准有不同，必须对用于替代的标准、规范与本采购文件选用标准、规范之间的明显差异点作出说明，并提交推荐标准或实施规范的中文版。</w:t>
                  </w:r>
                </w:p>
                <w:p>
                  <w:pPr>
                    <w:pStyle w:val="null3"/>
                    <w:ind w:firstLine="400"/>
                    <w:jc w:val="left"/>
                  </w:pPr>
                  <w:r>
                    <w:rPr>
                      <w:rFonts w:ascii="仿宋_GB2312" w:hAnsi="仿宋_GB2312" w:cs="仿宋_GB2312" w:eastAsia="仿宋_GB2312"/>
                      <w:sz w:val="18"/>
                    </w:rPr>
                    <w:t>（5）供应商提供的产品应标明所执行的质量标准，若同一标准已颁发新标准，则按最新标准执行。若同一产品同时有几个标准（国际标准、国家标准、行业标准、企业标准等），则按最高层次的标准执行。</w:t>
                  </w:r>
                </w:p>
                <w:p>
                  <w:pPr>
                    <w:pStyle w:val="null3"/>
                    <w:spacing w:before="105" w:after="105"/>
                    <w:jc w:val="both"/>
                  </w:pP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项目节能改造期6个月，合同能源托管服务期15年。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汉中市南郑区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（1）建设期验收要求 1）严格遵守国家法律法规和项目建设所在地的建设工程基本建设程序及流程要求，依法依规建设。包括但不限于：《城市道路照明工程施工及验收规程》CJJ89-2012、《城市道路照明设计标准》（CJJ45-2015）等相关技术标准要求。2）项目需满足电力部门对于系统接入的相关要求。3）加强整体设计协调，统筹好不同子项、不同专业的协调关系，在确保功能、质量的前提下，在设计阶段充分考虑功能定位及经营需求，并对设计进行优化，提高项目综合开发价值。4）适当深化初步设计深度，在多方案论证比选的基础上，提高设计质量、降低工程造价。5）加强建设管理，确保工程质量、进度、安全，不得影响正常道路照明。6）鼓励技术和节能环保方面的创新，鼓励使用新技术或新型节能环保材料。7）搭建智慧控制平台，并承担托管期内维护、升级，在托管期结束后所有设施设备应确保完好，并无偿移交回甲方。8）甲方和乙方双方可根据项目实际情况，通过能源费用托管合同补充协议等方式进一步明确产出标准。9）建设期验收前，甲方将委托第三方机构开展托管项目改造后标准道路的照度检测，抽取道路的条数由甲乙双方商议而定，检测结果符合《城市道路照明设计标准》（CJJ45-2015）后方可组织验收，相关费用由乙方支付。 （2）托管期验收要求 1）严格按照约定的运维服务范围和标准提供路灯照明服务，并达到《城市道路照明设计标准》（CJJ45-2015等相关技术标准要求。2）根据区域功能，实现城市路灯的统一运营及管理。3）建立、健全突发事件的应急处理机制，确保公共利益和公众安全；服从政府相关职能部门的管理，在特殊情况下，政府有权临时接管项目，乙方必须无条件执行。4）对于改造范围内设施设备出现故障，需及时提供更换的设备器件。以上托管内容需符合能源费用托管合同及其补充协议约定，和相关运营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本项目为多年服务合同，因本条款无法自行具体编辑，支付约定以合同附件规定为准。</w:t>
      </w:r>
      <w:r>
        <w:rPr>
          <w:rFonts w:ascii="仿宋_GB2312" w:hAnsi="仿宋_GB2312" w:cs="仿宋_GB2312" w:eastAsia="仿宋_GB2312"/>
        </w:rPr>
        <w:t xml:space="preserve"> ，达到付款条件起 </w:t>
      </w:r>
      <w:r>
        <w:rPr>
          <w:rFonts w:ascii="仿宋_GB2312" w:hAnsi="仿宋_GB2312" w:cs="仿宋_GB2312" w:eastAsia="仿宋_GB2312"/>
        </w:rPr>
        <w:t>1</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一、甲方违约责任 如甲方未遵守本合同附件及其他条款约定，导致乙方经济损失，甲方应当按照乙方的实际损失额向乙方赔偿。 二、乙方违约责任 （1）乙方未能按照服务标准提供服务，违反操作规章制度、违反相关的服务标准，经甲方催告仍不能改正的，按照对甲方的实际影响，向甲方支付违约金不少于50万元。甲方有权在应付未付托管费中直接扣减。 （2）如乙方未能遵守能源使用的规章制度导致浪费，浪费的费用乙方自行承担。 （3）如乙方未遵守本合同附件及其他条款规定，导致甲方经济损失，应当按照甲方的实际损失额向甲方赔偿。 （4）乙方提供的产品必须达到国家现行质量标准，必须为正规厂商生产的产品（必须是全新、原装、合格正品，货物完好，配件齐全），有正规的出厂合格证，且满足所有的关键性技术参数。货物到场后，采购人将抽样送正规、有资质的第三方检测机构检测，各项关键性技术参数检测均满足要求后，方能正式进场施工；若没有满足关键性技术参数要求，视为虚假响应，采购人有权终止合同，且一切后果由乙方自行负责。 （5）乙方未按合同约定项目建设未如期完工、项目竣工未能通过验收的质量标准、智慧控制平台未能如期移交，甲方有权书面通知乙方后解除本合同，给甲方造成损失的，甲方可要求乙方据实赔偿。 （6）乙方在托管期内，经整改后的绩效考核结果连续两次考核得分低于70分或一年内出现三次考核得分低于70分视为严重违约。甲方有权向乙方发出书面函件终止合同，并不再支付任何费用，且已建成或已投入的设施设备（包括但不限于智慧控制平台、已完成改造的设施设备等）30天内无偿交回甲方，甲方有权追究其违约而造成的经济损失且没收其所有履约保证金。 （7）乙方在托管期内，若未安装全部承诺的单灯控制器，则扣除相应费用，费用按已安装的单灯控制器均价乘以未安装的个数计算。如乙方在收到甲方扣款协商通知后15日内未提供已安装的单灯控制器采购凭证或其他价格凭证，则单灯控制器扣款单价按甲方市场询价结果计算。 （8）乙方每月按照合同代缴托管期内发生的电费缴纳。若因乙方不及时缴纳电费出现停电、断电等情况视为严重违约，甲方有权向乙方发出书面函件终止合同并追究其违约责任且没收其所有履约保证金。 （9）在改造和托管期内，因乙方原因发生较大的质量事故或安全事故的，甲方有权向乙方发出书面函件终止合同并追究其违约责任，给甲方造成损失的，应向甲方进行赔偿。 （10）在改造和托管期内，乙方因自身原因出现经营不善，无力继续经营或被行政部门处罚停业等情况，造成实质无法继续履约的情况，视为乙方违约，甲方有权向乙方发出书面函件终止合同，并不再支付任何费用，且已建成或已投入的设施设备（包括但不限于智慧控制平台、已完成改造的设施设备等）30天内无偿交回甲方，甲方有权追究其违约而造成的经济损失且没收其所有履约保证金。 三、法律适用和争议解决 1、本合同的订立、履行和解释，应遵守中华人民共和国法律、法规，并应遵守行业惯例。 2、因本合同的履行、解释等引起的争议，双方应友好协商解决。如双方无法达成一致，双方同意依法向项目所在地有管辖权的人民法院提起诉讼。 3、在违约引发的诉讼程序中，违约方应赔偿对方因诉讼产生的律师费及为维权支出的其它合理费用。</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供应商应在《响应函》完成承诺，同时提交《汉中市政府采购供应商资格承诺函》，并完成电子签章</w:t>
            </w:r>
          </w:p>
        </w:tc>
        <w:tc>
          <w:tcPr>
            <w:tcW w:type="dxa" w:w="1661"/>
          </w:tcPr>
          <w:p>
            <w:pPr>
              <w:pStyle w:val="null3"/>
            </w:pPr>
            <w:r>
              <w:rPr>
                <w:rFonts w:ascii="仿宋_GB2312" w:hAnsi="仿宋_GB2312" w:cs="仿宋_GB2312" w:eastAsia="仿宋_GB2312"/>
              </w:rPr>
              <w:t>投标函 汉中市政府采购供应商资格承诺函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供应商提供履行合同所必需的设备和专业技术能力的证明材料</w:t>
            </w:r>
          </w:p>
        </w:tc>
        <w:tc>
          <w:tcPr>
            <w:tcW w:type="dxa" w:w="3322"/>
          </w:tcPr>
          <w:p>
            <w:pPr>
              <w:pStyle w:val="null3"/>
            </w:pPr>
            <w:r>
              <w:rPr>
                <w:rFonts w:ascii="仿宋_GB2312" w:hAnsi="仿宋_GB2312" w:cs="仿宋_GB2312" w:eastAsia="仿宋_GB2312"/>
              </w:rPr>
              <w:t>供应商应在《响应函》完成承诺，同时提交《汉中市政府采购供应商资格承诺函》，并完成电子签章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供应商基本资格要求</w:t>
            </w:r>
          </w:p>
        </w:tc>
        <w:tc>
          <w:tcPr>
            <w:tcW w:type="dxa" w:w="3322"/>
          </w:tcPr>
          <w:p>
            <w:pPr>
              <w:pStyle w:val="null3"/>
            </w:pPr>
            <w:r>
              <w:rPr>
                <w:rFonts w:ascii="仿宋_GB2312" w:hAnsi="仿宋_GB2312" w:cs="仿宋_GB2312" w:eastAsia="仿宋_GB2312"/>
              </w:rPr>
              <w:t>供应商应为合法注册的企业法人、事业法人、其他组织或自然人。企业法人应提供合法有效的标识有统一社会信用代码的营业执照；事业法人应提供事业单位法人证书；其他组织应提供合法登记证明文件；自然人提供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汉中市政府采购供应商资格承诺函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应按照《关于推动解决政府采购异常低价问题的通知》（财库〔2026〕2号）有关规定，加强异常低价审查，出现文件规定的异常低价情形的，评审委员会应当启动异常低价投标（响应）审查程序，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响应文件格式及内容</w:t>
            </w:r>
          </w:p>
        </w:tc>
        <w:tc>
          <w:tcPr>
            <w:tcW w:type="dxa" w:w="3322"/>
          </w:tcPr>
          <w:p>
            <w:pPr>
              <w:pStyle w:val="null3"/>
            </w:pPr>
            <w:r>
              <w:rPr>
                <w:rFonts w:ascii="仿宋_GB2312" w:hAnsi="仿宋_GB2312" w:cs="仿宋_GB2312" w:eastAsia="仿宋_GB2312"/>
              </w:rPr>
              <w:t>供应商响应文件按照规定的格式和内容填写，字迹清晰</w:t>
            </w:r>
          </w:p>
        </w:tc>
        <w:tc>
          <w:tcPr>
            <w:tcW w:type="dxa" w:w="1661"/>
          </w:tcPr>
          <w:p>
            <w:pPr>
              <w:pStyle w:val="null3"/>
            </w:pPr>
            <w:r>
              <w:rPr>
                <w:rFonts w:ascii="仿宋_GB2312" w:hAnsi="仿宋_GB2312" w:cs="仿宋_GB2312" w:eastAsia="仿宋_GB2312"/>
              </w:rPr>
              <w:t>开标一览表 分项报价表 中小企业声明函 商务应答表 投标人应提交的相关资格证明材料 其他资料 投标函 残疾人福利性单位声明函 服务方案 标的清单 投标文件封面 供应商类似项目业绩一览表 汉中市政府采购供应商资格承诺函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供应商响应文件载明的采购服务期限符合招标文件规定的时限</w:t>
            </w:r>
          </w:p>
        </w:tc>
        <w:tc>
          <w:tcPr>
            <w:tcW w:type="dxa" w:w="1661"/>
          </w:tcPr>
          <w:p>
            <w:pPr>
              <w:pStyle w:val="null3"/>
            </w:pPr>
            <w:r>
              <w:rPr>
                <w:rFonts w:ascii="仿宋_GB2312" w:hAnsi="仿宋_GB2312" w:cs="仿宋_GB2312" w:eastAsia="仿宋_GB2312"/>
              </w:rPr>
              <w:t>开标一览表 服务方案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响应报价的符合性</w:t>
            </w:r>
          </w:p>
        </w:tc>
        <w:tc>
          <w:tcPr>
            <w:tcW w:type="dxa" w:w="3322"/>
          </w:tcPr>
          <w:p>
            <w:pPr>
              <w:pStyle w:val="null3"/>
            </w:pPr>
            <w:r>
              <w:rPr>
                <w:rFonts w:ascii="仿宋_GB2312" w:hAnsi="仿宋_GB2312" w:cs="仿宋_GB2312" w:eastAsia="仿宋_GB2312"/>
              </w:rPr>
              <w:t>供应商响应文件报价符合招标商文件的要求</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供应商响应文件未附有违背法律法规和政府规章规定的其他条件；供应商响应文件符合招标文件中规定的其他实质性要求</w:t>
            </w:r>
          </w:p>
        </w:tc>
        <w:tc>
          <w:tcPr>
            <w:tcW w:type="dxa" w:w="1661"/>
          </w:tcPr>
          <w:p>
            <w:pPr>
              <w:pStyle w:val="null3"/>
            </w:pPr>
            <w:r>
              <w:rPr>
                <w:rFonts w:ascii="仿宋_GB2312" w:hAnsi="仿宋_GB2312" w:cs="仿宋_GB2312" w:eastAsia="仿宋_GB2312"/>
              </w:rPr>
              <w:t>开标一览表 分项报价表 中小企业声明函 商务应答表 投标人应提交的相关资格证明材料 其他资料 投标函 残疾人福利性单位声明函 服务方案 标的清单 供应商类似项目业绩一览表 投标文件封面 汉中市政府采购供应商资格承诺函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项目总体节能方案</w:t>
            </w:r>
          </w:p>
        </w:tc>
        <w:tc>
          <w:tcPr>
            <w:tcW w:type="dxa" w:w="2492"/>
          </w:tcPr>
          <w:p>
            <w:pPr>
              <w:pStyle w:val="null3"/>
            </w:pPr>
            <w:r>
              <w:rPr>
                <w:rFonts w:ascii="仿宋_GB2312" w:hAnsi="仿宋_GB2312" w:cs="仿宋_GB2312" w:eastAsia="仿宋_GB2312"/>
              </w:rPr>
              <w:t>评标委员会根据投标人编制的项目总体节能方案进行评审（方案要点应包含：①项目现状分析；②节能改造技术方案；③项目节能目标达成计算。 评审标准：①完整性：方案必须全面，对评审内容中的各项要求有详细描述；②可实施性：切合本项目实际情况，提出步骤清晰、合理的方案；③针对性：方案能够紧扣采购需求，针对项目实施的痛点难点，内容科学合理。 赋分依据：①项目现状分析：每完全满足一个评审标准得1分，满分3分；②节能改造技术方案:每完全满足一个评审标准得1分，满分3分；③项目节能目标达成计算:每完全满足一个评审标准得2分，满分6分。 以上要点内容每有一项缺失或漏项扣3分； 以上涉及内容每出现一处存在内容前后矛盾或不一致；前后逻辑错误或混乱；引用的规范及标准错误；地点区域名称错误；不符合项目实际情形；不能完全满足采购人的要求；所提供内容与本项目关联性不强；操作性及针对性不强的扣1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项目节能改造实施方案</w:t>
            </w:r>
          </w:p>
        </w:tc>
        <w:tc>
          <w:tcPr>
            <w:tcW w:type="dxa" w:w="2492"/>
          </w:tcPr>
          <w:p>
            <w:pPr>
              <w:pStyle w:val="null3"/>
            </w:pPr>
            <w:r>
              <w:rPr>
                <w:rFonts w:ascii="仿宋_GB2312" w:hAnsi="仿宋_GB2312" w:cs="仿宋_GB2312" w:eastAsia="仿宋_GB2312"/>
              </w:rPr>
              <w:t>根据投标人针对本项目提供的改造方案评审进行评审，（方案要点应包括①项目方案设计、实施的重点、难点分析及对应策略②产品供应方案③安装、调试方案④安全文明施工及环境保护保证措施⑤工期进度计划及保障措施；⑥改造资金保障措施。） 评审标准：①完整性：方案必须全面，对评审内容中的各项要求有详细描述；②可实施性：切合本项目实际情况，提出步骤清晰、合理的方案；③针对性：方案能够紧扣采购需求，针对项目实施的痛点难点，内容科学合理。 赋分依据：①项目方案设计、实施的重点、难点分析及对应策略：每完全满足一个评审标准得1分，满分3分；②产品供应方案:每完全满足一个评审标准得1分，满分3分；③安装、调试方案:每完全满足一个评审标准得1分，满分3分；④安全文明施工及环境保护保证措施：每完全满足一个评审标准得1分，满分3分；⑤工期进度计划及保障措施：每完全满足一个评审标准得1分，满分3分；⑥改造资金保障措施：每完全满足一个评审标准得1分，满分3分。 以上要点内容每有一项缺失或漏项扣3分； 方案内容每出现一处存在内容前后矛盾或不一致；前后逻辑错误或混乱；引用的规范及标准错误；地点区域名称错误；不符合项目实际情形；不能完全满足采购人的要求；所提供内容与本项目关联性不强、操作性及针对性不强的扣1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设备管养维护、移交方案</w:t>
            </w:r>
          </w:p>
        </w:tc>
        <w:tc>
          <w:tcPr>
            <w:tcW w:type="dxa" w:w="2492"/>
          </w:tcPr>
          <w:p>
            <w:pPr>
              <w:pStyle w:val="null3"/>
            </w:pPr>
            <w:r>
              <w:rPr>
                <w:rFonts w:ascii="仿宋_GB2312" w:hAnsi="仿宋_GB2312" w:cs="仿宋_GB2312" w:eastAsia="仿宋_GB2312"/>
              </w:rPr>
              <w:t>评标委员会根据投标人的设备管养维护方案及计划方案进行评审（包括但不限于：①维护人员管理架构②日常巡查方案③日常检修方案④设施防盗、防破坏方案⑤管养期间安全管理方案及保障措施⑥台账及管理方案⑦合同期满后移交方案（包括交接计划措施、平稳过渡实施方案等） 评审标准：①完整性：方案必须全面，对评审内容中的各项要求有详细描述；②可实施性：切合本项目实际情况，提出步骤清晰、合理的方案；③科学性：方案措施科学合理，满足采购项目需求。 赋分依据：①维护人员管理架构：每完全满足一个评审标准得1分，满分3分；②日常巡查方案:每完全满足一个评审标准得1分，满分3分；③日常检修方案:每完全满足一个评审标准得1分，满分3分；④管养期间安全管理方案及保障措施：每完全满足一个评审标准得1分，满分3分；⑤设施防盗、防破坏方案：每完全满足一个评审标准得1分，满分3分；⑥台账及管理方案：每完全满足一个评审标准得1分，满分3分；⑦合同期满后移交方案：每完全满足一个评审标准得1分，满分3分。 以上涉及要点内容每有一项缺失或漏项扣3分； 方案内容每出现一处存在内容前后矛盾或不一致；前后逻辑错误或混乱；引用的规范及标准错误；地点区域名称错误；不符合项目实际情形；不能完全满足采购人的要求；所提供内容与本项目关联性不强；操作性及针对性不强的扣1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投诉处理及应急响应预案</w:t>
            </w:r>
          </w:p>
        </w:tc>
        <w:tc>
          <w:tcPr>
            <w:tcW w:type="dxa" w:w="2492"/>
          </w:tcPr>
          <w:p>
            <w:pPr>
              <w:pStyle w:val="null3"/>
            </w:pPr>
            <w:r>
              <w:rPr>
                <w:rFonts w:ascii="仿宋_GB2312" w:hAnsi="仿宋_GB2312" w:cs="仿宋_GB2312" w:eastAsia="仿宋_GB2312"/>
              </w:rPr>
              <w:t>评标委员会根据投标人的投诉受理及应急预案进行评审（方案要点应包括①市民、市长热线投诉、网络媒体曝光等受理处置方案②路灯大面积灭灯处置方案③漏电伤人等路灯突发事件处置方案④自然灾害应急预案⑤重要检查及大型活动等应急预案等） 评审标准：①完整性：方案必须全面，对评审内容中的各项要求有详细描述；②可实施性：相关处置措施科学合理，切合本项目实际情况，具有可操作性。 赋分依据：①市民、市长热线投诉、网络媒体曝光等受理处置方案：每完全满足一个评审标准得1分，满分2分；②路灯大面积灭灯处置方案:每完全满足一个评审标准得1分，满分2分；③漏电伤人等路灯突发事件处置方:每完全满足一个评审标准得1分，满分2分；④自然灾害应急预案：每完全满足一个评审标准得1分，满分2分；⑤重要检查及大型活动等应急预案等）：每完全满足一个评审标准得1分，满分2分， 以上涉及要点内容每有一项缺失或漏项扣2分； 方案内容内容每出现一处存在内容前后矛盾或不一致；前后逻辑错误或混乱；引用的规范及标准错误；地点区域名称错误；不符合项目实际情形；不能完全满足采购人的要求；所提供内容与本项目关联性不强；操作性及针对性不强的扣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质量控制及措施</w:t>
            </w:r>
          </w:p>
        </w:tc>
        <w:tc>
          <w:tcPr>
            <w:tcW w:type="dxa" w:w="2492"/>
          </w:tcPr>
          <w:p>
            <w:pPr>
              <w:pStyle w:val="null3"/>
            </w:pPr>
            <w:r>
              <w:rPr>
                <w:rFonts w:ascii="仿宋_GB2312" w:hAnsi="仿宋_GB2312" w:cs="仿宋_GB2312" w:eastAsia="仿宋_GB2312"/>
              </w:rPr>
              <w:t>根据投标人针对本项目提供的质量控制及措施评审（方案及措施要点应包含①质量管理体系及质量承诺②产品质量保障措施③施工质量保证措施④托管服务期服务质量保障措施。） 评审标准：①科学性：内容编制的全面详细、条理清晰、目标明确、措施有效；②可实施性：结合项目实际情况，措施有针对性和可操作性。 赋分依据：①质量管理体系及质量承诺：每完全满足一个评审标准得1分，满分2分；②产品质量保障措施：每完全满足一个评审标准得1分，满分2分；③施工质量保证措施：每完全满足一个评审标准得1分，满分2分；④托管服务期服务质量保障措施：每完全满足一个评审标准得1.5分，满分3分。以上涉及要点内容每有一项缺失或漏项扣相应要点全部分数。 方案内容内容每出现一处存在内容前后矛盾或不一致；前后逻辑错误或混乱；引用的规范及标准错误；地点区域名称错误；不符合项目实际情形；不能完全满足采购人的要求；所提供内容与本项目关联性不强；操作性及针对性不强的扣1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智慧照明管理平台方案</w:t>
            </w:r>
          </w:p>
        </w:tc>
        <w:tc>
          <w:tcPr>
            <w:tcW w:type="dxa" w:w="2492"/>
          </w:tcPr>
          <w:p>
            <w:pPr>
              <w:pStyle w:val="null3"/>
            </w:pPr>
            <w:r>
              <w:rPr>
                <w:rFonts w:ascii="仿宋_GB2312" w:hAnsi="仿宋_GB2312" w:cs="仿宋_GB2312" w:eastAsia="仿宋_GB2312"/>
              </w:rPr>
              <w:t>根据投标人针对本项目提供的智慧照明管理平台方案评审，评审内容分别针对①平台功能配置介绍②系统架构介绍③软件操作界面介绍④拟建智慧照明管理平台搭建方案。 评审标准：①功能完整性：指挥管理平台响应采购需求，能够满足采购人提出的各项要求；②可实施性：指挥管理平台功能设置科学合理，切合本项目实际情况，具有可操作性。 赋分依据：①平台功能配置介绍：每完全满足一个评审标准得1分，满分2分；②系统架构介绍:每完全满足一个评审标准得1分，满分2分；③软件操作界面介绍:每完全满足一个评审标准得1分，满分2分；④智慧照明管理平台搭建方案：每完全满足一个评审标准得1分，满分2分。 以上涉及要点内容每有一项缺失或漏项扣2分； 方案内容内容每出现一处存在内容前后矛盾或不一致；前后逻辑错误或混乱；引用的规范及标准错误；地点区域名称错误；不符合项目实际情形；不能完全满足采购人的要求；所提供内容与本项目关联性不强；操作性及针对性不强的扣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供应商类似项目业绩</w:t>
            </w:r>
          </w:p>
        </w:tc>
        <w:tc>
          <w:tcPr>
            <w:tcW w:type="dxa" w:w="2492"/>
          </w:tcPr>
          <w:p>
            <w:pPr>
              <w:pStyle w:val="null3"/>
            </w:pPr>
            <w:r>
              <w:rPr>
                <w:rFonts w:ascii="仿宋_GB2312" w:hAnsi="仿宋_GB2312" w:cs="仿宋_GB2312" w:eastAsia="仿宋_GB2312"/>
              </w:rPr>
              <w:t>投标单位提供近三年内（自2023年5月至今，以合同签订时间为准）承揽类似业绩，每提供一个类似业绩得3分。 注：投标人须同时提供合同、至少一期的节能服务发票扫描件、至少一期的节能款回款证明（银行对账单和记账凭证），以上缺一不可。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根据投标人提供有效体系认证证书的情况进行评审：提供具有有效期内的质量管理体系认证证书、环境管理体系认证证书、职业健康安全管理体系认证证书，全部满足得6分，每缺一项扣2分，扣完为止。注：提供有效期内的证书扫描件或在全国认证认可信息公共服务平台（http://www.cnca.gov.cn/)对体系证书的信息查询截图加盖公章，未按上述要求提供证明材料或证书已失效或撤销或暂停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满足招标文件要求且投标报价最低的投标人的价格为评标基准价，其价格分为满分。 其他投标人的价格分统一按照下列公式计算：投标报价得分=（评标基准价/投标报价×价格权值×100。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详见附件：汉中市政府采购供应商资格承诺函</w:t>
      </w:r>
    </w:p>
    <w:p>
      <w:pPr>
        <w:pStyle w:val="null3"/>
        <w:ind w:firstLine="960"/>
      </w:pPr>
      <w:r>
        <w:rPr>
          <w:rFonts w:ascii="仿宋_GB2312" w:hAnsi="仿宋_GB2312" w:cs="仿宋_GB2312" w:eastAsia="仿宋_GB2312"/>
        </w:rPr>
        <w:t>详见附件：其他资料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