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507A7F">
      <w:pPr>
        <w:pStyle w:val="16"/>
        <w:jc w:val="center"/>
        <w:rPr>
          <w:rFonts w:hint="eastAsia" w:hAnsi="宋体" w:cs="宋体"/>
          <w:b/>
          <w:bCs/>
          <w:color w:val="auto"/>
          <w:sz w:val="52"/>
          <w:szCs w:val="52"/>
          <w:highlight w:val="none"/>
          <w:lang w:eastAsia="zh-CN"/>
        </w:rPr>
      </w:pPr>
      <w:bookmarkStart w:id="0" w:name="_Toc305963489"/>
    </w:p>
    <w:p w14:paraId="62657F3F">
      <w:pPr>
        <w:pStyle w:val="16"/>
        <w:jc w:val="center"/>
        <w:rPr>
          <w:rFonts w:hint="eastAsia" w:ascii="宋体" w:hAnsi="宋体" w:eastAsia="宋体" w:cs="宋体"/>
          <w:b/>
          <w:bCs/>
          <w:color w:val="auto"/>
          <w:sz w:val="52"/>
          <w:szCs w:val="52"/>
          <w:highlight w:val="none"/>
        </w:rPr>
      </w:pPr>
      <w:r>
        <w:rPr>
          <w:rFonts w:hint="eastAsia" w:hAnsi="宋体" w:cs="宋体"/>
          <w:b/>
          <w:bCs/>
          <w:color w:val="auto"/>
          <w:sz w:val="52"/>
          <w:szCs w:val="52"/>
          <w:highlight w:val="none"/>
          <w:lang w:eastAsia="zh-CN"/>
        </w:rPr>
        <w:t>易门县环卫站购买县城环卫市政服务项目</w:t>
      </w:r>
    </w:p>
    <w:p w14:paraId="0FA205F2">
      <w:pPr>
        <w:rPr>
          <w:rFonts w:hint="eastAsia" w:ascii="宋体" w:hAnsi="宋体" w:eastAsia="宋体" w:cs="宋体"/>
          <w:b/>
          <w:color w:val="auto"/>
          <w:sz w:val="72"/>
          <w:szCs w:val="72"/>
          <w:highlight w:val="none"/>
        </w:rPr>
      </w:pPr>
    </w:p>
    <w:p w14:paraId="22B766A9">
      <w:pPr>
        <w:rPr>
          <w:rFonts w:hint="eastAsia" w:ascii="宋体" w:hAnsi="宋体" w:eastAsia="宋体" w:cs="宋体"/>
          <w:b/>
          <w:color w:val="auto"/>
          <w:sz w:val="72"/>
          <w:szCs w:val="72"/>
          <w:highlight w:val="none"/>
        </w:rPr>
      </w:pPr>
    </w:p>
    <w:p w14:paraId="03E2F963">
      <w:pPr>
        <w:rPr>
          <w:rFonts w:hint="eastAsia" w:ascii="宋体" w:hAnsi="宋体" w:eastAsia="宋体" w:cs="宋体"/>
          <w:b/>
          <w:color w:val="auto"/>
          <w:sz w:val="72"/>
          <w:szCs w:val="72"/>
          <w:highlight w:val="none"/>
        </w:rPr>
      </w:pPr>
    </w:p>
    <w:p w14:paraId="38B0CC87">
      <w:pPr>
        <w:rPr>
          <w:rFonts w:hint="eastAsia" w:ascii="宋体" w:hAnsi="宋体" w:eastAsia="宋体" w:cs="宋体"/>
          <w:b/>
          <w:color w:val="auto"/>
          <w:sz w:val="72"/>
          <w:szCs w:val="72"/>
          <w:highlight w:val="none"/>
        </w:rPr>
      </w:pPr>
    </w:p>
    <w:p w14:paraId="6D361230">
      <w:pPr>
        <w:rPr>
          <w:rFonts w:hint="eastAsia" w:ascii="宋体" w:hAnsi="宋体" w:eastAsia="宋体" w:cs="宋体"/>
          <w:b/>
          <w:color w:val="auto"/>
          <w:sz w:val="72"/>
          <w:szCs w:val="72"/>
          <w:highlight w:val="none"/>
        </w:rPr>
      </w:pPr>
    </w:p>
    <w:p w14:paraId="04108AAB">
      <w:pPr>
        <w:pStyle w:val="1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招  标  文  件</w:t>
      </w:r>
    </w:p>
    <w:p w14:paraId="4D3828DA">
      <w:pPr>
        <w:rPr>
          <w:rFonts w:hint="eastAsia" w:ascii="宋体" w:hAnsi="宋体" w:eastAsia="宋体" w:cs="宋体"/>
          <w:color w:val="auto"/>
          <w:highlight w:val="none"/>
        </w:rPr>
      </w:pPr>
    </w:p>
    <w:p w14:paraId="335963B9">
      <w:pPr>
        <w:pStyle w:val="9"/>
        <w:jc w:val="center"/>
        <w:rPr>
          <w:rFonts w:hint="eastAsia" w:ascii="宋体" w:hAnsi="宋体" w:eastAsia="宋体" w:cs="宋体"/>
          <w:b/>
          <w:bCs/>
          <w:color w:val="auto"/>
          <w:sz w:val="32"/>
          <w:szCs w:val="32"/>
          <w:highlight w:val="none"/>
          <w:lang w:val="en-US" w:eastAsia="zh-CN"/>
        </w:rPr>
      </w:pPr>
      <w:bookmarkStart w:id="1" w:name="_Toc21809"/>
      <w:bookmarkStart w:id="2" w:name="_Toc23145"/>
      <w:bookmarkStart w:id="3" w:name="_Toc26884"/>
      <w:bookmarkStart w:id="4" w:name="_Toc2585"/>
      <w:bookmarkStart w:id="5" w:name="_Toc26520"/>
      <w:r>
        <w:rPr>
          <w:rFonts w:hint="eastAsia" w:ascii="宋体" w:hAnsi="宋体" w:eastAsia="宋体" w:cs="宋体"/>
          <w:b/>
          <w:color w:val="auto"/>
          <w:sz w:val="32"/>
          <w:szCs w:val="32"/>
          <w:highlight w:val="none"/>
        </w:rPr>
        <w:t>项目编号：</w:t>
      </w:r>
      <w:bookmarkEnd w:id="1"/>
      <w:bookmarkEnd w:id="2"/>
      <w:bookmarkEnd w:id="3"/>
      <w:bookmarkEnd w:id="4"/>
      <w:bookmarkEnd w:id="5"/>
      <w:r>
        <w:rPr>
          <w:rFonts w:hint="eastAsia" w:ascii="宋体" w:hAnsi="宋体" w:cs="宋体"/>
          <w:b/>
          <w:color w:val="auto"/>
          <w:sz w:val="32"/>
          <w:szCs w:val="32"/>
          <w:highlight w:val="none"/>
          <w:lang w:eastAsia="zh-CN"/>
        </w:rPr>
        <w:t>YXYWZB（2026）042号</w:t>
      </w:r>
      <w:bookmarkStart w:id="6" w:name="_Toc21005"/>
    </w:p>
    <w:p w14:paraId="4C3824A6">
      <w:pPr>
        <w:pStyle w:val="9"/>
        <w:spacing w:line="480" w:lineRule="auto"/>
        <w:ind w:firstLine="643" w:firstLineChars="200"/>
        <w:jc w:val="left"/>
        <w:outlineLvl w:val="0"/>
        <w:rPr>
          <w:rFonts w:hint="eastAsia" w:ascii="宋体" w:hAnsi="宋体" w:cs="宋体"/>
          <w:b/>
          <w:bCs/>
          <w:color w:val="auto"/>
          <w:sz w:val="32"/>
          <w:szCs w:val="32"/>
          <w:highlight w:val="none"/>
          <w:lang w:val="en-US" w:eastAsia="zh-CN"/>
        </w:rPr>
      </w:pPr>
      <w:bookmarkStart w:id="7" w:name="_Toc27881"/>
      <w:bookmarkStart w:id="8" w:name="_Toc25157"/>
      <w:bookmarkStart w:id="9" w:name="_Toc10684"/>
      <w:bookmarkStart w:id="10" w:name="_Toc31379"/>
    </w:p>
    <w:p w14:paraId="5280653D">
      <w:pPr>
        <w:pStyle w:val="9"/>
        <w:spacing w:line="480" w:lineRule="auto"/>
        <w:ind w:firstLine="643" w:firstLineChars="200"/>
        <w:jc w:val="left"/>
        <w:outlineLvl w:val="0"/>
        <w:rPr>
          <w:rFonts w:hint="eastAsia" w:ascii="宋体" w:hAnsi="宋体" w:cs="宋体"/>
          <w:b/>
          <w:bCs/>
          <w:color w:val="auto"/>
          <w:sz w:val="32"/>
          <w:szCs w:val="32"/>
          <w:highlight w:val="none"/>
          <w:lang w:val="en-US" w:eastAsia="zh-CN"/>
        </w:rPr>
      </w:pPr>
    </w:p>
    <w:p w14:paraId="4AD8C1D5">
      <w:pPr>
        <w:pStyle w:val="9"/>
        <w:spacing w:line="480" w:lineRule="auto"/>
        <w:ind w:firstLine="643" w:firstLineChars="200"/>
        <w:jc w:val="left"/>
        <w:outlineLvl w:val="0"/>
        <w:rPr>
          <w:rFonts w:hint="eastAsia" w:ascii="宋体" w:hAnsi="宋体" w:cs="宋体"/>
          <w:b/>
          <w:bCs/>
          <w:color w:val="auto"/>
          <w:sz w:val="32"/>
          <w:szCs w:val="32"/>
          <w:highlight w:val="none"/>
          <w:lang w:val="en-US" w:eastAsia="zh-CN"/>
        </w:rPr>
      </w:pPr>
    </w:p>
    <w:p w14:paraId="0D56823D">
      <w:pPr>
        <w:pStyle w:val="9"/>
        <w:spacing w:line="480" w:lineRule="auto"/>
        <w:ind w:firstLine="643" w:firstLineChars="200"/>
        <w:jc w:val="left"/>
        <w:outlineLvl w:val="0"/>
        <w:rPr>
          <w:rFonts w:hint="eastAsia" w:ascii="宋体" w:hAnsi="宋体" w:cs="宋体"/>
          <w:b/>
          <w:bCs/>
          <w:color w:val="auto"/>
          <w:sz w:val="32"/>
          <w:szCs w:val="32"/>
          <w:highlight w:val="none"/>
          <w:lang w:val="en-US" w:eastAsia="zh-CN"/>
        </w:rPr>
      </w:pPr>
    </w:p>
    <w:p w14:paraId="404FEA53">
      <w:pPr>
        <w:pStyle w:val="9"/>
        <w:spacing w:line="480" w:lineRule="auto"/>
        <w:ind w:firstLine="643" w:firstLineChars="200"/>
        <w:jc w:val="left"/>
        <w:outlineLvl w:val="0"/>
        <w:rPr>
          <w:rFonts w:hint="eastAsia" w:ascii="宋体" w:hAnsi="宋体" w:cs="宋体"/>
          <w:b/>
          <w:bCs/>
          <w:color w:val="auto"/>
          <w:sz w:val="32"/>
          <w:szCs w:val="32"/>
          <w:highlight w:val="none"/>
          <w:lang w:val="en-US" w:eastAsia="zh-CN"/>
        </w:rPr>
      </w:pPr>
    </w:p>
    <w:p w14:paraId="2AA5DF7C">
      <w:pPr>
        <w:pStyle w:val="9"/>
        <w:spacing w:line="480" w:lineRule="auto"/>
        <w:ind w:firstLine="643" w:firstLineChars="200"/>
        <w:jc w:val="left"/>
        <w:outlineLvl w:val="0"/>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采</w:t>
      </w:r>
      <w:r>
        <w:rPr>
          <w:rFonts w:hint="eastAsia" w:ascii="宋体" w:hAnsi="宋体" w:eastAsia="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购</w:t>
      </w:r>
      <w:r>
        <w:rPr>
          <w:rFonts w:hint="eastAsia" w:ascii="宋体" w:hAnsi="宋体" w:eastAsia="宋体" w:cs="宋体"/>
          <w:b/>
          <w:bCs/>
          <w:color w:val="auto"/>
          <w:sz w:val="32"/>
          <w:szCs w:val="32"/>
          <w:highlight w:val="none"/>
        </w:rPr>
        <w:t xml:space="preserve">   人</w:t>
      </w:r>
      <w:r>
        <w:rPr>
          <w:rFonts w:hint="eastAsia" w:ascii="宋体" w:hAnsi="宋体" w:cs="宋体"/>
          <w:b/>
          <w:bCs/>
          <w:color w:val="auto"/>
          <w:sz w:val="32"/>
          <w:szCs w:val="32"/>
          <w:highlight w:val="none"/>
          <w:lang w:eastAsia="zh-CN"/>
        </w:rPr>
        <w:t>：易门县环卫站</w:t>
      </w:r>
      <w:r>
        <w:rPr>
          <w:rFonts w:hint="eastAsia" w:ascii="宋体" w:hAnsi="宋体" w:eastAsia="宋体" w:cs="宋体"/>
          <w:b/>
          <w:bCs/>
          <w:color w:val="auto"/>
          <w:sz w:val="32"/>
          <w:szCs w:val="32"/>
          <w:highlight w:val="none"/>
        </w:rPr>
        <w:t>（盖章</w:t>
      </w:r>
      <w:r>
        <w:rPr>
          <w:rFonts w:hint="eastAsia" w:ascii="宋体" w:hAnsi="宋体" w:cs="宋体"/>
          <w:b/>
          <w:bCs/>
          <w:color w:val="auto"/>
          <w:sz w:val="32"/>
          <w:szCs w:val="32"/>
          <w:highlight w:val="none"/>
          <w:lang w:eastAsia="zh-CN"/>
        </w:rPr>
        <w:t>）</w:t>
      </w:r>
      <w:bookmarkEnd w:id="6"/>
      <w:bookmarkEnd w:id="7"/>
      <w:bookmarkEnd w:id="8"/>
      <w:bookmarkEnd w:id="9"/>
      <w:bookmarkEnd w:id="10"/>
    </w:p>
    <w:p w14:paraId="5C3ADB35">
      <w:pPr>
        <w:pStyle w:val="9"/>
        <w:spacing w:line="480" w:lineRule="auto"/>
        <w:ind w:firstLine="643" w:firstLineChars="200"/>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采购代理机构</w:t>
      </w:r>
      <w:r>
        <w:rPr>
          <w:rFonts w:hint="eastAsia" w:ascii="宋体" w:hAnsi="宋体" w:cs="宋体"/>
          <w:b/>
          <w:bCs/>
          <w:color w:val="auto"/>
          <w:sz w:val="32"/>
          <w:szCs w:val="32"/>
          <w:highlight w:val="none"/>
          <w:lang w:val="en-US" w:eastAsia="zh-CN"/>
        </w:rPr>
        <w:t>：</w:t>
      </w:r>
      <w:r>
        <w:rPr>
          <w:rFonts w:hint="eastAsia" w:ascii="宋体" w:hAnsi="宋体" w:cs="宋体"/>
          <w:b/>
          <w:bCs/>
          <w:color w:val="auto"/>
          <w:sz w:val="32"/>
          <w:szCs w:val="32"/>
          <w:highlight w:val="none"/>
          <w:lang w:eastAsia="zh-CN"/>
        </w:rPr>
        <w:t>玉溪优午项目管理咨询有限公司（</w:t>
      </w:r>
      <w:r>
        <w:rPr>
          <w:rFonts w:hint="eastAsia" w:ascii="宋体" w:hAnsi="宋体" w:eastAsia="宋体" w:cs="宋体"/>
          <w:b/>
          <w:bCs/>
          <w:color w:val="auto"/>
          <w:sz w:val="32"/>
          <w:szCs w:val="32"/>
          <w:highlight w:val="none"/>
        </w:rPr>
        <w:t>盖章</w:t>
      </w:r>
      <w:r>
        <w:rPr>
          <w:rFonts w:hint="eastAsia" w:ascii="宋体" w:hAnsi="宋体" w:cs="宋体"/>
          <w:b/>
          <w:bCs/>
          <w:color w:val="auto"/>
          <w:sz w:val="32"/>
          <w:szCs w:val="32"/>
          <w:highlight w:val="none"/>
          <w:lang w:eastAsia="zh-CN"/>
        </w:rPr>
        <w:t>）</w:t>
      </w:r>
    </w:p>
    <w:p w14:paraId="13DF85C7">
      <w:pPr>
        <w:spacing w:line="480" w:lineRule="auto"/>
        <w:ind w:firstLine="643" w:firstLineChars="200"/>
        <w:jc w:val="left"/>
        <w:outlineLvl w:val="0"/>
        <w:rPr>
          <w:rFonts w:hint="eastAsia" w:ascii="宋体" w:hAnsi="宋体" w:eastAsia="宋体" w:cs="宋体"/>
          <w:b/>
          <w:color w:val="auto"/>
          <w:sz w:val="52"/>
          <w:szCs w:val="44"/>
          <w:highlight w:val="none"/>
        </w:rPr>
      </w:pPr>
      <w:bookmarkStart w:id="11" w:name="_Toc11526"/>
      <w:bookmarkStart w:id="12" w:name="_Toc17916"/>
      <w:bookmarkStart w:id="13" w:name="_Toc29113"/>
      <w:bookmarkStart w:id="14" w:name="_Toc4256"/>
      <w:bookmarkStart w:id="15" w:name="_Toc22245"/>
      <w:r>
        <w:rPr>
          <w:rFonts w:hint="eastAsia" w:ascii="宋体" w:hAnsi="宋体" w:eastAsia="宋体" w:cs="宋体"/>
          <w:b/>
          <w:bCs/>
          <w:color w:val="auto"/>
          <w:sz w:val="32"/>
          <w:szCs w:val="32"/>
          <w:highlight w:val="none"/>
        </w:rPr>
        <w:t>日        期</w:t>
      </w:r>
      <w:r>
        <w:rPr>
          <w:rFonts w:hint="eastAsia" w:ascii="宋体" w:hAnsi="宋体" w:cs="宋体"/>
          <w:b/>
          <w:bCs/>
          <w:color w:val="auto"/>
          <w:sz w:val="32"/>
          <w:szCs w:val="32"/>
          <w:highlight w:val="none"/>
          <w:lang w:eastAsia="zh-CN"/>
        </w:rPr>
        <w:t>：</w:t>
      </w:r>
      <w:r>
        <w:rPr>
          <w:rFonts w:hint="eastAsia" w:ascii="宋体" w:hAnsi="宋体" w:eastAsia="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09</w:t>
      </w:r>
      <w:r>
        <w:rPr>
          <w:rFonts w:hint="eastAsia" w:ascii="宋体" w:hAnsi="宋体" w:eastAsia="宋体" w:cs="宋体"/>
          <w:b/>
          <w:bCs/>
          <w:color w:val="auto"/>
          <w:sz w:val="32"/>
          <w:szCs w:val="32"/>
          <w:highlight w:val="none"/>
        </w:rPr>
        <w:t>月</w:t>
      </w:r>
      <w:bookmarkEnd w:id="0"/>
      <w:bookmarkEnd w:id="11"/>
      <w:bookmarkEnd w:id="12"/>
      <w:bookmarkEnd w:id="13"/>
      <w:bookmarkEnd w:id="14"/>
      <w:bookmarkEnd w:id="15"/>
      <w:bookmarkStart w:id="16" w:name="_Toc305963490"/>
      <w:bookmarkStart w:id="17" w:name="_Toc305963787"/>
      <w:bookmarkStart w:id="18" w:name="_Toc305963548"/>
    </w:p>
    <w:p w14:paraId="2BA7D41C">
      <w:pPr>
        <w:pStyle w:val="5"/>
        <w:ind w:firstLine="0"/>
        <w:rPr>
          <w:rFonts w:hint="eastAsia" w:ascii="宋体" w:hAnsi="宋体" w:eastAsia="宋体" w:cs="宋体"/>
          <w:color w:val="auto"/>
          <w:highlight w:val="none"/>
        </w:rPr>
        <w:sectPr>
          <w:headerReference r:id="rId4" w:type="first"/>
          <w:footerReference r:id="rId6" w:type="first"/>
          <w:headerReference r:id="rId3" w:type="default"/>
          <w:footerReference r:id="rId5" w:type="default"/>
          <w:pgSz w:w="11906" w:h="16838"/>
          <w:pgMar w:top="1247" w:right="1247" w:bottom="1247" w:left="1247" w:header="907" w:footer="737" w:gutter="0"/>
          <w:pgBorders>
            <w:top w:val="none" w:sz="0" w:space="0"/>
            <w:left w:val="none" w:sz="0" w:space="0"/>
            <w:bottom w:val="none" w:sz="0" w:space="0"/>
            <w:right w:val="none" w:sz="0" w:space="0"/>
          </w:pgBorders>
          <w:pgNumType w:start="1"/>
          <w:cols w:space="720" w:num="1"/>
          <w:docGrid w:linePitch="286" w:charSpace="0"/>
        </w:sectPr>
      </w:pPr>
    </w:p>
    <w:p w14:paraId="7BEF108E">
      <w:pPr>
        <w:pStyle w:val="24"/>
        <w:tabs>
          <w:tab w:val="right" w:leader="dot" w:pos="9808"/>
        </w:tabs>
        <w:spacing w:line="500" w:lineRule="exact"/>
        <w:ind w:left="0" w:leftChars="0"/>
        <w:jc w:val="center"/>
        <w:rPr>
          <w:rFonts w:ascii="宋体" w:hAnsi="宋体" w:cs="宋体"/>
          <w:color w:val="auto"/>
          <w:kern w:val="0"/>
          <w:sz w:val="21"/>
          <w:szCs w:val="21"/>
          <w:highlight w:val="none"/>
        </w:rPr>
      </w:pPr>
      <w:bookmarkStart w:id="19" w:name="_Toc29654"/>
      <w:r>
        <w:rPr>
          <w:rFonts w:hint="eastAsia" w:ascii="宋体" w:hAnsi="宋体" w:cs="宋体"/>
          <w:b/>
          <w:bCs/>
          <w:color w:val="auto"/>
          <w:kern w:val="0"/>
          <w:sz w:val="36"/>
          <w:szCs w:val="36"/>
          <w:highlight w:val="none"/>
        </w:rPr>
        <w:t>注意事项</w:t>
      </w:r>
      <w:bookmarkEnd w:id="19"/>
    </w:p>
    <w:p w14:paraId="1FA9BE46">
      <w:pPr>
        <w:bidi w:val="0"/>
        <w:rPr>
          <w:color w:val="auto"/>
          <w:highlight w:val="none"/>
        </w:rPr>
      </w:pPr>
    </w:p>
    <w:p w14:paraId="50139E5A">
      <w:pPr>
        <w:pStyle w:val="5"/>
        <w:spacing w:line="360" w:lineRule="auto"/>
        <w:ind w:left="0" w:leftChars="0" w:firstLine="602" w:firstLineChars="200"/>
        <w:rPr>
          <w:rFonts w:hint="eastAsia" w:ascii="宋体" w:hAnsi="宋体" w:eastAsia="宋体" w:cs="宋体"/>
          <w:b/>
          <w:bCs/>
          <w:color w:val="auto"/>
          <w:kern w:val="0"/>
          <w:sz w:val="30"/>
          <w:szCs w:val="30"/>
          <w:highlight w:val="none"/>
        </w:rPr>
      </w:pPr>
      <w:r>
        <w:rPr>
          <w:rFonts w:hint="eastAsia" w:ascii="宋体" w:hAnsi="宋体" w:eastAsia="宋体" w:cs="宋体"/>
          <w:b/>
          <w:bCs/>
          <w:color w:val="auto"/>
          <w:kern w:val="0"/>
          <w:sz w:val="30"/>
          <w:szCs w:val="30"/>
          <w:highlight w:val="none"/>
        </w:rPr>
        <w:t>本项目在</w:t>
      </w:r>
      <w:r>
        <w:rPr>
          <w:rFonts w:hint="eastAsia" w:ascii="宋体" w:hAnsi="宋体" w:cs="宋体"/>
          <w:b/>
          <w:bCs/>
          <w:color w:val="auto"/>
          <w:kern w:val="0"/>
          <w:sz w:val="30"/>
          <w:szCs w:val="30"/>
          <w:highlight w:val="none"/>
          <w:lang w:eastAsia="zh-CN"/>
        </w:rPr>
        <w:t>云南省政府采购电子交易平台（政采云https://www.zcygov.cn/）</w:t>
      </w:r>
      <w:r>
        <w:rPr>
          <w:rFonts w:hint="eastAsia" w:ascii="宋体" w:hAnsi="宋体" w:eastAsia="宋体" w:cs="宋体"/>
          <w:b/>
          <w:bCs/>
          <w:color w:val="auto"/>
          <w:kern w:val="0"/>
          <w:sz w:val="30"/>
          <w:szCs w:val="30"/>
          <w:highlight w:val="none"/>
        </w:rPr>
        <w:t>上进行采购</w:t>
      </w:r>
      <w:r>
        <w:rPr>
          <w:rFonts w:hint="eastAsia" w:ascii="宋体" w:hAnsi="宋体" w:eastAsia="宋体" w:cs="宋体"/>
          <w:b/>
          <w:bCs/>
          <w:color w:val="auto"/>
          <w:kern w:val="0"/>
          <w:sz w:val="30"/>
          <w:szCs w:val="30"/>
          <w:highlight w:val="none"/>
          <w:lang w:val="en-US" w:eastAsia="zh-CN"/>
        </w:rPr>
        <w:t>并</w:t>
      </w:r>
      <w:r>
        <w:rPr>
          <w:rFonts w:hint="eastAsia" w:ascii="宋体" w:hAnsi="宋体" w:cs="宋体"/>
          <w:b/>
          <w:bCs/>
          <w:color w:val="auto"/>
          <w:kern w:val="0"/>
          <w:sz w:val="30"/>
          <w:szCs w:val="30"/>
          <w:highlight w:val="none"/>
          <w:lang w:val="en-US" w:eastAsia="zh-CN"/>
        </w:rPr>
        <w:t>提交</w:t>
      </w:r>
      <w:r>
        <w:rPr>
          <w:rFonts w:hint="eastAsia" w:ascii="宋体" w:hAnsi="宋体" w:eastAsia="宋体" w:cs="宋体"/>
          <w:b/>
          <w:bCs/>
          <w:color w:val="auto"/>
          <w:kern w:val="0"/>
          <w:sz w:val="30"/>
          <w:szCs w:val="30"/>
          <w:highlight w:val="none"/>
          <w:lang w:val="en-US" w:eastAsia="zh-CN"/>
        </w:rPr>
        <w:t>投标文件</w:t>
      </w:r>
      <w:r>
        <w:rPr>
          <w:rFonts w:hint="eastAsia" w:ascii="宋体" w:hAnsi="宋体" w:eastAsia="宋体" w:cs="宋体"/>
          <w:b/>
          <w:bCs/>
          <w:color w:val="auto"/>
          <w:kern w:val="0"/>
          <w:sz w:val="30"/>
          <w:szCs w:val="30"/>
          <w:highlight w:val="none"/>
        </w:rPr>
        <w:t>，无需现场递交纸质文件</w:t>
      </w:r>
      <w:r>
        <w:rPr>
          <w:rFonts w:hint="eastAsia" w:ascii="宋体" w:hAnsi="宋体" w:eastAsia="宋体" w:cs="宋体"/>
          <w:b/>
          <w:bCs/>
          <w:color w:val="auto"/>
          <w:kern w:val="0"/>
          <w:sz w:val="30"/>
          <w:szCs w:val="30"/>
          <w:highlight w:val="none"/>
          <w:lang w:eastAsia="zh-CN"/>
        </w:rPr>
        <w:t>；</w:t>
      </w:r>
      <w:r>
        <w:rPr>
          <w:rFonts w:hint="eastAsia" w:ascii="宋体" w:hAnsi="宋体" w:eastAsia="宋体" w:cs="宋体"/>
          <w:b/>
          <w:bCs/>
          <w:color w:val="auto"/>
          <w:kern w:val="0"/>
          <w:sz w:val="30"/>
          <w:szCs w:val="30"/>
          <w:highlight w:val="none"/>
          <w:lang w:val="en-US" w:eastAsia="zh-CN"/>
        </w:rPr>
        <w:t>潜在投标人</w:t>
      </w:r>
      <w:r>
        <w:rPr>
          <w:rFonts w:hint="eastAsia" w:ascii="宋体" w:hAnsi="宋体" w:eastAsia="宋体" w:cs="宋体"/>
          <w:b/>
          <w:bCs/>
          <w:color w:val="auto"/>
          <w:kern w:val="0"/>
          <w:sz w:val="30"/>
          <w:szCs w:val="30"/>
          <w:highlight w:val="none"/>
        </w:rPr>
        <w:t>应在</w:t>
      </w:r>
      <w:r>
        <w:rPr>
          <w:rFonts w:hint="eastAsia" w:ascii="宋体" w:hAnsi="宋体" w:eastAsia="宋体" w:cs="宋体"/>
          <w:b/>
          <w:bCs/>
          <w:color w:val="auto"/>
          <w:kern w:val="0"/>
          <w:sz w:val="30"/>
          <w:szCs w:val="30"/>
          <w:highlight w:val="none"/>
          <w:lang w:val="en-US" w:eastAsia="zh-CN"/>
        </w:rPr>
        <w:t>投标文件递交</w:t>
      </w:r>
      <w:r>
        <w:rPr>
          <w:rFonts w:hint="eastAsia" w:ascii="宋体" w:hAnsi="宋体" w:eastAsia="宋体" w:cs="宋体"/>
          <w:b/>
          <w:bCs/>
          <w:color w:val="auto"/>
          <w:kern w:val="0"/>
          <w:sz w:val="30"/>
          <w:szCs w:val="30"/>
          <w:highlight w:val="none"/>
        </w:rPr>
        <w:t>截止前</w:t>
      </w:r>
      <w:r>
        <w:rPr>
          <w:rFonts w:hint="eastAsia" w:ascii="宋体" w:hAnsi="宋体" w:eastAsia="宋体" w:cs="宋体"/>
          <w:b/>
          <w:bCs/>
          <w:color w:val="auto"/>
          <w:kern w:val="0"/>
          <w:sz w:val="30"/>
          <w:szCs w:val="30"/>
          <w:highlight w:val="none"/>
          <w:lang w:val="en-US" w:eastAsia="zh-CN"/>
        </w:rPr>
        <w:t>上传投标文件</w:t>
      </w:r>
      <w:r>
        <w:rPr>
          <w:rFonts w:hint="eastAsia" w:ascii="宋体" w:hAnsi="宋体" w:eastAsia="宋体" w:cs="宋体"/>
          <w:b/>
          <w:bCs/>
          <w:color w:val="auto"/>
          <w:kern w:val="0"/>
          <w:sz w:val="30"/>
          <w:szCs w:val="30"/>
          <w:highlight w:val="none"/>
        </w:rPr>
        <w:t>，并</w:t>
      </w:r>
      <w:r>
        <w:rPr>
          <w:rFonts w:hint="eastAsia" w:ascii="宋体" w:hAnsi="宋体" w:eastAsia="宋体" w:cs="宋体"/>
          <w:b/>
          <w:bCs/>
          <w:color w:val="auto"/>
          <w:kern w:val="0"/>
          <w:sz w:val="30"/>
          <w:szCs w:val="30"/>
          <w:highlight w:val="none"/>
          <w:lang w:val="en-US" w:eastAsia="zh-CN"/>
        </w:rPr>
        <w:t>同步登录</w:t>
      </w:r>
      <w:r>
        <w:rPr>
          <w:rFonts w:hint="eastAsia" w:ascii="宋体" w:hAnsi="宋体" w:cs="宋体"/>
          <w:b/>
          <w:bCs/>
          <w:color w:val="auto"/>
          <w:kern w:val="0"/>
          <w:sz w:val="30"/>
          <w:szCs w:val="30"/>
          <w:highlight w:val="none"/>
          <w:lang w:eastAsia="zh-CN"/>
        </w:rPr>
        <w:t>云南省政府采购电子交易平台（政采云https://www.zcygov.cn/）</w:t>
      </w:r>
      <w:r>
        <w:rPr>
          <w:rFonts w:hint="eastAsia" w:ascii="宋体" w:hAnsi="宋体" w:eastAsia="宋体" w:cs="宋体"/>
          <w:b/>
          <w:bCs/>
          <w:color w:val="auto"/>
          <w:kern w:val="0"/>
          <w:sz w:val="30"/>
          <w:szCs w:val="30"/>
          <w:highlight w:val="none"/>
        </w:rPr>
        <w:t>根据开标系统的提示操作解密文件。</w:t>
      </w:r>
    </w:p>
    <w:p w14:paraId="5C0B0651">
      <w:pPr>
        <w:pStyle w:val="5"/>
        <w:spacing w:line="360" w:lineRule="auto"/>
        <w:ind w:left="0" w:leftChars="0" w:firstLine="602" w:firstLineChars="200"/>
        <w:rPr>
          <w:rFonts w:hint="eastAsia" w:ascii="宋体" w:hAnsi="宋体" w:eastAsia="宋体" w:cs="宋体"/>
          <w:b/>
          <w:bCs/>
          <w:color w:val="auto"/>
          <w:kern w:val="0"/>
          <w:sz w:val="30"/>
          <w:szCs w:val="30"/>
          <w:highlight w:val="none"/>
        </w:rPr>
      </w:pPr>
    </w:p>
    <w:p w14:paraId="723981B1">
      <w:pPr>
        <w:bidi w:val="0"/>
        <w:rPr>
          <w:rFonts w:hint="eastAsia"/>
          <w:color w:val="auto"/>
          <w:highlight w:val="none"/>
        </w:rPr>
      </w:pPr>
    </w:p>
    <w:p w14:paraId="10F454A1">
      <w:pPr>
        <w:bidi w:val="0"/>
        <w:rPr>
          <w:rFonts w:hint="eastAsia"/>
          <w:color w:val="auto"/>
          <w:highlight w:val="none"/>
        </w:rPr>
      </w:pPr>
    </w:p>
    <w:p w14:paraId="72205C9B">
      <w:pPr>
        <w:bidi w:val="0"/>
        <w:rPr>
          <w:rFonts w:hint="eastAsia"/>
          <w:color w:val="auto"/>
          <w:highlight w:val="none"/>
        </w:rPr>
      </w:pPr>
    </w:p>
    <w:p w14:paraId="5742B711">
      <w:pPr>
        <w:bidi w:val="0"/>
        <w:rPr>
          <w:rFonts w:hint="eastAsia"/>
          <w:color w:val="auto"/>
          <w:highlight w:val="none"/>
        </w:rPr>
      </w:pPr>
    </w:p>
    <w:p w14:paraId="6731064E">
      <w:pPr>
        <w:bidi w:val="0"/>
        <w:rPr>
          <w:rFonts w:hint="eastAsia"/>
          <w:color w:val="auto"/>
          <w:highlight w:val="none"/>
        </w:rPr>
      </w:pPr>
    </w:p>
    <w:p w14:paraId="65F92F8F">
      <w:pPr>
        <w:bidi w:val="0"/>
        <w:rPr>
          <w:rFonts w:hint="eastAsia"/>
          <w:color w:val="auto"/>
          <w:highlight w:val="none"/>
        </w:rPr>
      </w:pPr>
    </w:p>
    <w:p w14:paraId="7253AB29">
      <w:pPr>
        <w:bidi w:val="0"/>
        <w:rPr>
          <w:rFonts w:hint="eastAsia"/>
          <w:color w:val="auto"/>
          <w:highlight w:val="none"/>
        </w:rPr>
      </w:pPr>
    </w:p>
    <w:p w14:paraId="2D39B91A">
      <w:pPr>
        <w:bidi w:val="0"/>
        <w:rPr>
          <w:rFonts w:hint="eastAsia"/>
          <w:color w:val="auto"/>
          <w:highlight w:val="none"/>
        </w:rPr>
      </w:pPr>
    </w:p>
    <w:p w14:paraId="7CB12A93">
      <w:pPr>
        <w:bidi w:val="0"/>
        <w:rPr>
          <w:rFonts w:hint="eastAsia"/>
          <w:color w:val="auto"/>
          <w:highlight w:val="none"/>
        </w:rPr>
      </w:pPr>
    </w:p>
    <w:p w14:paraId="6F7769A0">
      <w:pPr>
        <w:bidi w:val="0"/>
        <w:rPr>
          <w:rFonts w:hint="eastAsia"/>
          <w:color w:val="auto"/>
          <w:highlight w:val="none"/>
        </w:rPr>
      </w:pPr>
    </w:p>
    <w:p w14:paraId="760E15D9">
      <w:pPr>
        <w:bidi w:val="0"/>
        <w:rPr>
          <w:rFonts w:hint="eastAsia"/>
          <w:color w:val="auto"/>
          <w:highlight w:val="none"/>
        </w:rPr>
      </w:pPr>
    </w:p>
    <w:p w14:paraId="40CC81BA">
      <w:pPr>
        <w:bidi w:val="0"/>
        <w:rPr>
          <w:rFonts w:hint="eastAsia"/>
          <w:color w:val="auto"/>
          <w:highlight w:val="none"/>
        </w:rPr>
      </w:pPr>
    </w:p>
    <w:p w14:paraId="256380C1">
      <w:pPr>
        <w:bidi w:val="0"/>
        <w:rPr>
          <w:rFonts w:hint="eastAsia"/>
          <w:color w:val="auto"/>
          <w:highlight w:val="none"/>
        </w:rPr>
      </w:pPr>
    </w:p>
    <w:p w14:paraId="0F74633D">
      <w:pPr>
        <w:bidi w:val="0"/>
        <w:rPr>
          <w:rFonts w:hint="eastAsia"/>
          <w:color w:val="auto"/>
          <w:highlight w:val="none"/>
        </w:rPr>
      </w:pPr>
    </w:p>
    <w:p w14:paraId="2EA529F7">
      <w:pPr>
        <w:bidi w:val="0"/>
        <w:rPr>
          <w:rFonts w:hint="eastAsia"/>
          <w:color w:val="auto"/>
          <w:highlight w:val="none"/>
        </w:rPr>
      </w:pPr>
    </w:p>
    <w:p w14:paraId="2DE8E57A">
      <w:pPr>
        <w:bidi w:val="0"/>
        <w:rPr>
          <w:rFonts w:hint="eastAsia"/>
          <w:color w:val="auto"/>
          <w:highlight w:val="none"/>
        </w:rPr>
      </w:pPr>
    </w:p>
    <w:p w14:paraId="4D04D08B">
      <w:pPr>
        <w:tabs>
          <w:tab w:val="left" w:pos="3513"/>
        </w:tabs>
        <w:bidi w:val="0"/>
        <w:jc w:val="left"/>
        <w:rPr>
          <w:rFonts w:hint="eastAsia" w:eastAsia="宋体"/>
          <w:color w:val="auto"/>
          <w:highlight w:val="none"/>
          <w:lang w:eastAsia="zh-CN"/>
        </w:rPr>
        <w:sectPr>
          <w:footerReference r:id="rId7" w:type="default"/>
          <w:pgSz w:w="11906" w:h="16838"/>
          <w:pgMar w:top="1247" w:right="1247" w:bottom="1247" w:left="1247" w:header="907" w:footer="737" w:gutter="0"/>
          <w:pgBorders>
            <w:top w:val="none" w:sz="0" w:space="0"/>
            <w:left w:val="none" w:sz="0" w:space="0"/>
            <w:bottom w:val="none" w:sz="0" w:space="0"/>
            <w:right w:val="none" w:sz="0" w:space="0"/>
          </w:pgBorders>
          <w:pgNumType w:fmt="decimal" w:start="1"/>
          <w:cols w:space="720" w:num="1"/>
          <w:docGrid w:linePitch="286" w:charSpace="0"/>
        </w:sectPr>
      </w:pPr>
    </w:p>
    <w:sdt>
      <w:sdtPr>
        <w:rPr>
          <w:rFonts w:ascii="宋体" w:hAnsi="宋体" w:eastAsia="宋体" w:cs="Times New Roman"/>
          <w:b/>
          <w:bCs/>
          <w:color w:val="auto"/>
          <w:kern w:val="2"/>
          <w:sz w:val="44"/>
          <w:szCs w:val="44"/>
          <w:highlight w:val="none"/>
          <w:lang w:val="en-US" w:eastAsia="zh-CN" w:bidi="ar-SA"/>
        </w:rPr>
        <w:id w:val="147469296"/>
        <w15:color w:val="DBDBDB"/>
        <w:docPartObj>
          <w:docPartGallery w:val="Table of Contents"/>
          <w:docPartUnique/>
        </w:docPartObj>
      </w:sdtPr>
      <w:sdtEndPr>
        <w:rPr>
          <w:rFonts w:hint="eastAsia" w:ascii="宋体" w:hAnsi="宋体" w:eastAsia="宋体" w:cs="宋体"/>
          <w:b/>
          <w:bCs/>
          <w:caps/>
          <w:color w:val="auto"/>
          <w:kern w:val="2"/>
          <w:sz w:val="21"/>
          <w:szCs w:val="32"/>
          <w:highlight w:val="none"/>
          <w:lang w:val="en-US" w:eastAsia="zh-CN" w:bidi="ar-SA"/>
        </w:rPr>
      </w:sdtEndPr>
      <w:sdtContent>
        <w:p w14:paraId="59C40030">
          <w:pPr>
            <w:spacing w:before="0" w:beforeLines="0" w:after="0" w:afterLines="0" w:line="240" w:lineRule="auto"/>
            <w:ind w:left="0" w:leftChars="0" w:right="0" w:rightChars="0" w:firstLine="0" w:firstLineChars="0"/>
            <w:jc w:val="center"/>
            <w:rPr>
              <w:b/>
              <w:bCs/>
              <w:color w:val="auto"/>
              <w:sz w:val="44"/>
              <w:szCs w:val="44"/>
              <w:highlight w:val="none"/>
            </w:rPr>
          </w:pPr>
          <w:bookmarkStart w:id="20" w:name="_Toc417632153"/>
          <w:bookmarkStart w:id="21" w:name="_Toc417632238"/>
          <w:r>
            <w:rPr>
              <w:rFonts w:ascii="宋体" w:hAnsi="宋体" w:eastAsia="宋体"/>
              <w:b/>
              <w:bCs/>
              <w:color w:val="auto"/>
              <w:sz w:val="44"/>
              <w:szCs w:val="44"/>
              <w:highlight w:val="none"/>
            </w:rPr>
            <w:t>目</w:t>
          </w:r>
          <w:r>
            <w:rPr>
              <w:rFonts w:hint="eastAsia" w:ascii="宋体" w:hAnsi="宋体" w:eastAsia="宋体"/>
              <w:b/>
              <w:bCs/>
              <w:color w:val="auto"/>
              <w:sz w:val="44"/>
              <w:szCs w:val="44"/>
              <w:highlight w:val="none"/>
              <w:lang w:val="en-US" w:eastAsia="zh-CN"/>
            </w:rPr>
            <w:t xml:space="preserve"> </w:t>
          </w:r>
          <w:r>
            <w:rPr>
              <w:rFonts w:ascii="宋体" w:hAnsi="宋体" w:eastAsia="宋体"/>
              <w:b/>
              <w:bCs/>
              <w:color w:val="auto"/>
              <w:sz w:val="44"/>
              <w:szCs w:val="44"/>
              <w:highlight w:val="none"/>
            </w:rPr>
            <w:t>录</w:t>
          </w:r>
        </w:p>
        <w:p w14:paraId="16D2D1A9">
          <w:pPr>
            <w:pStyle w:val="22"/>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z w:val="32"/>
              <w:szCs w:val="32"/>
              <w:highlight w:val="none"/>
            </w:rPr>
          </w:pPr>
          <w:r>
            <w:rPr>
              <w:rFonts w:hint="eastAsia" w:ascii="宋体" w:hAnsi="宋体" w:eastAsia="宋体" w:cs="宋体"/>
              <w:b/>
              <w:color w:val="auto"/>
              <w:sz w:val="32"/>
              <w:szCs w:val="32"/>
              <w:highlight w:val="none"/>
            </w:rPr>
            <w:fldChar w:fldCharType="begin"/>
          </w:r>
          <w:r>
            <w:rPr>
              <w:rFonts w:hint="eastAsia" w:ascii="宋体" w:hAnsi="宋体" w:eastAsia="宋体" w:cs="宋体"/>
              <w:b/>
              <w:color w:val="auto"/>
              <w:sz w:val="32"/>
              <w:szCs w:val="32"/>
              <w:highlight w:val="none"/>
            </w:rPr>
            <w:instrText xml:space="preserve">TOC \o "1-2" \h \u </w:instrText>
          </w:r>
          <w:r>
            <w:rPr>
              <w:rFonts w:hint="eastAsia" w:ascii="宋体" w:hAnsi="宋体" w:eastAsia="宋体" w:cs="宋体"/>
              <w:b/>
              <w:color w:val="auto"/>
              <w:sz w:val="32"/>
              <w:szCs w:val="32"/>
              <w:highlight w:val="none"/>
            </w:rPr>
            <w:fldChar w:fldCharType="separate"/>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_Toc10101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kern w:val="2"/>
              <w:sz w:val="32"/>
              <w:szCs w:val="32"/>
              <w:highlight w:val="none"/>
              <w:lang w:val="en-US" w:eastAsia="zh-CN" w:bidi="ar-SA"/>
            </w:rPr>
            <w:t xml:space="preserve">第一章 </w:t>
          </w:r>
          <w:r>
            <w:rPr>
              <w:rFonts w:hint="eastAsia" w:ascii="宋体" w:hAnsi="宋体" w:eastAsia="宋体" w:cs="宋体"/>
              <w:b/>
              <w:bCs w:val="0"/>
              <w:color w:val="auto"/>
              <w:sz w:val="32"/>
              <w:szCs w:val="32"/>
              <w:highlight w:val="none"/>
            </w:rPr>
            <w:t>招标公告</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_Toc10101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3</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p>
        <w:p w14:paraId="7C594F3F">
          <w:pPr>
            <w:pStyle w:val="22"/>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_Toc456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第二章</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2"/>
              <w:szCs w:val="32"/>
              <w:highlight w:val="none"/>
            </w:rPr>
            <w:t>投标人须知</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_Toc456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8</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p>
        <w:p w14:paraId="42DFE813">
          <w:pPr>
            <w:pStyle w:val="22"/>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_Toc28462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val="en-US" w:eastAsia="zh-CN"/>
            </w:rPr>
            <w:t xml:space="preserve">第三章 </w:t>
          </w:r>
          <w:r>
            <w:rPr>
              <w:rFonts w:hint="eastAsia" w:ascii="宋体" w:hAnsi="宋体" w:eastAsia="宋体" w:cs="宋体"/>
              <w:b/>
              <w:bCs w:val="0"/>
              <w:color w:val="auto"/>
              <w:sz w:val="32"/>
              <w:szCs w:val="32"/>
              <w:highlight w:val="none"/>
            </w:rPr>
            <w:t>拟签订的合同文本</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_Toc28462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29</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p>
        <w:p w14:paraId="0BD2635B">
          <w:pPr>
            <w:pStyle w:val="22"/>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_Toc22138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第</w:t>
          </w:r>
          <w:r>
            <w:rPr>
              <w:rFonts w:hint="eastAsia" w:ascii="宋体" w:hAnsi="宋体" w:eastAsia="宋体" w:cs="宋体"/>
              <w:b/>
              <w:bCs w:val="0"/>
              <w:color w:val="auto"/>
              <w:sz w:val="32"/>
              <w:szCs w:val="32"/>
              <w:highlight w:val="none"/>
              <w:lang w:val="en-US" w:eastAsia="zh-CN"/>
            </w:rPr>
            <w:t>四</w:t>
          </w:r>
          <w:r>
            <w:rPr>
              <w:rFonts w:hint="eastAsia" w:ascii="宋体" w:hAnsi="宋体" w:eastAsia="宋体" w:cs="宋体"/>
              <w:b/>
              <w:bCs w:val="0"/>
              <w:color w:val="auto"/>
              <w:sz w:val="32"/>
              <w:szCs w:val="32"/>
              <w:highlight w:val="none"/>
            </w:rPr>
            <w:t>章 资格审查</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_Toc22138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41</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p>
        <w:p w14:paraId="5A422096">
          <w:pPr>
            <w:pStyle w:val="22"/>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_Toc10183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第</w:t>
          </w:r>
          <w:r>
            <w:rPr>
              <w:rFonts w:hint="eastAsia" w:ascii="宋体" w:hAnsi="宋体" w:eastAsia="宋体" w:cs="宋体"/>
              <w:b/>
              <w:bCs w:val="0"/>
              <w:color w:val="auto"/>
              <w:sz w:val="32"/>
              <w:szCs w:val="32"/>
              <w:highlight w:val="none"/>
              <w:lang w:val="en-US" w:eastAsia="zh-CN"/>
            </w:rPr>
            <w:t>五</w:t>
          </w:r>
          <w:r>
            <w:rPr>
              <w:rFonts w:hint="eastAsia" w:ascii="宋体" w:hAnsi="宋体" w:eastAsia="宋体" w:cs="宋体"/>
              <w:b/>
              <w:bCs w:val="0"/>
              <w:color w:val="auto"/>
              <w:sz w:val="32"/>
              <w:szCs w:val="32"/>
              <w:highlight w:val="none"/>
            </w:rPr>
            <w:t>章 评标办法</w:t>
          </w:r>
          <w:r>
            <w:rPr>
              <w:rFonts w:hint="eastAsia" w:ascii="宋体" w:hAnsi="宋体" w:eastAsia="宋体" w:cs="宋体"/>
              <w:b/>
              <w:bCs w:val="0"/>
              <w:color w:val="auto"/>
              <w:sz w:val="32"/>
              <w:szCs w:val="32"/>
              <w:highlight w:val="none"/>
              <w:lang w:eastAsia="zh-CN"/>
            </w:rPr>
            <w:t>（</w:t>
          </w:r>
          <w:r>
            <w:rPr>
              <w:rFonts w:hint="eastAsia" w:ascii="宋体" w:hAnsi="宋体" w:eastAsia="宋体" w:cs="宋体"/>
              <w:b/>
              <w:bCs w:val="0"/>
              <w:color w:val="auto"/>
              <w:sz w:val="32"/>
              <w:szCs w:val="32"/>
              <w:highlight w:val="none"/>
            </w:rPr>
            <w:t>综合评分法</w:t>
          </w:r>
          <w:r>
            <w:rPr>
              <w:rFonts w:hint="eastAsia" w:ascii="宋体" w:hAnsi="宋体" w:eastAsia="宋体" w:cs="宋体"/>
              <w:b/>
              <w:bCs w:val="0"/>
              <w:color w:val="auto"/>
              <w:sz w:val="32"/>
              <w:szCs w:val="32"/>
              <w:highlight w:val="none"/>
              <w:lang w:eastAsia="zh-CN"/>
            </w:rPr>
            <w:t>）</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_Toc10183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44</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p>
        <w:p w14:paraId="5030A8EB">
          <w:pPr>
            <w:pStyle w:val="22"/>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_Toc12043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第</w:t>
          </w:r>
          <w:r>
            <w:rPr>
              <w:rFonts w:hint="eastAsia" w:ascii="宋体" w:hAnsi="宋体" w:eastAsia="宋体" w:cs="宋体"/>
              <w:b/>
              <w:bCs w:val="0"/>
              <w:color w:val="auto"/>
              <w:sz w:val="32"/>
              <w:szCs w:val="32"/>
              <w:highlight w:val="none"/>
              <w:lang w:val="en-US" w:eastAsia="zh-CN"/>
            </w:rPr>
            <w:t>六</w:t>
          </w:r>
          <w:r>
            <w:rPr>
              <w:rFonts w:hint="eastAsia" w:ascii="宋体" w:hAnsi="宋体" w:eastAsia="宋体" w:cs="宋体"/>
              <w:b/>
              <w:bCs w:val="0"/>
              <w:color w:val="auto"/>
              <w:sz w:val="32"/>
              <w:szCs w:val="32"/>
              <w:highlight w:val="none"/>
            </w:rPr>
            <w:t>章 采购需求</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_Toc12043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56</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p>
        <w:p w14:paraId="70F3A5B4">
          <w:pPr>
            <w:pStyle w:val="22"/>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_Toc26993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val="en-US" w:eastAsia="zh-CN"/>
            </w:rPr>
            <w:t xml:space="preserve">第七章 </w:t>
          </w:r>
          <w:r>
            <w:rPr>
              <w:rFonts w:hint="eastAsia" w:ascii="宋体" w:hAnsi="宋体" w:eastAsia="宋体" w:cs="宋体"/>
              <w:b/>
              <w:bCs w:val="0"/>
              <w:color w:val="auto"/>
              <w:sz w:val="32"/>
              <w:szCs w:val="32"/>
              <w:highlight w:val="none"/>
            </w:rPr>
            <w:t>投标文件格式</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_Toc26993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104</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p>
        <w:p w14:paraId="054EFA74">
          <w:pPr>
            <w:pStyle w:val="24"/>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_Toc10702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kern w:val="0"/>
              <w:sz w:val="30"/>
              <w:szCs w:val="30"/>
              <w:highlight w:val="none"/>
              <w:lang w:val="en-US" w:eastAsia="zh-CN" w:bidi="ar-SA"/>
            </w:rPr>
            <w:t>一、</w:t>
          </w:r>
          <w:r>
            <w:rPr>
              <w:rFonts w:hint="eastAsia" w:ascii="宋体" w:hAnsi="宋体" w:eastAsia="宋体" w:cs="宋体"/>
              <w:color w:val="auto"/>
              <w:kern w:val="0"/>
              <w:sz w:val="30"/>
              <w:szCs w:val="30"/>
              <w:highlight w:val="none"/>
            </w:rPr>
            <w:t>投标人资格审查部分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_Toc10702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105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1BCB7AA4">
          <w:pPr>
            <w:pStyle w:val="24"/>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_Toc28968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kern w:val="0"/>
              <w:sz w:val="30"/>
              <w:szCs w:val="30"/>
              <w:highlight w:val="none"/>
              <w:lang w:val="en-US" w:eastAsia="zh-CN" w:bidi="ar-SA"/>
            </w:rPr>
            <w:t>二、</w:t>
          </w:r>
          <w:r>
            <w:rPr>
              <w:rFonts w:hint="eastAsia" w:ascii="宋体" w:hAnsi="宋体" w:eastAsia="宋体" w:cs="宋体"/>
              <w:color w:val="auto"/>
              <w:kern w:val="0"/>
              <w:sz w:val="30"/>
              <w:szCs w:val="30"/>
              <w:highlight w:val="none"/>
            </w:rPr>
            <w:t>投标文件商务部分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_Toc28968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113</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35C4C75D">
          <w:pPr>
            <w:pStyle w:val="24"/>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_Toc30917 </w:instrText>
          </w:r>
          <w:r>
            <w:rPr>
              <w:rFonts w:hint="eastAsia" w:ascii="宋体" w:hAnsi="宋体" w:eastAsia="宋体" w:cs="宋体"/>
              <w:color w:val="auto"/>
              <w:sz w:val="30"/>
              <w:szCs w:val="30"/>
              <w:highlight w:val="none"/>
            </w:rPr>
            <w:fldChar w:fldCharType="separate"/>
          </w:r>
          <w:r>
            <w:rPr>
              <w:rFonts w:hint="eastAsia" w:ascii="宋体" w:hAnsi="宋体" w:eastAsia="宋体" w:cs="宋体"/>
              <w:bCs/>
              <w:color w:val="auto"/>
              <w:kern w:val="2"/>
              <w:sz w:val="30"/>
              <w:szCs w:val="30"/>
              <w:highlight w:val="none"/>
              <w:lang w:val="en-US" w:eastAsia="zh-CN" w:bidi="ar-SA"/>
            </w:rPr>
            <w:t>三、</w:t>
          </w:r>
          <w:r>
            <w:rPr>
              <w:rFonts w:hint="eastAsia" w:ascii="宋体" w:hAnsi="宋体" w:eastAsia="宋体" w:cs="宋体"/>
              <w:color w:val="auto"/>
              <w:kern w:val="0"/>
              <w:sz w:val="30"/>
              <w:szCs w:val="30"/>
              <w:highlight w:val="none"/>
            </w:rPr>
            <w:t>投标文件技术部分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_Toc30917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122</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1A43FEAB">
          <w:pPr>
            <w:pStyle w:val="24"/>
            <w:keepNext w:val="0"/>
            <w:keepLines w:val="0"/>
            <w:pageBreakBefore w:val="0"/>
            <w:widowControl w:val="0"/>
            <w:tabs>
              <w:tab w:val="right" w:leader="dot" w:pos="9412"/>
            </w:tabs>
            <w:kinsoku/>
            <w:wordWrap/>
            <w:overflowPunct/>
            <w:topLinePunct w:val="0"/>
            <w:autoSpaceDE/>
            <w:autoSpaceDN/>
            <w:bidi w:val="0"/>
            <w:adjustRightInd w:val="0"/>
            <w:snapToGrid w:val="0"/>
            <w:spacing w:line="360" w:lineRule="auto"/>
            <w:ind w:firstLine="600" w:firstLineChars="20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_Toc31684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kern w:val="0"/>
              <w:sz w:val="30"/>
              <w:szCs w:val="30"/>
              <w:highlight w:val="none"/>
              <w:lang w:val="en-US" w:eastAsia="zh-CN" w:bidi="ar-SA"/>
            </w:rPr>
            <w:t>四、</w:t>
          </w:r>
          <w:r>
            <w:rPr>
              <w:rFonts w:hint="eastAsia" w:ascii="宋体" w:hAnsi="宋体" w:cs="宋体"/>
              <w:color w:val="auto"/>
              <w:kern w:val="0"/>
              <w:sz w:val="30"/>
              <w:szCs w:val="30"/>
              <w:highlight w:val="none"/>
              <w:lang w:val="en-US" w:eastAsia="zh-CN" w:bidi="ar-SA"/>
            </w:rPr>
            <w:t>其他</w:t>
          </w:r>
          <w:r>
            <w:rPr>
              <w:rFonts w:hint="eastAsia" w:ascii="宋体" w:hAnsi="宋体" w:eastAsia="宋体" w:cs="宋体"/>
              <w:color w:val="auto"/>
              <w:kern w:val="0"/>
              <w:sz w:val="30"/>
              <w:szCs w:val="30"/>
              <w:highlight w:val="none"/>
              <w:lang w:val="en-US" w:eastAsia="zh-CN" w:bidi="ar-SA"/>
            </w:rPr>
            <w:t>相关证明资料</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_Toc31684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123</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4FD30E45">
          <w:pPr>
            <w:pStyle w:val="22"/>
            <w:keepNext w:val="0"/>
            <w:keepLines w:val="0"/>
            <w:pageBreakBefore w:val="0"/>
            <w:widowControl w:val="0"/>
            <w:tabs>
              <w:tab w:val="right" w:leader="dot" w:pos="9736"/>
            </w:tabs>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rPr>
            <w:fldChar w:fldCharType="end"/>
          </w:r>
        </w:p>
      </w:sdtContent>
    </w:sdt>
    <w:p w14:paraId="0C71AD33">
      <w:pPr>
        <w:ind w:left="397" w:leftChars="189"/>
        <w:jc w:val="center"/>
        <w:rPr>
          <w:rFonts w:hint="eastAsia" w:ascii="宋体" w:hAnsi="宋体" w:eastAsia="宋体" w:cs="宋体"/>
          <w:b/>
          <w:color w:val="auto"/>
          <w:sz w:val="32"/>
          <w:highlight w:val="none"/>
        </w:rPr>
      </w:pPr>
    </w:p>
    <w:p w14:paraId="4FEAACB4">
      <w:pPr>
        <w:rPr>
          <w:rFonts w:hint="eastAsia" w:ascii="宋体" w:hAnsi="宋体" w:eastAsia="宋体" w:cs="宋体"/>
          <w:color w:val="auto"/>
          <w:highlight w:val="none"/>
        </w:rPr>
      </w:pPr>
    </w:p>
    <w:p w14:paraId="4FF6543F">
      <w:pPr>
        <w:rPr>
          <w:rFonts w:hint="eastAsia" w:ascii="宋体" w:hAnsi="宋体" w:eastAsia="宋体" w:cs="宋体"/>
          <w:color w:val="auto"/>
          <w:highlight w:val="none"/>
        </w:rPr>
      </w:pPr>
    </w:p>
    <w:p w14:paraId="1F47BE93">
      <w:pPr>
        <w:rPr>
          <w:rFonts w:hint="eastAsia" w:ascii="宋体" w:hAnsi="宋体" w:eastAsia="宋体" w:cs="宋体"/>
          <w:color w:val="auto"/>
          <w:highlight w:val="none"/>
        </w:rPr>
      </w:pPr>
    </w:p>
    <w:p w14:paraId="1BA3E5FB">
      <w:pPr>
        <w:rPr>
          <w:rFonts w:hint="eastAsia" w:ascii="宋体" w:hAnsi="宋体" w:eastAsia="宋体" w:cs="宋体"/>
          <w:color w:val="auto"/>
          <w:highlight w:val="none"/>
        </w:rPr>
      </w:pPr>
    </w:p>
    <w:p w14:paraId="12B352C0">
      <w:pPr>
        <w:rPr>
          <w:rFonts w:hint="eastAsia" w:ascii="宋体" w:hAnsi="宋体" w:eastAsia="宋体" w:cs="宋体"/>
          <w:color w:val="auto"/>
          <w:highlight w:val="none"/>
        </w:rPr>
      </w:pPr>
    </w:p>
    <w:p w14:paraId="1E6B6A51">
      <w:pPr>
        <w:rPr>
          <w:rFonts w:hint="eastAsia" w:ascii="宋体" w:hAnsi="宋体" w:eastAsia="宋体" w:cs="宋体"/>
          <w:color w:val="auto"/>
          <w:highlight w:val="none"/>
        </w:rPr>
      </w:pPr>
    </w:p>
    <w:p w14:paraId="486E6AB4">
      <w:pPr>
        <w:rPr>
          <w:rFonts w:hint="eastAsia" w:ascii="宋体" w:hAnsi="宋体" w:eastAsia="宋体" w:cs="宋体"/>
          <w:color w:val="auto"/>
          <w:highlight w:val="none"/>
        </w:rPr>
      </w:pPr>
    </w:p>
    <w:p w14:paraId="513AE9FD">
      <w:pPr>
        <w:rPr>
          <w:rFonts w:hint="eastAsia" w:ascii="宋体" w:hAnsi="宋体" w:eastAsia="宋体" w:cs="宋体"/>
          <w:color w:val="auto"/>
          <w:highlight w:val="none"/>
        </w:rPr>
      </w:pPr>
    </w:p>
    <w:p w14:paraId="26DCA456">
      <w:pPr>
        <w:tabs>
          <w:tab w:val="center" w:pos="4819"/>
        </w:tabs>
        <w:jc w:val="left"/>
        <w:rPr>
          <w:rFonts w:hint="eastAsia" w:ascii="宋体" w:hAnsi="宋体" w:eastAsia="宋体" w:cs="宋体"/>
          <w:color w:val="auto"/>
          <w:highlight w:val="none"/>
        </w:rPr>
        <w:sectPr>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宋体"/>
          <w:color w:val="auto"/>
          <w:highlight w:val="none"/>
        </w:rPr>
        <w:tab/>
      </w:r>
    </w:p>
    <w:bookmarkEnd w:id="16"/>
    <w:bookmarkEnd w:id="17"/>
    <w:bookmarkEnd w:id="18"/>
    <w:bookmarkEnd w:id="20"/>
    <w:bookmarkEnd w:id="21"/>
    <w:p w14:paraId="3EFAACB1">
      <w:pPr>
        <w:pStyle w:val="2"/>
        <w:keepLines w:val="0"/>
        <w:pageBreakBefore w:val="0"/>
        <w:numPr>
          <w:ilvl w:val="0"/>
          <w:numId w:val="0"/>
        </w:numPr>
        <w:kinsoku/>
        <w:overflowPunct/>
        <w:topLinePunct w:val="0"/>
        <w:bidi w:val="0"/>
        <w:spacing w:line="460" w:lineRule="exact"/>
        <w:rPr>
          <w:rFonts w:hint="eastAsia" w:ascii="宋体" w:hAnsi="宋体" w:eastAsia="宋体" w:cs="宋体"/>
          <w:color w:val="auto"/>
          <w:sz w:val="44"/>
          <w:szCs w:val="44"/>
          <w:highlight w:val="none"/>
        </w:rPr>
      </w:pPr>
      <w:bookmarkStart w:id="22" w:name="_Toc3136"/>
      <w:bookmarkStart w:id="23" w:name="_Toc8028"/>
      <w:bookmarkStart w:id="24" w:name="_Toc10101"/>
      <w:r>
        <w:rPr>
          <w:rFonts w:hint="eastAsia" w:ascii="宋体" w:hAnsi="宋体" w:eastAsia="宋体" w:cs="宋体"/>
          <w:b/>
          <w:bCs/>
          <w:color w:val="auto"/>
          <w:kern w:val="2"/>
          <w:sz w:val="44"/>
          <w:szCs w:val="44"/>
          <w:highlight w:val="none"/>
          <w:lang w:val="en-US" w:eastAsia="zh-CN" w:bidi="ar-SA"/>
        </w:rPr>
        <w:t>第一章</w:t>
      </w:r>
      <w:r>
        <w:rPr>
          <w:rFonts w:hint="eastAsia" w:cs="宋体"/>
          <w:b/>
          <w:bCs/>
          <w:color w:val="auto"/>
          <w:kern w:val="2"/>
          <w:sz w:val="44"/>
          <w:szCs w:val="44"/>
          <w:highlight w:val="none"/>
          <w:lang w:val="en-US" w:eastAsia="zh-CN" w:bidi="ar-SA"/>
        </w:rPr>
        <w:t xml:space="preserve"> </w:t>
      </w:r>
      <w:r>
        <w:rPr>
          <w:rFonts w:hint="eastAsia" w:ascii="宋体" w:hAnsi="宋体" w:eastAsia="宋体" w:cs="宋体"/>
          <w:color w:val="auto"/>
          <w:sz w:val="44"/>
          <w:szCs w:val="44"/>
          <w:highlight w:val="none"/>
        </w:rPr>
        <w:t>招标公告</w:t>
      </w:r>
      <w:bookmarkEnd w:id="22"/>
      <w:bookmarkEnd w:id="23"/>
      <w:bookmarkEnd w:id="24"/>
    </w:p>
    <w:p w14:paraId="78174D52">
      <w:pPr>
        <w:keepLines w:val="0"/>
        <w:pageBreakBefore w:val="0"/>
        <w:kinsoku/>
        <w:overflowPunct/>
        <w:topLinePunct w:val="0"/>
        <w:bidi w:val="0"/>
        <w:spacing w:line="460" w:lineRule="exact"/>
        <w:jc w:val="center"/>
        <w:rPr>
          <w:rFonts w:hint="eastAsia"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易门县环卫站购买县城环卫市政服务项目</w:t>
      </w:r>
    </w:p>
    <w:p w14:paraId="47790224">
      <w:pPr>
        <w:keepLines w:val="0"/>
        <w:pageBreakBefore w:val="0"/>
        <w:kinsoku/>
        <w:overflowPunct/>
        <w:topLinePunct w:val="0"/>
        <w:bidi w:val="0"/>
        <w:spacing w:line="460" w:lineRule="exact"/>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招标公告</w:t>
      </w:r>
    </w:p>
    <w:p w14:paraId="21478E96">
      <w:pPr>
        <w:keepLines w:val="0"/>
        <w:pageBreakBefore w:val="0"/>
        <w:pBdr>
          <w:top w:val="single" w:color="auto" w:sz="4" w:space="1"/>
          <w:left w:val="single" w:color="auto" w:sz="4" w:space="4"/>
          <w:bottom w:val="single" w:color="auto" w:sz="4" w:space="1"/>
          <w:right w:val="single" w:color="auto" w:sz="4" w:space="4"/>
        </w:pBdr>
        <w:kinsoku/>
        <w:overflowPunct/>
        <w:topLinePunct w:val="0"/>
        <w:bidi w:val="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项目概况</w:t>
      </w:r>
      <w:r>
        <w:rPr>
          <w:rFonts w:hint="eastAsia" w:ascii="宋体" w:hAnsi="宋体" w:cs="宋体"/>
          <w:color w:val="auto"/>
          <w:sz w:val="24"/>
          <w:highlight w:val="none"/>
          <w:lang w:eastAsia="zh-CN"/>
        </w:rPr>
        <w:t>：</w:t>
      </w:r>
    </w:p>
    <w:p w14:paraId="3F91BCCF">
      <w:pPr>
        <w:keepLines w:val="0"/>
        <w:pageBreakBefore w:val="0"/>
        <w:pBdr>
          <w:top w:val="single" w:color="auto" w:sz="4" w:space="1"/>
          <w:left w:val="single" w:color="auto" w:sz="4" w:space="4"/>
          <w:bottom w:val="single" w:color="auto" w:sz="4" w:space="1"/>
          <w:right w:val="single" w:color="auto" w:sz="4" w:space="4"/>
        </w:pBdr>
        <w:kinsoku/>
        <w:overflowPunct/>
        <w:topLinePunct w:val="0"/>
        <w:bidi w:val="0"/>
        <w:spacing w:line="460" w:lineRule="exact"/>
        <w:ind w:firstLine="480" w:firstLineChars="200"/>
        <w:rPr>
          <w:rFonts w:hint="eastAsia" w:ascii="宋体" w:hAnsi="宋体" w:eastAsia="宋体" w:cs="宋体"/>
          <w:color w:val="auto"/>
          <w:sz w:val="22"/>
          <w:szCs w:val="22"/>
          <w:highlight w:val="none"/>
        </w:rPr>
      </w:pPr>
      <w:r>
        <w:rPr>
          <w:rFonts w:hint="eastAsia" w:ascii="宋体" w:hAnsi="宋体" w:cs="宋体"/>
          <w:color w:val="auto"/>
          <w:sz w:val="24"/>
          <w:highlight w:val="none"/>
          <w:u w:val="single"/>
          <w:lang w:eastAsia="zh-CN"/>
        </w:rPr>
        <w:t>易门县环卫站购买县城环卫市政服务项目</w:t>
      </w:r>
      <w:r>
        <w:rPr>
          <w:rFonts w:hint="eastAsia" w:ascii="宋体" w:hAnsi="宋体" w:eastAsia="宋体" w:cs="宋体"/>
          <w:color w:val="auto"/>
          <w:sz w:val="24"/>
          <w:highlight w:val="none"/>
        </w:rPr>
        <w:t>的潜在投标人应在</w:t>
      </w:r>
      <w:r>
        <w:rPr>
          <w:rFonts w:hint="eastAsia" w:ascii="宋体" w:hAnsi="宋体" w:cs="宋体"/>
          <w:color w:val="auto"/>
          <w:kern w:val="0"/>
          <w:sz w:val="24"/>
          <w:szCs w:val="24"/>
          <w:highlight w:val="none"/>
          <w:u w:val="single"/>
          <w:lang w:eastAsia="zh-CN"/>
        </w:rPr>
        <w:t>云南省政府采购电子交易平台（政采云https://www.zcygov.cn/）</w:t>
      </w:r>
      <w:r>
        <w:rPr>
          <w:rFonts w:hint="eastAsia" w:ascii="宋体" w:hAnsi="宋体" w:eastAsia="宋体" w:cs="宋体"/>
          <w:color w:val="auto"/>
          <w:sz w:val="24"/>
          <w:highlight w:val="none"/>
        </w:rPr>
        <w:t>中获取招标文件及</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招标</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资料，并于</w:t>
      </w:r>
      <w:r>
        <w:rPr>
          <w:rFonts w:hint="eastAsia" w:ascii="宋体" w:hAnsi="宋体" w:cs="宋体"/>
          <w:b/>
          <w:bCs/>
          <w:color w:val="auto"/>
          <w:sz w:val="24"/>
          <w:highlight w:val="none"/>
          <w:u w:val="single"/>
          <w:lang w:eastAsia="zh-CN"/>
        </w:rPr>
        <w:t>2026年09月</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lang w:eastAsia="zh-CN"/>
        </w:rPr>
        <w:t>日09点00分</w:t>
      </w:r>
      <w:r>
        <w:rPr>
          <w:rFonts w:hint="eastAsia" w:ascii="宋体" w:hAnsi="宋体" w:eastAsia="宋体" w:cs="宋体"/>
          <w:bCs/>
          <w:color w:val="auto"/>
          <w:sz w:val="24"/>
          <w:highlight w:val="none"/>
        </w:rPr>
        <w:t>（北京时间）前</w:t>
      </w:r>
      <w:r>
        <w:rPr>
          <w:rFonts w:hint="eastAsia" w:ascii="宋体" w:hAnsi="宋体" w:cs="宋体"/>
          <w:bCs/>
          <w:color w:val="auto"/>
          <w:sz w:val="24"/>
          <w:highlight w:val="none"/>
          <w:lang w:eastAsia="zh-CN"/>
        </w:rPr>
        <w:t>上传</w:t>
      </w:r>
      <w:r>
        <w:rPr>
          <w:rFonts w:hint="eastAsia" w:ascii="宋体" w:hAnsi="宋体" w:eastAsia="宋体" w:cs="宋体"/>
          <w:bCs/>
          <w:color w:val="auto"/>
          <w:sz w:val="24"/>
          <w:highlight w:val="none"/>
        </w:rPr>
        <w:t>投标文件</w:t>
      </w:r>
      <w:r>
        <w:rPr>
          <w:rFonts w:hint="eastAsia" w:ascii="宋体" w:hAnsi="宋体" w:eastAsia="宋体" w:cs="宋体"/>
          <w:color w:val="auto"/>
          <w:sz w:val="24"/>
          <w:highlight w:val="none"/>
        </w:rPr>
        <w:t>。</w:t>
      </w:r>
    </w:p>
    <w:p w14:paraId="4352FE04">
      <w:pPr>
        <w:pStyle w:val="3"/>
        <w:keepNext w:val="0"/>
        <w:keepLines w:val="0"/>
        <w:pageBreakBefore w:val="0"/>
        <w:kinsoku/>
        <w:overflowPunct/>
        <w:topLinePunct w:val="0"/>
        <w:bidi w:val="0"/>
        <w:spacing w:line="460" w:lineRule="exact"/>
        <w:rPr>
          <w:rFonts w:hint="eastAsia" w:ascii="宋体" w:hAnsi="宋体" w:eastAsia="宋体" w:cs="宋体"/>
          <w:bCs/>
          <w:color w:val="auto"/>
          <w:highlight w:val="none"/>
        </w:rPr>
      </w:pPr>
      <w:bookmarkStart w:id="25" w:name="_Toc28359079"/>
      <w:bookmarkStart w:id="26" w:name="_Toc10832"/>
      <w:bookmarkStart w:id="27" w:name="_Toc28359002"/>
      <w:bookmarkStart w:id="28" w:name="_Toc35393621"/>
      <w:bookmarkStart w:id="29" w:name="_Toc25655"/>
      <w:bookmarkStart w:id="30" w:name="_Toc35393790"/>
      <w:bookmarkStart w:id="31" w:name="_Toc19808"/>
      <w:bookmarkStart w:id="32" w:name="_Toc18182"/>
      <w:bookmarkStart w:id="33" w:name="_Toc29583"/>
      <w:bookmarkStart w:id="34" w:name="_Toc21447"/>
      <w:bookmarkStart w:id="35" w:name="_Toc18007"/>
      <w:bookmarkStart w:id="36" w:name="_Hlk24379207"/>
      <w:r>
        <w:rPr>
          <w:rFonts w:hint="eastAsia" w:ascii="宋体" w:hAnsi="宋体" w:eastAsia="宋体" w:cs="宋体"/>
          <w:bCs/>
          <w:color w:val="auto"/>
          <w:highlight w:val="none"/>
        </w:rPr>
        <w:t>一、项目基本情况</w:t>
      </w:r>
      <w:bookmarkEnd w:id="25"/>
      <w:bookmarkEnd w:id="26"/>
      <w:bookmarkEnd w:id="27"/>
      <w:bookmarkEnd w:id="28"/>
      <w:bookmarkEnd w:id="29"/>
      <w:bookmarkEnd w:id="30"/>
      <w:bookmarkEnd w:id="31"/>
      <w:bookmarkEnd w:id="32"/>
      <w:bookmarkEnd w:id="33"/>
      <w:bookmarkEnd w:id="34"/>
      <w:bookmarkEnd w:id="35"/>
    </w:p>
    <w:p w14:paraId="0F2F84D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政府采购计划编号：4530425JH202600685</w:t>
      </w:r>
    </w:p>
    <w:p w14:paraId="74D5608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项目编号：</w:t>
      </w:r>
      <w:r>
        <w:rPr>
          <w:rFonts w:hint="eastAsia" w:ascii="宋体" w:hAnsi="宋体" w:cs="宋体"/>
          <w:color w:val="auto"/>
          <w:sz w:val="24"/>
          <w:highlight w:val="none"/>
          <w:lang w:eastAsia="zh-CN"/>
        </w:rPr>
        <w:t>YXYWZB（2026）042号</w:t>
      </w:r>
    </w:p>
    <w:p w14:paraId="7B95E86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项目名称：</w:t>
      </w:r>
      <w:bookmarkEnd w:id="36"/>
      <w:r>
        <w:rPr>
          <w:rFonts w:hint="eastAsia" w:ascii="宋体" w:hAnsi="宋体" w:cs="宋体"/>
          <w:color w:val="auto"/>
          <w:sz w:val="24"/>
          <w:highlight w:val="none"/>
          <w:lang w:eastAsia="zh-CN"/>
        </w:rPr>
        <w:t>易门县环卫站购买县城环卫市政服务项目</w:t>
      </w:r>
    </w:p>
    <w:p w14:paraId="279CA7C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预算金额</w:t>
      </w:r>
      <w:r>
        <w:rPr>
          <w:rFonts w:hint="eastAsia" w:ascii="宋体" w:hAnsi="宋体" w:cs="宋体"/>
          <w:color w:val="auto"/>
          <w:sz w:val="24"/>
          <w:highlight w:val="none"/>
          <w:lang w:val="en-US" w:eastAsia="zh-CN"/>
        </w:rPr>
        <w:t>及最高限价</w:t>
      </w:r>
      <w:r>
        <w:rPr>
          <w:rFonts w:hint="eastAsia" w:ascii="宋体" w:hAnsi="宋体" w:cs="宋体"/>
          <w:color w:val="auto"/>
          <w:sz w:val="24"/>
          <w:highlight w:val="none"/>
          <w:lang w:eastAsia="zh-CN"/>
        </w:rPr>
        <w:t>：￥12577897.88元（大写：人民币壹仟贰佰伍拾柒万柒仟捌佰玖拾柒元捌角捌分）</w:t>
      </w:r>
      <w:r>
        <w:rPr>
          <w:rFonts w:hint="eastAsia" w:ascii="宋体" w:hAnsi="宋体" w:cs="宋体"/>
          <w:color w:val="auto"/>
          <w:sz w:val="24"/>
          <w:highlight w:val="none"/>
          <w:lang w:val="en-US" w:eastAsia="zh-CN"/>
        </w:rPr>
        <w:t>。</w:t>
      </w:r>
    </w:p>
    <w:p w14:paraId="2FDB9049">
      <w:pPr>
        <w:keepNext w:val="0"/>
        <w:keepLines w:val="0"/>
        <w:pageBreakBefore w:val="0"/>
        <w:widowControl w:val="0"/>
        <w:kinsoku/>
        <w:wordWrap/>
        <w:overflowPunct/>
        <w:topLinePunct w:val="0"/>
        <w:autoSpaceDE/>
        <w:autoSpaceDN/>
        <w:bidi w:val="0"/>
        <w:adjustRightInd/>
        <w:snapToGrid/>
        <w:spacing w:line="460" w:lineRule="exact"/>
        <w:ind w:right="0" w:rightChars="0" w:firstLine="480" w:firstLineChars="200"/>
        <w:textAlignment w:val="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采购需求：</w:t>
      </w:r>
      <w:r>
        <w:rPr>
          <w:rFonts w:hint="eastAsia" w:ascii="宋体" w:hAnsi="宋体" w:cs="宋体"/>
          <w:color w:val="auto"/>
          <w:sz w:val="24"/>
          <w:highlight w:val="none"/>
          <w:lang w:val="en-US" w:eastAsia="zh-CN"/>
        </w:rPr>
        <w:t>本项目</w:t>
      </w:r>
      <w:r>
        <w:rPr>
          <w:rFonts w:hint="eastAsia" w:ascii="宋体" w:hAnsi="宋体" w:eastAsia="宋体" w:cs="宋体"/>
          <w:color w:val="auto"/>
          <w:sz w:val="24"/>
          <w:highlight w:val="none"/>
          <w:lang w:eastAsia="zh-CN"/>
        </w:rPr>
        <w:t>涵盖县城建成区范围和龙泉街道中心街、兴文街、西环路、中屯、罗所、方屯、梅营7个社区部分主次干道及公共区域。完成以下服务内容：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清扫保洁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含日常洒水降尘作业</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、垃圾收集运输</w:t>
      </w:r>
      <w:r>
        <w:rPr>
          <w:rFonts w:hint="eastAsia" w:ascii="宋体" w:hAnsi="宋体" w:cs="宋体"/>
          <w:color w:val="auto"/>
          <w:sz w:val="24"/>
          <w:highlight w:val="none"/>
          <w:lang w:eastAsia="zh-CN"/>
        </w:rPr>
        <w:t>、县城建成区内除公园</w:t>
      </w:r>
      <w:r>
        <w:rPr>
          <w:rFonts w:hint="eastAsia" w:ascii="宋体" w:hAnsi="宋体" w:cs="宋体"/>
          <w:color w:val="auto"/>
          <w:sz w:val="24"/>
          <w:highlight w:val="none"/>
          <w:lang w:val="en-US" w:eastAsia="zh-CN"/>
        </w:rPr>
        <w:t>标</w:t>
      </w:r>
      <w:r>
        <w:rPr>
          <w:rFonts w:hint="eastAsia" w:ascii="宋体" w:hAnsi="宋体" w:cs="宋体"/>
          <w:color w:val="auto"/>
          <w:sz w:val="24"/>
          <w:highlight w:val="none"/>
          <w:lang w:eastAsia="zh-CN"/>
        </w:rPr>
        <w:t>外的公共绿化带日常保洁</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生活垃圾压缩转运、</w:t>
      </w:r>
      <w:r>
        <w:rPr>
          <w:rFonts w:hint="eastAsia" w:ascii="宋体" w:hAnsi="宋体" w:cs="宋体"/>
          <w:color w:val="auto"/>
          <w:sz w:val="24"/>
          <w:highlight w:val="none"/>
          <w:lang w:eastAsia="zh-CN"/>
        </w:rPr>
        <w:t>2个垃圾填埋场管护</w:t>
      </w:r>
      <w:r>
        <w:rPr>
          <w:rFonts w:hint="eastAsia" w:ascii="宋体" w:hAnsi="宋体" w:eastAsia="宋体" w:cs="宋体"/>
          <w:color w:val="auto"/>
          <w:sz w:val="24"/>
          <w:highlight w:val="none"/>
          <w:lang w:eastAsia="zh-CN"/>
        </w:rPr>
        <w:t>、渗滤液处理站运管、环境在线监测运行</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垃圾填埋场环境监测</w:t>
      </w:r>
      <w:r>
        <w:rPr>
          <w:rFonts w:hint="eastAsia" w:ascii="宋体" w:hAnsi="宋体" w:eastAsia="宋体" w:cs="宋体"/>
          <w:color w:val="auto"/>
          <w:sz w:val="24"/>
          <w:highlight w:val="none"/>
          <w:lang w:eastAsia="zh-CN"/>
        </w:rPr>
        <w:t>；（3）</w:t>
      </w:r>
      <w:r>
        <w:rPr>
          <w:rFonts w:hint="eastAsia" w:ascii="宋体" w:hAnsi="宋体" w:cs="宋体"/>
          <w:color w:val="auto"/>
          <w:sz w:val="24"/>
          <w:highlight w:val="none"/>
          <w:lang w:eastAsia="zh-CN"/>
        </w:rPr>
        <w:t>33座公厕日常运行维修维护</w:t>
      </w:r>
      <w:r>
        <w:rPr>
          <w:rFonts w:hint="eastAsia" w:ascii="宋体" w:hAnsi="宋体" w:eastAsia="宋体" w:cs="宋体"/>
          <w:color w:val="auto"/>
          <w:sz w:val="24"/>
          <w:highlight w:val="none"/>
          <w:lang w:eastAsia="zh-CN"/>
        </w:rPr>
        <w:t>；（4）</w:t>
      </w:r>
      <w:r>
        <w:rPr>
          <w:rFonts w:hint="eastAsia" w:ascii="宋体" w:hAnsi="宋体" w:cs="宋体"/>
          <w:color w:val="auto"/>
          <w:sz w:val="24"/>
          <w:highlight w:val="none"/>
          <w:lang w:eastAsia="zh-CN"/>
        </w:rPr>
        <w:t>26座洗手台日常运行维修维护</w:t>
      </w:r>
      <w:r>
        <w:rPr>
          <w:rFonts w:hint="eastAsia" w:ascii="宋体" w:hAnsi="宋体" w:eastAsia="宋体" w:cs="宋体"/>
          <w:color w:val="auto"/>
          <w:sz w:val="24"/>
          <w:highlight w:val="none"/>
          <w:lang w:eastAsia="zh-CN"/>
        </w:rPr>
        <w:t>；（5）市政路灯日常运行维修维护（含</w:t>
      </w:r>
      <w:r>
        <w:rPr>
          <w:rFonts w:hint="eastAsia" w:ascii="宋体" w:hAnsi="宋体" w:cs="宋体"/>
          <w:color w:val="auto"/>
          <w:sz w:val="24"/>
          <w:highlight w:val="none"/>
          <w:lang w:eastAsia="zh-CN"/>
        </w:rPr>
        <w:t>目前管理的</w:t>
      </w:r>
      <w:r>
        <w:rPr>
          <w:rFonts w:hint="eastAsia" w:ascii="宋体" w:hAnsi="宋体" w:eastAsia="宋体" w:cs="宋体"/>
          <w:color w:val="auto"/>
          <w:sz w:val="24"/>
          <w:highlight w:val="none"/>
          <w:lang w:eastAsia="zh-CN"/>
        </w:rPr>
        <w:t>16台变压器、72个控制箱、2847棵灯杆、8566盏路灯日常维护）；（6）县城餐厨垃圾收运；（7）环卫设施</w:t>
      </w:r>
      <w:r>
        <w:rPr>
          <w:rFonts w:hint="eastAsia" w:ascii="宋体" w:hAnsi="宋体" w:cs="宋体"/>
          <w:color w:val="auto"/>
          <w:sz w:val="24"/>
          <w:highlight w:val="none"/>
          <w:lang w:eastAsia="zh-CN"/>
        </w:rPr>
        <w:t>日常运行维修维护</w:t>
      </w:r>
      <w:r>
        <w:rPr>
          <w:rFonts w:hint="eastAsia" w:ascii="宋体" w:hAnsi="宋体" w:eastAsia="宋体" w:cs="宋体"/>
          <w:color w:val="auto"/>
          <w:sz w:val="24"/>
          <w:highlight w:val="none"/>
          <w:lang w:eastAsia="zh-CN"/>
        </w:rPr>
        <w:t>；（8）县城</w:t>
      </w:r>
      <w:r>
        <w:rPr>
          <w:rFonts w:hint="eastAsia" w:ascii="宋体" w:hAnsi="宋体" w:cs="宋体"/>
          <w:color w:val="auto"/>
          <w:sz w:val="24"/>
          <w:highlight w:val="none"/>
          <w:lang w:val="en-US" w:eastAsia="zh-CN"/>
        </w:rPr>
        <w:t>公共市政</w:t>
      </w:r>
      <w:r>
        <w:rPr>
          <w:rFonts w:hint="eastAsia" w:ascii="宋体" w:hAnsi="宋体" w:eastAsia="宋体" w:cs="宋体"/>
          <w:color w:val="auto"/>
          <w:sz w:val="24"/>
          <w:highlight w:val="none"/>
          <w:lang w:eastAsia="zh-CN"/>
        </w:rPr>
        <w:t>道路</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w:t>
      </w:r>
      <w:r>
        <w:rPr>
          <w:rFonts w:hint="eastAsia" w:ascii="宋体" w:hAnsi="宋体" w:eastAsia="宋体" w:cs="宋体"/>
          <w:color w:val="auto"/>
          <w:sz w:val="24"/>
          <w:highlight w:val="none"/>
          <w:lang w:eastAsia="zh-CN"/>
        </w:rPr>
        <w:t>、雨污管网</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附属设施维修维护</w:t>
      </w:r>
      <w:r>
        <w:rPr>
          <w:rFonts w:hint="eastAsia" w:ascii="宋体" w:hAnsi="宋体" w:eastAsia="宋体" w:cs="宋体"/>
          <w:color w:val="auto"/>
          <w:sz w:val="24"/>
          <w:highlight w:val="none"/>
          <w:lang w:eastAsia="zh-CN"/>
        </w:rPr>
        <w:t>、市政消火栓</w:t>
      </w:r>
      <w:r>
        <w:rPr>
          <w:rFonts w:hint="eastAsia" w:ascii="宋体" w:hAnsi="宋体" w:cs="宋体"/>
          <w:color w:val="auto"/>
          <w:sz w:val="24"/>
          <w:highlight w:val="none"/>
          <w:lang w:eastAsia="zh-CN"/>
        </w:rPr>
        <w:t>、落</w:t>
      </w:r>
      <w:r>
        <w:rPr>
          <w:rFonts w:hint="eastAsia" w:ascii="宋体" w:hAnsi="宋体" w:eastAsia="宋体" w:cs="宋体"/>
          <w:color w:val="auto"/>
          <w:sz w:val="24"/>
          <w:highlight w:val="none"/>
          <w:lang w:eastAsia="zh-CN"/>
        </w:rPr>
        <w:t>雨水井</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雨水篦子</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污水井维护管理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具体</w:t>
      </w:r>
      <w:r>
        <w:rPr>
          <w:rFonts w:hint="eastAsia" w:ascii="宋体" w:hAnsi="宋体" w:cs="宋体"/>
          <w:color w:val="auto"/>
          <w:sz w:val="24"/>
          <w:highlight w:val="none"/>
          <w:lang w:eastAsia="zh-CN"/>
        </w:rPr>
        <w:t>内容</w:t>
      </w:r>
      <w:r>
        <w:rPr>
          <w:rFonts w:hint="eastAsia" w:ascii="宋体" w:hAnsi="宋体" w:cs="宋体"/>
          <w:color w:val="auto"/>
          <w:sz w:val="24"/>
          <w:highlight w:val="none"/>
          <w:lang w:val="en-US" w:eastAsia="zh-CN"/>
        </w:rPr>
        <w:t>包括但不限于</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①</w:t>
      </w:r>
      <w:r>
        <w:rPr>
          <w:rFonts w:hint="eastAsia" w:ascii="宋体" w:hAnsi="宋体" w:cs="宋体"/>
          <w:color w:val="auto"/>
          <w:sz w:val="24"/>
          <w:highlight w:val="none"/>
          <w:lang w:eastAsia="zh-CN"/>
        </w:rPr>
        <w:t>排水主管网及服务区内新增排水主管网日常运行维护管理工作；包括日常巡查、易涝点、排水管沟、排水井、雨水箅子清掏等工作。</w:t>
      </w:r>
      <w:r>
        <w:rPr>
          <w:rFonts w:hint="eastAsia" w:ascii="宋体" w:hAnsi="宋体" w:cs="宋体"/>
          <w:color w:val="auto"/>
          <w:sz w:val="24"/>
          <w:highlight w:val="none"/>
          <w:lang w:val="en-US" w:eastAsia="zh-CN"/>
        </w:rPr>
        <w:t>②</w:t>
      </w:r>
      <w:r>
        <w:rPr>
          <w:rFonts w:hint="eastAsia" w:ascii="宋体" w:hAnsi="宋体" w:cs="宋体"/>
          <w:color w:val="auto"/>
          <w:sz w:val="24"/>
          <w:highlight w:val="none"/>
          <w:lang w:eastAsia="zh-CN"/>
        </w:rPr>
        <w:t>易门县建成区公共市政道路及附属设施等维修维护管理工作；包括道路、人行道路面及窨井、消火栓等公共市政运行的维修维护工作。</w:t>
      </w:r>
      <w:r>
        <w:rPr>
          <w:rFonts w:hint="eastAsia" w:ascii="宋体" w:hAnsi="宋体" w:cs="宋体"/>
          <w:color w:val="auto"/>
          <w:sz w:val="24"/>
          <w:highlight w:val="none"/>
          <w:lang w:val="en-US" w:eastAsia="zh-CN"/>
        </w:rPr>
        <w:t>③</w:t>
      </w:r>
      <w:r>
        <w:rPr>
          <w:rFonts w:hint="eastAsia" w:ascii="宋体" w:hAnsi="宋体" w:cs="宋体"/>
          <w:color w:val="auto"/>
          <w:sz w:val="24"/>
          <w:highlight w:val="none"/>
          <w:lang w:eastAsia="zh-CN"/>
        </w:rPr>
        <w:t>易门县建成区城市防洪排涝工作。</w:t>
      </w:r>
      <w:r>
        <w:rPr>
          <w:rFonts w:hint="eastAsia" w:ascii="宋体" w:hAnsi="宋体" w:cs="宋体"/>
          <w:color w:val="auto"/>
          <w:sz w:val="24"/>
          <w:highlight w:val="none"/>
          <w:lang w:val="en-US" w:eastAsia="zh-CN"/>
        </w:rPr>
        <w:t>④</w:t>
      </w:r>
      <w:r>
        <w:rPr>
          <w:rFonts w:hint="eastAsia" w:ascii="宋体" w:hAnsi="宋体" w:cs="宋体"/>
          <w:color w:val="auto"/>
          <w:sz w:val="24"/>
          <w:highlight w:val="none"/>
          <w:lang w:eastAsia="zh-CN"/>
        </w:rPr>
        <w:t>协助做好其他涉及易门县建成区市政公用管理职责职能突发性、应急性工作任务</w:t>
      </w:r>
      <w:r>
        <w:rPr>
          <w:rFonts w:hint="eastAsia" w:ascii="宋体" w:hAnsi="宋体" w:cs="宋体"/>
          <w:color w:val="auto"/>
          <w:sz w:val="24"/>
          <w:highlight w:val="none"/>
          <w:lang w:val="en-US" w:eastAsia="zh-CN"/>
        </w:rPr>
        <w:t>等</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易门县美丽县城建设项目正式竣工验收移交后需列为管护的市政道路、变压器、控制箱、</w:t>
      </w:r>
      <w:r>
        <w:rPr>
          <w:rFonts w:hint="eastAsia" w:ascii="宋体" w:hAnsi="宋体" w:eastAsia="宋体" w:cs="宋体"/>
          <w:color w:val="auto"/>
          <w:sz w:val="24"/>
          <w:highlight w:val="none"/>
          <w:lang w:eastAsia="zh-CN"/>
        </w:rPr>
        <w:t>灯杆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路灯</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广告灯杆等公共市政设施</w:t>
      </w:r>
      <w:r>
        <w:rPr>
          <w:rFonts w:hint="eastAsia" w:ascii="宋体" w:hAnsi="宋体" w:eastAsia="宋体" w:cs="宋体"/>
          <w:color w:val="auto"/>
          <w:sz w:val="24"/>
          <w:highlight w:val="none"/>
          <w:lang w:eastAsia="zh-CN"/>
        </w:rPr>
        <w:t>日常</w:t>
      </w:r>
      <w:r>
        <w:rPr>
          <w:rFonts w:hint="eastAsia" w:ascii="宋体" w:hAnsi="宋体" w:cs="宋体"/>
          <w:color w:val="auto"/>
          <w:sz w:val="24"/>
          <w:highlight w:val="none"/>
          <w:lang w:eastAsia="zh-CN"/>
        </w:rPr>
        <w:t>管护</w:t>
      </w:r>
      <w:r>
        <w:rPr>
          <w:rFonts w:hint="eastAsia" w:ascii="宋体" w:hAnsi="宋体" w:eastAsia="宋体" w:cs="宋体"/>
          <w:color w:val="auto"/>
          <w:sz w:val="24"/>
          <w:highlight w:val="none"/>
          <w:lang w:eastAsia="zh-CN"/>
        </w:rPr>
        <w:t>维护</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lang w:val="en-US" w:eastAsia="zh-CN"/>
        </w:rPr>
        <w:t>具体</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内容</w:t>
      </w:r>
      <w:r>
        <w:rPr>
          <w:rFonts w:hint="eastAsia" w:ascii="宋体" w:hAnsi="宋体" w:cs="宋体"/>
          <w:color w:val="auto"/>
          <w:sz w:val="24"/>
          <w:highlight w:val="none"/>
          <w:lang w:val="en-US" w:eastAsia="zh-CN"/>
        </w:rPr>
        <w:t>及相关要求</w:t>
      </w:r>
      <w:r>
        <w:rPr>
          <w:rFonts w:hint="eastAsia" w:ascii="宋体" w:hAnsi="宋体" w:eastAsia="宋体" w:cs="宋体"/>
          <w:color w:val="auto"/>
          <w:sz w:val="24"/>
          <w:highlight w:val="none"/>
          <w:lang w:val="en-US" w:eastAsia="zh-CN"/>
        </w:rPr>
        <w:t>详见第六章采购需求。</w:t>
      </w:r>
    </w:p>
    <w:p w14:paraId="3F579461">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合同履行期限：</w:t>
      </w:r>
      <w:r>
        <w:rPr>
          <w:rFonts w:hint="eastAsia" w:ascii="宋体" w:hAnsi="宋体" w:cs="宋体"/>
          <w:color w:val="auto"/>
          <w:sz w:val="24"/>
          <w:highlight w:val="none"/>
          <w:shd w:val="clear" w:color="auto" w:fill="auto"/>
          <w:lang w:eastAsia="zh-CN"/>
        </w:rPr>
        <w:t>三年，合同一年一签</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（自合同签订之日起至次年对应之日止）</w:t>
      </w:r>
      <w:r>
        <w:rPr>
          <w:rFonts w:hint="eastAsia" w:ascii="宋体" w:hAnsi="宋体" w:cs="宋体"/>
          <w:color w:val="auto"/>
          <w:sz w:val="24"/>
          <w:highlight w:val="none"/>
          <w:shd w:val="clear" w:color="auto" w:fill="auto"/>
          <w:lang w:eastAsia="zh-CN"/>
        </w:rPr>
        <w:t>；经采购人考核合格后，续签下一年度合同。</w:t>
      </w:r>
      <w:r>
        <w:rPr>
          <w:rFonts w:hint="eastAsia" w:ascii="宋体" w:hAnsi="宋体" w:eastAsia="宋体" w:cs="宋体"/>
          <w:color w:val="auto"/>
          <w:kern w:val="0"/>
          <w:sz w:val="24"/>
          <w:highlight w:val="none"/>
          <w:lang w:val="en-US" w:eastAsia="zh-CN"/>
        </w:rPr>
        <w:t>合同履行</w:t>
      </w:r>
      <w:r>
        <w:rPr>
          <w:rFonts w:hint="eastAsia" w:ascii="宋体" w:hAnsi="宋体" w:cs="宋体"/>
          <w:color w:val="auto"/>
          <w:kern w:val="0"/>
          <w:sz w:val="24"/>
          <w:highlight w:val="none"/>
          <w:lang w:val="en-US" w:eastAsia="zh-CN"/>
        </w:rPr>
        <w:t>期限</w:t>
      </w:r>
      <w:r>
        <w:rPr>
          <w:rFonts w:hint="eastAsia" w:ascii="宋体" w:hAnsi="宋体" w:cs="宋体"/>
          <w:color w:val="auto"/>
          <w:sz w:val="24"/>
          <w:highlight w:val="none"/>
          <w:shd w:val="clear" w:color="auto" w:fill="auto"/>
          <w:lang w:eastAsia="zh-CN"/>
        </w:rPr>
        <w:t>按《云南省财政厅关于政府采购服务项目合同履行期限相关事宜的通知》（云财采〔2015〕16号）和《云南省财政厅关于合同履行期限不超过三年政府采购服务项目相关事宜的补充通知》（云财采〔2016〕22号）文件执行。</w:t>
      </w:r>
    </w:p>
    <w:p w14:paraId="4C459DC8">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sz w:val="24"/>
          <w:highlight w:val="none"/>
          <w:shd w:val="clear" w:color="auto" w:fill="auto"/>
        </w:rPr>
        <w:t>质量要求：</w:t>
      </w:r>
      <w:r>
        <w:rPr>
          <w:rFonts w:hint="eastAsia" w:ascii="宋体" w:hAnsi="宋体" w:cs="宋体"/>
          <w:color w:val="auto"/>
          <w:sz w:val="24"/>
          <w:highlight w:val="none"/>
          <w:shd w:val="clear" w:color="auto" w:fill="auto"/>
          <w:lang w:eastAsia="zh-CN"/>
        </w:rPr>
        <w:t>符合国家、地方及行业现行的相关规定，并满足采购人的实际需求</w:t>
      </w:r>
      <w:r>
        <w:rPr>
          <w:rFonts w:hint="eastAsia" w:ascii="宋体" w:hAnsi="宋体" w:eastAsia="宋体" w:cs="宋体"/>
          <w:color w:val="auto"/>
          <w:sz w:val="24"/>
          <w:highlight w:val="none"/>
          <w:shd w:val="clear" w:color="auto" w:fill="auto"/>
        </w:rPr>
        <w:t>。</w:t>
      </w:r>
    </w:p>
    <w:p w14:paraId="3A9F2E0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服务地点</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采购人指定地点</w:t>
      </w:r>
      <w:r>
        <w:rPr>
          <w:rFonts w:hint="eastAsia" w:ascii="宋体" w:hAnsi="宋体" w:eastAsia="宋体" w:cs="宋体"/>
          <w:color w:val="auto"/>
          <w:kern w:val="0"/>
          <w:sz w:val="24"/>
          <w:szCs w:val="24"/>
          <w:highlight w:val="none"/>
          <w:lang w:val="en-US" w:eastAsia="zh-CN" w:bidi="ar"/>
        </w:rPr>
        <w:t>。</w:t>
      </w:r>
    </w:p>
    <w:p w14:paraId="5DD92607">
      <w:pPr>
        <w:pStyle w:val="3"/>
        <w:keepNext w:val="0"/>
        <w:keepLines w:val="0"/>
        <w:pageBreakBefore w:val="0"/>
        <w:kinsoku/>
        <w:overflowPunct/>
        <w:topLinePunct w:val="0"/>
        <w:bidi w:val="0"/>
        <w:spacing w:line="460" w:lineRule="exact"/>
        <w:ind w:firstLine="482" w:firstLineChars="200"/>
        <w:rPr>
          <w:rFonts w:hint="eastAsia" w:ascii="宋体" w:hAnsi="宋体" w:cs="宋体"/>
          <w:b/>
          <w:bCs/>
          <w:color w:val="auto"/>
          <w:kern w:val="0"/>
          <w:sz w:val="24"/>
          <w:szCs w:val="24"/>
          <w:highlight w:val="none"/>
          <w:lang w:val="en-US" w:eastAsia="zh-CN" w:bidi="ar"/>
        </w:rPr>
      </w:pPr>
      <w:bookmarkStart w:id="37" w:name="_Toc15914"/>
      <w:bookmarkStart w:id="38" w:name="_Toc16336"/>
      <w:bookmarkStart w:id="39" w:name="_Toc4519"/>
      <w:bookmarkStart w:id="40" w:name="_Toc25109"/>
      <w:bookmarkStart w:id="41" w:name="_Toc28359080"/>
      <w:bookmarkStart w:id="42" w:name="_Toc35393791"/>
      <w:bookmarkStart w:id="43" w:name="_Toc9455"/>
      <w:bookmarkStart w:id="44" w:name="_Toc27820"/>
      <w:bookmarkStart w:id="45" w:name="_Toc28359003"/>
      <w:bookmarkStart w:id="46" w:name="_Toc35393622"/>
      <w:bookmarkStart w:id="47" w:name="_Toc19372"/>
      <w:r>
        <w:rPr>
          <w:rFonts w:hint="eastAsia" w:ascii="宋体" w:hAnsi="宋体" w:eastAsia="宋体" w:cs="宋体"/>
          <w:b/>
          <w:bCs/>
          <w:color w:val="auto"/>
          <w:kern w:val="0"/>
          <w:sz w:val="24"/>
          <w:szCs w:val="24"/>
          <w:highlight w:val="none"/>
          <w:lang w:val="en-US" w:eastAsia="zh-CN" w:bidi="ar"/>
        </w:rPr>
        <w:t>本项目接受联合体投标</w:t>
      </w:r>
      <w:r>
        <w:rPr>
          <w:rFonts w:hint="eastAsia" w:ascii="宋体" w:hAnsi="宋体" w:cs="宋体"/>
          <w:b/>
          <w:bCs/>
          <w:color w:val="auto"/>
          <w:kern w:val="0"/>
          <w:sz w:val="24"/>
          <w:szCs w:val="24"/>
          <w:highlight w:val="none"/>
          <w:lang w:val="en-US" w:eastAsia="zh-CN" w:bidi="ar"/>
        </w:rPr>
        <w:t>，不能同时具有</w:t>
      </w:r>
      <w:r>
        <w:rPr>
          <w:rFonts w:hint="eastAsia" w:ascii="宋体" w:hAnsi="宋体" w:eastAsia="宋体" w:cs="宋体"/>
          <w:b/>
          <w:bCs/>
          <w:color w:val="auto"/>
          <w:kern w:val="0"/>
          <w:sz w:val="24"/>
          <w:szCs w:val="24"/>
          <w:highlight w:val="none"/>
          <w:lang w:val="en-US" w:eastAsia="zh-CN" w:bidi="ar-SA"/>
        </w:rPr>
        <w:t>承装类承装（修、试）电力设施许可证</w:t>
      </w:r>
      <w:r>
        <w:rPr>
          <w:rFonts w:hint="eastAsia" w:hAnsi="宋体" w:cs="宋体"/>
          <w:b/>
          <w:bCs/>
          <w:color w:val="auto"/>
          <w:kern w:val="0"/>
          <w:sz w:val="24"/>
          <w:szCs w:val="24"/>
          <w:highlight w:val="none"/>
          <w:lang w:val="en-US" w:eastAsia="zh-CN" w:bidi="ar-SA"/>
        </w:rPr>
        <w:t>三</w:t>
      </w:r>
      <w:r>
        <w:rPr>
          <w:rFonts w:hint="eastAsia" w:ascii="宋体" w:hAnsi="宋体" w:eastAsia="宋体" w:cs="宋体"/>
          <w:b/>
          <w:bCs/>
          <w:color w:val="auto"/>
          <w:kern w:val="0"/>
          <w:sz w:val="24"/>
          <w:szCs w:val="24"/>
          <w:highlight w:val="none"/>
          <w:lang w:val="en-US" w:eastAsia="zh-CN" w:bidi="ar-SA"/>
        </w:rPr>
        <w:t>级及以上</w:t>
      </w:r>
      <w:r>
        <w:rPr>
          <w:rFonts w:hint="eastAsia" w:hAnsi="宋体" w:cs="宋体"/>
          <w:b/>
          <w:bCs/>
          <w:color w:val="auto"/>
          <w:kern w:val="0"/>
          <w:sz w:val="24"/>
          <w:szCs w:val="24"/>
          <w:highlight w:val="none"/>
          <w:lang w:val="en-US" w:eastAsia="zh-CN" w:bidi="ar-SA"/>
        </w:rPr>
        <w:t>资质</w:t>
      </w:r>
      <w:r>
        <w:rPr>
          <w:rFonts w:hint="eastAsia" w:ascii="宋体" w:hAnsi="宋体" w:cs="宋体"/>
          <w:b/>
          <w:bCs/>
          <w:color w:val="auto"/>
          <w:kern w:val="0"/>
          <w:sz w:val="24"/>
          <w:szCs w:val="24"/>
          <w:highlight w:val="none"/>
          <w:lang w:val="en-US" w:eastAsia="zh-CN" w:bidi="ar"/>
        </w:rPr>
        <w:t>的投标人，可组成联合体投标，但联合体所有成员数量（含联合体牵头人）不得超过2家，联合体牵头人必须由环卫作业服务单位担任；联合体必须签订联合体协议书，明确联合体成员各方的分工，联合体各方不得再以自己名义单独或参加其他联合体对本项目的投标。</w:t>
      </w:r>
    </w:p>
    <w:p w14:paraId="4FC4A468">
      <w:pPr>
        <w:pStyle w:val="3"/>
        <w:keepNext w:val="0"/>
        <w:keepLines w:val="0"/>
        <w:pageBreakBefore w:val="0"/>
        <w:kinsoku/>
        <w:overflowPunct/>
        <w:topLinePunct w:val="0"/>
        <w:bidi w:val="0"/>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t>二、</w:t>
      </w:r>
      <w:r>
        <w:rPr>
          <w:rFonts w:hint="eastAsia" w:ascii="宋体" w:hAnsi="宋体" w:eastAsia="宋体" w:cs="宋体"/>
          <w:bCs/>
          <w:color w:val="auto"/>
          <w:highlight w:val="none"/>
          <w:lang w:eastAsia="zh-CN"/>
        </w:rPr>
        <w:t>投标人</w:t>
      </w:r>
      <w:r>
        <w:rPr>
          <w:rFonts w:hint="eastAsia" w:ascii="宋体" w:hAnsi="宋体" w:eastAsia="宋体" w:cs="宋体"/>
          <w:bCs/>
          <w:color w:val="auto"/>
          <w:highlight w:val="none"/>
        </w:rPr>
        <w:t>的资格要求</w:t>
      </w:r>
      <w:bookmarkEnd w:id="37"/>
      <w:bookmarkEnd w:id="38"/>
      <w:bookmarkEnd w:id="39"/>
      <w:bookmarkEnd w:id="40"/>
    </w:p>
    <w:p w14:paraId="4EAF3B22">
      <w:pPr>
        <w:keepLines w:val="0"/>
        <w:pageBreakBefore w:val="0"/>
        <w:tabs>
          <w:tab w:val="left" w:pos="709"/>
        </w:tabs>
        <w:kinsoku/>
        <w:overflowPunct/>
        <w:topLinePunct w:val="0"/>
        <w:autoSpaceDE w:val="0"/>
        <w:autoSpaceDN w:val="0"/>
        <w:bidi w:val="0"/>
        <w:adjustRightInd w:val="0"/>
        <w:snapToGrid w:val="0"/>
        <w:spacing w:line="460" w:lineRule="exact"/>
        <w:ind w:firstLine="482" w:firstLineChars="200"/>
        <w:outlineLvl w:val="9"/>
        <w:rPr>
          <w:rFonts w:hint="eastAsia" w:ascii="宋体" w:hAnsi="宋体" w:eastAsia="宋体" w:cs="宋体"/>
          <w:b/>
          <w:bCs/>
          <w:color w:val="auto"/>
          <w:kern w:val="0"/>
          <w:sz w:val="24"/>
          <w:highlight w:val="none"/>
        </w:rPr>
      </w:pPr>
      <w:bookmarkStart w:id="48" w:name="_Toc32750"/>
      <w:bookmarkStart w:id="49" w:name="_Toc28699"/>
      <w:bookmarkStart w:id="50" w:name="_Toc6510"/>
      <w:bookmarkStart w:id="51" w:name="_Toc26545"/>
      <w:bookmarkStart w:id="52" w:name="_Toc28359004"/>
      <w:bookmarkStart w:id="53" w:name="_Toc13616"/>
      <w:bookmarkStart w:id="54" w:name="_Toc35393623"/>
      <w:bookmarkStart w:id="55" w:name="_Toc35393792"/>
      <w:bookmarkStart w:id="56" w:name="_Toc28359081"/>
      <w:r>
        <w:rPr>
          <w:rFonts w:hint="eastAsia" w:ascii="宋体" w:hAnsi="宋体" w:eastAsia="宋体" w:cs="宋体"/>
          <w:b/>
          <w:bCs/>
          <w:color w:val="auto"/>
          <w:kern w:val="0"/>
          <w:sz w:val="24"/>
          <w:highlight w:val="none"/>
        </w:rPr>
        <w:t>1.符合《中华人民共和国政府采购法》第二十二条规定及《中华人民共和国政府采购法实施条例》第十七条的相关要求：</w:t>
      </w:r>
      <w:bookmarkEnd w:id="48"/>
      <w:bookmarkEnd w:id="49"/>
      <w:bookmarkEnd w:id="50"/>
    </w:p>
    <w:p w14:paraId="4443B313">
      <w:pPr>
        <w:keepLines w:val="0"/>
        <w:pageBreakBefore w:val="0"/>
        <w:kinsoku/>
        <w:overflowPunct/>
        <w:topLinePunct w:val="0"/>
        <w:bidi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kern w:val="0"/>
          <w:sz w:val="24"/>
          <w:highlight w:val="none"/>
        </w:rPr>
        <w:t>具有独立承担民事责任的能力,</w:t>
      </w:r>
      <w:r>
        <w:rPr>
          <w:rFonts w:hint="eastAsia" w:ascii="宋体" w:hAnsi="宋体" w:eastAsia="宋体" w:cs="宋体"/>
          <w:color w:val="auto"/>
          <w:sz w:val="24"/>
          <w:highlight w:val="none"/>
        </w:rPr>
        <w:t>经国家工商行政管理部门登记注册的独立企业（事业）法人或</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组织，</w:t>
      </w:r>
      <w:r>
        <w:rPr>
          <w:rFonts w:hint="eastAsia" w:ascii="宋体" w:hAnsi="宋体" w:cs="宋体"/>
          <w:color w:val="auto"/>
          <w:sz w:val="24"/>
          <w:highlight w:val="none"/>
          <w:lang w:eastAsia="zh-CN"/>
        </w:rPr>
        <w:t>能够</w:t>
      </w:r>
      <w:r>
        <w:rPr>
          <w:rFonts w:hint="eastAsia" w:ascii="宋体" w:hAnsi="宋体" w:eastAsia="宋体" w:cs="宋体"/>
          <w:color w:val="auto"/>
          <w:kern w:val="0"/>
          <w:sz w:val="24"/>
          <w:highlight w:val="none"/>
        </w:rPr>
        <w:t>合法提供采购内容及相应的服务能力，具备有效的营业执照（事业单位法人证书）或</w:t>
      </w:r>
      <w:r>
        <w:rPr>
          <w:rFonts w:hint="eastAsia" w:ascii="宋体" w:hAnsi="宋体" w:cs="宋体"/>
          <w:color w:val="auto"/>
          <w:kern w:val="0"/>
          <w:sz w:val="24"/>
          <w:highlight w:val="none"/>
          <w:lang w:eastAsia="zh-CN"/>
        </w:rPr>
        <w:t>其他</w:t>
      </w:r>
      <w:r>
        <w:rPr>
          <w:rFonts w:hint="eastAsia" w:ascii="宋体" w:hAnsi="宋体" w:eastAsia="宋体" w:cs="宋体"/>
          <w:color w:val="auto"/>
          <w:kern w:val="0"/>
          <w:sz w:val="24"/>
          <w:highlight w:val="none"/>
        </w:rPr>
        <w:t>主体资格证明文件</w:t>
      </w:r>
      <w:r>
        <w:rPr>
          <w:rFonts w:hint="eastAsia" w:ascii="宋体" w:hAnsi="宋体" w:eastAsia="宋体" w:cs="宋体"/>
          <w:color w:val="auto"/>
          <w:sz w:val="24"/>
          <w:highlight w:val="none"/>
        </w:rPr>
        <w:t>；</w:t>
      </w:r>
    </w:p>
    <w:p w14:paraId="4AA4BA6E">
      <w:pPr>
        <w:keepLines w:val="0"/>
        <w:pageBreakBefore w:val="0"/>
        <w:kinsoku/>
        <w:overflowPunct/>
        <w:topLinePunct w:val="0"/>
        <w:bidi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1.2具有履行合同所必需的设备和专业技术能力（提供书面声明或相关证明材料）；</w:t>
      </w:r>
    </w:p>
    <w:p w14:paraId="674DE722">
      <w:pPr>
        <w:keepLines w:val="0"/>
        <w:pageBreakBefore w:val="0"/>
        <w:kinsoku/>
        <w:overflowPunct/>
        <w:topLinePunct w:val="0"/>
        <w:bidi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1.3企业信誉良好，没有处于被责令停产，财产被冻结、接管、破产状态，近三年在经营活动中没有重大违法记录（提供书面声明）；</w:t>
      </w:r>
    </w:p>
    <w:p w14:paraId="79CF07F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1.4具有良好的商业信誉和健全的财务会计制度，根据《关于加强审计报告查验工作的通知》（财会〔2023〕15号）规定，投标人提供</w:t>
      </w:r>
      <w:r>
        <w:rPr>
          <w:rFonts w:hint="eastAsia" w:ascii="宋体" w:hAnsi="宋体" w:cs="宋体"/>
          <w:color w:val="auto"/>
          <w:sz w:val="24"/>
          <w:highlight w:val="none"/>
          <w:lang w:val="en-US" w:eastAsia="zh-CN"/>
        </w:rPr>
        <w:t>2023年至今任意一年</w:t>
      </w:r>
      <w:r>
        <w:rPr>
          <w:rFonts w:hint="eastAsia" w:ascii="宋体" w:hAnsi="宋体" w:eastAsia="宋体" w:cs="宋体"/>
          <w:color w:val="auto"/>
          <w:sz w:val="24"/>
          <w:highlight w:val="none"/>
        </w:rPr>
        <w:t>经第三方机构审计的年度财务审计报告及相应的财务报表【含资产负债表、利润表（或损益表）、现金流量表】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审计报告</w:t>
      </w:r>
      <w:r>
        <w:rPr>
          <w:rFonts w:hint="eastAsia" w:ascii="宋体" w:hAnsi="宋体" w:eastAsia="宋体" w:cs="宋体"/>
          <w:color w:val="auto"/>
          <w:sz w:val="24"/>
          <w:highlight w:val="none"/>
        </w:rPr>
        <w:t>应赋予全国统一的审计报告验证码</w:t>
      </w:r>
      <w:r>
        <w:rPr>
          <w:rFonts w:hint="eastAsia" w:ascii="宋体" w:hAnsi="宋体" w:cs="宋体"/>
          <w:color w:val="auto"/>
          <w:sz w:val="24"/>
          <w:highlight w:val="none"/>
          <w:lang w:eastAsia="zh-CN"/>
        </w:rPr>
        <w:t>（成立未满1年的，提供自成立至今的财务报表【含资产负债表、利润表（或损益表）、现金流量表】）或提供自投标文件递交截止时间前3个月内基本开户银行出具的资信证明</w:t>
      </w:r>
      <w:r>
        <w:rPr>
          <w:rFonts w:hint="eastAsia" w:ascii="宋体" w:hAnsi="宋体" w:eastAsia="宋体" w:cs="宋体"/>
          <w:color w:val="auto"/>
          <w:sz w:val="24"/>
          <w:highlight w:val="none"/>
        </w:rPr>
        <w:t>；</w:t>
      </w:r>
    </w:p>
    <w:p w14:paraId="2893CEB3">
      <w:pPr>
        <w:keepLines w:val="0"/>
        <w:pageBreakBefore w:val="0"/>
        <w:kinsoku/>
        <w:overflowPunct/>
        <w:topLinePunct w:val="0"/>
        <w:bidi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1.5有依法缴纳税收和社会保障资金的良好记录</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cs="宋体"/>
          <w:color w:val="auto"/>
          <w:sz w:val="24"/>
          <w:highlight w:val="none"/>
          <w:lang w:eastAsia="zh-CN"/>
        </w:rPr>
        <w:t>2026年1月</w:t>
      </w:r>
      <w:r>
        <w:rPr>
          <w:rFonts w:hint="eastAsia" w:ascii="宋体" w:hAnsi="宋体" w:eastAsia="宋体" w:cs="宋体"/>
          <w:color w:val="auto"/>
          <w:sz w:val="24"/>
          <w:highlight w:val="none"/>
        </w:rPr>
        <w:t>至今任意</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个月依法缴纳税收和缴纳社会保障资金的证明（依法免税或不需要缴纳社会保障资金的投标人，提供相关证明材料或相关情况说明；新成立的公司提供成立以来的税收和社保资金缴纳凭证或相关情况说明）；</w:t>
      </w:r>
    </w:p>
    <w:p w14:paraId="78FAB521">
      <w:pPr>
        <w:keepLines w:val="0"/>
        <w:pageBreakBefore w:val="0"/>
        <w:kinsoku/>
        <w:overflowPunct/>
        <w:topLinePunct w:val="0"/>
        <w:bidi w:val="0"/>
        <w:spacing w:after="0"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1.6投标人在投标截止时间前未被列入“信用中国”网站</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失信被执行人、重大税收违法失信主体及中国政府采购网 </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“政府采购严重违法失信行为信息记录”（</w:t>
      </w:r>
      <w:r>
        <w:rPr>
          <w:rFonts w:hint="eastAsia" w:ascii="宋体" w:hAnsi="宋体" w:cs="宋体"/>
          <w:color w:val="auto"/>
          <w:sz w:val="24"/>
          <w:highlight w:val="none"/>
          <w:lang w:eastAsia="zh-CN"/>
        </w:rPr>
        <w:t>投标人自行声明</w:t>
      </w:r>
      <w:r>
        <w:rPr>
          <w:rFonts w:hint="eastAsia" w:ascii="宋体" w:hAnsi="宋体" w:eastAsia="宋体" w:cs="宋体"/>
          <w:color w:val="auto"/>
          <w:sz w:val="24"/>
          <w:highlight w:val="none"/>
        </w:rPr>
        <w:t>）。</w:t>
      </w:r>
    </w:p>
    <w:p w14:paraId="6042CC87">
      <w:pPr>
        <w:keepLines w:val="0"/>
        <w:pageBreakBefore w:val="0"/>
        <w:kinsoku/>
        <w:overflowPunct/>
        <w:topLinePunct w:val="0"/>
        <w:bidi w:val="0"/>
        <w:spacing w:after="0" w:line="460" w:lineRule="exact"/>
        <w:ind w:firstLine="482" w:firstLineChars="20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注：1.与</w:t>
      </w:r>
      <w:r>
        <w:rPr>
          <w:rFonts w:hint="eastAsia" w:ascii="宋体" w:hAnsi="宋体" w:cs="宋体"/>
          <w:b/>
          <w:bCs/>
          <w:color w:val="auto"/>
          <w:sz w:val="24"/>
          <w:highlight w:val="none"/>
          <w:lang w:eastAsia="zh-CN"/>
        </w:rPr>
        <w:t>采购人</w:t>
      </w:r>
      <w:r>
        <w:rPr>
          <w:rFonts w:hint="eastAsia" w:ascii="宋体" w:hAnsi="宋体" w:cs="宋体"/>
          <w:b/>
          <w:bCs/>
          <w:color w:val="auto"/>
          <w:sz w:val="24"/>
          <w:highlight w:val="none"/>
        </w:rPr>
        <w:t>存在利害关系可能影响招标公正性的法人、</w:t>
      </w:r>
      <w:r>
        <w:rPr>
          <w:rFonts w:hint="eastAsia" w:ascii="宋体" w:hAnsi="宋体" w:cs="宋体"/>
          <w:b/>
          <w:bCs/>
          <w:color w:val="auto"/>
          <w:sz w:val="24"/>
          <w:highlight w:val="none"/>
          <w:lang w:eastAsia="zh-CN"/>
        </w:rPr>
        <w:t>其他</w:t>
      </w:r>
      <w:r>
        <w:rPr>
          <w:rFonts w:hint="eastAsia" w:ascii="宋体" w:hAnsi="宋体" w:cs="宋体"/>
          <w:b/>
          <w:bCs/>
          <w:color w:val="auto"/>
          <w:sz w:val="24"/>
          <w:highlight w:val="none"/>
        </w:rPr>
        <w:t>组织或者个人，不得参加投标；2.单位负责人为同一人或者存在控股、管理关系的不同单位，不得参加同一招标项目（或同一标段）投标</w:t>
      </w:r>
      <w:r>
        <w:rPr>
          <w:rFonts w:hint="eastAsia" w:ascii="宋体" w:hAnsi="宋体" w:cs="宋体"/>
          <w:b/>
          <w:bCs/>
          <w:color w:val="auto"/>
          <w:sz w:val="24"/>
          <w:highlight w:val="none"/>
          <w:lang w:eastAsia="zh-CN"/>
        </w:rPr>
        <w:t>。</w:t>
      </w:r>
    </w:p>
    <w:p w14:paraId="4A1C80EF">
      <w:pPr>
        <w:keepLines w:val="0"/>
        <w:pageBreakBefore w:val="0"/>
        <w:tabs>
          <w:tab w:val="left" w:pos="709"/>
        </w:tabs>
        <w:kinsoku/>
        <w:overflowPunct/>
        <w:topLinePunct w:val="0"/>
        <w:autoSpaceDE w:val="0"/>
        <w:autoSpaceDN w:val="0"/>
        <w:bidi w:val="0"/>
        <w:adjustRightInd w:val="0"/>
        <w:snapToGrid w:val="0"/>
        <w:spacing w:line="46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2.落实政府采购政策需满足的资格要求：</w:t>
      </w:r>
      <w:r>
        <w:rPr>
          <w:rFonts w:hint="eastAsia" w:ascii="宋体" w:hAnsi="宋体" w:eastAsia="宋体" w:cs="宋体"/>
          <w:b w:val="0"/>
          <w:bCs w:val="0"/>
          <w:color w:val="000000" w:themeColor="text1"/>
          <w:kern w:val="0"/>
          <w:sz w:val="24"/>
          <w:highlight w:val="none"/>
          <w14:textFill>
            <w14:solidFill>
              <w14:schemeClr w14:val="tx1"/>
            </w14:solidFill>
          </w14:textFill>
        </w:rPr>
        <w:t>本项目</w:t>
      </w:r>
      <w:r>
        <w:rPr>
          <w:rFonts w:hint="eastAsia" w:ascii="宋体" w:hAnsi="宋体" w:cs="宋体"/>
          <w:b w:val="0"/>
          <w:bCs w:val="0"/>
          <w:color w:val="000000" w:themeColor="text1"/>
          <w:kern w:val="0"/>
          <w:sz w:val="24"/>
          <w:highlight w:val="none"/>
          <w:lang w:val="en-US" w:eastAsia="zh-CN"/>
          <w14:textFill>
            <w14:solidFill>
              <w14:schemeClr w14:val="tx1"/>
            </w14:solidFill>
          </w14:textFill>
        </w:rPr>
        <w:t>为</w:t>
      </w:r>
      <w:r>
        <w:rPr>
          <w:rFonts w:hint="eastAsia" w:ascii="宋体" w:hAnsi="宋体" w:eastAsia="宋体" w:cs="宋体"/>
          <w:b w:val="0"/>
          <w:bCs w:val="0"/>
          <w:color w:val="000000" w:themeColor="text1"/>
          <w:kern w:val="0"/>
          <w:sz w:val="24"/>
          <w:highlight w:val="none"/>
          <w14:textFill>
            <w14:solidFill>
              <w14:schemeClr w14:val="tx1"/>
            </w14:solidFill>
          </w14:textFill>
        </w:rPr>
        <w:t>非专门面向中小企业采购的项目</w:t>
      </w:r>
      <w:r>
        <w:rPr>
          <w:rFonts w:hint="eastAsia" w:ascii="宋体" w:hAnsi="宋体" w:eastAsia="宋体" w:cs="宋体"/>
          <w:b w:val="0"/>
          <w:bCs w:val="0"/>
          <w:color w:val="000000" w:themeColor="text1"/>
          <w:kern w:val="0"/>
          <w:sz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kern w:val="0"/>
          <w:sz w:val="24"/>
          <w:highlight w:val="none"/>
          <w14:textFill>
            <w14:solidFill>
              <w14:schemeClr w14:val="tx1"/>
            </w14:solidFill>
          </w14:textFill>
        </w:rPr>
        <w:t>本项目执行的政府采购政策：《政府采购促进中小企业发展管理办法》（财库〔2020〕46号）、《财政部关于进一步加大政府采购支持中小企业力度的通知》（云财采〔2022〕9号）、《关于政府采购支持监狱企业发展有关问题的通知》（财库</w:t>
      </w:r>
      <w:r>
        <w:rPr>
          <w:rFonts w:hint="eastAsia" w:ascii="宋体" w:hAnsi="宋体" w:cs="宋体"/>
          <w:b w:val="0"/>
          <w:bCs w:val="0"/>
          <w:color w:val="000000" w:themeColor="text1"/>
          <w:kern w:val="0"/>
          <w:sz w:val="24"/>
          <w:highlight w:val="none"/>
          <w:lang w:eastAsia="zh-CN"/>
          <w14:textFill>
            <w14:solidFill>
              <w14:schemeClr w14:val="tx1"/>
            </w14:solidFill>
          </w14:textFill>
        </w:rPr>
        <w:t>〔2014〕68号</w:t>
      </w:r>
      <w:r>
        <w:rPr>
          <w:rFonts w:hint="eastAsia" w:ascii="宋体" w:hAnsi="宋体" w:eastAsia="宋体" w:cs="宋体"/>
          <w:b w:val="0"/>
          <w:bCs w:val="0"/>
          <w:color w:val="000000" w:themeColor="text1"/>
          <w:kern w:val="0"/>
          <w:sz w:val="24"/>
          <w:highlight w:val="none"/>
          <w14:textFill>
            <w14:solidFill>
              <w14:schemeClr w14:val="tx1"/>
            </w14:solidFill>
          </w14:textFill>
        </w:rPr>
        <w:t>）、《关于促进残疾人就业政府采购政策的通知》（财库〔2017〕141号）</w:t>
      </w:r>
      <w:r>
        <w:rPr>
          <w:rFonts w:hint="eastAsia" w:ascii="宋体" w:hAnsi="宋体" w:eastAsia="宋体" w:cs="宋体"/>
          <w:b w:val="0"/>
          <w:bCs w:val="0"/>
          <w:color w:val="000000" w:themeColor="text1"/>
          <w:kern w:val="0"/>
          <w:sz w:val="24"/>
          <w:highlight w:val="none"/>
          <w:lang w:val="en-US" w:eastAsia="zh-CN"/>
          <w14:textFill>
            <w14:solidFill>
              <w14:schemeClr w14:val="tx1"/>
            </w14:solidFill>
          </w14:textFill>
        </w:rPr>
        <w:t>等相关文件。扶持中小企业政策：</w:t>
      </w:r>
      <w:r>
        <w:rPr>
          <w:rFonts w:hint="eastAsia" w:ascii="宋体" w:hAnsi="宋体" w:eastAsia="宋体" w:cs="宋体"/>
          <w:b w:val="0"/>
          <w:bCs w:val="0"/>
          <w:color w:val="auto"/>
          <w:kern w:val="0"/>
          <w:sz w:val="24"/>
          <w:highlight w:val="none"/>
          <w:lang w:val="en-US" w:eastAsia="zh-CN"/>
        </w:rPr>
        <w:t>针对小微企业报价给予10%的扣除，用扣除后的价格参加评审。</w:t>
      </w:r>
      <w:r>
        <w:rPr>
          <w:rFonts w:hint="eastAsia" w:ascii="宋体" w:hAnsi="宋体" w:eastAsia="宋体" w:cs="宋体"/>
          <w:b w:val="0"/>
          <w:bCs w:val="0"/>
          <w:color w:val="000000" w:themeColor="text1"/>
          <w:kern w:val="0"/>
          <w:sz w:val="24"/>
          <w:highlight w:val="none"/>
          <w:lang w:val="en-US" w:eastAsia="zh-CN"/>
          <w14:textFill>
            <w14:solidFill>
              <w14:schemeClr w14:val="tx1"/>
            </w14:solidFill>
          </w14:textFill>
        </w:rPr>
        <w:t>监狱企业、残疾人福利性单位提供的产品视同小型、微型企业。</w:t>
      </w:r>
    </w:p>
    <w:p w14:paraId="4B4DD2EC">
      <w:pPr>
        <w:pStyle w:val="16"/>
        <w:keepLines w:val="0"/>
        <w:pageBreakBefore w:val="0"/>
        <w:kinsoku/>
        <w:overflowPunct/>
        <w:topLinePunct w:val="0"/>
        <w:bidi w:val="0"/>
        <w:spacing w:line="460" w:lineRule="exact"/>
        <w:ind w:firstLine="482" w:firstLineChars="200"/>
        <w:outlineLvl w:val="9"/>
        <w:rPr>
          <w:rFonts w:hint="default" w:ascii="宋体" w:hAnsi="宋体" w:eastAsia="宋体" w:cs="宋体"/>
          <w:b/>
          <w:bCs/>
          <w:color w:val="auto"/>
          <w:kern w:val="0"/>
          <w:sz w:val="24"/>
          <w:highlight w:val="none"/>
          <w:lang w:val="en-US" w:eastAsia="zh-CN"/>
        </w:rPr>
      </w:pPr>
      <w:bookmarkStart w:id="57" w:name="_Toc3910"/>
      <w:bookmarkStart w:id="58" w:name="_Toc11901"/>
      <w:bookmarkStart w:id="59" w:name="_Toc6988"/>
      <w:r>
        <w:rPr>
          <w:rFonts w:hint="eastAsia" w:ascii="宋体" w:hAnsi="宋体" w:eastAsia="宋体" w:cs="宋体"/>
          <w:b/>
          <w:bCs/>
          <w:color w:val="auto"/>
          <w:kern w:val="0"/>
          <w:sz w:val="24"/>
          <w:highlight w:val="none"/>
          <w:lang w:val="en-US" w:eastAsia="zh-CN"/>
        </w:rPr>
        <w:t>3.</w:t>
      </w:r>
      <w:r>
        <w:rPr>
          <w:rFonts w:hint="eastAsia" w:ascii="宋体" w:hAnsi="宋体" w:eastAsia="宋体" w:cs="宋体"/>
          <w:b/>
          <w:bCs/>
          <w:color w:val="auto"/>
          <w:kern w:val="0"/>
          <w:sz w:val="24"/>
          <w:highlight w:val="none"/>
        </w:rPr>
        <w:t>本项目的特定资格要求</w:t>
      </w:r>
      <w:bookmarkEnd w:id="57"/>
      <w:bookmarkEnd w:id="58"/>
      <w:bookmarkEnd w:id="59"/>
      <w:bookmarkStart w:id="60" w:name="_Toc19446"/>
      <w:r>
        <w:rPr>
          <w:rFonts w:hint="eastAsia" w:ascii="宋体" w:hAnsi="宋体" w:eastAsia="宋体" w:cs="宋体"/>
          <w:b/>
          <w:bCs/>
          <w:color w:val="auto"/>
          <w:kern w:val="0"/>
          <w:sz w:val="24"/>
          <w:highlight w:val="none"/>
          <w:lang w:val="en-US" w:eastAsia="zh-CN"/>
        </w:rPr>
        <w:t>：</w:t>
      </w:r>
      <w:r>
        <w:rPr>
          <w:rFonts w:hint="eastAsia" w:ascii="宋体" w:hAnsi="宋体" w:eastAsia="宋体" w:cs="宋体"/>
          <w:b/>
          <w:bCs/>
          <w:color w:val="auto"/>
          <w:sz w:val="24"/>
          <w:highlight w:val="none"/>
          <w:lang w:eastAsia="zh-CN"/>
        </w:rPr>
        <w:t>市政路灯管护</w:t>
      </w:r>
      <w:r>
        <w:rPr>
          <w:rFonts w:hint="eastAsia" w:ascii="宋体" w:hAnsi="宋体" w:cs="宋体"/>
          <w:b/>
          <w:bCs/>
          <w:color w:val="auto"/>
          <w:sz w:val="24"/>
          <w:highlight w:val="none"/>
          <w:lang w:val="en-US" w:eastAsia="zh-CN"/>
        </w:rPr>
        <w:t>更新</w:t>
      </w:r>
      <w:r>
        <w:rPr>
          <w:rFonts w:hint="eastAsia" w:hAnsi="宋体" w:cs="宋体"/>
          <w:b/>
          <w:bCs/>
          <w:color w:val="auto"/>
          <w:sz w:val="24"/>
          <w:highlight w:val="none"/>
          <w:lang w:val="en-US" w:eastAsia="zh-CN"/>
        </w:rPr>
        <w:t>项</w:t>
      </w:r>
      <w:r>
        <w:rPr>
          <w:rFonts w:hint="eastAsia" w:ascii="宋体" w:hAnsi="宋体" w:eastAsia="宋体" w:cs="宋体"/>
          <w:b/>
          <w:bCs/>
          <w:color w:val="auto"/>
          <w:kern w:val="0"/>
          <w:sz w:val="24"/>
          <w:szCs w:val="24"/>
          <w:highlight w:val="none"/>
          <w:lang w:val="en-US" w:eastAsia="zh-CN" w:bidi="ar-SA"/>
        </w:rPr>
        <w:t>须具备国家能源局或相关主管部门颁发的有效的承装类承装（修、试）电力设施许可证</w:t>
      </w:r>
      <w:r>
        <w:rPr>
          <w:rFonts w:hint="eastAsia" w:hAnsi="宋体" w:cs="宋体"/>
          <w:b/>
          <w:bCs/>
          <w:color w:val="auto"/>
          <w:kern w:val="0"/>
          <w:sz w:val="24"/>
          <w:szCs w:val="24"/>
          <w:highlight w:val="none"/>
          <w:lang w:val="en-US" w:eastAsia="zh-CN" w:bidi="ar-SA"/>
        </w:rPr>
        <w:t>三</w:t>
      </w:r>
      <w:r>
        <w:rPr>
          <w:rFonts w:hint="eastAsia" w:ascii="宋体" w:hAnsi="宋体" w:eastAsia="宋体" w:cs="宋体"/>
          <w:b/>
          <w:bCs/>
          <w:color w:val="auto"/>
          <w:kern w:val="0"/>
          <w:sz w:val="24"/>
          <w:szCs w:val="24"/>
          <w:highlight w:val="none"/>
          <w:lang w:val="en-US" w:eastAsia="zh-CN" w:bidi="ar-SA"/>
        </w:rPr>
        <w:t>级及以上</w:t>
      </w:r>
      <w:r>
        <w:rPr>
          <w:rFonts w:hint="eastAsia" w:hAnsi="宋体" w:cs="宋体"/>
          <w:b/>
          <w:bCs/>
          <w:color w:val="auto"/>
          <w:kern w:val="0"/>
          <w:sz w:val="24"/>
          <w:szCs w:val="24"/>
          <w:highlight w:val="none"/>
          <w:lang w:val="en-US" w:eastAsia="zh-CN" w:bidi="ar-SA"/>
        </w:rPr>
        <w:t>资质</w:t>
      </w:r>
      <w:r>
        <w:rPr>
          <w:rFonts w:hint="eastAsia" w:hAnsi="宋体" w:cs="宋体"/>
          <w:b/>
          <w:bCs/>
          <w:color w:val="auto"/>
          <w:kern w:val="0"/>
          <w:sz w:val="24"/>
          <w:highlight w:val="none"/>
          <w:lang w:val="en-US" w:eastAsia="zh-CN"/>
        </w:rPr>
        <w:t>。</w:t>
      </w:r>
    </w:p>
    <w:p w14:paraId="75C76EDE">
      <w:pPr>
        <w:keepLines w:val="0"/>
        <w:pageBreakBefore w:val="0"/>
        <w:tabs>
          <w:tab w:val="left" w:pos="709"/>
        </w:tabs>
        <w:kinsoku/>
        <w:overflowPunct/>
        <w:topLinePunct w:val="0"/>
        <w:autoSpaceDE w:val="0"/>
        <w:autoSpaceDN w:val="0"/>
        <w:bidi w:val="0"/>
        <w:adjustRightInd w:val="0"/>
        <w:snapToGrid w:val="0"/>
        <w:spacing w:line="460" w:lineRule="exact"/>
        <w:outlineLvl w:val="1"/>
        <w:rPr>
          <w:rFonts w:hint="eastAsia" w:ascii="宋体" w:hAnsi="宋体" w:eastAsia="宋体" w:cs="宋体"/>
          <w:b/>
          <w:bCs w:val="0"/>
          <w:color w:val="auto"/>
          <w:sz w:val="24"/>
          <w:szCs w:val="32"/>
          <w:highlight w:val="none"/>
        </w:rPr>
      </w:pPr>
      <w:bookmarkStart w:id="61" w:name="_Toc4074"/>
      <w:bookmarkStart w:id="62" w:name="_Toc15297"/>
      <w:bookmarkStart w:id="63" w:name="_Toc2178"/>
      <w:bookmarkStart w:id="64" w:name="_Toc2250"/>
      <w:r>
        <w:rPr>
          <w:rFonts w:hint="eastAsia" w:ascii="宋体" w:hAnsi="宋体" w:eastAsia="宋体" w:cs="宋体"/>
          <w:b/>
          <w:bCs w:val="0"/>
          <w:color w:val="auto"/>
          <w:sz w:val="24"/>
          <w:szCs w:val="32"/>
          <w:highlight w:val="none"/>
        </w:rPr>
        <w:t>三、获取招标文件</w:t>
      </w:r>
      <w:bookmarkEnd w:id="51"/>
      <w:bookmarkEnd w:id="52"/>
      <w:bookmarkEnd w:id="53"/>
      <w:bookmarkEnd w:id="54"/>
      <w:bookmarkEnd w:id="55"/>
      <w:bookmarkEnd w:id="56"/>
      <w:bookmarkEnd w:id="60"/>
      <w:bookmarkEnd w:id="61"/>
      <w:bookmarkEnd w:id="62"/>
      <w:bookmarkEnd w:id="63"/>
      <w:bookmarkEnd w:id="64"/>
    </w:p>
    <w:p w14:paraId="2CA35C8E">
      <w:pPr>
        <w:keepLines w:val="0"/>
        <w:pageBreakBefore w:val="0"/>
        <w:kinsoku/>
        <w:wordWrap w:val="0"/>
        <w:overflowPunct/>
        <w:topLinePunct w:val="0"/>
        <w:bidi w:val="0"/>
        <w:spacing w:line="460" w:lineRule="exact"/>
        <w:ind w:firstLine="480" w:firstLineChars="20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09</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08</w:t>
      </w:r>
      <w:r>
        <w:rPr>
          <w:rFonts w:hint="eastAsia" w:ascii="宋体" w:hAnsi="宋体" w:cs="宋体"/>
          <w:color w:val="auto"/>
          <w:sz w:val="24"/>
          <w:highlight w:val="none"/>
          <w:lang w:eastAsia="zh-CN"/>
        </w:rPr>
        <w:t>日</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23时59分59秒</w:t>
      </w:r>
      <w:r>
        <w:rPr>
          <w:rFonts w:hint="eastAsia" w:ascii="宋体" w:hAnsi="宋体" w:eastAsia="宋体" w:cs="宋体"/>
          <w:color w:val="auto"/>
          <w:sz w:val="24"/>
          <w:highlight w:val="none"/>
        </w:rPr>
        <w:t>；</w:t>
      </w:r>
    </w:p>
    <w:p w14:paraId="28681929">
      <w:pPr>
        <w:keepLines w:val="0"/>
        <w:pageBreakBefore w:val="0"/>
        <w:kinsoku/>
        <w:wordWrap w:val="0"/>
        <w:overflowPunct/>
        <w:topLinePunct w:val="0"/>
        <w:bidi w:val="0"/>
        <w:spacing w:line="460" w:lineRule="exact"/>
        <w:ind w:firstLine="480" w:firstLineChars="200"/>
        <w:jc w:val="left"/>
        <w:rPr>
          <w:rFonts w:hint="eastAsia" w:ascii="宋体" w:hAnsi="宋体" w:eastAsia="宋体" w:cs="宋体"/>
          <w:color w:val="auto"/>
          <w:sz w:val="24"/>
          <w:highlight w:val="none"/>
          <w:lang w:val="en-US" w:eastAsia="zh-CN"/>
        </w:rPr>
      </w:pPr>
      <w:bookmarkStart w:id="65" w:name="_Toc28359005"/>
      <w:bookmarkStart w:id="66" w:name="_Toc35393793"/>
      <w:bookmarkStart w:id="67" w:name="_Toc27418"/>
      <w:bookmarkStart w:id="68" w:name="_Toc23764"/>
      <w:bookmarkStart w:id="69" w:name="_Toc19564"/>
      <w:bookmarkStart w:id="70" w:name="_Toc35393624"/>
      <w:bookmarkStart w:id="71" w:name="_Toc28359082"/>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地点：</w:t>
      </w:r>
      <w:r>
        <w:rPr>
          <w:rFonts w:hint="eastAsia" w:ascii="宋体" w:hAnsi="宋体" w:cs="宋体"/>
          <w:color w:val="auto"/>
          <w:kern w:val="0"/>
          <w:sz w:val="24"/>
          <w:szCs w:val="24"/>
          <w:highlight w:val="none"/>
          <w:lang w:eastAsia="zh-CN"/>
        </w:rPr>
        <w:t>云南省政府采购电子交易平台（政采云https://www.zcygov.cn/）</w:t>
      </w:r>
      <w:r>
        <w:rPr>
          <w:rFonts w:hint="eastAsia" w:ascii="宋体" w:hAnsi="宋体" w:eastAsia="宋体" w:cs="宋体"/>
          <w:color w:val="auto"/>
          <w:kern w:val="0"/>
          <w:sz w:val="24"/>
          <w:szCs w:val="24"/>
          <w:highlight w:val="none"/>
        </w:rPr>
        <w:t>；</w:t>
      </w:r>
    </w:p>
    <w:p w14:paraId="3283489A">
      <w:pPr>
        <w:keepLines w:val="0"/>
        <w:pageBreakBefore w:val="0"/>
        <w:kinsoku/>
        <w:overflowPunct/>
        <w:topLinePunct w:val="0"/>
        <w:bidi w:val="0"/>
        <w:spacing w:line="46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方式：（一）凡有意参加投标者，须注册政采云平台账号并登录办理数字证书（CA），若投标人未办理数字证书（CA）的，可选择办理云南壹证通CA。CA申领链接：</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"http://yzt.ynsmartcert.cn/cms/yztynjx27.html"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http://yzt.ynsmartcert.cn/cms/yztynjx27.html</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云南壹证通CA 可支持线上、线下两种办理方式，并提供7*24小时全天候客户服务支持，客服热线400-004-0628。（紧急CA办理电话：19988166369）政府采购云平台支持多家CA服务商，投标人可自行选择办理。</w:t>
      </w:r>
    </w:p>
    <w:p w14:paraId="64C95FEE">
      <w:pPr>
        <w:keepLines w:val="0"/>
        <w:pageBreakBefore w:val="0"/>
        <w:numPr>
          <w:ilvl w:val="0"/>
          <w:numId w:val="1"/>
        </w:numPr>
        <w:kinsoku/>
        <w:overflowPunct/>
        <w:topLinePunct w:val="0"/>
        <w:bidi w:val="0"/>
        <w:spacing w:line="46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数字证书（CA）申领完成之后进入政府采购云平台，企业账号与数字证书（CA）进行绑定，凭企业数字证书（CA）免费下载招标文件。</w:t>
      </w:r>
    </w:p>
    <w:p w14:paraId="4E620198">
      <w:pPr>
        <w:keepLines w:val="0"/>
        <w:pageBreakBefore w:val="0"/>
        <w:numPr>
          <w:ilvl w:val="0"/>
          <w:numId w:val="1"/>
        </w:numPr>
        <w:kinsoku/>
        <w:overflowPunct/>
        <w:topLinePunct w:val="0"/>
        <w:bidi w:val="0"/>
        <w:spacing w:line="46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按上述要求获取文件的投标人视为已合法获取本项目招标文件，具备本项目的投标资格。</w:t>
      </w:r>
    </w:p>
    <w:p w14:paraId="17628600">
      <w:pPr>
        <w:keepLines w:val="0"/>
        <w:pageBreakBefore w:val="0"/>
        <w:numPr>
          <w:ilvl w:val="0"/>
          <w:numId w:val="1"/>
        </w:numPr>
        <w:kinsoku/>
        <w:overflowPunct/>
        <w:topLinePunct w:val="0"/>
        <w:bidi w:val="0"/>
        <w:spacing w:line="46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如有问题可拨打政采云客户服务热线95763进行咨询，数字证书（CA）问题可咨询24小时技术支持热线400-004-0628（紧急办理可拨：19988166369）</w:t>
      </w:r>
    </w:p>
    <w:p w14:paraId="2E2F45C2">
      <w:pPr>
        <w:keepLines w:val="0"/>
        <w:pageBreakBefore w:val="0"/>
        <w:kinsoku/>
        <w:overflowPunct/>
        <w:topLinePunct w:val="0"/>
        <w:bidi w:val="0"/>
        <w:spacing w:line="4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注：云南省外</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lang w:val="en-US" w:eastAsia="zh-CN"/>
        </w:rPr>
        <w:t>在政采云平台办理的</w:t>
      </w:r>
      <w:r>
        <w:rPr>
          <w:rFonts w:hint="eastAsia" w:ascii="宋体" w:hAnsi="宋体" w:cs="宋体"/>
          <w:color w:val="auto"/>
          <w:sz w:val="24"/>
          <w:highlight w:val="none"/>
          <w:lang w:val="en-US" w:eastAsia="zh-CN"/>
        </w:rPr>
        <w:t>其他</w:t>
      </w:r>
      <w:r>
        <w:rPr>
          <w:rFonts w:hint="eastAsia" w:ascii="宋体" w:hAnsi="宋体" w:eastAsia="宋体" w:cs="宋体"/>
          <w:color w:val="auto"/>
          <w:sz w:val="24"/>
          <w:highlight w:val="none"/>
          <w:lang w:val="en-US" w:eastAsia="zh-CN"/>
        </w:rPr>
        <w:t>CA可直接使用，无需重复办理。</w:t>
      </w:r>
      <w:r>
        <w:rPr>
          <w:rFonts w:hint="eastAsia" w:ascii="宋体" w:hAnsi="宋体" w:eastAsia="宋体" w:cs="宋体"/>
          <w:color w:val="auto"/>
          <w:sz w:val="24"/>
          <w:highlight w:val="none"/>
        </w:rPr>
        <w:t xml:space="preserve"> </w:t>
      </w:r>
    </w:p>
    <w:bookmarkEnd w:id="65"/>
    <w:bookmarkEnd w:id="66"/>
    <w:bookmarkEnd w:id="67"/>
    <w:bookmarkEnd w:id="68"/>
    <w:bookmarkEnd w:id="69"/>
    <w:bookmarkEnd w:id="70"/>
    <w:bookmarkEnd w:id="71"/>
    <w:p w14:paraId="6D837349">
      <w:pPr>
        <w:keepLines w:val="0"/>
        <w:pageBreakBefore w:val="0"/>
        <w:tabs>
          <w:tab w:val="left" w:pos="709"/>
        </w:tabs>
        <w:kinsoku/>
        <w:overflowPunct/>
        <w:topLinePunct w:val="0"/>
        <w:autoSpaceDE w:val="0"/>
        <w:autoSpaceDN w:val="0"/>
        <w:bidi w:val="0"/>
        <w:adjustRightInd w:val="0"/>
        <w:snapToGrid w:val="0"/>
        <w:spacing w:line="460" w:lineRule="exact"/>
        <w:outlineLvl w:val="1"/>
        <w:rPr>
          <w:rFonts w:hint="eastAsia" w:ascii="宋体" w:hAnsi="宋体" w:eastAsia="宋体" w:cs="宋体"/>
          <w:b/>
          <w:bCs w:val="0"/>
          <w:color w:val="auto"/>
          <w:sz w:val="24"/>
          <w:szCs w:val="32"/>
          <w:highlight w:val="none"/>
          <w:lang w:eastAsia="zh-CN"/>
        </w:rPr>
      </w:pPr>
      <w:bookmarkStart w:id="72" w:name="_Toc22424"/>
      <w:bookmarkStart w:id="73" w:name="_Toc4837"/>
      <w:bookmarkStart w:id="74" w:name="_Toc9692"/>
      <w:bookmarkStart w:id="75" w:name="_Toc2360"/>
      <w:bookmarkStart w:id="76" w:name="_Toc2834"/>
      <w:bookmarkStart w:id="77" w:name="_Toc27484"/>
      <w:bookmarkStart w:id="78" w:name="_Toc14346"/>
      <w:bookmarkStart w:id="79" w:name="_Toc7237"/>
      <w:bookmarkStart w:id="80" w:name="_Toc35393625"/>
      <w:bookmarkStart w:id="81" w:name="_Toc35393794"/>
      <w:bookmarkStart w:id="82" w:name="_Toc28359084"/>
      <w:bookmarkStart w:id="83" w:name="_Toc28359007"/>
      <w:bookmarkStart w:id="84" w:name="_Toc9603"/>
      <w:r>
        <w:rPr>
          <w:rFonts w:hint="eastAsia" w:ascii="宋体" w:hAnsi="宋体" w:eastAsia="宋体" w:cs="宋体"/>
          <w:b/>
          <w:bCs w:val="0"/>
          <w:color w:val="auto"/>
          <w:sz w:val="24"/>
          <w:szCs w:val="32"/>
          <w:highlight w:val="none"/>
        </w:rPr>
        <w:t>四、</w:t>
      </w:r>
      <w:bookmarkEnd w:id="72"/>
      <w:bookmarkEnd w:id="73"/>
      <w:r>
        <w:rPr>
          <w:rFonts w:hint="eastAsia" w:ascii="宋体" w:hAnsi="宋体" w:eastAsia="宋体" w:cs="宋体"/>
          <w:b/>
          <w:bCs w:val="0"/>
          <w:color w:val="auto"/>
          <w:sz w:val="24"/>
          <w:szCs w:val="32"/>
          <w:highlight w:val="none"/>
          <w:lang w:eastAsia="zh-CN"/>
        </w:rPr>
        <w:t>投标文件提交</w:t>
      </w:r>
      <w:bookmarkEnd w:id="74"/>
      <w:bookmarkEnd w:id="75"/>
      <w:bookmarkEnd w:id="76"/>
      <w:bookmarkEnd w:id="77"/>
    </w:p>
    <w:p w14:paraId="180C6ACE">
      <w:pPr>
        <w:keepLines w:val="0"/>
        <w:pageBreakBefore w:val="0"/>
        <w:kinsoku/>
        <w:overflowPunct/>
        <w:topLinePunct w:val="0"/>
        <w:bidi w:val="0"/>
        <w:spacing w:line="460" w:lineRule="exact"/>
        <w:ind w:firstLine="360" w:firstLineChars="150"/>
        <w:rPr>
          <w:rFonts w:hint="eastAsia" w:ascii="宋体" w:hAnsi="宋体" w:eastAsia="宋体" w:cs="宋体"/>
          <w:bCs/>
          <w:color w:val="auto"/>
          <w:sz w:val="24"/>
          <w:szCs w:val="24"/>
          <w:highlight w:val="none"/>
          <w:lang w:eastAsia="zh-CN"/>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投标</w:t>
      </w:r>
      <w:r>
        <w:rPr>
          <w:rFonts w:hint="eastAsia" w:ascii="宋体" w:hAnsi="宋体" w:eastAsia="宋体" w:cs="宋体"/>
          <w:color w:val="auto"/>
          <w:kern w:val="0"/>
          <w:sz w:val="24"/>
          <w:szCs w:val="24"/>
          <w:highlight w:val="none"/>
        </w:rPr>
        <w:t>文件递交时间：</w:t>
      </w:r>
      <w:r>
        <w:rPr>
          <w:rFonts w:hint="eastAsia" w:ascii="宋体" w:hAnsi="宋体" w:cs="宋体"/>
          <w:color w:val="auto"/>
          <w:kern w:val="0"/>
          <w:sz w:val="24"/>
          <w:szCs w:val="24"/>
          <w:highlight w:val="none"/>
          <w:u w:val="single"/>
          <w:lang w:eastAsia="zh-CN"/>
        </w:rPr>
        <w:t>2026年09月</w:t>
      </w:r>
      <w:r>
        <w:rPr>
          <w:rFonts w:hint="eastAsia" w:ascii="宋体" w:hAnsi="宋体" w:cs="宋体"/>
          <w:color w:val="auto"/>
          <w:kern w:val="0"/>
          <w:sz w:val="24"/>
          <w:szCs w:val="24"/>
          <w:highlight w:val="none"/>
          <w:u w:val="single"/>
          <w:lang w:val="en-US" w:eastAsia="zh-CN"/>
        </w:rPr>
        <w:t>30</w:t>
      </w:r>
      <w:r>
        <w:rPr>
          <w:rFonts w:hint="eastAsia" w:ascii="宋体" w:hAnsi="宋体" w:cs="宋体"/>
          <w:color w:val="auto"/>
          <w:kern w:val="0"/>
          <w:sz w:val="24"/>
          <w:szCs w:val="24"/>
          <w:highlight w:val="none"/>
          <w:u w:val="single"/>
          <w:lang w:eastAsia="zh-CN"/>
        </w:rPr>
        <w:t>日09:</w:t>
      </w:r>
      <w:r>
        <w:rPr>
          <w:rFonts w:hint="eastAsia" w:ascii="宋体" w:hAnsi="宋体" w:cs="宋体"/>
          <w:color w:val="auto"/>
          <w:kern w:val="0"/>
          <w:sz w:val="24"/>
          <w:szCs w:val="24"/>
          <w:highlight w:val="none"/>
          <w:u w:val="single"/>
          <w:lang w:val="en-US" w:eastAsia="zh-CN"/>
        </w:rPr>
        <w:t>00</w:t>
      </w:r>
      <w:r>
        <w:rPr>
          <w:rFonts w:hint="eastAsia" w:ascii="宋体" w:hAnsi="宋体" w:eastAsia="宋体" w:cs="宋体"/>
          <w:color w:val="auto"/>
          <w:kern w:val="0"/>
          <w:sz w:val="24"/>
          <w:szCs w:val="24"/>
          <w:highlight w:val="none"/>
        </w:rPr>
        <w:t>（北京时间，下同）</w:t>
      </w:r>
      <w:r>
        <w:rPr>
          <w:rFonts w:hint="eastAsia" w:ascii="宋体" w:hAnsi="宋体" w:eastAsia="宋体" w:cs="宋体"/>
          <w:color w:val="auto"/>
          <w:kern w:val="0"/>
          <w:sz w:val="24"/>
          <w:szCs w:val="24"/>
          <w:highlight w:val="none"/>
          <w:lang w:eastAsia="zh-CN"/>
        </w:rPr>
        <w:t>；</w:t>
      </w:r>
    </w:p>
    <w:p w14:paraId="1C35DF1F">
      <w:pPr>
        <w:keepLines w:val="0"/>
        <w:pageBreakBefore w:val="0"/>
        <w:kinsoku/>
        <w:overflowPunct/>
        <w:topLinePunct w:val="0"/>
        <w:bidi w:val="0"/>
        <w:spacing w:line="460" w:lineRule="exact"/>
        <w:ind w:firstLine="360" w:firstLineChars="15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地点：</w:t>
      </w:r>
      <w:r>
        <w:rPr>
          <w:rFonts w:hint="eastAsia" w:ascii="宋体" w:hAnsi="宋体" w:cs="宋体"/>
          <w:color w:val="auto"/>
          <w:kern w:val="0"/>
          <w:sz w:val="24"/>
          <w:szCs w:val="24"/>
          <w:highlight w:val="none"/>
          <w:lang w:val="en-US" w:eastAsia="zh-CN"/>
        </w:rPr>
        <w:t>请</w:t>
      </w:r>
      <w:r>
        <w:rPr>
          <w:rFonts w:hint="eastAsia" w:ascii="宋体" w:hAnsi="宋体"/>
          <w:color w:val="auto"/>
          <w:sz w:val="24"/>
          <w:highlight w:val="none"/>
        </w:rPr>
        <w:t>登录</w:t>
      </w:r>
      <w:r>
        <w:rPr>
          <w:rFonts w:hint="eastAsia" w:ascii="宋体" w:hAnsi="宋体"/>
          <w:color w:val="auto"/>
          <w:sz w:val="24"/>
          <w:highlight w:val="none"/>
          <w:lang w:eastAsia="zh-CN"/>
        </w:rPr>
        <w:t>云南省政府采购电子交易平台（政采云https://www.zcygov.cn/）</w:t>
      </w:r>
      <w:r>
        <w:rPr>
          <w:rFonts w:hint="eastAsia" w:ascii="宋体" w:hAnsi="宋体" w:eastAsia="宋体" w:cs="宋体"/>
          <w:color w:val="000000" w:themeColor="text1"/>
          <w:kern w:val="0"/>
          <w:sz w:val="24"/>
          <w:szCs w:val="24"/>
          <w:highlight w:val="none"/>
          <w14:textFill>
            <w14:solidFill>
              <w14:schemeClr w14:val="tx1"/>
            </w14:solidFill>
          </w14:textFill>
        </w:rPr>
        <w:t>投标客户端投标。</w:t>
      </w:r>
    </w:p>
    <w:p w14:paraId="3F4A8813">
      <w:pPr>
        <w:keepLines w:val="0"/>
        <w:pageBreakBefore w:val="0"/>
        <w:kinsoku/>
        <w:overflowPunct/>
        <w:topLinePunct w:val="0"/>
        <w:bidi w:val="0"/>
        <w:spacing w:line="460" w:lineRule="exact"/>
        <w:ind w:firstLine="360" w:firstLineChars="1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注：投标文件递交要求如下：</w:t>
      </w:r>
    </w:p>
    <w:p w14:paraId="0268C57E">
      <w:pPr>
        <w:keepLines w:val="0"/>
        <w:pageBreakBefore w:val="0"/>
        <w:numPr>
          <w:ilvl w:val="0"/>
          <w:numId w:val="2"/>
        </w:numPr>
        <w:kinsoku/>
        <w:overflowPunct/>
        <w:topLinePunct w:val="0"/>
        <w:bidi w:val="0"/>
        <w:spacing w:line="46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网上递交：投标人须在投标文件提交截止时间前完成所有电子投标文件的上传，网上确认电子签名</w:t>
      </w:r>
      <w:r>
        <w:rPr>
          <w:rFonts w:hint="eastAsia" w:ascii="宋体" w:hAnsi="宋体" w:cs="宋体"/>
          <w:color w:val="auto"/>
          <w:sz w:val="24"/>
          <w:highlight w:val="none"/>
          <w:lang w:val="en-US" w:eastAsia="zh-CN"/>
        </w:rPr>
        <w:t>，在</w:t>
      </w:r>
      <w:r>
        <w:rPr>
          <w:rFonts w:hint="eastAsia" w:ascii="宋体" w:hAnsi="宋体" w:eastAsia="宋体" w:cs="宋体"/>
          <w:color w:val="auto"/>
          <w:sz w:val="24"/>
          <w:highlight w:val="none"/>
          <w:lang w:val="en-US" w:eastAsia="zh-CN"/>
        </w:rPr>
        <w:t>投标文件递交截止时间前未完成文件上传的，视为撤回投标文件，投标无效。投标人在政采云平台递交电子版投标文件时，请填写参与远程开标活动经办人的联系方式。</w:t>
      </w:r>
    </w:p>
    <w:p w14:paraId="171EC626">
      <w:pPr>
        <w:keepLines w:val="0"/>
        <w:pageBreakBefore w:val="0"/>
        <w:numPr>
          <w:ilvl w:val="0"/>
          <w:numId w:val="2"/>
        </w:numPr>
        <w:kinsoku/>
        <w:overflowPunct/>
        <w:topLinePunct w:val="0"/>
        <w:bidi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lang w:val="en-US" w:eastAsia="zh-CN"/>
        </w:rPr>
        <w:t xml:space="preserve">本项目采用全流程电子化交易，无需现场递交纸质文件，但应在文件递交截止时间前登录系统，并根据开标系统的提示操作解密文件。 </w:t>
      </w:r>
    </w:p>
    <w:p w14:paraId="69E2B77E">
      <w:pPr>
        <w:keepLines w:val="0"/>
        <w:pageBreakBefore w:val="0"/>
        <w:tabs>
          <w:tab w:val="left" w:pos="709"/>
        </w:tabs>
        <w:kinsoku/>
        <w:overflowPunct/>
        <w:topLinePunct w:val="0"/>
        <w:autoSpaceDE w:val="0"/>
        <w:autoSpaceDN w:val="0"/>
        <w:bidi w:val="0"/>
        <w:adjustRightInd w:val="0"/>
        <w:snapToGrid w:val="0"/>
        <w:spacing w:line="460" w:lineRule="exact"/>
        <w:outlineLvl w:val="1"/>
        <w:rPr>
          <w:rFonts w:hint="eastAsia" w:ascii="宋体" w:hAnsi="宋体" w:eastAsia="宋体" w:cs="宋体"/>
          <w:b/>
          <w:bCs w:val="0"/>
          <w:color w:val="auto"/>
          <w:sz w:val="24"/>
          <w:szCs w:val="32"/>
          <w:highlight w:val="none"/>
          <w:lang w:eastAsia="zh-CN"/>
        </w:rPr>
      </w:pPr>
      <w:bookmarkStart w:id="85" w:name="_Toc18061"/>
      <w:bookmarkStart w:id="86" w:name="_Toc23998"/>
      <w:bookmarkStart w:id="87" w:name="_Toc11725"/>
      <w:bookmarkStart w:id="88" w:name="_Toc26963"/>
      <w:r>
        <w:rPr>
          <w:rFonts w:hint="eastAsia" w:ascii="宋体" w:hAnsi="宋体" w:eastAsia="宋体" w:cs="宋体"/>
          <w:b/>
          <w:bCs w:val="0"/>
          <w:color w:val="auto"/>
          <w:sz w:val="24"/>
          <w:szCs w:val="32"/>
          <w:highlight w:val="none"/>
          <w:lang w:val="en-US" w:eastAsia="zh-CN"/>
        </w:rPr>
        <w:t>五</w:t>
      </w:r>
      <w:r>
        <w:rPr>
          <w:rFonts w:hint="eastAsia" w:ascii="宋体" w:hAnsi="宋体" w:eastAsia="宋体" w:cs="宋体"/>
          <w:b/>
          <w:bCs w:val="0"/>
          <w:color w:val="auto"/>
          <w:sz w:val="24"/>
          <w:szCs w:val="32"/>
          <w:highlight w:val="none"/>
          <w:lang w:eastAsia="zh-CN"/>
        </w:rPr>
        <w:t>、开启</w:t>
      </w:r>
      <w:bookmarkEnd w:id="85"/>
      <w:bookmarkEnd w:id="86"/>
      <w:bookmarkEnd w:id="87"/>
      <w:bookmarkEnd w:id="88"/>
    </w:p>
    <w:p w14:paraId="6F90653B">
      <w:pPr>
        <w:keepLines w:val="0"/>
        <w:pageBreakBefore w:val="0"/>
        <w:kinsoku/>
        <w:overflowPunct/>
        <w:topLinePunct w:val="0"/>
        <w:bidi w:val="0"/>
        <w:spacing w:line="460" w:lineRule="exact"/>
        <w:ind w:firstLine="360" w:firstLineChars="15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时间：</w:t>
      </w:r>
      <w:r>
        <w:rPr>
          <w:rFonts w:hint="eastAsia" w:ascii="宋体" w:hAnsi="宋体" w:cs="宋体"/>
          <w:color w:val="auto"/>
          <w:kern w:val="0"/>
          <w:sz w:val="24"/>
          <w:szCs w:val="24"/>
          <w:highlight w:val="none"/>
          <w:u w:val="single"/>
          <w:lang w:eastAsia="zh-CN"/>
        </w:rPr>
        <w:t>2026年09月</w:t>
      </w:r>
      <w:r>
        <w:rPr>
          <w:rFonts w:hint="eastAsia" w:ascii="宋体" w:hAnsi="宋体" w:cs="宋体"/>
          <w:color w:val="auto"/>
          <w:kern w:val="0"/>
          <w:sz w:val="24"/>
          <w:szCs w:val="24"/>
          <w:highlight w:val="none"/>
          <w:u w:val="single"/>
          <w:lang w:val="en-US" w:eastAsia="zh-CN"/>
        </w:rPr>
        <w:t>30</w:t>
      </w:r>
      <w:r>
        <w:rPr>
          <w:rFonts w:hint="eastAsia" w:ascii="宋体" w:hAnsi="宋体" w:cs="宋体"/>
          <w:color w:val="auto"/>
          <w:kern w:val="0"/>
          <w:sz w:val="24"/>
          <w:szCs w:val="24"/>
          <w:highlight w:val="none"/>
          <w:u w:val="single"/>
          <w:lang w:eastAsia="zh-CN"/>
        </w:rPr>
        <w:t>日09:00</w:t>
      </w:r>
      <w:r>
        <w:rPr>
          <w:rFonts w:hint="eastAsia" w:ascii="宋体" w:hAnsi="宋体" w:eastAsia="宋体" w:cs="宋体"/>
          <w:b w:val="0"/>
          <w:bCs w:val="0"/>
          <w:color w:val="auto"/>
          <w:kern w:val="0"/>
          <w:sz w:val="24"/>
          <w:szCs w:val="24"/>
          <w:highlight w:val="none"/>
          <w:lang w:val="en-US" w:eastAsia="zh-CN"/>
        </w:rPr>
        <w:t>（北京时间）</w:t>
      </w:r>
      <w:r>
        <w:rPr>
          <w:rFonts w:hint="eastAsia" w:ascii="宋体" w:hAnsi="宋体" w:eastAsia="宋体" w:cs="宋体"/>
          <w:bCs/>
          <w:color w:val="auto"/>
          <w:sz w:val="24"/>
          <w:szCs w:val="24"/>
          <w:highlight w:val="none"/>
          <w:lang w:eastAsia="zh-CN"/>
        </w:rPr>
        <w:t>；</w:t>
      </w:r>
    </w:p>
    <w:p w14:paraId="3DD1AAA8">
      <w:pPr>
        <w:keepLines w:val="0"/>
        <w:pageBreakBefore w:val="0"/>
        <w:kinsoku/>
        <w:overflowPunct/>
        <w:topLinePunct w:val="0"/>
        <w:bidi w:val="0"/>
        <w:spacing w:line="460" w:lineRule="exact"/>
        <w:ind w:firstLine="360" w:firstLineChars="15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地点：</w:t>
      </w:r>
      <w:r>
        <w:rPr>
          <w:rFonts w:hint="eastAsia" w:ascii="宋体" w:hAnsi="宋体" w:cs="宋体"/>
          <w:color w:val="auto"/>
          <w:kern w:val="0"/>
          <w:sz w:val="24"/>
          <w:szCs w:val="24"/>
          <w:highlight w:val="none"/>
          <w:lang w:eastAsia="zh-CN"/>
        </w:rPr>
        <w:t>玉溪市公共资源交易中心开标厅（</w:t>
      </w:r>
      <w:r>
        <w:rPr>
          <w:rFonts w:hint="eastAsia" w:ascii="宋体" w:hAnsi="宋体"/>
          <w:color w:val="auto"/>
          <w:sz w:val="24"/>
          <w:highlight w:val="none"/>
          <w:lang w:eastAsia="zh-CN"/>
        </w:rPr>
        <w:t>云南省政府采购电子交易平台（政采云https://www.zcygov.cn/）</w:t>
      </w:r>
      <w:r>
        <w:rPr>
          <w:rFonts w:hint="eastAsia" w:ascii="宋体" w:hAnsi="宋体" w:cs="宋体"/>
          <w:color w:val="auto"/>
          <w:kern w:val="0"/>
          <w:sz w:val="24"/>
          <w:szCs w:val="24"/>
          <w:highlight w:val="none"/>
          <w:lang w:eastAsia="zh-CN"/>
        </w:rPr>
        <w:t>线上开标）。</w:t>
      </w:r>
    </w:p>
    <w:p w14:paraId="2ABAE51A">
      <w:pPr>
        <w:keepLines w:val="0"/>
        <w:pageBreakBefore w:val="0"/>
        <w:kinsoku/>
        <w:overflowPunct/>
        <w:topLinePunct w:val="0"/>
        <w:bidi w:val="0"/>
        <w:spacing w:line="460" w:lineRule="exact"/>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lang w:val="en-US" w:eastAsia="zh-CN"/>
        </w:rPr>
        <w:t>注：（1）投标人登录政采云平台,在投标截止时间进入“网上开标室”,根据网上远程解密、开标的要求,在规定时</w:t>
      </w:r>
      <w:r>
        <w:rPr>
          <w:rFonts w:hint="eastAsia" w:ascii="宋体" w:hAnsi="宋体" w:cs="宋体"/>
          <w:color w:val="auto"/>
          <w:sz w:val="24"/>
          <w:highlight w:val="none"/>
          <w:lang w:val="en-US" w:eastAsia="zh-CN"/>
        </w:rPr>
        <w:t>间内</w:t>
      </w:r>
      <w:r>
        <w:rPr>
          <w:rFonts w:hint="eastAsia" w:ascii="宋体" w:hAnsi="宋体" w:eastAsia="宋体" w:cs="宋体"/>
          <w:color w:val="auto"/>
          <w:sz w:val="24"/>
          <w:highlight w:val="none"/>
          <w:lang w:val="en-US" w:eastAsia="zh-CN"/>
        </w:rPr>
        <w:t>完成在线解密、开标一览表确认等相关操作。若投标人未在规定时</w:t>
      </w:r>
      <w:r>
        <w:rPr>
          <w:rFonts w:hint="eastAsia" w:ascii="宋体" w:hAnsi="宋体" w:cs="宋体"/>
          <w:color w:val="auto"/>
          <w:sz w:val="24"/>
          <w:highlight w:val="none"/>
          <w:lang w:val="en-US" w:eastAsia="zh-CN"/>
        </w:rPr>
        <w:t>间内</w:t>
      </w:r>
      <w:r>
        <w:rPr>
          <w:rFonts w:hint="eastAsia" w:ascii="宋体" w:hAnsi="宋体" w:eastAsia="宋体" w:cs="宋体"/>
          <w:color w:val="auto"/>
          <w:sz w:val="24"/>
          <w:highlight w:val="none"/>
          <w:lang w:val="en-US" w:eastAsia="zh-CN"/>
        </w:rPr>
        <w:t>完成以上相关操作,则视为撤销其投标文件,不再进入评标阶段。开标过程中如有问题，可以发起在线异议,由采购代理机构给予对应的回复。（2）请参与本项目投标人提前熟悉网上开标的相关操作。在使用政采云平台时，请自行配备有音视频通话（带摄像头及话筒的电脑）功能的相应设备及稳定网络的环境下，并按政采云平台开标大厅中的提示完成投标文件的解密。</w:t>
      </w:r>
    </w:p>
    <w:bookmarkEnd w:id="78"/>
    <w:bookmarkEnd w:id="79"/>
    <w:bookmarkEnd w:id="80"/>
    <w:bookmarkEnd w:id="81"/>
    <w:bookmarkEnd w:id="82"/>
    <w:bookmarkEnd w:id="83"/>
    <w:bookmarkEnd w:id="84"/>
    <w:p w14:paraId="6771EB1E">
      <w:pPr>
        <w:keepNext/>
        <w:keepLines w:val="0"/>
        <w:pageBreakBefore w:val="0"/>
        <w:tabs>
          <w:tab w:val="left" w:pos="1021"/>
        </w:tabs>
        <w:kinsoku/>
        <w:overflowPunct/>
        <w:topLinePunct w:val="0"/>
        <w:bidi w:val="0"/>
        <w:adjustRightInd w:val="0"/>
        <w:spacing w:after="0" w:line="460" w:lineRule="exact"/>
        <w:jc w:val="left"/>
        <w:textAlignment w:val="baseline"/>
        <w:outlineLvl w:val="1"/>
        <w:rPr>
          <w:rFonts w:hint="eastAsia" w:ascii="宋体" w:hAnsi="宋体" w:eastAsia="宋体" w:cs="宋体"/>
          <w:b/>
          <w:color w:val="auto"/>
          <w:kern w:val="0"/>
          <w:sz w:val="24"/>
          <w:szCs w:val="18"/>
          <w:highlight w:val="none"/>
          <w:lang w:val="en-US" w:eastAsia="zh-CN"/>
        </w:rPr>
      </w:pPr>
      <w:bookmarkStart w:id="89" w:name="_Toc973"/>
      <w:bookmarkStart w:id="90" w:name="_Toc1750"/>
      <w:bookmarkStart w:id="91" w:name="_Toc21173"/>
      <w:bookmarkStart w:id="92" w:name="_Toc8758"/>
      <w:r>
        <w:rPr>
          <w:rFonts w:hint="eastAsia" w:ascii="宋体" w:hAnsi="宋体" w:eastAsia="宋体" w:cs="宋体"/>
          <w:b/>
          <w:color w:val="auto"/>
          <w:kern w:val="0"/>
          <w:sz w:val="24"/>
          <w:szCs w:val="18"/>
          <w:highlight w:val="none"/>
          <w:lang w:eastAsia="zh-CN"/>
        </w:rPr>
        <w:t>六、发布公告的媒体</w:t>
      </w:r>
      <w:r>
        <w:rPr>
          <w:rFonts w:hint="eastAsia" w:ascii="宋体" w:hAnsi="宋体" w:eastAsia="宋体" w:cs="宋体"/>
          <w:b/>
          <w:color w:val="auto"/>
          <w:kern w:val="0"/>
          <w:sz w:val="24"/>
          <w:szCs w:val="18"/>
          <w:highlight w:val="none"/>
          <w:lang w:val="en-US" w:eastAsia="zh-CN"/>
        </w:rPr>
        <w:t>及公告期限</w:t>
      </w:r>
      <w:bookmarkEnd w:id="89"/>
      <w:bookmarkEnd w:id="90"/>
      <w:bookmarkEnd w:id="91"/>
      <w:bookmarkEnd w:id="92"/>
    </w:p>
    <w:p w14:paraId="7B5A7AC1">
      <w:pPr>
        <w:keepLines w:val="0"/>
        <w:pageBreakBefore w:val="0"/>
        <w:kinsoku/>
        <w:overflowPunct/>
        <w:topLinePunct w:val="0"/>
        <w:bidi w:val="0"/>
        <w:spacing w:line="460" w:lineRule="exact"/>
        <w:ind w:firstLine="360" w:firstLineChars="150"/>
        <w:rPr>
          <w:rFonts w:hint="eastAsia" w:ascii="宋体" w:hAnsi="宋体" w:cs="宋体"/>
          <w:bCs/>
          <w:color w:val="auto"/>
          <w:sz w:val="24"/>
          <w:szCs w:val="24"/>
          <w:highlight w:val="none"/>
          <w:lang w:val="en-US" w:eastAsia="zh-CN"/>
        </w:rPr>
      </w:pPr>
      <w:bookmarkStart w:id="93" w:name="_Toc424739979"/>
      <w:bookmarkStart w:id="94" w:name="_Toc495408512"/>
      <w:bookmarkStart w:id="95" w:name="_Toc495332373"/>
      <w:r>
        <w:rPr>
          <w:rFonts w:hint="eastAsia" w:ascii="宋体" w:hAnsi="宋体" w:cs="宋体"/>
          <w:bCs/>
          <w:color w:val="auto"/>
          <w:sz w:val="24"/>
          <w:szCs w:val="24"/>
          <w:highlight w:val="none"/>
          <w:lang w:val="en-US" w:eastAsia="zh-CN"/>
        </w:rPr>
        <w:t>1.本公告同时在云南省政府采购网（http://www.yngp.com/）、云南省政府采购电子交易平台（政采云https://www.zcygov.cn/）上发布，采购人及采购代理机构对其他网站或媒体转载的公告及公告内容不承担任何责任。</w:t>
      </w:r>
    </w:p>
    <w:p w14:paraId="5B1092FA">
      <w:pPr>
        <w:keepLines w:val="0"/>
        <w:pageBreakBefore w:val="0"/>
        <w:kinsoku/>
        <w:overflowPunct/>
        <w:topLinePunct w:val="0"/>
        <w:bidi w:val="0"/>
        <w:spacing w:line="460" w:lineRule="exact"/>
        <w:ind w:firstLine="360" w:firstLineChars="15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 公告期限：自本公告发布之日起5个工作日。</w:t>
      </w:r>
      <w:bookmarkEnd w:id="93"/>
      <w:bookmarkEnd w:id="94"/>
      <w:bookmarkEnd w:id="95"/>
      <w:bookmarkStart w:id="96" w:name="_Toc29687"/>
      <w:bookmarkStart w:id="97" w:name="_Toc35393626"/>
      <w:bookmarkStart w:id="98" w:name="_Toc15589"/>
      <w:bookmarkStart w:id="99" w:name="_Toc35393795"/>
      <w:bookmarkStart w:id="100" w:name="_Toc12975"/>
    </w:p>
    <w:p w14:paraId="10652C45">
      <w:pPr>
        <w:keepNext/>
        <w:keepLines w:val="0"/>
        <w:pageBreakBefore w:val="0"/>
        <w:tabs>
          <w:tab w:val="left" w:pos="1021"/>
        </w:tabs>
        <w:kinsoku/>
        <w:overflowPunct/>
        <w:topLinePunct w:val="0"/>
        <w:bidi w:val="0"/>
        <w:adjustRightInd w:val="0"/>
        <w:spacing w:after="0" w:line="460" w:lineRule="exact"/>
        <w:jc w:val="left"/>
        <w:textAlignment w:val="baseline"/>
        <w:outlineLvl w:val="1"/>
        <w:rPr>
          <w:rFonts w:hint="eastAsia" w:ascii="宋体" w:hAnsi="宋体" w:eastAsia="宋体" w:cs="宋体"/>
          <w:b/>
          <w:color w:val="auto"/>
          <w:kern w:val="0"/>
          <w:sz w:val="24"/>
          <w:szCs w:val="18"/>
          <w:highlight w:val="none"/>
          <w:lang w:val="en-US" w:eastAsia="zh-CN"/>
        </w:rPr>
      </w:pPr>
      <w:bookmarkStart w:id="101" w:name="_Toc3782"/>
      <w:bookmarkStart w:id="102" w:name="_Toc13951"/>
      <w:bookmarkStart w:id="103" w:name="_Toc25123"/>
      <w:bookmarkStart w:id="104" w:name="_Toc31908"/>
      <w:r>
        <w:rPr>
          <w:rFonts w:hint="eastAsia" w:ascii="宋体" w:hAnsi="宋体" w:eastAsia="宋体" w:cs="宋体"/>
          <w:b/>
          <w:color w:val="auto"/>
          <w:kern w:val="0"/>
          <w:sz w:val="24"/>
          <w:szCs w:val="18"/>
          <w:highlight w:val="none"/>
          <w:lang w:val="en-US" w:eastAsia="zh-CN"/>
        </w:rPr>
        <w:t>七、</w:t>
      </w:r>
      <w:bookmarkEnd w:id="96"/>
      <w:bookmarkEnd w:id="97"/>
      <w:bookmarkEnd w:id="98"/>
      <w:bookmarkEnd w:id="99"/>
      <w:bookmarkEnd w:id="100"/>
      <w:r>
        <w:rPr>
          <w:rFonts w:hint="eastAsia" w:ascii="宋体" w:hAnsi="宋体" w:cs="宋体"/>
          <w:b/>
          <w:color w:val="auto"/>
          <w:kern w:val="0"/>
          <w:sz w:val="24"/>
          <w:szCs w:val="18"/>
          <w:highlight w:val="none"/>
          <w:lang w:val="en-US" w:eastAsia="zh-CN"/>
        </w:rPr>
        <w:t>其他</w:t>
      </w:r>
      <w:r>
        <w:rPr>
          <w:rFonts w:hint="eastAsia" w:ascii="宋体" w:hAnsi="宋体" w:eastAsia="宋体" w:cs="宋体"/>
          <w:b/>
          <w:color w:val="auto"/>
          <w:kern w:val="0"/>
          <w:sz w:val="24"/>
          <w:szCs w:val="18"/>
          <w:highlight w:val="none"/>
          <w:lang w:val="en-US" w:eastAsia="zh-CN"/>
        </w:rPr>
        <w:t>补充事宜</w:t>
      </w:r>
      <w:bookmarkEnd w:id="101"/>
      <w:bookmarkEnd w:id="102"/>
      <w:bookmarkEnd w:id="103"/>
      <w:bookmarkEnd w:id="104"/>
      <w:bookmarkStart w:id="105" w:name="_Toc28359085"/>
      <w:bookmarkStart w:id="106" w:name="_Toc27496"/>
      <w:bookmarkStart w:id="107" w:name="_Toc35393627"/>
      <w:bookmarkStart w:id="108" w:name="_Toc21270"/>
      <w:bookmarkStart w:id="109" w:name="_Toc35393796"/>
      <w:bookmarkStart w:id="110" w:name="_Toc28359008"/>
      <w:bookmarkStart w:id="111" w:name="_Toc7990"/>
    </w:p>
    <w:p w14:paraId="5D4D2EB7">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开标方式：</w:t>
      </w:r>
      <w:r>
        <w:rPr>
          <w:rFonts w:hint="eastAsia" w:ascii="宋体" w:hAnsi="宋体"/>
          <w:color w:val="auto"/>
          <w:sz w:val="24"/>
          <w:highlight w:val="none"/>
          <w:lang w:eastAsia="zh-CN"/>
        </w:rPr>
        <w:t>云南省政府采购电子交易平台（政采云https://www.zcygov.cn/）</w:t>
      </w:r>
      <w:r>
        <w:rPr>
          <w:rFonts w:hint="eastAsia" w:ascii="宋体" w:hAnsi="宋体" w:eastAsia="宋体" w:cs="宋体"/>
          <w:color w:val="auto"/>
          <w:kern w:val="0"/>
          <w:sz w:val="24"/>
          <w:szCs w:val="24"/>
          <w:highlight w:val="none"/>
          <w:lang w:val="en-US" w:eastAsia="zh-CN"/>
        </w:rPr>
        <w:t>线上</w:t>
      </w:r>
      <w:r>
        <w:rPr>
          <w:rFonts w:hint="eastAsia" w:ascii="宋体" w:hAnsi="宋体" w:eastAsia="宋体" w:cs="宋体"/>
          <w:color w:val="auto"/>
          <w:kern w:val="0"/>
          <w:sz w:val="24"/>
          <w:highlight w:val="none"/>
          <w:lang w:val="en-US" w:eastAsia="zh-CN"/>
        </w:rPr>
        <w:t>开标</w:t>
      </w:r>
      <w:r>
        <w:rPr>
          <w:rFonts w:hint="eastAsia" w:ascii="宋体" w:hAnsi="宋体" w:cs="宋体"/>
          <w:color w:val="auto"/>
          <w:kern w:val="0"/>
          <w:sz w:val="24"/>
          <w:highlight w:val="none"/>
          <w:lang w:val="en-US" w:eastAsia="zh-CN"/>
        </w:rPr>
        <w:t>；</w:t>
      </w:r>
    </w:p>
    <w:p w14:paraId="2DFA123D">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是否需要缴纳</w:t>
      </w:r>
      <w:r>
        <w:rPr>
          <w:rFonts w:hint="eastAsia" w:ascii="宋体" w:hAnsi="宋体" w:cs="宋体"/>
          <w:color w:val="auto"/>
          <w:kern w:val="0"/>
          <w:sz w:val="24"/>
          <w:highlight w:val="none"/>
          <w:lang w:val="en-US" w:eastAsia="zh-CN"/>
        </w:rPr>
        <w:t>投标</w:t>
      </w:r>
      <w:r>
        <w:rPr>
          <w:rFonts w:hint="eastAsia" w:ascii="宋体" w:hAnsi="宋体" w:eastAsia="宋体" w:cs="宋体"/>
          <w:color w:val="auto"/>
          <w:kern w:val="0"/>
          <w:sz w:val="24"/>
          <w:highlight w:val="none"/>
          <w:lang w:val="en-US" w:eastAsia="zh-CN"/>
        </w:rPr>
        <w:t>保证金：</w:t>
      </w:r>
      <w:r>
        <w:rPr>
          <w:rFonts w:hint="eastAsia" w:ascii="宋体" w:hAnsi="宋体" w:cs="宋体"/>
          <w:color w:val="auto"/>
          <w:kern w:val="0"/>
          <w:sz w:val="24"/>
          <w:highlight w:val="none"/>
          <w:lang w:val="en-US" w:eastAsia="zh-CN"/>
        </w:rPr>
        <w:t>是</w:t>
      </w:r>
      <w:r>
        <w:rPr>
          <w:rFonts w:hint="eastAsia" w:ascii="宋体" w:hAnsi="宋体" w:eastAsia="宋体" w:cs="宋体"/>
          <w:color w:val="auto"/>
          <w:kern w:val="0"/>
          <w:sz w:val="24"/>
          <w:highlight w:val="none"/>
          <w:lang w:val="en-US" w:eastAsia="zh-CN"/>
        </w:rPr>
        <w:t>；</w:t>
      </w:r>
    </w:p>
    <w:p w14:paraId="54C31D81">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易门县环卫站购买县城环卫市政服务项目：</w:t>
      </w:r>
    </w:p>
    <w:p w14:paraId="07DB914D">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保证金金额：</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0000.00（元）；</w:t>
      </w:r>
    </w:p>
    <w:p w14:paraId="1EEC5028">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kern w:val="0"/>
          <w:sz w:val="24"/>
          <w:highlight w:val="none"/>
          <w:lang w:val="en-US" w:eastAsia="zh-CN"/>
        </w:rPr>
      </w:pPr>
      <w:r>
        <w:rPr>
          <w:rFonts w:hint="default" w:ascii="宋体" w:hAnsi="宋体" w:eastAsia="宋体" w:cs="Times New Roman"/>
          <w:color w:val="auto"/>
          <w:sz w:val="24"/>
          <w:highlight w:val="none"/>
          <w:lang w:val="en-US" w:eastAsia="zh-CN"/>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本项目已按照相关规定</w:t>
      </w:r>
      <w:r>
        <w:rPr>
          <w:rFonts w:hint="eastAsia" w:ascii="宋体" w:hAnsi="宋体" w:cs="Times New Roman"/>
          <w:color w:val="auto"/>
          <w:sz w:val="24"/>
          <w:highlight w:val="none"/>
          <w:lang w:val="en-US" w:eastAsia="zh-CN"/>
        </w:rPr>
        <w:t>将保证金</w:t>
      </w:r>
      <w:r>
        <w:rPr>
          <w:rFonts w:hint="default" w:ascii="宋体" w:hAnsi="宋体" w:eastAsia="宋体" w:cs="Times New Roman"/>
          <w:color w:val="auto"/>
          <w:sz w:val="24"/>
          <w:highlight w:val="none"/>
          <w:lang w:val="en-US" w:eastAsia="zh-CN"/>
        </w:rPr>
        <w:t>减免50%以上。</w:t>
      </w:r>
    </w:p>
    <w:p w14:paraId="7F0FA513">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保证金缴纳方式：电汇、网银、支票、汇票、本票、保函、银行转账、保证保险等非现金形式。</w:t>
      </w:r>
    </w:p>
    <w:p w14:paraId="11C82B34">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color w:val="auto"/>
          <w:highlight w:val="none"/>
          <w:lang w:val="en-US" w:eastAsia="zh-CN"/>
        </w:rPr>
      </w:pPr>
      <w:r>
        <w:rPr>
          <w:rFonts w:hint="eastAsia" w:ascii="宋体" w:hAnsi="宋体" w:eastAsia="宋体" w:cs="宋体"/>
          <w:color w:val="auto"/>
          <w:kern w:val="0"/>
          <w:sz w:val="24"/>
          <w:highlight w:val="none"/>
          <w:lang w:val="en-US" w:eastAsia="zh-CN"/>
        </w:rPr>
        <w:t>保证金缴纳截止时间：</w:t>
      </w:r>
      <w:r>
        <w:rPr>
          <w:rFonts w:hint="eastAsia" w:ascii="宋体" w:hAnsi="宋体" w:cs="宋体"/>
          <w:color w:val="auto"/>
          <w:sz w:val="24"/>
          <w:szCs w:val="24"/>
          <w:highlight w:val="none"/>
          <w:u w:val="single"/>
          <w:lang w:val="en-US" w:eastAsia="zh-CN"/>
        </w:rPr>
        <w:t>2026年09月30日09点00分</w:t>
      </w:r>
      <w:r>
        <w:rPr>
          <w:rFonts w:hint="eastAsia" w:ascii="宋体" w:hAnsi="宋体" w:eastAsia="宋体" w:cs="宋体"/>
          <w:color w:val="auto"/>
          <w:kern w:val="0"/>
          <w:sz w:val="24"/>
          <w:highlight w:val="none"/>
          <w:lang w:val="en-US" w:eastAsia="zh-CN"/>
        </w:rPr>
        <w:t>。</w:t>
      </w:r>
    </w:p>
    <w:p w14:paraId="721F9239">
      <w:pPr>
        <w:keepNext w:val="0"/>
        <w:keepLines w:val="0"/>
        <w:pageBreakBefore w:val="0"/>
        <w:widowControl w:val="0"/>
        <w:tabs>
          <w:tab w:val="left" w:pos="709"/>
        </w:tabs>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3.投标人为非法人机构的其他主体资格的，招标公告中法定代表人同时也指其他主体资格的负责人。</w:t>
      </w:r>
    </w:p>
    <w:p w14:paraId="4724A0F7">
      <w:pPr>
        <w:keepNext/>
        <w:keepLines w:val="0"/>
        <w:pageBreakBefore w:val="0"/>
        <w:tabs>
          <w:tab w:val="left" w:pos="1021"/>
        </w:tabs>
        <w:kinsoku/>
        <w:overflowPunct/>
        <w:topLinePunct w:val="0"/>
        <w:bidi w:val="0"/>
        <w:adjustRightInd w:val="0"/>
        <w:spacing w:after="0" w:line="460" w:lineRule="exact"/>
        <w:jc w:val="left"/>
        <w:textAlignment w:val="baseline"/>
        <w:outlineLvl w:val="1"/>
        <w:rPr>
          <w:rFonts w:hint="eastAsia" w:ascii="宋体" w:hAnsi="宋体" w:eastAsia="宋体" w:cs="宋体"/>
          <w:b/>
          <w:color w:val="auto"/>
          <w:kern w:val="0"/>
          <w:sz w:val="24"/>
          <w:szCs w:val="18"/>
          <w:highlight w:val="none"/>
          <w:lang w:val="en-US" w:eastAsia="zh-CN"/>
        </w:rPr>
      </w:pPr>
      <w:bookmarkStart w:id="112" w:name="_Toc2323"/>
      <w:bookmarkStart w:id="113" w:name="_Toc19711"/>
      <w:bookmarkStart w:id="114" w:name="_Toc17871"/>
      <w:bookmarkStart w:id="115" w:name="_Toc16514"/>
      <w:r>
        <w:rPr>
          <w:rFonts w:hint="eastAsia" w:ascii="宋体" w:hAnsi="宋体" w:eastAsia="宋体" w:cs="宋体"/>
          <w:b/>
          <w:color w:val="auto"/>
          <w:kern w:val="0"/>
          <w:sz w:val="24"/>
          <w:szCs w:val="18"/>
          <w:highlight w:val="none"/>
          <w:lang w:val="en-US" w:eastAsia="zh-CN"/>
        </w:rPr>
        <w:t>八、对本次招标提出询问，请按以下方式联系</w:t>
      </w:r>
      <w:bookmarkEnd w:id="105"/>
      <w:bookmarkEnd w:id="106"/>
      <w:bookmarkEnd w:id="107"/>
      <w:bookmarkEnd w:id="108"/>
      <w:bookmarkEnd w:id="109"/>
      <w:bookmarkEnd w:id="110"/>
      <w:bookmarkEnd w:id="111"/>
      <w:bookmarkEnd w:id="112"/>
      <w:bookmarkEnd w:id="113"/>
      <w:bookmarkEnd w:id="114"/>
      <w:bookmarkEnd w:id="115"/>
    </w:p>
    <w:p w14:paraId="5C025521">
      <w:pPr>
        <w:keepLines w:val="0"/>
        <w:pageBreakBefore w:val="0"/>
        <w:widowControl/>
        <w:kinsoku/>
        <w:overflowPunct/>
        <w:topLinePunct w:val="0"/>
        <w:bidi w:val="0"/>
        <w:spacing w:line="4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人信息</w:t>
      </w:r>
    </w:p>
    <w:p w14:paraId="672E59B9">
      <w:pPr>
        <w:keepLines w:val="0"/>
        <w:pageBreakBefore w:val="0"/>
        <w:kinsoku/>
        <w:wordWrap/>
        <w:overflowPunct/>
        <w:topLinePunct w:val="0"/>
        <w:bidi w:val="0"/>
        <w:spacing w:line="460" w:lineRule="exact"/>
        <w:ind w:firstLine="480" w:firstLineChars="200"/>
        <w:jc w:val="left"/>
        <w:rPr>
          <w:rFonts w:hint="eastAsia" w:ascii="宋体" w:hAnsi="宋体" w:cs="宋体"/>
          <w:color w:val="auto"/>
          <w:sz w:val="24"/>
          <w:highlight w:val="none"/>
          <w:lang w:eastAsia="zh-CN"/>
        </w:rPr>
      </w:pPr>
      <w:bookmarkStart w:id="116" w:name="_Toc28359009"/>
      <w:bookmarkStart w:id="117" w:name="_Toc28359086"/>
      <w:r>
        <w:rPr>
          <w:rFonts w:hint="eastAsia" w:ascii="宋体" w:hAnsi="宋体" w:eastAsia="宋体" w:cs="宋体"/>
          <w:color w:val="auto"/>
          <w:sz w:val="24"/>
          <w:highlight w:val="none"/>
        </w:rPr>
        <w:t>名称：</w:t>
      </w:r>
      <w:r>
        <w:rPr>
          <w:rFonts w:hint="eastAsia" w:ascii="宋体" w:hAnsi="宋体" w:cs="宋体"/>
          <w:color w:val="auto"/>
          <w:sz w:val="24"/>
          <w:highlight w:val="none"/>
          <w:lang w:eastAsia="zh-CN"/>
        </w:rPr>
        <w:t>易门县环卫站</w:t>
      </w:r>
    </w:p>
    <w:p w14:paraId="0909DADC">
      <w:pPr>
        <w:keepLines w:val="0"/>
        <w:pageBreakBefore w:val="0"/>
        <w:kinsoku/>
        <w:wordWrap/>
        <w:overflowPunct/>
        <w:topLinePunct w:val="0"/>
        <w:bidi w:val="0"/>
        <w:spacing w:line="460" w:lineRule="exact"/>
        <w:ind w:firstLine="480" w:firstLineChars="200"/>
        <w:jc w:val="left"/>
        <w:rPr>
          <w:rFonts w:ascii="宋体" w:hAnsi="宋体" w:cs="宋体"/>
          <w:color w:val="auto"/>
          <w:sz w:val="24"/>
          <w:highlight w:val="none"/>
        </w:rPr>
      </w:pPr>
      <w:r>
        <w:rPr>
          <w:rFonts w:hint="eastAsia" w:ascii="宋体" w:hAnsi="宋体" w:eastAsia="宋体" w:cs="宋体"/>
          <w:color w:val="auto"/>
          <w:sz w:val="24"/>
          <w:highlight w:val="none"/>
        </w:rPr>
        <w:t>地址：</w:t>
      </w:r>
      <w:r>
        <w:rPr>
          <w:rFonts w:hint="eastAsia" w:ascii="宋体" w:hAnsi="宋体" w:cs="宋体"/>
          <w:color w:val="auto"/>
          <w:sz w:val="24"/>
          <w:highlight w:val="none"/>
          <w:lang w:eastAsia="zh-CN"/>
        </w:rPr>
        <w:t>易门县皇阁苑小区东门西南100米</w:t>
      </w:r>
    </w:p>
    <w:p w14:paraId="30F6F19B">
      <w:pPr>
        <w:keepLines w:val="0"/>
        <w:pageBreakBefore w:val="0"/>
        <w:kinsoku/>
        <w:wordWrap/>
        <w:overflowPunct/>
        <w:topLinePunct w:val="0"/>
        <w:bidi w:val="0"/>
        <w:spacing w:line="460" w:lineRule="exact"/>
        <w:ind w:firstLine="480" w:firstLineChars="200"/>
        <w:jc w:val="left"/>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highlight w:val="none"/>
        </w:rPr>
        <w:t>联系方式：</w:t>
      </w:r>
      <w:r>
        <w:rPr>
          <w:rFonts w:hint="eastAsia" w:ascii="宋体" w:hAnsi="宋体" w:cs="宋体"/>
          <w:color w:val="000000" w:themeColor="text1"/>
          <w:sz w:val="24"/>
          <w:highlight w:val="none"/>
          <w:lang w:eastAsia="zh-CN"/>
          <w14:textFill>
            <w14:solidFill>
              <w14:schemeClr w14:val="tx1"/>
            </w14:solidFill>
          </w14:textFill>
        </w:rPr>
        <w:t>0877-</w:t>
      </w:r>
      <w:r>
        <w:rPr>
          <w:rFonts w:hint="eastAsia" w:ascii="宋体" w:hAnsi="宋体" w:cs="宋体"/>
          <w:color w:val="000000" w:themeColor="text1"/>
          <w:sz w:val="24"/>
          <w:highlight w:val="none"/>
          <w:lang w:val="en-US" w:eastAsia="zh-CN"/>
          <w14:textFill>
            <w14:solidFill>
              <w14:schemeClr w14:val="tx1"/>
            </w14:solidFill>
          </w14:textFill>
        </w:rPr>
        <w:t>4961587</w:t>
      </w:r>
    </w:p>
    <w:bookmarkEnd w:id="116"/>
    <w:bookmarkEnd w:id="117"/>
    <w:p w14:paraId="15F102FB">
      <w:pPr>
        <w:keepLines w:val="0"/>
        <w:pageBreakBefore w:val="0"/>
        <w:kinsoku/>
        <w:overflowPunct/>
        <w:topLinePunct w:val="0"/>
        <w:bidi w:val="0"/>
        <w:spacing w:line="50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代理机构信息</w:t>
      </w:r>
    </w:p>
    <w:p w14:paraId="3DAA070E">
      <w:pPr>
        <w:keepLines w:val="0"/>
        <w:pageBreakBefore w:val="0"/>
        <w:kinsoku/>
        <w:overflowPunct/>
        <w:topLinePunct w:val="0"/>
        <w:bidi w:val="0"/>
        <w:spacing w:line="500" w:lineRule="exact"/>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称：</w:t>
      </w:r>
      <w:r>
        <w:rPr>
          <w:rFonts w:hint="eastAsia" w:ascii="宋体" w:hAnsi="宋体" w:cs="宋体"/>
          <w:bCs/>
          <w:color w:val="000000" w:themeColor="text1"/>
          <w:kern w:val="0"/>
          <w:sz w:val="24"/>
          <w:highlight w:val="none"/>
          <w:lang w:eastAsia="zh-CN"/>
          <w14:textFill>
            <w14:solidFill>
              <w14:schemeClr w14:val="tx1"/>
            </w14:solidFill>
          </w14:textFill>
        </w:rPr>
        <w:t>玉溪优午项目管理咨询有限公司</w:t>
      </w:r>
    </w:p>
    <w:p w14:paraId="491C6114">
      <w:pPr>
        <w:keepLines w:val="0"/>
        <w:pageBreakBefore w:val="0"/>
        <w:kinsoku/>
        <w:overflowPunct/>
        <w:topLinePunct w:val="0"/>
        <w:bidi w:val="0"/>
        <w:spacing w:line="500" w:lineRule="exact"/>
        <w:ind w:firstLine="480" w:firstLineChars="20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址：</w:t>
      </w:r>
      <w:r>
        <w:rPr>
          <w:rFonts w:hint="eastAsia" w:ascii="宋体" w:hAnsi="宋体" w:cs="宋体"/>
          <w:color w:val="000000" w:themeColor="text1"/>
          <w:sz w:val="24"/>
          <w:highlight w:val="none"/>
          <w:lang w:val="en-US" w:eastAsia="zh-CN"/>
          <w14:textFill>
            <w14:solidFill>
              <w14:schemeClr w14:val="tx1"/>
            </w14:solidFill>
          </w14:textFill>
        </w:rPr>
        <w:t>易门县龙泉街道龙泉西路260号</w:t>
      </w:r>
    </w:p>
    <w:p w14:paraId="1554CE6B">
      <w:pPr>
        <w:keepLines w:val="0"/>
        <w:pageBreakBefore w:val="0"/>
        <w:kinsoku/>
        <w:overflowPunct/>
        <w:topLinePunct w:val="0"/>
        <w:bidi w:val="0"/>
        <w:spacing w:line="500" w:lineRule="exact"/>
        <w:ind w:firstLine="480" w:firstLineChars="200"/>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bookmarkStart w:id="118" w:name="_Toc28359010"/>
      <w:bookmarkStart w:id="119" w:name="_Toc28359087"/>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陈室伯</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1</w:t>
      </w:r>
      <w:r>
        <w:rPr>
          <w:rFonts w:hint="eastAsia" w:ascii="宋体" w:hAnsi="宋体" w:cs="宋体"/>
          <w:bCs/>
          <w:color w:val="000000" w:themeColor="text1"/>
          <w:kern w:val="0"/>
          <w:sz w:val="24"/>
          <w:highlight w:val="none"/>
          <w:lang w:val="en-US" w:eastAsia="zh-CN"/>
          <w14:textFill>
            <w14:solidFill>
              <w14:schemeClr w14:val="tx1"/>
            </w14:solidFill>
          </w14:textFill>
        </w:rPr>
        <w:t>8887728220</w:t>
      </w:r>
    </w:p>
    <w:bookmarkEnd w:id="118"/>
    <w:bookmarkEnd w:id="119"/>
    <w:p w14:paraId="3DC690D1">
      <w:pPr>
        <w:pStyle w:val="36"/>
        <w:keepLines w:val="0"/>
        <w:pageBreakBefore w:val="0"/>
        <w:kinsoku/>
        <w:overflowPunct/>
        <w:topLinePunct w:val="0"/>
        <w:bidi w:val="0"/>
        <w:spacing w:line="46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08</w:t>
      </w:r>
      <w:r>
        <w:rPr>
          <w:rFonts w:hint="eastAsia" w:ascii="宋体" w:hAnsi="宋体" w:eastAsia="宋体" w:cs="宋体"/>
          <w:color w:val="auto"/>
          <w:sz w:val="24"/>
          <w:szCs w:val="24"/>
          <w:highlight w:val="none"/>
        </w:rPr>
        <w:t>日</w:t>
      </w:r>
    </w:p>
    <w:p w14:paraId="53C169E7">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Cs/>
          <w:color w:val="auto"/>
          <w:highlight w:val="none"/>
        </w:rPr>
        <w:sectPr>
          <w:footerReference r:id="rId9" w:type="first"/>
          <w:footerReference r:id="rId8" w:type="default"/>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p>
    <w:bookmarkEnd w:id="41"/>
    <w:bookmarkEnd w:id="42"/>
    <w:bookmarkEnd w:id="43"/>
    <w:bookmarkEnd w:id="44"/>
    <w:bookmarkEnd w:id="45"/>
    <w:bookmarkEnd w:id="46"/>
    <w:bookmarkEnd w:id="47"/>
    <w:p w14:paraId="0F18F889">
      <w:pPr>
        <w:pStyle w:val="2"/>
        <w:keepLines w:val="0"/>
        <w:pageBreakBefore w:val="0"/>
        <w:numPr>
          <w:ilvl w:val="0"/>
          <w:numId w:val="0"/>
        </w:numPr>
        <w:kinsoku/>
        <w:overflowPunct/>
        <w:topLinePunct w:val="0"/>
        <w:bidi w:val="0"/>
        <w:spacing w:line="480" w:lineRule="exact"/>
        <w:rPr>
          <w:rFonts w:hint="eastAsia" w:ascii="宋体" w:hAnsi="宋体" w:eastAsia="宋体" w:cs="宋体"/>
          <w:color w:val="auto"/>
          <w:sz w:val="44"/>
          <w:szCs w:val="44"/>
          <w:highlight w:val="none"/>
        </w:rPr>
      </w:pPr>
      <w:bookmarkStart w:id="120" w:name="_Toc29381"/>
      <w:bookmarkStart w:id="121" w:name="_Toc21772"/>
      <w:bookmarkStart w:id="122" w:name="_Toc456"/>
      <w:bookmarkStart w:id="123" w:name="_Toc30756"/>
      <w:bookmarkStart w:id="124" w:name="_Toc25807"/>
      <w:bookmarkStart w:id="125" w:name="_Toc31035"/>
      <w:r>
        <w:rPr>
          <w:rFonts w:hint="eastAsia" w:ascii="宋体" w:hAnsi="宋体" w:eastAsia="宋体" w:cs="宋体"/>
          <w:color w:val="auto"/>
          <w:sz w:val="44"/>
          <w:szCs w:val="44"/>
          <w:highlight w:val="none"/>
        </w:rPr>
        <w:t>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投标人须知</w:t>
      </w:r>
      <w:bookmarkEnd w:id="120"/>
      <w:bookmarkEnd w:id="121"/>
      <w:bookmarkEnd w:id="122"/>
      <w:bookmarkEnd w:id="123"/>
      <w:bookmarkEnd w:id="124"/>
      <w:bookmarkEnd w:id="125"/>
    </w:p>
    <w:p w14:paraId="278FD0DE">
      <w:pPr>
        <w:pStyle w:val="3"/>
        <w:keepLines w:val="0"/>
        <w:pageBreakBefore w:val="0"/>
        <w:widowControl w:val="0"/>
        <w:kinsoku/>
        <w:wordWrap/>
        <w:overflowPunct/>
        <w:topLinePunct w:val="0"/>
        <w:autoSpaceDE/>
        <w:autoSpaceDN/>
        <w:bidi w:val="0"/>
        <w:adjustRightInd w:val="0"/>
        <w:snapToGrid w:val="0"/>
        <w:spacing w:line="440" w:lineRule="exact"/>
        <w:ind w:firstLine="241" w:firstLineChars="100"/>
        <w:jc w:val="center"/>
        <w:textAlignment w:val="auto"/>
        <w:rPr>
          <w:rFonts w:hint="eastAsia" w:ascii="宋体" w:hAnsi="宋体" w:eastAsia="宋体" w:cs="宋体"/>
          <w:color w:val="auto"/>
          <w:highlight w:val="none"/>
        </w:rPr>
      </w:pPr>
      <w:bookmarkStart w:id="126" w:name="_Toc28296"/>
      <w:bookmarkStart w:id="127" w:name="_Toc288145182"/>
      <w:bookmarkStart w:id="128" w:name="_Toc21162"/>
      <w:bookmarkStart w:id="129" w:name="_Toc16524"/>
      <w:bookmarkStart w:id="130" w:name="_Toc18319"/>
      <w:bookmarkStart w:id="131" w:name="_Toc27204"/>
      <w:bookmarkStart w:id="132" w:name="_Toc27857"/>
      <w:bookmarkStart w:id="133" w:name="_Toc16241"/>
      <w:r>
        <w:rPr>
          <w:rFonts w:hint="eastAsia" w:ascii="宋体" w:hAnsi="宋体" w:eastAsia="宋体" w:cs="宋体"/>
          <w:color w:val="auto"/>
          <w:highlight w:val="none"/>
        </w:rPr>
        <w:t>投标人须知前附表</w:t>
      </w:r>
      <w:bookmarkEnd w:id="126"/>
      <w:bookmarkEnd w:id="127"/>
      <w:bookmarkEnd w:id="128"/>
      <w:bookmarkEnd w:id="129"/>
      <w:bookmarkEnd w:id="130"/>
      <w:bookmarkEnd w:id="131"/>
      <w:bookmarkEnd w:id="132"/>
      <w:bookmarkEnd w:id="133"/>
    </w:p>
    <w:tbl>
      <w:tblPr>
        <w:tblStyle w:val="28"/>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863"/>
        <w:gridCol w:w="6651"/>
      </w:tblGrid>
      <w:tr w14:paraId="3196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1009" w:type="dxa"/>
            <w:vAlign w:val="center"/>
          </w:tcPr>
          <w:p w14:paraId="41EC4FD8">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863" w:type="dxa"/>
            <w:vAlign w:val="center"/>
          </w:tcPr>
          <w:p w14:paraId="3DEE0015">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 款 名 称</w:t>
            </w:r>
          </w:p>
        </w:tc>
        <w:tc>
          <w:tcPr>
            <w:tcW w:w="6651" w:type="dxa"/>
            <w:vAlign w:val="center"/>
          </w:tcPr>
          <w:p w14:paraId="317F90BB">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0047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1009" w:type="dxa"/>
            <w:vAlign w:val="center"/>
          </w:tcPr>
          <w:p w14:paraId="7358C4AD">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63" w:type="dxa"/>
            <w:vAlign w:val="center"/>
          </w:tcPr>
          <w:p w14:paraId="3D8A15D7">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lang w:eastAsia="zh-CN"/>
              </w:rPr>
              <w:t>采购人</w:t>
            </w:r>
          </w:p>
        </w:tc>
        <w:tc>
          <w:tcPr>
            <w:tcW w:w="6651" w:type="dxa"/>
            <w:vAlign w:val="center"/>
          </w:tcPr>
          <w:p w14:paraId="6985F80F">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名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称：</w:t>
            </w:r>
            <w:r>
              <w:rPr>
                <w:rFonts w:hint="eastAsia" w:ascii="宋体" w:hAnsi="宋体" w:cs="宋体"/>
                <w:color w:val="auto"/>
                <w:sz w:val="24"/>
                <w:highlight w:val="none"/>
                <w:lang w:eastAsia="zh-CN"/>
              </w:rPr>
              <w:t>易门县环卫站</w:t>
            </w:r>
          </w:p>
          <w:p w14:paraId="4CAC59B0">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易门县皇阁苑小区东门西南100米</w:t>
            </w:r>
          </w:p>
          <w:p w14:paraId="7404C6BF">
            <w:pPr>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cs="宋体"/>
                <w:color w:val="000000" w:themeColor="text1"/>
                <w:sz w:val="24"/>
                <w:highlight w:val="none"/>
                <w:lang w:eastAsia="zh-CN"/>
                <w14:textFill>
                  <w14:solidFill>
                    <w14:schemeClr w14:val="tx1"/>
                  </w14:solidFill>
                </w14:textFill>
              </w:rPr>
              <w:t>0877-</w:t>
            </w:r>
            <w:r>
              <w:rPr>
                <w:rFonts w:hint="eastAsia" w:ascii="宋体" w:hAnsi="宋体" w:cs="宋体"/>
                <w:color w:val="000000" w:themeColor="text1"/>
                <w:sz w:val="24"/>
                <w:highlight w:val="none"/>
                <w:lang w:val="en-US" w:eastAsia="zh-CN"/>
                <w14:textFill>
                  <w14:solidFill>
                    <w14:schemeClr w14:val="tx1"/>
                  </w14:solidFill>
                </w14:textFill>
              </w:rPr>
              <w:t>4961587</w:t>
            </w:r>
          </w:p>
        </w:tc>
      </w:tr>
      <w:tr w14:paraId="4EC88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jc w:val="center"/>
        </w:trPr>
        <w:tc>
          <w:tcPr>
            <w:tcW w:w="1009" w:type="dxa"/>
            <w:vAlign w:val="center"/>
          </w:tcPr>
          <w:p w14:paraId="5CCDE4D1">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3" w:type="dxa"/>
            <w:vAlign w:val="center"/>
          </w:tcPr>
          <w:p w14:paraId="24CDD902">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采购代理机构</w:t>
            </w:r>
          </w:p>
        </w:tc>
        <w:tc>
          <w:tcPr>
            <w:tcW w:w="6651" w:type="dxa"/>
            <w:vAlign w:val="center"/>
          </w:tcPr>
          <w:p w14:paraId="3F3D3825">
            <w:pPr>
              <w:pStyle w:val="16"/>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称：</w:t>
            </w:r>
            <w:r>
              <w:rPr>
                <w:rFonts w:hint="eastAsia" w:hAnsi="宋体" w:cs="宋体"/>
                <w:color w:val="auto"/>
                <w:sz w:val="24"/>
                <w:highlight w:val="none"/>
                <w:lang w:eastAsia="zh-CN"/>
              </w:rPr>
              <w:t>玉溪优午项目管理咨询有限公司</w:t>
            </w:r>
          </w:p>
          <w:p w14:paraId="186F2C5B">
            <w:pPr>
              <w:pStyle w:val="16"/>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hAnsi="宋体" w:cs="宋体"/>
                <w:color w:val="auto"/>
                <w:sz w:val="24"/>
                <w:highlight w:val="none"/>
                <w:lang w:eastAsia="zh-CN"/>
              </w:rPr>
              <w:t>易门县</w:t>
            </w:r>
            <w:r>
              <w:rPr>
                <w:rFonts w:hint="eastAsia" w:hAnsi="宋体" w:cs="宋体"/>
                <w:color w:val="auto"/>
                <w:sz w:val="24"/>
                <w:highlight w:val="none"/>
                <w:lang w:val="en-US" w:eastAsia="zh-CN"/>
              </w:rPr>
              <w:t>龙泉街道</w:t>
            </w:r>
            <w:r>
              <w:rPr>
                <w:rFonts w:hint="eastAsia" w:hAnsi="宋体" w:cs="宋体"/>
                <w:color w:val="auto"/>
                <w:sz w:val="24"/>
                <w:highlight w:val="none"/>
                <w:lang w:eastAsia="zh-CN"/>
              </w:rPr>
              <w:t>龙泉西路260号</w:t>
            </w:r>
          </w:p>
          <w:p w14:paraId="27ADB0E6">
            <w:pPr>
              <w:pStyle w:val="16"/>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color w:val="auto"/>
                <w:highlight w:val="none"/>
                <w:lang w:eastAsia="zh-CN"/>
              </w:rPr>
            </w:pPr>
            <w:r>
              <w:rPr>
                <w:rFonts w:hint="eastAsia" w:ascii="宋体" w:hAnsi="宋体" w:eastAsia="宋体" w:cs="宋体"/>
                <w:color w:val="auto"/>
                <w:sz w:val="24"/>
                <w:highlight w:val="none"/>
              </w:rPr>
              <w:t>联系</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rPr>
              <w:t>：</w:t>
            </w:r>
            <w:r>
              <w:rPr>
                <w:rFonts w:hint="eastAsia" w:hAnsi="宋体" w:cs="宋体"/>
                <w:color w:val="auto"/>
                <w:sz w:val="24"/>
                <w:highlight w:val="none"/>
                <w:lang w:val="en-US" w:eastAsia="zh-CN"/>
              </w:rPr>
              <w:t>陈室伯</w:t>
            </w:r>
            <w:r>
              <w:rPr>
                <w:rFonts w:hint="eastAsia" w:ascii="宋体" w:hAnsi="宋体" w:eastAsia="宋体" w:cs="宋体"/>
                <w:color w:val="auto"/>
                <w:sz w:val="24"/>
                <w:highlight w:val="none"/>
                <w:lang w:val="en-US" w:eastAsia="zh-CN"/>
              </w:rPr>
              <w:t xml:space="preserve">  联系方式：</w:t>
            </w:r>
            <w:r>
              <w:rPr>
                <w:rFonts w:hint="eastAsia" w:hAnsi="宋体" w:cs="宋体"/>
                <w:color w:val="auto"/>
                <w:sz w:val="24"/>
                <w:highlight w:val="none"/>
                <w:lang w:val="en-US" w:eastAsia="zh-CN"/>
              </w:rPr>
              <w:t>18887728220</w:t>
            </w:r>
          </w:p>
        </w:tc>
      </w:tr>
      <w:tr w14:paraId="271F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vAlign w:val="center"/>
          </w:tcPr>
          <w:p w14:paraId="3A6FC4F4">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63" w:type="dxa"/>
            <w:vAlign w:val="center"/>
          </w:tcPr>
          <w:p w14:paraId="4F846595">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项目编号及</w:t>
            </w:r>
          </w:p>
          <w:p w14:paraId="2CB96C81">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651" w:type="dxa"/>
            <w:vAlign w:val="center"/>
          </w:tcPr>
          <w:p w14:paraId="6069ED52">
            <w:pPr>
              <w:pStyle w:val="16"/>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hAnsi="宋体" w:cs="宋体"/>
                <w:color w:val="auto"/>
                <w:sz w:val="24"/>
                <w:highlight w:val="none"/>
                <w:lang w:eastAsia="zh-CN"/>
              </w:rPr>
            </w:pPr>
            <w:r>
              <w:rPr>
                <w:rFonts w:hint="eastAsia" w:ascii="宋体" w:hAnsi="宋体" w:eastAsia="宋体" w:cs="宋体"/>
                <w:color w:val="auto"/>
                <w:sz w:val="24"/>
                <w:highlight w:val="none"/>
              </w:rPr>
              <w:t>项目编号：</w:t>
            </w:r>
            <w:r>
              <w:rPr>
                <w:rFonts w:hint="eastAsia" w:hAnsi="宋体" w:cs="宋体"/>
                <w:color w:val="auto"/>
                <w:sz w:val="24"/>
                <w:highlight w:val="none"/>
                <w:lang w:eastAsia="zh-CN"/>
              </w:rPr>
              <w:t>YXYWZB（2026）042号</w:t>
            </w:r>
          </w:p>
          <w:p w14:paraId="4BCCC034">
            <w:pPr>
              <w:pStyle w:val="16"/>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项目名称：</w:t>
            </w:r>
            <w:r>
              <w:rPr>
                <w:rFonts w:hint="eastAsia" w:hAnsi="宋体" w:cs="宋体"/>
                <w:color w:val="auto"/>
                <w:sz w:val="24"/>
                <w:highlight w:val="none"/>
                <w:lang w:eastAsia="zh-CN"/>
              </w:rPr>
              <w:t>易门县环卫站购买县城环卫市政服务项目</w:t>
            </w:r>
          </w:p>
        </w:tc>
      </w:tr>
      <w:tr w14:paraId="1C16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vAlign w:val="center"/>
          </w:tcPr>
          <w:p w14:paraId="5424DAFC">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63" w:type="dxa"/>
            <w:vAlign w:val="center"/>
          </w:tcPr>
          <w:p w14:paraId="15914F5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资金来源及</w:t>
            </w:r>
            <w:r>
              <w:rPr>
                <w:rFonts w:hint="eastAsia" w:ascii="宋体" w:hAnsi="宋体" w:eastAsia="宋体" w:cs="宋体"/>
                <w:color w:val="auto"/>
                <w:sz w:val="24"/>
                <w:highlight w:val="none"/>
              </w:rPr>
              <w:t>资金落实情况</w:t>
            </w:r>
          </w:p>
        </w:tc>
        <w:tc>
          <w:tcPr>
            <w:tcW w:w="6651" w:type="dxa"/>
            <w:vAlign w:val="center"/>
          </w:tcPr>
          <w:p w14:paraId="45F78564">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资金来源：</w:t>
            </w:r>
            <w:r>
              <w:rPr>
                <w:rFonts w:hint="eastAsia" w:ascii="宋体" w:hAnsi="宋体" w:eastAsia="宋体" w:cs="宋体"/>
                <w:color w:val="auto"/>
                <w:sz w:val="24"/>
                <w:highlight w:val="none"/>
              </w:rPr>
              <w:t>财政资金</w:t>
            </w:r>
            <w:r>
              <w:rPr>
                <w:rFonts w:hint="eastAsia" w:ascii="宋体" w:hAnsi="宋体" w:cs="宋体"/>
                <w:color w:val="auto"/>
                <w:sz w:val="24"/>
                <w:highlight w:val="none"/>
                <w:lang w:eastAsia="zh-CN"/>
              </w:rPr>
              <w:t>；</w:t>
            </w:r>
          </w:p>
          <w:p w14:paraId="02C268D2">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资金落实情况</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已落实</w:t>
            </w:r>
            <w:r>
              <w:rPr>
                <w:rFonts w:hint="eastAsia" w:ascii="宋体" w:hAnsi="宋体" w:cs="宋体"/>
                <w:color w:val="auto"/>
                <w:sz w:val="24"/>
                <w:highlight w:val="none"/>
                <w:lang w:eastAsia="zh-CN"/>
              </w:rPr>
              <w:t>。</w:t>
            </w:r>
          </w:p>
        </w:tc>
      </w:tr>
      <w:tr w14:paraId="060F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09" w:type="dxa"/>
            <w:vAlign w:val="center"/>
          </w:tcPr>
          <w:p w14:paraId="0A00C315">
            <w:pPr>
              <w:pStyle w:val="16"/>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863" w:type="dxa"/>
            <w:vAlign w:val="center"/>
          </w:tcPr>
          <w:p w14:paraId="069EDE79">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宋体" w:hAnsi="宋体" w:eastAsia="宋体" w:cs="宋体"/>
                <w:b/>
                <w:bCs/>
                <w:color w:val="auto"/>
                <w:sz w:val="24"/>
                <w:highlight w:val="none"/>
                <w:lang w:val="en-US" w:eastAsia="zh-CN"/>
              </w:rPr>
            </w:pPr>
            <w:r>
              <w:rPr>
                <w:rFonts w:hint="eastAsia" w:hAnsi="宋体"/>
                <w:b/>
                <w:bCs/>
                <w:color w:val="auto"/>
                <w:sz w:val="24"/>
                <w:szCs w:val="24"/>
                <w:highlight w:val="none"/>
              </w:rPr>
              <w:t>项目预算</w:t>
            </w:r>
            <w:r>
              <w:rPr>
                <w:rFonts w:hint="eastAsia" w:hAnsi="宋体"/>
                <w:b/>
                <w:bCs/>
                <w:color w:val="auto"/>
                <w:sz w:val="24"/>
                <w:szCs w:val="24"/>
                <w:highlight w:val="none"/>
                <w:lang w:val="en-US" w:eastAsia="zh-CN"/>
              </w:rPr>
              <w:t>及最高限价</w:t>
            </w:r>
          </w:p>
        </w:tc>
        <w:tc>
          <w:tcPr>
            <w:tcW w:w="6651" w:type="dxa"/>
            <w:vAlign w:val="center"/>
          </w:tcPr>
          <w:p w14:paraId="7618E7A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￥12577897.88元（大写：人民币壹仟贰佰伍拾柒万柒仟捌佰玖拾柒元捌角捌分）</w:t>
            </w:r>
            <w:r>
              <w:rPr>
                <w:rFonts w:hint="eastAsia" w:ascii="宋体" w:hAnsi="宋体" w:cs="宋体"/>
                <w:b/>
                <w:bCs/>
                <w:color w:val="auto"/>
                <w:sz w:val="24"/>
                <w:highlight w:val="none"/>
                <w:lang w:val="en-US" w:eastAsia="zh-CN"/>
              </w:rPr>
              <w:t>。</w:t>
            </w:r>
          </w:p>
        </w:tc>
      </w:tr>
      <w:tr w14:paraId="2CAF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09" w:type="dxa"/>
            <w:vAlign w:val="center"/>
          </w:tcPr>
          <w:p w14:paraId="33DE3D28">
            <w:pPr>
              <w:pStyle w:val="16"/>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863" w:type="dxa"/>
            <w:vAlign w:val="center"/>
          </w:tcPr>
          <w:p w14:paraId="4B06627E">
            <w:pPr>
              <w:pStyle w:val="16"/>
              <w:keepNext w:val="0"/>
              <w:keepLines w:val="0"/>
              <w:pageBreakBefore w:val="0"/>
              <w:kinsoku/>
              <w:wordWrap/>
              <w:overflowPunct/>
              <w:topLinePunct w:val="0"/>
              <w:bidi w:val="0"/>
              <w:spacing w:line="480" w:lineRule="exact"/>
              <w:jc w:val="center"/>
              <w:rPr>
                <w:rFonts w:hint="eastAsia" w:hAnsi="宋体"/>
                <w:b/>
                <w:bCs/>
                <w:color w:val="auto"/>
                <w:sz w:val="24"/>
                <w:szCs w:val="24"/>
                <w:highlight w:val="none"/>
              </w:rPr>
            </w:pPr>
            <w:r>
              <w:rPr>
                <w:rFonts w:hint="eastAsia" w:ascii="宋体" w:hAnsi="宋体" w:eastAsia="宋体" w:cs="宋体"/>
                <w:b/>
                <w:bCs/>
                <w:color w:val="auto"/>
                <w:sz w:val="24"/>
                <w:szCs w:val="24"/>
                <w:highlight w:val="none"/>
                <w:lang w:val="en-US" w:eastAsia="zh-CN"/>
              </w:rPr>
              <w:t>★报价方式</w:t>
            </w:r>
          </w:p>
        </w:tc>
        <w:tc>
          <w:tcPr>
            <w:tcW w:w="6651" w:type="dxa"/>
            <w:vAlign w:val="center"/>
          </w:tcPr>
          <w:p w14:paraId="6A8FB300">
            <w:pPr>
              <w:keepLines w:val="0"/>
              <w:pageBreakBefore w:val="0"/>
              <w:widowControl w:val="0"/>
              <w:kinsoku/>
              <w:wordWrap/>
              <w:overflowPunct/>
              <w:topLinePunct w:val="0"/>
              <w:autoSpaceDE w:val="0"/>
              <w:autoSpaceDN w:val="0"/>
              <w:bidi w:val="0"/>
              <w:adjustRightInd w:val="0"/>
              <w:snapToGrid w:val="0"/>
              <w:spacing w:line="420" w:lineRule="exact"/>
              <w:jc w:val="left"/>
              <w:textAlignment w:val="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①投标单位参考国家、行业相关收费标准，结合投标企业自身实力，填报包干总报价（含税，元）及分项包干单价，单价限价详见第六章“采购需求”。投标单位的投标报价不得高于项目预算及最高限价及第六章“采购需求”中公布分项单价，否则按否决投标处理。</w:t>
            </w:r>
          </w:p>
          <w:p w14:paraId="17B5CF66">
            <w:pPr>
              <w:keepLines w:val="0"/>
              <w:pageBreakBefore w:val="0"/>
              <w:widowControl w:val="0"/>
              <w:kinsoku/>
              <w:wordWrap/>
              <w:overflowPunct/>
              <w:topLinePunct w:val="0"/>
              <w:autoSpaceDE w:val="0"/>
              <w:autoSpaceDN w:val="0"/>
              <w:bidi w:val="0"/>
              <w:adjustRightInd w:val="0"/>
              <w:snapToGrid w:val="0"/>
              <w:spacing w:line="420" w:lineRule="exact"/>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②报价应</w:t>
            </w:r>
            <w:r>
              <w:rPr>
                <w:rFonts w:hint="eastAsia" w:ascii="宋体" w:hAnsi="宋体" w:cs="宋体"/>
                <w:b/>
                <w:bCs/>
                <w:color w:val="auto"/>
                <w:sz w:val="24"/>
                <w:highlight w:val="none"/>
                <w:lang w:val="en-US" w:eastAsia="zh-CN"/>
              </w:rPr>
              <w:t>符合</w:t>
            </w:r>
            <w:r>
              <w:rPr>
                <w:rFonts w:hint="eastAsia" w:ascii="宋体" w:hAnsi="宋体" w:eastAsia="宋体" w:cs="宋体"/>
                <w:b/>
                <w:bCs/>
                <w:color w:val="auto"/>
                <w:sz w:val="24"/>
                <w:highlight w:val="none"/>
                <w:lang w:val="en-US" w:eastAsia="zh-CN"/>
              </w:rPr>
              <w:t>国内行情并能保证完成履行合同所需的</w:t>
            </w:r>
            <w:r>
              <w:rPr>
                <w:rFonts w:hint="eastAsia" w:ascii="宋体" w:hAnsi="宋体" w:cs="宋体"/>
                <w:b/>
                <w:bCs/>
                <w:color w:val="auto"/>
                <w:sz w:val="24"/>
                <w:highlight w:val="none"/>
                <w:lang w:val="en-US" w:eastAsia="zh-CN"/>
              </w:rPr>
              <w:t>全部费用</w:t>
            </w:r>
            <w:r>
              <w:rPr>
                <w:rFonts w:hint="eastAsia" w:ascii="宋体" w:hAnsi="宋体" w:eastAsia="宋体" w:cs="宋体"/>
                <w:b/>
                <w:bCs/>
                <w:color w:val="auto"/>
                <w:sz w:val="24"/>
                <w:highlight w:val="none"/>
                <w:lang w:val="en-US" w:eastAsia="zh-CN"/>
              </w:rPr>
              <w:t>，包含但不限于人员工资、人员保险费、服装费、所投设施设备费、设备保险费、设备保养维修费、检验检测费、</w:t>
            </w:r>
            <w:r>
              <w:rPr>
                <w:rFonts w:hint="eastAsia" w:ascii="宋体" w:hAnsi="宋体" w:cs="宋体"/>
                <w:b/>
                <w:bCs/>
                <w:color w:val="auto"/>
                <w:sz w:val="24"/>
                <w:highlight w:val="none"/>
                <w:lang w:val="en-US" w:eastAsia="zh-CN"/>
              </w:rPr>
              <w:t>药剂费、公厕水电费（含洗手台）、公厕网络服务费、</w:t>
            </w:r>
            <w:r>
              <w:rPr>
                <w:rFonts w:hint="eastAsia" w:ascii="宋体" w:hAnsi="宋体" w:eastAsia="宋体" w:cs="宋体"/>
                <w:b/>
                <w:bCs/>
                <w:color w:val="auto"/>
                <w:sz w:val="24"/>
                <w:highlight w:val="none"/>
                <w:lang w:val="en-US" w:eastAsia="zh-CN"/>
              </w:rPr>
              <w:t>材料费（含消耗性材料、措施性材料、更换材料、老化材料等）、备品备件、工器具、办公用品费、劳保用品费、生活用品费、车辆使用费（含折旧、燃料、保险、维修费用等）、项目交接移交费、安全文明生产费、管理费（含差旅费、培训费、协调费等）、利润、税金等本招标文件明示或暗示的所有费用，该价格已充分考虑市场风险、价格风险、政策风险、汇率风险等所有因素</w:t>
            </w:r>
            <w:r>
              <w:rPr>
                <w:rFonts w:hint="eastAsia" w:ascii="宋体" w:hAnsi="宋体"/>
                <w:b/>
                <w:bCs/>
                <w:color w:val="auto"/>
                <w:sz w:val="24"/>
                <w:highlight w:val="none"/>
                <w:lang w:eastAsia="zh-CN"/>
              </w:rPr>
              <w:t>，应为履行合同的最终价格，其市场风险由</w:t>
            </w:r>
            <w:r>
              <w:rPr>
                <w:rFonts w:hint="eastAsia" w:ascii="宋体" w:hAnsi="宋体"/>
                <w:b/>
                <w:bCs/>
                <w:color w:val="auto"/>
                <w:sz w:val="24"/>
                <w:highlight w:val="none"/>
                <w:lang w:val="en-US" w:eastAsia="zh-CN"/>
              </w:rPr>
              <w:t>投标单位</w:t>
            </w:r>
            <w:r>
              <w:rPr>
                <w:rFonts w:hint="eastAsia" w:ascii="宋体" w:hAnsi="宋体"/>
                <w:b/>
                <w:bCs/>
                <w:color w:val="auto"/>
                <w:sz w:val="24"/>
                <w:highlight w:val="none"/>
                <w:lang w:eastAsia="zh-CN"/>
              </w:rPr>
              <w:t>承担。</w:t>
            </w:r>
            <w:r>
              <w:rPr>
                <w:rFonts w:hint="eastAsia" w:ascii="宋体" w:hAnsi="宋体" w:eastAsia="宋体" w:cs="宋体"/>
                <w:b/>
                <w:bCs/>
                <w:color w:val="auto"/>
                <w:sz w:val="24"/>
                <w:highlight w:val="none"/>
                <w:lang w:val="en-US" w:eastAsia="zh-CN"/>
              </w:rPr>
              <w:t>合同一旦签订，各项单价及总价在合同实施期间将不因市场价格</w:t>
            </w:r>
            <w:r>
              <w:rPr>
                <w:rFonts w:hint="eastAsia" w:ascii="宋体" w:hAnsi="宋体" w:cs="宋体"/>
                <w:b/>
                <w:bCs/>
                <w:color w:val="auto"/>
                <w:sz w:val="24"/>
                <w:highlight w:val="none"/>
                <w:lang w:val="en-US" w:eastAsia="zh-CN"/>
              </w:rPr>
              <w:t>、最低工资标准及其他因素</w:t>
            </w:r>
            <w:r>
              <w:rPr>
                <w:rFonts w:hint="eastAsia" w:ascii="宋体" w:hAnsi="宋体" w:eastAsia="宋体" w:cs="宋体"/>
                <w:b/>
                <w:bCs/>
                <w:color w:val="auto"/>
                <w:sz w:val="24"/>
                <w:highlight w:val="none"/>
                <w:lang w:val="en-US" w:eastAsia="zh-CN"/>
              </w:rPr>
              <w:t>的变化</w:t>
            </w:r>
            <w:r>
              <w:rPr>
                <w:rFonts w:hint="eastAsia" w:ascii="宋体" w:hAnsi="宋体" w:cs="宋体"/>
                <w:b/>
                <w:bCs/>
                <w:color w:val="auto"/>
                <w:sz w:val="24"/>
                <w:highlight w:val="none"/>
                <w:lang w:val="en-US" w:eastAsia="zh-CN"/>
              </w:rPr>
              <w:t>而增加</w:t>
            </w:r>
            <w:r>
              <w:rPr>
                <w:rFonts w:hint="eastAsia" w:ascii="宋体" w:hAnsi="宋体" w:eastAsia="宋体" w:cs="宋体"/>
                <w:b/>
                <w:bCs/>
                <w:color w:val="auto"/>
                <w:sz w:val="24"/>
                <w:highlight w:val="none"/>
                <w:lang w:val="en-US" w:eastAsia="zh-CN"/>
              </w:rPr>
              <w:t>，投标人不得因此类问题提出任何索赔要求。投标人应根据本企业的成本自行决定报价，但不得以低于成本的报价投标。</w:t>
            </w:r>
          </w:p>
          <w:p w14:paraId="5EA8897B">
            <w:pPr>
              <w:keepLines w:val="0"/>
              <w:pageBreakBefore w:val="0"/>
              <w:widowControl w:val="0"/>
              <w:kinsoku/>
              <w:wordWrap/>
              <w:overflowPunct/>
              <w:topLinePunct w:val="0"/>
              <w:autoSpaceDE w:val="0"/>
              <w:autoSpaceDN w:val="0"/>
              <w:bidi w:val="0"/>
              <w:adjustRightInd w:val="0"/>
              <w:snapToGrid w:val="0"/>
              <w:spacing w:line="420" w:lineRule="exact"/>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③中标后，采购人不接受任何因地形复杂、管护工艺、保洁及路灯维修管护环境等理由提出的费用的增加。</w:t>
            </w:r>
          </w:p>
          <w:p w14:paraId="03F6F844">
            <w:pPr>
              <w:keepLines w:val="0"/>
              <w:pageBreakBefore w:val="0"/>
              <w:widowControl w:val="0"/>
              <w:kinsoku/>
              <w:wordWrap/>
              <w:overflowPunct/>
              <w:topLinePunct w:val="0"/>
              <w:autoSpaceDE w:val="0"/>
              <w:autoSpaceDN w:val="0"/>
              <w:bidi w:val="0"/>
              <w:adjustRightInd w:val="0"/>
              <w:snapToGrid w:val="0"/>
              <w:spacing w:line="420" w:lineRule="exact"/>
              <w:jc w:val="left"/>
              <w:textAlignment w:val="auto"/>
              <w:rPr>
                <w:rFonts w:hint="eastAsia" w:ascii="宋体" w:hAnsi="宋体" w:cs="宋体"/>
                <w:b/>
                <w:bCs/>
                <w:color w:val="auto"/>
                <w:sz w:val="24"/>
                <w:highlight w:val="none"/>
                <w:lang w:eastAsia="zh-CN"/>
              </w:rPr>
            </w:pPr>
            <w:r>
              <w:rPr>
                <w:rFonts w:hint="eastAsia" w:ascii="宋体" w:hAnsi="宋体" w:eastAsia="宋体" w:cs="宋体"/>
                <w:b/>
                <w:bCs/>
                <w:color w:val="auto"/>
                <w:sz w:val="24"/>
                <w:highlight w:val="none"/>
                <w:lang w:val="en-US" w:eastAsia="zh-CN"/>
              </w:rPr>
              <w:t>④因清扫保洁产生的垃圾清运由投标单位负责，所有清扫保洁产生的垃圾清运至中转站，垃圾清运费用包含在以上投标报价中。</w:t>
            </w:r>
            <w:r>
              <w:rPr>
                <w:rFonts w:hint="eastAsia" w:ascii="宋体" w:hAnsi="宋体" w:eastAsia="宋体" w:cs="宋体"/>
                <w:b/>
                <w:bCs/>
                <w:color w:val="auto"/>
                <w:sz w:val="24"/>
                <w:highlight w:val="none"/>
                <w:lang w:val="en-US" w:eastAsia="zh-CN"/>
              </w:rPr>
              <w:br w:type="textWrapping"/>
            </w:r>
            <w:r>
              <w:rPr>
                <w:rFonts w:hint="eastAsia" w:cs="宋体"/>
                <w:b/>
                <w:bCs/>
                <w:color w:val="auto"/>
                <w:sz w:val="24"/>
                <w:highlight w:val="none"/>
                <w:lang w:val="en-US" w:eastAsia="zh-CN"/>
              </w:rPr>
              <w:t>⑤因管护面积、数量、内容等减少的，按单价计算相应核减总费用。</w:t>
            </w:r>
          </w:p>
        </w:tc>
      </w:tr>
      <w:tr w14:paraId="4C94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3DC00739">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863" w:type="dxa"/>
            <w:vAlign w:val="center"/>
          </w:tcPr>
          <w:p w14:paraId="1B3894D7">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c>
        <w:tc>
          <w:tcPr>
            <w:tcW w:w="6651" w:type="dxa"/>
            <w:vAlign w:val="center"/>
          </w:tcPr>
          <w:p w14:paraId="403AB4A7">
            <w:pPr>
              <w:keepNext w:val="0"/>
              <w:keepLines w:val="0"/>
              <w:pageBreakBefore w:val="0"/>
              <w:kinsoku/>
              <w:wordWrap/>
              <w:overflowPunct/>
              <w:topLinePunct w:val="0"/>
              <w:bidi w:val="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详见本招标文件第一章“招标公告”、第</w:t>
            </w: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lang w:eastAsia="zh-CN"/>
              </w:rPr>
              <w:t>章“采购需求”。</w:t>
            </w:r>
          </w:p>
        </w:tc>
      </w:tr>
      <w:tr w14:paraId="5BDAC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vAlign w:val="center"/>
          </w:tcPr>
          <w:p w14:paraId="0F57A3ED">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863" w:type="dxa"/>
            <w:vAlign w:val="center"/>
          </w:tcPr>
          <w:p w14:paraId="34E76888">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合同履行期限及</w:t>
            </w:r>
            <w:r>
              <w:rPr>
                <w:rFonts w:hint="eastAsia" w:hAnsi="宋体" w:cs="宋体"/>
                <w:color w:val="auto"/>
                <w:sz w:val="24"/>
                <w:szCs w:val="24"/>
                <w:highlight w:val="none"/>
                <w:lang w:eastAsia="zh-CN"/>
              </w:rPr>
              <w:t>服务地点</w:t>
            </w:r>
          </w:p>
        </w:tc>
        <w:tc>
          <w:tcPr>
            <w:tcW w:w="6651" w:type="dxa"/>
            <w:vAlign w:val="center"/>
          </w:tcPr>
          <w:p w14:paraId="3426624B">
            <w:pPr>
              <w:pStyle w:val="36"/>
              <w:keepNext w:val="0"/>
              <w:keepLines w:val="0"/>
              <w:pageBreakBefore w:val="0"/>
              <w:kinsoku/>
              <w:wordWrap/>
              <w:overflowPunct/>
              <w:topLinePunct w:val="0"/>
              <w:bidi w:val="0"/>
              <w:spacing w:line="480" w:lineRule="exact"/>
              <w:ind w:firstLine="0" w:firstLineChars="0"/>
              <w:rPr>
                <w:rFonts w:hint="eastAsia" w:ascii="宋体" w:hAnsi="宋体" w:cs="宋体"/>
                <w:color w:val="auto"/>
                <w:sz w:val="24"/>
                <w:highlight w:val="none"/>
                <w:lang w:eastAsia="zh-CN"/>
              </w:rPr>
            </w:pPr>
            <w:r>
              <w:rPr>
                <w:rFonts w:hint="eastAsia" w:ascii="宋体" w:hAnsi="宋体" w:eastAsia="宋体" w:cs="宋体"/>
                <w:color w:val="auto"/>
                <w:sz w:val="24"/>
                <w:highlight w:val="none"/>
              </w:rPr>
              <w:t>合同履行期限：三年，合同一年一签（自合同签订之日起至次年对应之日止）；经采购人考核合格后，续签下一年度合同。合同履行期限按《云南省财政厅关于政府采购服务项目合同履行期限相关事宜的通知》（云财采〔2015〕16号）和《云南省财政厅关于合同履行期限不超过三年政府采购服务项目相关事宜的补充通知》（云财采〔2016〕22号）文件执行</w:t>
            </w:r>
            <w:r>
              <w:rPr>
                <w:rFonts w:hint="eastAsia" w:ascii="宋体" w:hAnsi="宋体" w:cs="宋体"/>
                <w:color w:val="auto"/>
                <w:sz w:val="24"/>
                <w:highlight w:val="none"/>
                <w:lang w:eastAsia="zh-CN"/>
              </w:rPr>
              <w:t>。</w:t>
            </w:r>
          </w:p>
          <w:p w14:paraId="6DE91C51">
            <w:pPr>
              <w:pStyle w:val="36"/>
              <w:keepNext w:val="0"/>
              <w:keepLines w:val="0"/>
              <w:pageBreakBefore w:val="0"/>
              <w:kinsoku/>
              <w:wordWrap/>
              <w:overflowPunct/>
              <w:topLinePunct w:val="0"/>
              <w:bidi w:val="0"/>
              <w:spacing w:line="480" w:lineRule="exact"/>
              <w:ind w:firstLine="0" w:firstLineChars="0"/>
              <w:rPr>
                <w:rFonts w:hint="eastAsia" w:ascii="宋体" w:hAnsi="宋体" w:eastAsia="宋体" w:cs="宋体"/>
                <w:color w:val="auto"/>
                <w:highlight w:val="none"/>
              </w:rPr>
            </w:pPr>
            <w:r>
              <w:rPr>
                <w:rFonts w:hint="eastAsia" w:ascii="宋体" w:hAnsi="宋体" w:cs="宋体"/>
                <w:color w:val="auto"/>
                <w:sz w:val="24"/>
                <w:szCs w:val="24"/>
                <w:highlight w:val="none"/>
                <w:lang w:val="en-US" w:eastAsia="zh-CN"/>
              </w:rPr>
              <w:t>服务地点</w:t>
            </w:r>
            <w:r>
              <w:rPr>
                <w:rFonts w:hint="eastAsia" w:ascii="宋体" w:hAnsi="宋体" w:eastAsia="宋体" w:cs="宋体"/>
                <w:color w:val="auto"/>
                <w:sz w:val="24"/>
                <w:szCs w:val="24"/>
                <w:highlight w:val="none"/>
              </w:rPr>
              <w:t>：</w:t>
            </w:r>
            <w:r>
              <w:rPr>
                <w:rFonts w:hint="eastAsia" w:ascii="宋体" w:hAnsi="宋体" w:cs="宋体"/>
                <w:color w:val="auto"/>
                <w:kern w:val="0"/>
                <w:sz w:val="24"/>
                <w:szCs w:val="24"/>
                <w:highlight w:val="none"/>
                <w:lang w:val="en-US" w:eastAsia="zh-CN" w:bidi="ar"/>
              </w:rPr>
              <w:t>采购人指定地点</w:t>
            </w:r>
            <w:r>
              <w:rPr>
                <w:rFonts w:hint="eastAsia" w:ascii="宋体" w:hAnsi="宋体" w:eastAsia="宋体" w:cs="宋体"/>
                <w:color w:val="auto"/>
                <w:sz w:val="24"/>
                <w:szCs w:val="24"/>
                <w:highlight w:val="none"/>
              </w:rPr>
              <w:t>。</w:t>
            </w:r>
          </w:p>
        </w:tc>
      </w:tr>
      <w:tr w14:paraId="6285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6EAC0564">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863" w:type="dxa"/>
            <w:vAlign w:val="center"/>
          </w:tcPr>
          <w:p w14:paraId="29C94DCA">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质量要求</w:t>
            </w:r>
          </w:p>
        </w:tc>
        <w:tc>
          <w:tcPr>
            <w:tcW w:w="6651" w:type="dxa"/>
            <w:vAlign w:val="center"/>
          </w:tcPr>
          <w:p w14:paraId="451E17EB">
            <w:pPr>
              <w:pStyle w:val="16"/>
              <w:keepNext w:val="0"/>
              <w:keepLines w:val="0"/>
              <w:pageBreakBefore w:val="0"/>
              <w:kinsoku/>
              <w:wordWrap/>
              <w:overflowPunct/>
              <w:topLinePunct w:val="0"/>
              <w:bidi w:val="0"/>
              <w:spacing w:line="480" w:lineRule="exact"/>
              <w:jc w:val="left"/>
              <w:rPr>
                <w:rFonts w:hint="default" w:ascii="宋体" w:hAnsi="宋体" w:eastAsia="宋体" w:cs="宋体"/>
                <w:bCs/>
                <w:color w:val="auto"/>
                <w:sz w:val="24"/>
                <w:szCs w:val="24"/>
                <w:highlight w:val="none"/>
                <w:lang w:val="en-US" w:eastAsia="zh-CN"/>
              </w:rPr>
            </w:pPr>
            <w:r>
              <w:rPr>
                <w:rFonts w:hint="eastAsia" w:hAnsi="宋体" w:cs="宋体"/>
                <w:color w:val="auto"/>
                <w:sz w:val="24"/>
                <w:highlight w:val="none"/>
                <w:shd w:val="clear" w:color="auto" w:fill="auto"/>
                <w:lang w:eastAsia="zh-CN"/>
              </w:rPr>
              <w:t>符合国家、地方及行业现行的相关规定，并满足采购人的实际需求</w:t>
            </w:r>
            <w:r>
              <w:rPr>
                <w:rFonts w:hint="eastAsia" w:ascii="宋体" w:hAnsi="宋体" w:eastAsia="宋体" w:cs="宋体"/>
                <w:color w:val="auto"/>
                <w:sz w:val="24"/>
                <w:highlight w:val="none"/>
                <w:shd w:val="clear" w:color="auto" w:fill="auto"/>
              </w:rPr>
              <w:t>。</w:t>
            </w:r>
          </w:p>
        </w:tc>
      </w:tr>
      <w:tr w14:paraId="63F9B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vAlign w:val="center"/>
          </w:tcPr>
          <w:p w14:paraId="6ADA83B6">
            <w:pPr>
              <w:pStyle w:val="19"/>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863" w:type="dxa"/>
            <w:vAlign w:val="center"/>
          </w:tcPr>
          <w:p w14:paraId="55177AE7">
            <w:pPr>
              <w:pStyle w:val="16"/>
              <w:keepNext w:val="0"/>
              <w:keepLines w:val="0"/>
              <w:pageBreakBefore w:val="0"/>
              <w:kinsoku/>
              <w:wordWrap/>
              <w:overflowPunct/>
              <w:topLinePunct w:val="0"/>
              <w:bidi w:val="0"/>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投标人资格要求</w:t>
            </w:r>
          </w:p>
        </w:tc>
        <w:tc>
          <w:tcPr>
            <w:tcW w:w="6651" w:type="dxa"/>
            <w:vAlign w:val="center"/>
          </w:tcPr>
          <w:p w14:paraId="1C37F098">
            <w:pPr>
              <w:keepNext w:val="0"/>
              <w:keepLines w:val="0"/>
              <w:pageBreakBefore w:val="0"/>
              <w:kinsoku/>
              <w:wordWrap/>
              <w:overflowPunct/>
              <w:topLinePunct w:val="0"/>
              <w:bidi w:val="0"/>
              <w:spacing w:line="48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详见“招标公告”。</w:t>
            </w:r>
          </w:p>
        </w:tc>
      </w:tr>
      <w:tr w14:paraId="08A6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54DC387C">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863" w:type="dxa"/>
            <w:vAlign w:val="center"/>
          </w:tcPr>
          <w:p w14:paraId="6F0A312C">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联合体投标</w:t>
            </w:r>
          </w:p>
        </w:tc>
        <w:tc>
          <w:tcPr>
            <w:tcW w:w="6651" w:type="dxa"/>
            <w:vAlign w:val="center"/>
          </w:tcPr>
          <w:p w14:paraId="4064F6FF">
            <w:pPr>
              <w:pStyle w:val="16"/>
              <w:keepNext w:val="0"/>
              <w:keepLines w:val="0"/>
              <w:pageBreakBefore w:val="0"/>
              <w:kinsoku/>
              <w:wordWrap/>
              <w:overflowPunct/>
              <w:topLinePunct w:val="0"/>
              <w:bidi w:val="0"/>
              <w:spacing w:line="480" w:lineRule="exact"/>
              <w:rPr>
                <w:rFonts w:hint="eastAsia" w:hAnsi="宋体" w:cs="宋体"/>
                <w:color w:val="auto"/>
                <w:sz w:val="24"/>
                <w:szCs w:val="24"/>
                <w:highlight w:val="none"/>
                <w:lang w:eastAsia="zh-CN"/>
              </w:rPr>
            </w:pPr>
            <w:r>
              <w:rPr>
                <w:rFonts w:hint="eastAsia" w:ascii="宋体" w:hAnsi="宋体" w:eastAsia="宋体" w:cs="宋体"/>
                <w:color w:val="auto"/>
                <w:sz w:val="24"/>
                <w:szCs w:val="24"/>
                <w:highlight w:val="none"/>
              </w:rPr>
              <w:t>接受</w:t>
            </w:r>
            <w:r>
              <w:rPr>
                <w:rFonts w:hint="eastAsia" w:hAnsi="宋体" w:cs="宋体"/>
                <w:color w:val="auto"/>
                <w:sz w:val="24"/>
                <w:szCs w:val="24"/>
                <w:highlight w:val="none"/>
                <w:lang w:eastAsia="zh-CN"/>
              </w:rPr>
              <w:t>。</w:t>
            </w:r>
          </w:p>
          <w:p w14:paraId="54D02AC6">
            <w:pPr>
              <w:pageBreakBefore w:val="0"/>
              <w:kinsoku/>
              <w:overflowPunct/>
              <w:bidi w:val="0"/>
              <w:adjustRightInd w:val="0"/>
              <w:snapToGrid w:val="0"/>
              <w:spacing w:after="0" w:line="480" w:lineRule="exact"/>
              <w:textAlignment w:val="auto"/>
              <w:rPr>
                <w:rFonts w:ascii="宋体" w:hAnsi="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本项目接受联合体投标</w:t>
            </w:r>
            <w:r>
              <w:rPr>
                <w:rFonts w:hint="eastAsia" w:ascii="宋体" w:hAnsi="宋体" w:cs="宋体"/>
                <w:b w:val="0"/>
                <w:bCs w:val="0"/>
                <w:color w:val="auto"/>
                <w:kern w:val="0"/>
                <w:sz w:val="24"/>
                <w:szCs w:val="24"/>
                <w:highlight w:val="none"/>
                <w:lang w:val="en-US" w:eastAsia="zh-CN" w:bidi="ar"/>
              </w:rPr>
              <w:t>，不能同时具有</w:t>
            </w:r>
            <w:r>
              <w:rPr>
                <w:rFonts w:hint="eastAsia" w:ascii="宋体" w:hAnsi="宋体" w:eastAsia="宋体" w:cs="宋体"/>
                <w:b w:val="0"/>
                <w:bCs w:val="0"/>
                <w:color w:val="auto"/>
                <w:kern w:val="0"/>
                <w:sz w:val="24"/>
                <w:szCs w:val="24"/>
                <w:highlight w:val="none"/>
                <w:lang w:val="en-US" w:eastAsia="zh-CN" w:bidi="ar-SA"/>
              </w:rPr>
              <w:t>承装类承装（修、试）电力设施许可证</w:t>
            </w:r>
            <w:r>
              <w:rPr>
                <w:rFonts w:hint="eastAsia" w:hAnsi="宋体" w:cs="宋体"/>
                <w:b w:val="0"/>
                <w:bCs w:val="0"/>
                <w:color w:val="auto"/>
                <w:kern w:val="0"/>
                <w:sz w:val="24"/>
                <w:szCs w:val="24"/>
                <w:highlight w:val="none"/>
                <w:lang w:val="en-US" w:eastAsia="zh-CN" w:bidi="ar-SA"/>
              </w:rPr>
              <w:t>三</w:t>
            </w:r>
            <w:r>
              <w:rPr>
                <w:rFonts w:hint="eastAsia" w:ascii="宋体" w:hAnsi="宋体" w:eastAsia="宋体" w:cs="宋体"/>
                <w:b w:val="0"/>
                <w:bCs w:val="0"/>
                <w:color w:val="auto"/>
                <w:kern w:val="0"/>
                <w:sz w:val="24"/>
                <w:szCs w:val="24"/>
                <w:highlight w:val="none"/>
                <w:lang w:val="en-US" w:eastAsia="zh-CN" w:bidi="ar-SA"/>
              </w:rPr>
              <w:t>级及以上</w:t>
            </w:r>
            <w:r>
              <w:rPr>
                <w:rFonts w:hint="eastAsia" w:hAnsi="宋体" w:cs="宋体"/>
                <w:b w:val="0"/>
                <w:bCs w:val="0"/>
                <w:color w:val="auto"/>
                <w:kern w:val="0"/>
                <w:sz w:val="24"/>
                <w:szCs w:val="24"/>
                <w:highlight w:val="none"/>
                <w:lang w:val="en-US" w:eastAsia="zh-CN" w:bidi="ar-SA"/>
              </w:rPr>
              <w:t>资质</w:t>
            </w:r>
            <w:r>
              <w:rPr>
                <w:rFonts w:hint="eastAsia" w:ascii="宋体" w:hAnsi="宋体" w:cs="宋体"/>
                <w:b w:val="0"/>
                <w:bCs w:val="0"/>
                <w:color w:val="auto"/>
                <w:kern w:val="0"/>
                <w:sz w:val="24"/>
                <w:szCs w:val="24"/>
                <w:highlight w:val="none"/>
                <w:lang w:val="en-US" w:eastAsia="zh-CN" w:bidi="ar"/>
              </w:rPr>
              <w:t>的投标人，可组成联合体投标，但联合体所有成员数量（含联合体牵头人）不得超过2家，联合体牵头人必须由环卫作业服务单位担任；联合体必须签订联合体协议书，明确联合体成员各方的分工，联合体各方不得再以自己名义单独或参加其他联合体对本项目的投标。</w:t>
            </w:r>
          </w:p>
          <w:p w14:paraId="3991D1F7">
            <w:pPr>
              <w:pageBreakBefore w:val="0"/>
              <w:kinsoku/>
              <w:overflowPunct/>
              <w:bidi w:val="0"/>
              <w:adjustRightInd w:val="0"/>
              <w:snapToGrid w:val="0"/>
              <w:spacing w:after="0" w:line="480" w:lineRule="exact"/>
              <w:textAlignment w:val="auto"/>
              <w:rPr>
                <w:rFonts w:ascii="宋体" w:hAnsi="宋体" w:cs="宋体"/>
                <w:color w:val="auto"/>
                <w:sz w:val="24"/>
                <w:szCs w:val="24"/>
                <w:highlight w:val="none"/>
              </w:rPr>
            </w:pPr>
            <w:r>
              <w:rPr>
                <w:rFonts w:hint="eastAsia" w:ascii="宋体" w:hAnsi="宋体"/>
                <w:color w:val="auto"/>
                <w:sz w:val="24"/>
                <w:szCs w:val="24"/>
                <w:highlight w:val="none"/>
              </w:rPr>
              <w:t>对本项目的投标</w:t>
            </w:r>
            <w:r>
              <w:rPr>
                <w:rFonts w:hint="eastAsia" w:ascii="宋体" w:hAnsi="宋体" w:cs="宋体"/>
                <w:color w:val="auto"/>
                <w:sz w:val="24"/>
                <w:szCs w:val="24"/>
                <w:highlight w:val="none"/>
              </w:rPr>
              <w:t>合格的联合体应满足以下所有要求：</w:t>
            </w:r>
          </w:p>
          <w:p w14:paraId="245FC7C0">
            <w:pPr>
              <w:pageBreakBefore w:val="0"/>
              <w:kinsoku/>
              <w:overflowPunct/>
              <w:bidi w:val="0"/>
              <w:adjustRightInd w:val="0"/>
              <w:snapToGrid w:val="0"/>
              <w:spacing w:after="0" w:line="4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1）以联合体形式参加投标的，应随投标文件一起提交一份“联合体协议”，该协议中应明确指定联合体的牵头人，明确联合体各方的职责和分工，声明投标人的投标文件及中标后签署的合同等文件对联合体的每一成员均具备法律约束力，承诺联合体各方在履行合同过程中将承担各自独立的和相互连带的责任。</w:t>
            </w:r>
          </w:p>
          <w:p w14:paraId="19A26FCC">
            <w:pPr>
              <w:pageBreakBefore w:val="0"/>
              <w:kinsoku/>
              <w:overflowPunct/>
              <w:bidi w:val="0"/>
              <w:adjustRightInd w:val="0"/>
              <w:snapToGrid w:val="0"/>
              <w:spacing w:after="0" w:line="4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2）以联合体形式参加投标的，联合体中的每一方不得再以自己的名义单独投标，也不得组成新的联合体或加入其他联合体参加本项目的投标（如违反本条规定，该成员及该成员参加的所有联合体的投标将被作为否决处理）。</w:t>
            </w:r>
          </w:p>
          <w:p w14:paraId="5C8504F1">
            <w:pPr>
              <w:pageBreakBefore w:val="0"/>
              <w:kinsoku/>
              <w:overflowPunct/>
              <w:bidi w:val="0"/>
              <w:adjustRightInd w:val="0"/>
              <w:snapToGrid w:val="0"/>
              <w:spacing w:after="0" w:line="4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（3）联合体牵头人法定代表人或其授权的授权代表负责签署本次投标的相关资料，其他联合体各方对此予以认可。</w:t>
            </w:r>
          </w:p>
          <w:p w14:paraId="08332F13">
            <w:pPr>
              <w:pageBreakBefore w:val="0"/>
              <w:kinsoku/>
              <w:overflowPunct/>
              <w:bidi w:val="0"/>
              <w:adjustRightInd w:val="0"/>
              <w:snapToGrid w:val="0"/>
              <w:spacing w:after="0" w:line="48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（4）联合体投标的，需联合体牵头人作为投标主体进行投标，包括招标文件获取、编制投标文件、投标、投标过程中的澄清、参与开标等一切事宜，在联合体协议中明确由联合体牵头人负责。</w:t>
            </w:r>
          </w:p>
          <w:p w14:paraId="4D4FF431">
            <w:pPr>
              <w:pStyle w:val="16"/>
              <w:keepNext w:val="0"/>
              <w:keepLines w:val="0"/>
              <w:pageBreakBefore w:val="0"/>
              <w:kinsoku/>
              <w:wordWrap/>
              <w:overflowPunct/>
              <w:topLinePunct w:val="0"/>
              <w:bidi w:val="0"/>
              <w:spacing w:line="480" w:lineRule="exact"/>
              <w:rPr>
                <w:rFonts w:hint="eastAsia" w:ascii="宋体" w:hAnsi="宋体" w:eastAsia="宋体" w:cs="宋体"/>
                <w:color w:val="auto"/>
                <w:highlight w:val="none"/>
              </w:rPr>
            </w:pPr>
            <w:r>
              <w:rPr>
                <w:rFonts w:hint="eastAsia" w:ascii="宋体" w:hAnsi="宋体" w:cs="宋体"/>
                <w:color w:val="auto"/>
                <w:sz w:val="24"/>
                <w:szCs w:val="24"/>
                <w:highlight w:val="none"/>
              </w:rPr>
              <w:t>（5）联合体投标的，应当以联合体牵头人的名义提交投标保证金，联合体牵头人提交的投标保证金对联合体各成员具有约束力。</w:t>
            </w:r>
          </w:p>
        </w:tc>
      </w:tr>
      <w:tr w14:paraId="7FAAC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17605252">
            <w:pPr>
              <w:pStyle w:val="19"/>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863" w:type="dxa"/>
            <w:vAlign w:val="center"/>
          </w:tcPr>
          <w:p w14:paraId="195B8009">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6651" w:type="dxa"/>
            <w:vAlign w:val="center"/>
          </w:tcPr>
          <w:p w14:paraId="039A56D5">
            <w:pPr>
              <w:keepNext w:val="0"/>
              <w:keepLines w:val="0"/>
              <w:pageBreakBefore w:val="0"/>
              <w:kinsoku/>
              <w:wordWrap/>
              <w:overflowPunct/>
              <w:topLinePunct w:val="0"/>
              <w:bidi w:val="0"/>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不组织。</w:t>
            </w:r>
          </w:p>
        </w:tc>
      </w:tr>
      <w:tr w14:paraId="13874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36305C91">
            <w:pPr>
              <w:pStyle w:val="19"/>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863" w:type="dxa"/>
            <w:vAlign w:val="center"/>
          </w:tcPr>
          <w:p w14:paraId="0E76786D">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开标前答疑会</w:t>
            </w:r>
          </w:p>
        </w:tc>
        <w:tc>
          <w:tcPr>
            <w:tcW w:w="6651" w:type="dxa"/>
            <w:vAlign w:val="center"/>
          </w:tcPr>
          <w:p w14:paraId="3E5822D0">
            <w:pPr>
              <w:keepNext w:val="0"/>
              <w:keepLines w:val="0"/>
              <w:pageBreakBefore w:val="0"/>
              <w:kinsoku/>
              <w:wordWrap/>
              <w:overflowPunct/>
              <w:topLinePunct w:val="0"/>
              <w:bidi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不召开。</w:t>
            </w:r>
          </w:p>
        </w:tc>
      </w:tr>
      <w:tr w14:paraId="1A7D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1009" w:type="dxa"/>
            <w:vAlign w:val="center"/>
          </w:tcPr>
          <w:p w14:paraId="062DF979">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863" w:type="dxa"/>
            <w:vAlign w:val="center"/>
          </w:tcPr>
          <w:p w14:paraId="6D2D5AE8">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投标人要求澄清招标文件</w:t>
            </w:r>
          </w:p>
        </w:tc>
        <w:tc>
          <w:tcPr>
            <w:tcW w:w="6651" w:type="dxa"/>
            <w:vAlign w:val="center"/>
          </w:tcPr>
          <w:p w14:paraId="7E309858">
            <w:pPr>
              <w:keepNext w:val="0"/>
              <w:keepLines w:val="0"/>
              <w:pageBreakBefore w:val="0"/>
              <w:kinsoku/>
              <w:wordWrap/>
              <w:overflowPunct/>
              <w:topLinePunct w:val="0"/>
              <w:bidi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开标前10天，所有获取了招标文件的潜在投标人凭企业数字证书（</w:t>
            </w:r>
            <w:r>
              <w:rPr>
                <w:rFonts w:hint="eastAsia" w:ascii="宋体" w:hAnsi="宋体" w:eastAsia="宋体" w:cs="宋体"/>
                <w:color w:val="auto"/>
                <w:sz w:val="24"/>
                <w:highlight w:val="none"/>
                <w:lang w:val="en-US" w:eastAsia="zh-CN"/>
              </w:rPr>
              <w:t>CA</w:t>
            </w:r>
            <w:r>
              <w:rPr>
                <w:rFonts w:hint="eastAsia" w:ascii="宋体" w:hAnsi="宋体" w:eastAsia="宋体" w:cs="宋体"/>
                <w:color w:val="auto"/>
                <w:sz w:val="24"/>
                <w:highlight w:val="none"/>
              </w:rPr>
              <w:t>）登录</w:t>
            </w:r>
            <w:r>
              <w:rPr>
                <w:rFonts w:hint="eastAsia" w:ascii="宋体" w:hAnsi="宋体" w:cs="宋体"/>
                <w:color w:val="auto"/>
                <w:sz w:val="24"/>
                <w:highlight w:val="none"/>
                <w:u w:val="single"/>
                <w:lang w:eastAsia="zh-CN"/>
              </w:rPr>
              <w:t>云南省政府采购电子交易平台（政采云https://www.zcygov.cn/）</w:t>
            </w:r>
            <w:r>
              <w:rPr>
                <w:rFonts w:hint="eastAsia" w:ascii="宋体" w:hAnsi="宋体" w:eastAsia="宋体" w:cs="宋体"/>
                <w:color w:val="auto"/>
                <w:sz w:val="24"/>
                <w:highlight w:val="none"/>
              </w:rPr>
              <w:t>，通过网络在线方式进行提问</w:t>
            </w:r>
            <w:r>
              <w:rPr>
                <w:rFonts w:hint="eastAsia" w:ascii="宋体" w:hAnsi="宋体" w:eastAsia="宋体" w:cs="宋体"/>
                <w:color w:val="auto"/>
                <w:sz w:val="24"/>
                <w:highlight w:val="none"/>
                <w:lang w:eastAsia="zh-CN"/>
              </w:rPr>
              <w:t>。</w:t>
            </w:r>
          </w:p>
        </w:tc>
      </w:tr>
      <w:tr w14:paraId="708E8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1009" w:type="dxa"/>
            <w:vAlign w:val="center"/>
          </w:tcPr>
          <w:p w14:paraId="3D13951F">
            <w:pPr>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1863" w:type="dxa"/>
            <w:vAlign w:val="center"/>
          </w:tcPr>
          <w:p w14:paraId="1869ECEC">
            <w:pPr>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投标人确认收到招标文件澄清的时间</w:t>
            </w:r>
          </w:p>
        </w:tc>
        <w:tc>
          <w:tcPr>
            <w:tcW w:w="6651" w:type="dxa"/>
            <w:vAlign w:val="center"/>
          </w:tcPr>
          <w:p w14:paraId="023FBDDA">
            <w:pPr>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在收到相应澄清文件后24小时内，投标人自行登录</w:t>
            </w:r>
            <w:r>
              <w:rPr>
                <w:rFonts w:hint="eastAsia" w:ascii="宋体" w:hAnsi="宋体" w:cs="宋体"/>
                <w:color w:val="auto"/>
                <w:sz w:val="24"/>
                <w:highlight w:val="none"/>
                <w:u w:val="single"/>
                <w:lang w:eastAsia="zh-CN"/>
              </w:rPr>
              <w:t>云南省政府采购电子交易平台（政采云https://www.zcygov.cn/）</w:t>
            </w:r>
            <w:r>
              <w:rPr>
                <w:rFonts w:hint="eastAsia" w:ascii="宋体" w:hAnsi="宋体" w:eastAsia="宋体" w:cs="宋体"/>
                <w:color w:val="auto"/>
                <w:sz w:val="24"/>
                <w:highlight w:val="none"/>
              </w:rPr>
              <w:t>获取澄清，无须回复确认已收到该澄清。</w:t>
            </w:r>
          </w:p>
        </w:tc>
      </w:tr>
      <w:tr w14:paraId="0C2B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009" w:type="dxa"/>
            <w:vAlign w:val="center"/>
          </w:tcPr>
          <w:p w14:paraId="3BE29D2C">
            <w:pPr>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1863" w:type="dxa"/>
            <w:vAlign w:val="center"/>
          </w:tcPr>
          <w:p w14:paraId="40AD3310">
            <w:pPr>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招标文件的修改时间</w:t>
            </w:r>
          </w:p>
        </w:tc>
        <w:tc>
          <w:tcPr>
            <w:tcW w:w="6651" w:type="dxa"/>
            <w:vAlign w:val="center"/>
          </w:tcPr>
          <w:p w14:paraId="24546C05">
            <w:pPr>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投标截止时间前15日，</w:t>
            </w:r>
            <w:r>
              <w:rPr>
                <w:rFonts w:hint="eastAsia" w:ascii="宋体" w:hAnsi="宋体" w:eastAsia="宋体" w:cs="宋体"/>
                <w:color w:val="auto"/>
                <w:sz w:val="24"/>
                <w:highlight w:val="none"/>
                <w:lang w:eastAsia="zh-CN"/>
              </w:rPr>
              <w:t>采购人确定</w:t>
            </w:r>
            <w:r>
              <w:rPr>
                <w:rFonts w:hint="eastAsia" w:ascii="宋体" w:hAnsi="宋体" w:eastAsia="宋体" w:cs="宋体"/>
                <w:color w:val="auto"/>
                <w:sz w:val="24"/>
                <w:highlight w:val="none"/>
              </w:rPr>
              <w:t>需要变更招标文件内容的，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可主动或在解答投标人提出的澄清问题时对招标文件进行修改。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无论对评标办法、评审项目等重要评审内容</w:t>
            </w:r>
            <w:r>
              <w:rPr>
                <w:rFonts w:hint="eastAsia" w:ascii="宋体" w:hAnsi="宋体" w:cs="宋体"/>
                <w:color w:val="auto"/>
                <w:sz w:val="24"/>
                <w:highlight w:val="none"/>
                <w:lang w:eastAsia="zh-CN"/>
              </w:rPr>
              <w:t>做</w:t>
            </w:r>
            <w:r>
              <w:rPr>
                <w:rFonts w:hint="eastAsia" w:ascii="宋体" w:hAnsi="宋体" w:eastAsia="宋体" w:cs="宋体"/>
                <w:color w:val="auto"/>
                <w:sz w:val="24"/>
                <w:highlight w:val="none"/>
              </w:rPr>
              <w:t>何种变更，会重新制作电子招标文件，同时发布补遗文件进行说明以保证各投标人都能重新下载最新的电子招标文件用于编制电子投标文件。招标文件的修改将在“</w:t>
            </w:r>
            <w:r>
              <w:rPr>
                <w:rFonts w:hint="eastAsia" w:ascii="宋体" w:hAnsi="宋体" w:cs="宋体"/>
                <w:color w:val="auto"/>
                <w:kern w:val="0"/>
                <w:sz w:val="24"/>
                <w:szCs w:val="24"/>
                <w:highlight w:val="none"/>
                <w:lang w:eastAsia="zh-CN"/>
              </w:rPr>
              <w:t>云南省政府采购电子交易平台（政采云https://www.zcygov.cn/）</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上</w:t>
            </w:r>
            <w:r>
              <w:rPr>
                <w:rFonts w:hint="eastAsia" w:ascii="宋体" w:hAnsi="宋体" w:eastAsia="宋体" w:cs="宋体"/>
                <w:color w:val="auto"/>
                <w:sz w:val="24"/>
                <w:highlight w:val="none"/>
              </w:rPr>
              <w:t>发布。</w:t>
            </w:r>
          </w:p>
        </w:tc>
      </w:tr>
      <w:tr w14:paraId="2CF7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30BCEF22">
            <w:pPr>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1863" w:type="dxa"/>
            <w:vAlign w:val="center"/>
          </w:tcPr>
          <w:p w14:paraId="01B3AF89">
            <w:pPr>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投标人确认收到招标文件修改的时间</w:t>
            </w:r>
          </w:p>
        </w:tc>
        <w:tc>
          <w:tcPr>
            <w:tcW w:w="6651" w:type="dxa"/>
            <w:vAlign w:val="center"/>
          </w:tcPr>
          <w:p w14:paraId="5293B822">
            <w:pPr>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在收到相应修改文件后 24 小时内，投标人自行登录</w:t>
            </w:r>
            <w:r>
              <w:rPr>
                <w:rFonts w:hint="eastAsia" w:ascii="宋体" w:hAnsi="宋体" w:cs="宋体"/>
                <w:color w:val="auto"/>
                <w:kern w:val="0"/>
                <w:sz w:val="24"/>
                <w:szCs w:val="24"/>
                <w:highlight w:val="none"/>
                <w:u w:val="single"/>
                <w:lang w:eastAsia="zh-CN"/>
              </w:rPr>
              <w:t>云南省政府采购电子交易平台（政采云https://www.zcygov.cn/）</w:t>
            </w:r>
            <w:r>
              <w:rPr>
                <w:rFonts w:hint="eastAsia" w:ascii="宋体" w:hAnsi="宋体" w:eastAsia="宋体" w:cs="宋体"/>
                <w:color w:val="auto"/>
                <w:sz w:val="24"/>
                <w:highlight w:val="none"/>
              </w:rPr>
              <w:t>收取修改内容，无须回复确认已收到该修改。</w:t>
            </w:r>
          </w:p>
        </w:tc>
      </w:tr>
      <w:tr w14:paraId="66289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vAlign w:val="center"/>
          </w:tcPr>
          <w:p w14:paraId="056C5698">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1863" w:type="dxa"/>
            <w:vAlign w:val="center"/>
          </w:tcPr>
          <w:p w14:paraId="1632A5BC">
            <w:pPr>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构成招标文件的</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文件</w:t>
            </w:r>
          </w:p>
        </w:tc>
        <w:tc>
          <w:tcPr>
            <w:tcW w:w="6651" w:type="dxa"/>
            <w:vAlign w:val="center"/>
          </w:tcPr>
          <w:p w14:paraId="73F4C5E0">
            <w:pPr>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招标文件的澄清、</w:t>
            </w:r>
            <w:r>
              <w:rPr>
                <w:rFonts w:hint="eastAsia" w:ascii="宋体" w:hAnsi="宋体" w:cs="宋体"/>
                <w:color w:val="auto"/>
                <w:sz w:val="24"/>
                <w:highlight w:val="none"/>
                <w:lang w:eastAsia="zh-CN"/>
              </w:rPr>
              <w:t>修改</w:t>
            </w:r>
            <w:r>
              <w:rPr>
                <w:rFonts w:hint="eastAsia" w:ascii="宋体" w:hAnsi="宋体" w:eastAsia="宋体" w:cs="宋体"/>
                <w:color w:val="auto"/>
                <w:sz w:val="24"/>
                <w:highlight w:val="none"/>
              </w:rPr>
              <w:t>及有关补充通知为招标文件的有效组成部分。</w:t>
            </w:r>
          </w:p>
        </w:tc>
      </w:tr>
      <w:tr w14:paraId="436D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09" w:type="dxa"/>
            <w:vAlign w:val="center"/>
          </w:tcPr>
          <w:p w14:paraId="08F04780">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1863" w:type="dxa"/>
            <w:vAlign w:val="center"/>
          </w:tcPr>
          <w:p w14:paraId="05A94DC3">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投标有效期</w:t>
            </w:r>
          </w:p>
        </w:tc>
        <w:tc>
          <w:tcPr>
            <w:tcW w:w="6651" w:type="dxa"/>
            <w:vAlign w:val="center"/>
          </w:tcPr>
          <w:p w14:paraId="57CEAE7C">
            <w:pPr>
              <w:pStyle w:val="16"/>
              <w:keepNext w:val="0"/>
              <w:keepLines w:val="0"/>
              <w:pageBreakBefore w:val="0"/>
              <w:kinsoku/>
              <w:wordWrap/>
              <w:overflowPunct/>
              <w:topLinePunct w:val="0"/>
              <w:bidi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投标截止日期后</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日历天。</w:t>
            </w:r>
          </w:p>
        </w:tc>
      </w:tr>
      <w:tr w14:paraId="679D0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009" w:type="dxa"/>
            <w:vAlign w:val="center"/>
          </w:tcPr>
          <w:p w14:paraId="3F2FA30A">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863" w:type="dxa"/>
            <w:vAlign w:val="center"/>
          </w:tcPr>
          <w:p w14:paraId="51D1CA60">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投标保证金</w:t>
            </w:r>
          </w:p>
        </w:tc>
        <w:tc>
          <w:tcPr>
            <w:tcW w:w="6651" w:type="dxa"/>
            <w:vAlign w:val="center"/>
          </w:tcPr>
          <w:p w14:paraId="64FA9D30">
            <w:pPr>
              <w:keepLines w:val="0"/>
              <w:pageBreakBefore w:val="0"/>
              <w:kinsoku/>
              <w:wordWrap w:val="0"/>
              <w:overflowPunct/>
              <w:topLinePunct w:val="0"/>
              <w:bidi w:val="0"/>
              <w:spacing w:after="0" w:line="520" w:lineRule="exact"/>
              <w:jc w:val="left"/>
              <w:rPr>
                <w:rFonts w:ascii="宋体" w:hAnsi="宋体" w:cs="宋体"/>
                <w:b/>
                <w:bCs/>
                <w:color w:val="auto"/>
                <w:sz w:val="24"/>
                <w:highlight w:val="none"/>
              </w:rPr>
            </w:pPr>
            <w:r>
              <w:rPr>
                <w:rFonts w:hint="eastAsia" w:ascii="宋体" w:hAnsi="宋体" w:cs="宋体"/>
                <w:b/>
                <w:bCs/>
                <w:color w:val="auto"/>
                <w:sz w:val="24"/>
                <w:highlight w:val="none"/>
              </w:rPr>
              <w:t>一、保证金账户信息</w:t>
            </w:r>
          </w:p>
          <w:p w14:paraId="4E2717D0">
            <w:pPr>
              <w:keepLines w:val="0"/>
              <w:pageBreakBefore w:val="0"/>
              <w:kinsoku/>
              <w:wordWrap w:val="0"/>
              <w:overflowPunct/>
              <w:topLinePunct w:val="0"/>
              <w:bidi w:val="0"/>
              <w:spacing w:after="0" w:line="520" w:lineRule="exact"/>
              <w:jc w:val="left"/>
              <w:rPr>
                <w:rFonts w:hint="eastAsia" w:ascii="宋体" w:hAnsi="宋体" w:cs="宋体"/>
                <w:color w:val="auto"/>
                <w:sz w:val="24"/>
                <w:highlight w:val="none"/>
              </w:rPr>
            </w:pPr>
            <w:r>
              <w:rPr>
                <w:rFonts w:hint="eastAsia" w:ascii="宋体" w:hAnsi="宋体" w:cs="宋体"/>
                <w:color w:val="auto"/>
                <w:sz w:val="24"/>
                <w:highlight w:val="none"/>
              </w:rPr>
              <w:t>开户行：中国建设银行股份有限公司玉溪玉龙支行</w:t>
            </w:r>
          </w:p>
          <w:p w14:paraId="7D04CE89">
            <w:pPr>
              <w:keepLines w:val="0"/>
              <w:pageBreakBefore w:val="0"/>
              <w:kinsoku/>
              <w:wordWrap w:val="0"/>
              <w:overflowPunct/>
              <w:topLinePunct w:val="0"/>
              <w:bidi w:val="0"/>
              <w:spacing w:after="0" w:line="52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户名：玉溪市公共资源交易中心</w:t>
            </w:r>
            <w:bookmarkStart w:id="532" w:name="_GoBack"/>
            <w:bookmarkEnd w:id="532"/>
          </w:p>
          <w:p w14:paraId="78FFC16D">
            <w:pPr>
              <w:keepLines w:val="0"/>
              <w:pageBreakBefore w:val="0"/>
              <w:kinsoku/>
              <w:wordWrap w:val="0"/>
              <w:overflowPunct/>
              <w:topLinePunct w:val="0"/>
              <w:bidi w:val="0"/>
              <w:spacing w:after="0" w:line="520" w:lineRule="exact"/>
              <w:jc w:val="left"/>
              <w:rPr>
                <w:rFonts w:hint="eastAsia" w:ascii="宋体" w:hAnsi="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易门县环卫站购买县城环卫市政服务项目</w:t>
            </w:r>
          </w:p>
          <w:p w14:paraId="4CEDE2F5">
            <w:pPr>
              <w:keepLines w:val="0"/>
              <w:pageBreakBefore w:val="0"/>
              <w:kinsoku/>
              <w:wordWrap w:val="0"/>
              <w:overflowPunct/>
              <w:topLinePunct w:val="0"/>
              <w:bidi w:val="0"/>
              <w:spacing w:after="0" w:line="520" w:lineRule="exact"/>
              <w:jc w:val="left"/>
              <w:rPr>
                <w:rFonts w:hint="eastAsia" w:ascii="宋体" w:hAnsi="宋体" w:cs="宋体"/>
                <w:color w:val="auto"/>
                <w:sz w:val="24"/>
                <w:highlight w:val="none"/>
              </w:rPr>
            </w:pPr>
            <w:r>
              <w:rPr>
                <w:rFonts w:hint="eastAsia" w:ascii="宋体" w:hAnsi="宋体" w:cs="宋体"/>
                <w:color w:val="auto"/>
                <w:sz w:val="24"/>
                <w:highlight w:val="none"/>
              </w:rPr>
              <w:t>保证金账号：53050165614500000119</w:t>
            </w:r>
          </w:p>
          <w:p w14:paraId="1DC5547B">
            <w:pPr>
              <w:keepLines w:val="0"/>
              <w:pageBreakBefore w:val="0"/>
              <w:kinsoku/>
              <w:wordWrap w:val="0"/>
              <w:overflowPunct/>
              <w:topLinePunct w:val="0"/>
              <w:bidi w:val="0"/>
              <w:spacing w:after="0" w:line="520" w:lineRule="exact"/>
              <w:jc w:val="left"/>
              <w:rPr>
                <w:rFonts w:hint="eastAsia" w:ascii="宋体" w:hAnsi="宋体"/>
                <w:color w:val="auto"/>
                <w:sz w:val="24"/>
                <w:highlight w:val="none"/>
                <w:lang w:eastAsia="zh-CN"/>
              </w:rPr>
            </w:pPr>
            <w:r>
              <w:rPr>
                <w:rFonts w:hint="eastAsia" w:ascii="宋体" w:hAnsi="宋体" w:cs="宋体"/>
                <w:color w:val="auto"/>
                <w:sz w:val="24"/>
                <w:highlight w:val="none"/>
              </w:rPr>
              <w:t>保证金的金额：</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20</w:t>
            </w:r>
            <w:r>
              <w:rPr>
                <w:rFonts w:hint="eastAsia" w:ascii="宋体" w:hAnsi="宋体"/>
                <w:color w:val="auto"/>
                <w:sz w:val="24"/>
                <w:highlight w:val="none"/>
              </w:rPr>
              <w:t>000.00元（</w:t>
            </w:r>
            <w:r>
              <w:rPr>
                <w:rFonts w:hint="eastAsia" w:ascii="宋体" w:hAnsi="宋体"/>
                <w:color w:val="auto"/>
                <w:sz w:val="24"/>
                <w:highlight w:val="none"/>
              </w:rPr>
              <w:t>大写：</w:t>
            </w:r>
            <w:r>
              <w:rPr>
                <w:rFonts w:hint="eastAsia" w:ascii="宋体" w:hAnsi="宋体"/>
                <w:color w:val="auto"/>
                <w:sz w:val="24"/>
                <w:highlight w:val="none"/>
                <w:lang w:val="en-US" w:eastAsia="zh-CN"/>
              </w:rPr>
              <w:t>人民币贰万元整</w:t>
            </w:r>
            <w:r>
              <w:rPr>
                <w:rFonts w:hint="eastAsia" w:ascii="宋体" w:hAnsi="宋体"/>
                <w:color w:val="auto"/>
                <w:sz w:val="24"/>
                <w:highlight w:val="none"/>
              </w:rPr>
              <w:t>）</w:t>
            </w:r>
            <w:r>
              <w:rPr>
                <w:rFonts w:hint="eastAsia" w:ascii="宋体" w:hAnsi="宋体"/>
                <w:color w:val="auto"/>
                <w:sz w:val="24"/>
                <w:highlight w:val="none"/>
                <w:lang w:eastAsia="zh-CN"/>
              </w:rPr>
              <w:t>。</w:t>
            </w:r>
          </w:p>
          <w:p w14:paraId="0BA92B94">
            <w:pPr>
              <w:keepLines w:val="0"/>
              <w:pageBreakBefore w:val="0"/>
              <w:kinsoku/>
              <w:wordWrap w:val="0"/>
              <w:overflowPunct/>
              <w:topLinePunct w:val="0"/>
              <w:bidi w:val="0"/>
              <w:spacing w:after="0" w:line="520" w:lineRule="exact"/>
              <w:jc w:val="left"/>
              <w:rPr>
                <w:rFonts w:hint="eastAsia" w:ascii="宋体" w:hAnsi="宋体"/>
                <w:color w:val="auto"/>
                <w:sz w:val="24"/>
                <w:highlight w:val="none"/>
              </w:rPr>
            </w:pPr>
            <w:r>
              <w:rPr>
                <w:rFonts w:hint="eastAsia" w:ascii="宋体" w:hAnsi="宋体"/>
                <w:color w:val="auto"/>
                <w:sz w:val="24"/>
                <w:highlight w:val="none"/>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本项目已按照相关规定</w:t>
            </w:r>
            <w:r>
              <w:rPr>
                <w:rFonts w:hint="eastAsia" w:ascii="宋体" w:hAnsi="宋体"/>
                <w:color w:val="auto"/>
                <w:sz w:val="24"/>
                <w:highlight w:val="none"/>
                <w:lang w:eastAsia="zh-CN"/>
              </w:rPr>
              <w:t>将保证金</w:t>
            </w:r>
            <w:r>
              <w:rPr>
                <w:rFonts w:hint="eastAsia" w:ascii="宋体" w:hAnsi="宋体"/>
                <w:color w:val="auto"/>
                <w:sz w:val="24"/>
                <w:highlight w:val="none"/>
              </w:rPr>
              <w:t>减免50%以上。</w:t>
            </w:r>
          </w:p>
          <w:p w14:paraId="5D49B7CC">
            <w:pPr>
              <w:keepLines w:val="0"/>
              <w:pageBreakBefore w:val="0"/>
              <w:kinsoku/>
              <w:wordWrap w:val="0"/>
              <w:overflowPunct/>
              <w:topLinePunct w:val="0"/>
              <w:bidi w:val="0"/>
              <w:spacing w:after="0" w:line="520" w:lineRule="exact"/>
              <w:jc w:val="left"/>
              <w:rPr>
                <w:rFonts w:ascii="宋体" w:hAnsi="宋体" w:cs="宋体"/>
                <w:color w:val="auto"/>
                <w:sz w:val="24"/>
                <w:highlight w:val="none"/>
              </w:rPr>
            </w:pPr>
            <w:r>
              <w:rPr>
                <w:rFonts w:hint="eastAsia" w:ascii="宋体" w:hAnsi="宋体" w:cs="宋体"/>
                <w:color w:val="auto"/>
                <w:sz w:val="24"/>
                <w:highlight w:val="none"/>
              </w:rPr>
              <w:t>（保证金必须一次性足额转入，不可多转、少转、多笔转入）</w:t>
            </w:r>
          </w:p>
          <w:p w14:paraId="0A632392">
            <w:pPr>
              <w:keepLines w:val="0"/>
              <w:pageBreakBefore w:val="0"/>
              <w:numPr>
                <w:ilvl w:val="0"/>
                <w:numId w:val="3"/>
              </w:numPr>
              <w:kinsoku/>
              <w:wordWrap w:val="0"/>
              <w:overflowPunct/>
              <w:topLinePunct w:val="0"/>
              <w:bidi w:val="0"/>
              <w:spacing w:after="0" w:line="520" w:lineRule="exact"/>
              <w:jc w:val="lef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保证金缴纳方式</w:t>
            </w:r>
          </w:p>
          <w:p w14:paraId="6A18FF4D">
            <w:pPr>
              <w:keepLines w:val="0"/>
              <w:pageBreakBefore w:val="0"/>
              <w:numPr>
                <w:ilvl w:val="0"/>
                <w:numId w:val="0"/>
              </w:numPr>
              <w:kinsoku/>
              <w:wordWrap w:val="0"/>
              <w:overflowPunct/>
              <w:topLinePunct w:val="0"/>
              <w:bidi w:val="0"/>
              <w:spacing w:after="0" w:line="520" w:lineRule="exact"/>
              <w:jc w:val="left"/>
              <w:rPr>
                <w:rFonts w:hint="eastAsia" w:ascii="宋体" w:hAnsi="宋体" w:eastAsia="宋体" w:cs="Times New Roman"/>
                <w:color w:val="auto"/>
                <w:sz w:val="24"/>
                <w:highlight w:val="none"/>
              </w:rPr>
            </w:pPr>
            <w:r>
              <w:rPr>
                <w:rFonts w:hint="eastAsia" w:ascii="宋体" w:hAnsi="宋体" w:eastAsia="宋体" w:cs="宋体"/>
                <w:color w:val="auto"/>
                <w:kern w:val="0"/>
                <w:sz w:val="24"/>
                <w:highlight w:val="none"/>
                <w:lang w:val="en-US" w:eastAsia="zh-CN"/>
              </w:rPr>
              <w:t>电汇、网银、支票、汇票、本票、保函、银行转账、保证保险等非现金形式</w:t>
            </w:r>
            <w:r>
              <w:rPr>
                <w:rFonts w:hint="eastAsia" w:ascii="宋体" w:hAnsi="宋体" w:eastAsia="宋体" w:cs="Times New Roman"/>
                <w:color w:val="auto"/>
                <w:sz w:val="24"/>
                <w:highlight w:val="none"/>
              </w:rPr>
              <w:t>。</w:t>
            </w:r>
          </w:p>
          <w:p w14:paraId="388BE3AA">
            <w:pPr>
              <w:keepLines w:val="0"/>
              <w:pageBreakBefore w:val="0"/>
              <w:kinsoku/>
              <w:wordWrap w:val="0"/>
              <w:overflowPunct/>
              <w:topLinePunct w:val="0"/>
              <w:bidi w:val="0"/>
              <w:spacing w:after="0" w:line="460" w:lineRule="exact"/>
              <w:rPr>
                <w:rFonts w:ascii="宋体" w:hAnsi="宋体" w:cs="宋体"/>
                <w:b/>
                <w:bCs/>
                <w:color w:val="auto"/>
                <w:sz w:val="24"/>
                <w:highlight w:val="none"/>
              </w:rPr>
            </w:pPr>
            <w:r>
              <w:rPr>
                <w:rFonts w:hint="eastAsia" w:ascii="宋体" w:hAnsi="宋体" w:cs="宋体"/>
                <w:b/>
                <w:bCs/>
                <w:color w:val="auto"/>
                <w:sz w:val="24"/>
                <w:highlight w:val="none"/>
              </w:rPr>
              <w:t>三、保证金提交的程序</w:t>
            </w:r>
          </w:p>
          <w:p w14:paraId="672E5D77">
            <w:pPr>
              <w:keepLines w:val="0"/>
              <w:pageBreakBefore w:val="0"/>
              <w:kinsoku/>
              <w:wordWrap w:val="0"/>
              <w:overflowPunct/>
              <w:topLinePunct w:val="0"/>
              <w:bidi w:val="0"/>
              <w:spacing w:after="0" w:line="460" w:lineRule="exact"/>
              <w:rPr>
                <w:rFonts w:ascii="宋体" w:hAnsi="宋体" w:cs="宋体"/>
                <w:color w:val="auto"/>
                <w:sz w:val="24"/>
                <w:highlight w:val="none"/>
              </w:rPr>
            </w:pPr>
            <w:r>
              <w:rPr>
                <w:rFonts w:hint="eastAsia" w:ascii="宋体" w:hAnsi="宋体" w:cs="宋体"/>
                <w:color w:val="auto"/>
                <w:sz w:val="24"/>
                <w:highlight w:val="none"/>
              </w:rPr>
              <w:t>（一）采用银行转账方式提交的：</w:t>
            </w:r>
          </w:p>
          <w:p w14:paraId="2E6B4967">
            <w:pPr>
              <w:keepLines w:val="0"/>
              <w:pageBreakBefore w:val="0"/>
              <w:kinsoku/>
              <w:wordWrap w:val="0"/>
              <w:overflowPunct/>
              <w:topLinePunct w:val="0"/>
              <w:bidi w:val="0"/>
              <w:spacing w:after="0" w:line="460" w:lineRule="exact"/>
              <w:jc w:val="left"/>
              <w:rPr>
                <w:rFonts w:ascii="宋体" w:hAnsi="宋体" w:cs="宋体"/>
                <w:color w:val="auto"/>
                <w:sz w:val="24"/>
                <w:highlight w:val="none"/>
              </w:rPr>
            </w:pPr>
            <w:r>
              <w:rPr>
                <w:rFonts w:hint="eastAsia" w:ascii="宋体" w:hAnsi="宋体" w:cs="宋体"/>
                <w:color w:val="auto"/>
                <w:sz w:val="24"/>
                <w:highlight w:val="none"/>
              </w:rPr>
              <w:t>保证金递交截止时间：</w:t>
            </w:r>
            <w:r>
              <w:rPr>
                <w:rFonts w:hint="eastAsia" w:ascii="宋体" w:hAnsi="宋体" w:cs="宋体"/>
                <w:color w:val="auto"/>
                <w:sz w:val="24"/>
                <w:highlight w:val="none"/>
                <w:lang w:val="en-US" w:eastAsia="zh-CN"/>
              </w:rPr>
              <w:t>2026年09月30日</w:t>
            </w:r>
            <w:r>
              <w:rPr>
                <w:rFonts w:hint="eastAsia" w:ascii="宋体" w:hAnsi="宋体" w:cs="宋体"/>
                <w:color w:val="auto"/>
                <w:sz w:val="24"/>
                <w:highlight w:val="none"/>
                <w:lang w:eastAsia="zh-CN"/>
              </w:rPr>
              <w:t>09:00</w:t>
            </w:r>
            <w:r>
              <w:rPr>
                <w:rFonts w:hint="eastAsia" w:ascii="宋体" w:hAnsi="宋体" w:cs="宋体"/>
                <w:color w:val="auto"/>
                <w:sz w:val="24"/>
                <w:highlight w:val="none"/>
              </w:rPr>
              <w:t>时前到达保证金</w:t>
            </w:r>
            <w:r>
              <w:rPr>
                <w:rFonts w:hint="eastAsia" w:ascii="宋体" w:hAnsi="宋体" w:cs="宋体"/>
                <w:color w:val="auto"/>
                <w:sz w:val="24"/>
                <w:highlight w:val="none"/>
                <w:lang w:eastAsia="zh-CN"/>
              </w:rPr>
              <w:t>专用账户</w:t>
            </w:r>
            <w:r>
              <w:rPr>
                <w:rFonts w:hint="eastAsia" w:ascii="宋体" w:hAnsi="宋体" w:cs="宋体"/>
                <w:color w:val="auto"/>
                <w:sz w:val="24"/>
                <w:highlight w:val="none"/>
              </w:rPr>
              <w:t>（请务必提前办理！）</w:t>
            </w:r>
          </w:p>
          <w:p w14:paraId="7869F03F">
            <w:pPr>
              <w:keepLines w:val="0"/>
              <w:pageBreakBefore w:val="0"/>
              <w:kinsoku/>
              <w:wordWrap w:val="0"/>
              <w:overflowPunct/>
              <w:topLinePunct w:val="0"/>
              <w:bidi w:val="0"/>
              <w:spacing w:after="0" w:line="460" w:lineRule="exact"/>
              <w:jc w:val="left"/>
              <w:rPr>
                <w:rFonts w:ascii="宋体" w:hAnsi="宋体" w:cs="宋体"/>
                <w:color w:val="auto"/>
                <w:sz w:val="24"/>
                <w:highlight w:val="none"/>
              </w:rPr>
            </w:pPr>
            <w:r>
              <w:rPr>
                <w:rFonts w:hint="eastAsia" w:ascii="宋体" w:hAnsi="宋体" w:cs="宋体"/>
                <w:color w:val="auto"/>
                <w:sz w:val="24"/>
                <w:highlight w:val="none"/>
              </w:rPr>
              <w:t>投标人向招标文件中载明的保证金专户转入保证金，投标（交易）保证金应以投标人必须从基本账户转入保证金专户。投标保证金到账时间以保证金专用账户实际到账时间为准</w:t>
            </w:r>
            <w:r>
              <w:rPr>
                <w:rFonts w:hint="eastAsia" w:ascii="宋体" w:hAnsi="宋体" w:cs="宋体"/>
                <w:color w:val="auto"/>
                <w:sz w:val="24"/>
                <w:highlight w:val="none"/>
                <w:lang w:eastAsia="zh-CN"/>
              </w:rPr>
              <w:t>。</w:t>
            </w:r>
            <w:r>
              <w:rPr>
                <w:rFonts w:hint="eastAsia" w:ascii="宋体" w:hAnsi="宋体" w:cs="宋体"/>
                <w:color w:val="auto"/>
                <w:sz w:val="24"/>
                <w:highlight w:val="none"/>
              </w:rPr>
              <w:t>保证金缴纳</w:t>
            </w:r>
            <w:r>
              <w:rPr>
                <w:rFonts w:hint="eastAsia" w:ascii="宋体" w:hAnsi="宋体" w:cs="宋体"/>
                <w:color w:val="auto"/>
                <w:sz w:val="24"/>
                <w:highlight w:val="none"/>
                <w:lang w:val="en-US" w:eastAsia="zh-CN"/>
              </w:rPr>
              <w:t>凭证</w:t>
            </w:r>
            <w:r>
              <w:rPr>
                <w:rFonts w:hint="eastAsia" w:ascii="宋体" w:hAnsi="宋体" w:cs="宋体"/>
                <w:color w:val="auto"/>
                <w:sz w:val="24"/>
                <w:highlight w:val="none"/>
              </w:rPr>
              <w:t>需</w:t>
            </w:r>
            <w:r>
              <w:rPr>
                <w:rFonts w:hint="eastAsia" w:ascii="宋体" w:hAnsi="宋体" w:cs="宋体"/>
                <w:color w:val="auto"/>
                <w:sz w:val="24"/>
                <w:highlight w:val="none"/>
                <w:lang w:val="en-US" w:eastAsia="zh-CN"/>
              </w:rPr>
              <w:t>附在投标文件内</w:t>
            </w:r>
            <w:r>
              <w:rPr>
                <w:rFonts w:hint="eastAsia" w:ascii="宋体" w:hAnsi="宋体" w:cs="宋体"/>
                <w:color w:val="auto"/>
                <w:sz w:val="24"/>
                <w:highlight w:val="none"/>
              </w:rPr>
              <w:t>。</w:t>
            </w:r>
          </w:p>
          <w:p w14:paraId="7F8F0817">
            <w:pPr>
              <w:keepLines w:val="0"/>
              <w:pageBreakBefore w:val="0"/>
              <w:kinsoku/>
              <w:wordWrap w:val="0"/>
              <w:overflowPunct/>
              <w:topLinePunct w:val="0"/>
              <w:bidi w:val="0"/>
              <w:spacing w:after="0" w:line="460" w:lineRule="exact"/>
              <w:rPr>
                <w:rFonts w:hint="eastAsia" w:ascii="宋体" w:hAnsi="宋体" w:cs="宋体"/>
                <w:color w:val="auto"/>
                <w:sz w:val="24"/>
                <w:highlight w:val="none"/>
              </w:rPr>
            </w:pPr>
            <w:r>
              <w:rPr>
                <w:rFonts w:hint="eastAsia" w:ascii="宋体" w:hAnsi="宋体" w:cs="宋体"/>
                <w:color w:val="auto"/>
                <w:sz w:val="24"/>
                <w:highlight w:val="none"/>
              </w:rPr>
              <w:t>（二）采用银行保函方式提交的：</w:t>
            </w:r>
          </w:p>
          <w:p w14:paraId="62F8BB10">
            <w:pPr>
              <w:keepLines w:val="0"/>
              <w:pageBreakBefore w:val="0"/>
              <w:kinsoku/>
              <w:wordWrap w:val="0"/>
              <w:overflowPunct/>
              <w:topLinePunct w:val="0"/>
              <w:bidi w:val="0"/>
              <w:spacing w:after="0" w:line="460" w:lineRule="exact"/>
              <w:rPr>
                <w:rFonts w:hint="eastAsia" w:asciiTheme="minorEastAsia" w:hAnsiTheme="minorEastAsia" w:eastAsiaTheme="minorEastAsia" w:cstheme="minorEastAsia"/>
                <w:color w:val="auto"/>
                <w:sz w:val="24"/>
                <w:highlight w:val="none"/>
              </w:rPr>
            </w:pPr>
            <w:r>
              <w:rPr>
                <w:rFonts w:hint="eastAsia" w:ascii="宋体" w:hAnsi="宋体" w:cs="仿宋_GB2312"/>
                <w:color w:val="auto"/>
                <w:sz w:val="24"/>
                <w:highlight w:val="none"/>
              </w:rPr>
              <w:t>保函申请人必须是</w:t>
            </w:r>
            <w:r>
              <w:rPr>
                <w:rFonts w:hint="eastAsia" w:ascii="宋体" w:hAnsi="宋体" w:cs="仿宋_GB2312"/>
                <w:color w:val="auto"/>
                <w:sz w:val="24"/>
                <w:highlight w:val="none"/>
                <w:lang w:eastAsia="zh-CN"/>
              </w:rPr>
              <w:t>投标人</w:t>
            </w:r>
            <w:r>
              <w:rPr>
                <w:rFonts w:hint="eastAsia" w:ascii="宋体" w:hAnsi="宋体" w:cs="仿宋_GB2312"/>
                <w:color w:val="auto"/>
                <w:sz w:val="24"/>
                <w:highlight w:val="none"/>
              </w:rPr>
              <w:t>，受益人必须是</w:t>
            </w:r>
            <w:r>
              <w:rPr>
                <w:rFonts w:hint="eastAsia" w:ascii="宋体" w:hAnsi="宋体" w:cs="仿宋_GB2312"/>
                <w:color w:val="auto"/>
                <w:sz w:val="24"/>
                <w:highlight w:val="none"/>
                <w:lang w:eastAsia="zh-CN"/>
              </w:rPr>
              <w:t>采购人</w:t>
            </w:r>
            <w:r>
              <w:rPr>
                <w:rFonts w:hint="eastAsia" w:ascii="宋体" w:hAnsi="宋体" w:cs="仿宋_GB2312"/>
                <w:color w:val="auto"/>
                <w:sz w:val="24"/>
                <w:highlight w:val="none"/>
              </w:rPr>
              <w:t>，保证人必须是</w:t>
            </w:r>
            <w:r>
              <w:rPr>
                <w:rFonts w:hint="eastAsia" w:ascii="宋体" w:hAnsi="宋体" w:cs="仿宋_GB2312"/>
                <w:color w:val="auto"/>
                <w:sz w:val="24"/>
                <w:highlight w:val="none"/>
                <w:lang w:eastAsia="zh-CN"/>
              </w:rPr>
              <w:t>投标人</w:t>
            </w:r>
            <w:r>
              <w:rPr>
                <w:rFonts w:hint="eastAsia" w:ascii="宋体" w:hAnsi="宋体" w:cs="仿宋_GB2312"/>
                <w:color w:val="auto"/>
                <w:sz w:val="24"/>
                <w:highlight w:val="none"/>
              </w:rPr>
              <w:t>基本账号的开户银行；保函必须正确填写受益人和申请人的全称，并与</w:t>
            </w:r>
            <w:r>
              <w:rPr>
                <w:rFonts w:hint="eastAsia" w:ascii="宋体" w:hAnsi="宋体" w:cs="仿宋_GB2312"/>
                <w:color w:val="auto"/>
                <w:sz w:val="24"/>
                <w:highlight w:val="none"/>
                <w:lang w:val="en-US" w:eastAsia="zh-CN"/>
              </w:rPr>
              <w:t>招标</w:t>
            </w:r>
            <w:r>
              <w:rPr>
                <w:rFonts w:hint="eastAsia" w:ascii="宋体" w:hAnsi="宋体" w:cs="仿宋_GB2312"/>
                <w:color w:val="auto"/>
                <w:sz w:val="24"/>
                <w:highlight w:val="none"/>
              </w:rPr>
              <w:t>文件规定的名称相一致，以免造成</w:t>
            </w:r>
            <w:r>
              <w:rPr>
                <w:rFonts w:hint="eastAsia" w:ascii="宋体" w:hAnsi="宋体" w:cs="仿宋_GB2312"/>
                <w:color w:val="auto"/>
                <w:sz w:val="24"/>
                <w:highlight w:val="none"/>
                <w:lang w:val="en-US" w:eastAsia="zh-CN"/>
              </w:rPr>
              <w:t>投标</w:t>
            </w:r>
            <w:r>
              <w:rPr>
                <w:rFonts w:hint="eastAsia" w:ascii="宋体" w:hAnsi="宋体" w:cs="仿宋_GB2312"/>
                <w:color w:val="auto"/>
                <w:sz w:val="24"/>
                <w:highlight w:val="none"/>
              </w:rPr>
              <w:t>文件无效。</w:t>
            </w:r>
            <w:r>
              <w:rPr>
                <w:rFonts w:hint="eastAsia" w:asciiTheme="minorEastAsia" w:hAnsiTheme="minorEastAsia" w:eastAsiaTheme="minorEastAsia" w:cstheme="minorEastAsia"/>
                <w:color w:val="auto"/>
                <w:sz w:val="24"/>
                <w:highlight w:val="none"/>
              </w:rPr>
              <w:t>采用银行保函形式的须在</w:t>
            </w:r>
            <w:r>
              <w:rPr>
                <w:rFonts w:hint="eastAsia" w:asciiTheme="minorEastAsia" w:hAnsiTheme="minorEastAsia" w:eastAsiaTheme="minorEastAsia" w:cstheme="minorEastAsia"/>
                <w:color w:val="auto"/>
                <w:sz w:val="24"/>
                <w:highlight w:val="none"/>
                <w:lang w:eastAsia="zh-CN"/>
              </w:rPr>
              <w:t>投标文件中</w:t>
            </w:r>
            <w:r>
              <w:rPr>
                <w:rFonts w:hint="eastAsia" w:asciiTheme="minorEastAsia" w:hAnsiTheme="minorEastAsia" w:eastAsiaTheme="minorEastAsia" w:cstheme="minorEastAsia"/>
                <w:color w:val="auto"/>
                <w:sz w:val="24"/>
                <w:highlight w:val="none"/>
              </w:rPr>
              <w:t>提供银行保函</w:t>
            </w:r>
            <w:r>
              <w:rPr>
                <w:rFonts w:hint="eastAsia" w:asciiTheme="minorEastAsia" w:hAnsiTheme="minorEastAsia" w:eastAsiaTheme="minorEastAsia" w:cstheme="minorEastAsia"/>
                <w:color w:val="auto"/>
                <w:sz w:val="24"/>
                <w:highlight w:val="none"/>
                <w:lang w:eastAsia="zh-CN"/>
              </w:rPr>
              <w:t>的证明材料</w:t>
            </w:r>
            <w:r>
              <w:rPr>
                <w:rFonts w:hint="eastAsia" w:asciiTheme="minorEastAsia" w:hAnsiTheme="minorEastAsia" w:eastAsiaTheme="minorEastAsia" w:cstheme="minorEastAsia"/>
                <w:color w:val="auto"/>
                <w:sz w:val="24"/>
                <w:highlight w:val="none"/>
              </w:rPr>
              <w:t>。</w:t>
            </w:r>
          </w:p>
          <w:p w14:paraId="751AE100">
            <w:pPr>
              <w:keepLines w:val="0"/>
              <w:pageBreakBefore w:val="0"/>
              <w:numPr>
                <w:ilvl w:val="0"/>
                <w:numId w:val="0"/>
              </w:numPr>
              <w:kinsoku/>
              <w:overflowPunct/>
              <w:topLinePunct w:val="0"/>
              <w:bidi w:val="0"/>
              <w:spacing w:after="0" w:line="4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val="en-US" w:eastAsia="zh-CN"/>
              </w:rPr>
              <w:t>保证保险：</w:t>
            </w:r>
          </w:p>
          <w:p w14:paraId="4CD02AB6">
            <w:pPr>
              <w:keepLines w:val="0"/>
              <w:pageBreakBefore w:val="0"/>
              <w:numPr>
                <w:ilvl w:val="0"/>
                <w:numId w:val="0"/>
              </w:numPr>
              <w:kinsoku/>
              <w:overflowPunct/>
              <w:topLinePunct w:val="0"/>
              <w:bidi w:val="0"/>
              <w:spacing w:after="0" w:line="460" w:lineRule="exact"/>
              <w:rPr>
                <w:rFonts w:hint="eastAsia" w:asciiTheme="minorEastAsia" w:hAnsiTheme="minorEastAsia" w:eastAsiaTheme="minorEastAsia" w:cstheme="minorEastAsia"/>
                <w:color w:val="auto"/>
                <w:sz w:val="24"/>
                <w:highlight w:val="none"/>
              </w:rPr>
            </w:pPr>
            <w:r>
              <w:rPr>
                <w:rFonts w:hint="eastAsia" w:ascii="宋体" w:hAnsi="宋体" w:cs="仿宋_GB2312"/>
                <w:b w:val="0"/>
                <w:bCs w:val="0"/>
                <w:color w:val="auto"/>
                <w:sz w:val="24"/>
                <w:highlight w:val="none"/>
                <w:lang w:eastAsia="zh-CN"/>
              </w:rPr>
              <w:t>投标人</w:t>
            </w:r>
            <w:r>
              <w:rPr>
                <w:rFonts w:hint="eastAsia" w:ascii="宋体" w:hAnsi="宋体" w:cs="仿宋_GB2312"/>
                <w:b w:val="0"/>
                <w:bCs w:val="0"/>
                <w:color w:val="auto"/>
                <w:sz w:val="24"/>
                <w:highlight w:val="none"/>
              </w:rPr>
              <w:t>为投保人，</w:t>
            </w:r>
            <w:r>
              <w:rPr>
                <w:rFonts w:hint="eastAsia" w:ascii="宋体" w:hAnsi="宋体" w:cs="仿宋_GB2312"/>
                <w:b w:val="0"/>
                <w:bCs w:val="0"/>
                <w:color w:val="auto"/>
                <w:sz w:val="24"/>
                <w:highlight w:val="none"/>
                <w:lang w:eastAsia="zh-CN"/>
              </w:rPr>
              <w:t>采购人</w:t>
            </w:r>
            <w:r>
              <w:rPr>
                <w:rFonts w:hint="eastAsia" w:ascii="宋体" w:hAnsi="宋体" w:cs="仿宋_GB2312"/>
                <w:b w:val="0"/>
                <w:bCs w:val="0"/>
                <w:color w:val="auto"/>
                <w:sz w:val="24"/>
                <w:highlight w:val="none"/>
              </w:rPr>
              <w:t>为被保险人，当</w:t>
            </w:r>
            <w:r>
              <w:rPr>
                <w:rFonts w:hint="eastAsia" w:ascii="宋体" w:hAnsi="宋体" w:cs="仿宋_GB2312"/>
                <w:b w:val="0"/>
                <w:bCs w:val="0"/>
                <w:color w:val="auto"/>
                <w:sz w:val="24"/>
                <w:highlight w:val="none"/>
                <w:lang w:eastAsia="zh-CN"/>
              </w:rPr>
              <w:t>投标人</w:t>
            </w:r>
            <w:r>
              <w:rPr>
                <w:rFonts w:hint="eastAsia" w:ascii="宋体" w:hAnsi="宋体" w:cs="仿宋_GB2312"/>
                <w:b w:val="0"/>
                <w:bCs w:val="0"/>
                <w:color w:val="auto"/>
                <w:sz w:val="24"/>
                <w:highlight w:val="none"/>
              </w:rPr>
              <w:t>未能按照</w:t>
            </w:r>
            <w:r>
              <w:rPr>
                <w:rFonts w:hint="eastAsia" w:ascii="宋体" w:hAnsi="宋体" w:cs="仿宋_GB2312"/>
                <w:b w:val="0"/>
                <w:bCs w:val="0"/>
                <w:color w:val="auto"/>
                <w:sz w:val="24"/>
                <w:highlight w:val="none"/>
                <w:lang w:val="en-US" w:eastAsia="zh-CN"/>
              </w:rPr>
              <w:t>投标</w:t>
            </w:r>
            <w:r>
              <w:rPr>
                <w:rFonts w:hint="eastAsia" w:ascii="宋体" w:hAnsi="宋体" w:cs="仿宋_GB2312"/>
                <w:b w:val="0"/>
                <w:bCs w:val="0"/>
                <w:color w:val="auto"/>
                <w:sz w:val="24"/>
                <w:highlight w:val="none"/>
              </w:rPr>
              <w:t>文件及</w:t>
            </w:r>
            <w:r>
              <w:rPr>
                <w:rFonts w:hint="eastAsia" w:ascii="宋体" w:hAnsi="宋体" w:cs="仿宋_GB2312"/>
                <w:b w:val="0"/>
                <w:bCs w:val="0"/>
                <w:color w:val="auto"/>
                <w:sz w:val="24"/>
                <w:highlight w:val="none"/>
                <w:lang w:val="en-US" w:eastAsia="zh-CN"/>
              </w:rPr>
              <w:t>招标</w:t>
            </w:r>
            <w:r>
              <w:rPr>
                <w:rFonts w:hint="eastAsia" w:ascii="宋体" w:hAnsi="宋体" w:cs="仿宋_GB2312"/>
                <w:b w:val="0"/>
                <w:bCs w:val="0"/>
                <w:color w:val="auto"/>
                <w:sz w:val="24"/>
                <w:highlight w:val="none"/>
              </w:rPr>
              <w:t>文件要求履行义务而导致</w:t>
            </w:r>
            <w:r>
              <w:rPr>
                <w:rFonts w:hint="eastAsia" w:ascii="宋体" w:hAnsi="宋体" w:cs="仿宋_GB2312"/>
                <w:b w:val="0"/>
                <w:bCs w:val="0"/>
                <w:color w:val="auto"/>
                <w:sz w:val="24"/>
                <w:highlight w:val="none"/>
                <w:lang w:eastAsia="zh-CN"/>
              </w:rPr>
              <w:t>采购人受到损失</w:t>
            </w:r>
            <w:r>
              <w:rPr>
                <w:rFonts w:hint="eastAsia" w:ascii="宋体" w:hAnsi="宋体" w:cs="仿宋_GB2312"/>
                <w:b w:val="0"/>
                <w:bCs w:val="0"/>
                <w:color w:val="auto"/>
                <w:sz w:val="24"/>
                <w:highlight w:val="none"/>
              </w:rPr>
              <w:t>时，由保险公司对</w:t>
            </w:r>
            <w:r>
              <w:rPr>
                <w:rFonts w:hint="eastAsia" w:ascii="宋体" w:hAnsi="宋体" w:cs="仿宋_GB2312"/>
                <w:b w:val="0"/>
                <w:bCs w:val="0"/>
                <w:color w:val="auto"/>
                <w:sz w:val="24"/>
                <w:highlight w:val="none"/>
                <w:lang w:eastAsia="zh-CN"/>
              </w:rPr>
              <w:t>采购人</w:t>
            </w:r>
            <w:r>
              <w:rPr>
                <w:rFonts w:hint="eastAsia" w:ascii="宋体" w:hAnsi="宋体" w:cs="仿宋_GB2312"/>
                <w:b w:val="0"/>
                <w:bCs w:val="0"/>
                <w:color w:val="auto"/>
                <w:sz w:val="24"/>
                <w:highlight w:val="none"/>
              </w:rPr>
              <w:t>的损失承担代偿责任。</w:t>
            </w:r>
            <w:r>
              <w:rPr>
                <w:rFonts w:hint="eastAsia" w:asciiTheme="minorEastAsia" w:hAnsiTheme="minorEastAsia" w:eastAsiaTheme="minorEastAsia" w:cstheme="minorEastAsia"/>
                <w:color w:val="auto"/>
                <w:sz w:val="24"/>
                <w:highlight w:val="none"/>
              </w:rPr>
              <w:t>且须在</w:t>
            </w:r>
            <w:r>
              <w:rPr>
                <w:rFonts w:hint="eastAsia" w:asciiTheme="minorEastAsia" w:hAnsiTheme="minorEastAsia" w:eastAsiaTheme="minorEastAsia" w:cstheme="minorEastAsia"/>
                <w:color w:val="auto"/>
                <w:sz w:val="24"/>
                <w:highlight w:val="none"/>
                <w:lang w:eastAsia="zh-CN"/>
              </w:rPr>
              <w:t>投标文件中</w:t>
            </w:r>
            <w:r>
              <w:rPr>
                <w:rFonts w:hint="eastAsia" w:asciiTheme="minorEastAsia" w:hAnsiTheme="minorEastAsia" w:eastAsiaTheme="minorEastAsia" w:cstheme="minorEastAsia"/>
                <w:color w:val="auto"/>
                <w:sz w:val="24"/>
                <w:highlight w:val="none"/>
              </w:rPr>
              <w:t>提供保险保函</w:t>
            </w:r>
            <w:r>
              <w:rPr>
                <w:rFonts w:hint="eastAsia" w:asciiTheme="minorEastAsia" w:hAnsiTheme="minorEastAsia" w:eastAsiaTheme="minorEastAsia" w:cstheme="minorEastAsia"/>
                <w:color w:val="auto"/>
                <w:sz w:val="24"/>
                <w:highlight w:val="none"/>
                <w:lang w:eastAsia="zh-CN"/>
              </w:rPr>
              <w:t>的证明材料</w:t>
            </w:r>
            <w:r>
              <w:rPr>
                <w:rFonts w:hint="eastAsia" w:asciiTheme="minorEastAsia" w:hAnsiTheme="minorEastAsia" w:eastAsiaTheme="minorEastAsia" w:cstheme="minorEastAsia"/>
                <w:color w:val="auto"/>
                <w:sz w:val="24"/>
                <w:highlight w:val="none"/>
              </w:rPr>
              <w:t>。</w:t>
            </w:r>
          </w:p>
          <w:p w14:paraId="0349828E">
            <w:pPr>
              <w:keepLines w:val="0"/>
              <w:pageBreakBefore w:val="0"/>
              <w:numPr>
                <w:ilvl w:val="0"/>
                <w:numId w:val="0"/>
              </w:numPr>
              <w:kinsoku/>
              <w:overflowPunct/>
              <w:topLinePunct w:val="0"/>
              <w:bidi w:val="0"/>
              <w:spacing w:after="0" w:line="460" w:lineRule="exact"/>
              <w:rPr>
                <w:rFonts w:hint="eastAsia" w:eastAsiaTheme="minorEastAsia"/>
                <w:b/>
                <w:bCs/>
                <w:color w:val="auto"/>
                <w:highlight w:val="none"/>
                <w:lang w:val="en-US" w:eastAsia="zh-CN"/>
              </w:rPr>
            </w:pPr>
            <w:r>
              <w:rPr>
                <w:rFonts w:hint="eastAsia" w:ascii="宋体" w:hAnsi="宋体" w:eastAsia="宋体" w:cs="仿宋_GB2312"/>
                <w:b/>
                <w:bCs/>
                <w:color w:val="auto"/>
                <w:sz w:val="24"/>
                <w:highlight w:val="none"/>
                <w:lang w:val="en-US" w:eastAsia="zh-CN"/>
              </w:rPr>
              <w:t>注：</w:t>
            </w:r>
            <w:r>
              <w:rPr>
                <w:rFonts w:hint="eastAsia" w:ascii="宋体" w:hAnsi="宋体" w:eastAsia="宋体" w:cs="仿宋_GB2312"/>
                <w:b/>
                <w:bCs/>
                <w:color w:val="auto"/>
                <w:sz w:val="24"/>
                <w:highlight w:val="none"/>
                <w:lang w:eastAsia="zh-CN"/>
              </w:rPr>
              <w:t>投标保证金作为其投标文件的一部分，未按要求提交投标保证金的投标人，将视为不响应招标文件</w:t>
            </w:r>
            <w:r>
              <w:rPr>
                <w:rFonts w:hint="eastAsia" w:ascii="宋体" w:hAnsi="宋体" w:eastAsia="宋体" w:cs="仿宋_GB2312"/>
                <w:b/>
                <w:bCs/>
                <w:color w:val="auto"/>
                <w:sz w:val="24"/>
                <w:highlight w:val="none"/>
                <w:lang w:val="en-US" w:eastAsia="zh-CN"/>
              </w:rPr>
              <w:t>要求</w:t>
            </w:r>
            <w:r>
              <w:rPr>
                <w:rFonts w:hint="eastAsia" w:ascii="宋体" w:hAnsi="宋体" w:eastAsia="宋体" w:cs="仿宋_GB2312"/>
                <w:b/>
                <w:bCs/>
                <w:color w:val="auto"/>
                <w:sz w:val="24"/>
                <w:highlight w:val="none"/>
                <w:lang w:eastAsia="zh-CN"/>
              </w:rPr>
              <w:t>。</w:t>
            </w:r>
          </w:p>
          <w:p w14:paraId="73D23CC5">
            <w:pPr>
              <w:keepLines w:val="0"/>
              <w:pageBreakBefore w:val="0"/>
              <w:kinsoku/>
              <w:wordWrap w:val="0"/>
              <w:overflowPunct/>
              <w:topLinePunct w:val="0"/>
              <w:bidi w:val="0"/>
              <w:spacing w:after="0"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四、投标保证金受理联系方式</w:t>
            </w:r>
          </w:p>
          <w:p w14:paraId="683C4604">
            <w:pPr>
              <w:spacing w:line="480" w:lineRule="atLeas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0877-6987085</w:t>
            </w:r>
            <w:r>
              <w:rPr>
                <w:rFonts w:hint="eastAsia" w:ascii="宋体" w:hAnsi="宋体" w:cs="宋体"/>
                <w:color w:val="auto"/>
                <w:sz w:val="24"/>
                <w:highlight w:val="none"/>
                <w:lang w:val="en-US" w:eastAsia="zh-CN"/>
              </w:rPr>
              <w:t>；</w:t>
            </w:r>
          </w:p>
          <w:p w14:paraId="3A88F66F">
            <w:pPr>
              <w:keepLines w:val="0"/>
              <w:pageBreakBefore w:val="0"/>
              <w:kinsoku/>
              <w:wordWrap/>
              <w:overflowPunct/>
              <w:topLinePunct w:val="0"/>
              <w:bidi w:val="0"/>
              <w:spacing w:line="480" w:lineRule="exact"/>
              <w:jc w:val="left"/>
              <w:rPr>
                <w:rFonts w:hint="eastAsia" w:ascii="宋体" w:hAnsi="宋体" w:eastAsia="宋体" w:cs="宋体"/>
                <w:b w:val="0"/>
                <w:bCs w:val="0"/>
                <w:color w:val="auto"/>
                <w:sz w:val="24"/>
                <w:highlight w:val="none"/>
              </w:rPr>
            </w:pPr>
            <w:r>
              <w:rPr>
                <w:rFonts w:hint="eastAsia" w:ascii="宋体" w:hAnsi="宋体" w:cs="宋体"/>
                <w:color w:val="auto"/>
                <w:sz w:val="24"/>
                <w:szCs w:val="32"/>
                <w:highlight w:val="none"/>
              </w:rPr>
              <w:t>时间：法定工作日8</w:t>
            </w:r>
            <w:r>
              <w:rPr>
                <w:rFonts w:hint="eastAsia" w:ascii="宋体" w:hAnsi="宋体" w:cs="宋体"/>
                <w:color w:val="auto"/>
                <w:sz w:val="24"/>
                <w:szCs w:val="32"/>
                <w:highlight w:val="none"/>
                <w:lang w:eastAsia="zh-CN"/>
              </w:rPr>
              <w:t>:</w:t>
            </w:r>
            <w:r>
              <w:rPr>
                <w:rFonts w:hint="eastAsia" w:ascii="宋体" w:hAnsi="宋体" w:cs="宋体"/>
                <w:color w:val="auto"/>
                <w:sz w:val="24"/>
                <w:szCs w:val="32"/>
                <w:highlight w:val="none"/>
                <w:lang w:val="en-US" w:eastAsia="zh-CN"/>
              </w:rPr>
              <w:t>3</w:t>
            </w:r>
            <w:r>
              <w:rPr>
                <w:rFonts w:hint="eastAsia" w:ascii="宋体" w:hAnsi="宋体" w:cs="宋体"/>
                <w:color w:val="auto"/>
                <w:sz w:val="24"/>
                <w:szCs w:val="32"/>
                <w:highlight w:val="none"/>
              </w:rPr>
              <w:t>0-</w:t>
            </w:r>
            <w:r>
              <w:rPr>
                <w:rFonts w:hint="eastAsia" w:ascii="宋体" w:hAnsi="宋体" w:cs="宋体"/>
                <w:color w:val="auto"/>
                <w:sz w:val="24"/>
                <w:szCs w:val="32"/>
                <w:highlight w:val="none"/>
                <w:lang w:val="en-US" w:eastAsia="zh-CN"/>
              </w:rPr>
              <w:t>11:30，14:00</w:t>
            </w:r>
            <w:r>
              <w:rPr>
                <w:rFonts w:hint="eastAsia" w:ascii="宋体" w:hAnsi="宋体" w:cs="宋体"/>
                <w:color w:val="auto"/>
                <w:sz w:val="24"/>
                <w:szCs w:val="32"/>
                <w:highlight w:val="none"/>
              </w:rPr>
              <w:t>-1</w:t>
            </w:r>
            <w:r>
              <w:rPr>
                <w:rFonts w:hint="eastAsia" w:ascii="宋体" w:hAnsi="宋体" w:cs="宋体"/>
                <w:color w:val="auto"/>
                <w:sz w:val="24"/>
                <w:szCs w:val="32"/>
                <w:highlight w:val="none"/>
                <w:lang w:val="en-US" w:eastAsia="zh-CN"/>
              </w:rPr>
              <w:t>7:30</w:t>
            </w:r>
            <w:r>
              <w:rPr>
                <w:rFonts w:hint="eastAsia" w:ascii="宋体" w:hAnsi="宋体" w:cs="宋体"/>
                <w:color w:val="auto"/>
                <w:sz w:val="24"/>
                <w:szCs w:val="32"/>
                <w:highlight w:val="none"/>
                <w:lang w:eastAsia="zh-CN"/>
              </w:rPr>
              <w:t>。</w:t>
            </w:r>
          </w:p>
          <w:p w14:paraId="21FB4E2F">
            <w:pPr>
              <w:keepLines w:val="0"/>
              <w:pageBreakBefore w:val="0"/>
              <w:kinsoku/>
              <w:wordWrap/>
              <w:overflowPunct/>
              <w:topLinePunct w:val="0"/>
              <w:bidi w:val="0"/>
              <w:spacing w:line="480" w:lineRule="exact"/>
              <w:jc w:val="left"/>
              <w:rPr>
                <w:rFonts w:hint="eastAsia" w:ascii="宋体" w:hAnsi="宋体" w:eastAsia="宋体" w:cs="宋体"/>
                <w:b/>
                <w:bCs/>
                <w:color w:val="auto"/>
                <w:sz w:val="24"/>
                <w:szCs w:val="32"/>
                <w:highlight w:val="none"/>
              </w:rPr>
            </w:pP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AUTOTEXT  input480 \* MERGEFORMAT </w:instrText>
            </w:r>
            <w:r>
              <w:rPr>
                <w:rFonts w:hint="eastAsia" w:ascii="宋体" w:hAnsi="宋体" w:eastAsia="宋体" w:cs="宋体"/>
                <w:color w:val="auto"/>
                <w:sz w:val="24"/>
                <w:szCs w:val="32"/>
                <w:highlight w:val="none"/>
              </w:rPr>
              <w:fldChar w:fldCharType="separate"/>
            </w:r>
            <w:r>
              <w:rPr>
                <w:rFonts w:hint="eastAsia" w:ascii="宋体" w:hAnsi="宋体" w:eastAsia="宋体" w:cs="宋体"/>
                <w:b/>
                <w:bCs/>
                <w:color w:val="auto"/>
                <w:sz w:val="24"/>
                <w:szCs w:val="32"/>
                <w:highlight w:val="none"/>
              </w:rPr>
              <w:t>五、退还方式及需提交的资料</w:t>
            </w:r>
          </w:p>
          <w:p w14:paraId="1B5BB420">
            <w:pPr>
              <w:keepLines w:val="0"/>
              <w:pageBreakBefore w:val="0"/>
              <w:kinsoku/>
              <w:wordWrap/>
              <w:overflowPunct/>
              <w:topLinePunct w:val="0"/>
              <w:bidi w:val="0"/>
              <w:spacing w:line="480" w:lineRule="exact"/>
              <w:jc w:val="left"/>
              <w:rPr>
                <w:rFonts w:hint="eastAsia" w:ascii="宋体" w:hAnsi="宋体" w:eastAsia="宋体" w:cs="宋体"/>
                <w:color w:val="auto"/>
                <w:sz w:val="24"/>
                <w:szCs w:val="32"/>
                <w:highlight w:val="none"/>
              </w:rPr>
            </w:pPr>
            <w:r>
              <w:rPr>
                <w:rFonts w:hint="eastAsia" w:ascii="宋体" w:hAnsi="宋体" w:cs="宋体"/>
                <w:color w:val="auto"/>
                <w:sz w:val="24"/>
                <w:szCs w:val="32"/>
                <w:highlight w:val="none"/>
                <w:lang w:eastAsia="zh-CN"/>
              </w:rPr>
              <w:t>1.</w:t>
            </w:r>
            <w:r>
              <w:rPr>
                <w:rFonts w:hint="eastAsia" w:ascii="宋体" w:hAnsi="宋体" w:eastAsia="宋体" w:cs="宋体"/>
                <w:color w:val="auto"/>
                <w:sz w:val="24"/>
                <w:szCs w:val="32"/>
                <w:highlight w:val="none"/>
              </w:rPr>
              <w:t>未中标人：</w:t>
            </w:r>
          </w:p>
          <w:p w14:paraId="7708DF8B">
            <w:pPr>
              <w:keepLines w:val="0"/>
              <w:pageBreakBefore w:val="0"/>
              <w:kinsoku/>
              <w:wordWrap/>
              <w:overflowPunct/>
              <w:topLinePunct w:val="0"/>
              <w:bidi w:val="0"/>
              <w:spacing w:line="480" w:lineRule="exact"/>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未中标投标人的投标保证金在中标结果公示期满后5个工作</w:t>
            </w:r>
            <w:r>
              <w:rPr>
                <w:rFonts w:hint="eastAsia" w:ascii="宋体" w:hAnsi="宋体" w:cs="宋体"/>
                <w:color w:val="auto"/>
                <w:sz w:val="24"/>
                <w:szCs w:val="32"/>
                <w:highlight w:val="none"/>
                <w:lang w:eastAsia="zh-CN"/>
              </w:rPr>
              <w:t>日内</w:t>
            </w:r>
            <w:r>
              <w:rPr>
                <w:rFonts w:hint="eastAsia" w:ascii="宋体" w:hAnsi="宋体" w:eastAsia="宋体" w:cs="宋体"/>
                <w:color w:val="auto"/>
                <w:sz w:val="24"/>
                <w:szCs w:val="32"/>
                <w:highlight w:val="none"/>
              </w:rPr>
              <w:t>（节假日顺延）退还。</w:t>
            </w:r>
          </w:p>
          <w:p w14:paraId="78F94707">
            <w:pPr>
              <w:keepLines w:val="0"/>
              <w:pageBreakBefore w:val="0"/>
              <w:kinsoku/>
              <w:wordWrap/>
              <w:overflowPunct/>
              <w:topLinePunct w:val="0"/>
              <w:bidi w:val="0"/>
              <w:spacing w:line="480" w:lineRule="exact"/>
              <w:jc w:val="left"/>
              <w:rPr>
                <w:rFonts w:hint="eastAsia" w:ascii="宋体" w:hAnsi="宋体" w:eastAsia="宋体" w:cs="宋体"/>
                <w:color w:val="auto"/>
                <w:sz w:val="24"/>
                <w:szCs w:val="32"/>
                <w:highlight w:val="none"/>
              </w:rPr>
            </w:pPr>
            <w:r>
              <w:rPr>
                <w:rFonts w:hint="eastAsia" w:ascii="宋体" w:hAnsi="宋体" w:cs="宋体"/>
                <w:color w:val="auto"/>
                <w:sz w:val="24"/>
                <w:szCs w:val="32"/>
                <w:highlight w:val="none"/>
                <w:lang w:eastAsia="zh-CN"/>
              </w:rPr>
              <w:t>2.</w:t>
            </w:r>
            <w:r>
              <w:rPr>
                <w:rFonts w:hint="eastAsia" w:ascii="宋体" w:hAnsi="宋体" w:eastAsia="宋体" w:cs="宋体"/>
                <w:color w:val="auto"/>
                <w:sz w:val="24"/>
                <w:szCs w:val="32"/>
                <w:highlight w:val="none"/>
              </w:rPr>
              <w:t>中标人：</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AUTOTEXT  input480 \* MERGEFORMAT </w:instrText>
            </w:r>
            <w:r>
              <w:rPr>
                <w:rFonts w:hint="eastAsia" w:ascii="宋体" w:hAnsi="宋体" w:eastAsia="宋体" w:cs="宋体"/>
                <w:color w:val="auto"/>
                <w:sz w:val="24"/>
                <w:szCs w:val="32"/>
                <w:highlight w:val="none"/>
              </w:rPr>
              <w:fldChar w:fldCharType="separate"/>
            </w:r>
          </w:p>
          <w:p w14:paraId="311D18C5">
            <w:pPr>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中标人的投标保证金在签订合同后5个工作</w:t>
            </w:r>
            <w:r>
              <w:rPr>
                <w:rFonts w:hint="eastAsia" w:ascii="宋体" w:hAnsi="宋体" w:cs="宋体"/>
                <w:color w:val="auto"/>
                <w:sz w:val="24"/>
                <w:szCs w:val="32"/>
                <w:highlight w:val="none"/>
                <w:lang w:eastAsia="zh-CN"/>
              </w:rPr>
              <w:t>日内</w:t>
            </w:r>
            <w:r>
              <w:rPr>
                <w:rFonts w:hint="eastAsia" w:ascii="宋体" w:hAnsi="宋体" w:eastAsia="宋体" w:cs="宋体"/>
                <w:color w:val="auto"/>
                <w:sz w:val="24"/>
                <w:szCs w:val="32"/>
                <w:highlight w:val="none"/>
              </w:rPr>
              <w:t>（节假日顺延）退还。</w:t>
            </w:r>
            <w:r>
              <w:rPr>
                <w:rFonts w:hint="eastAsia" w:ascii="宋体" w:hAnsi="宋体" w:eastAsia="宋体" w:cs="宋体"/>
                <w:color w:val="auto"/>
                <w:sz w:val="24"/>
                <w:szCs w:val="32"/>
                <w:highlight w:val="none"/>
              </w:rPr>
              <w:fldChar w:fldCharType="end"/>
            </w:r>
          </w:p>
        </w:tc>
      </w:tr>
      <w:tr w14:paraId="10E3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09" w:type="dxa"/>
            <w:vAlign w:val="center"/>
          </w:tcPr>
          <w:p w14:paraId="312611F1">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21</w:t>
            </w:r>
          </w:p>
        </w:tc>
        <w:tc>
          <w:tcPr>
            <w:tcW w:w="1863" w:type="dxa"/>
            <w:vAlign w:val="center"/>
          </w:tcPr>
          <w:p w14:paraId="06E4D597">
            <w:pPr>
              <w:keepNext w:val="0"/>
              <w:keepLines w:val="0"/>
              <w:pageBreakBefore w:val="0"/>
              <w:kinsoku/>
              <w:wordWrap/>
              <w:overflowPunct/>
              <w:topLinePunct w:val="0"/>
              <w:autoSpaceDE w:val="0"/>
              <w:autoSpaceDN w:val="0"/>
              <w:bidi w:val="0"/>
              <w:snapToGrid w:val="0"/>
              <w:spacing w:line="480" w:lineRule="exact"/>
              <w:jc w:val="center"/>
              <w:textAlignment w:val="bottom"/>
              <w:rPr>
                <w:rFonts w:hint="eastAsia" w:ascii="宋体" w:hAnsi="宋体" w:eastAsia="宋体" w:cs="宋体"/>
                <w:color w:val="auto"/>
                <w:spacing w:val="-8"/>
                <w:sz w:val="24"/>
                <w:highlight w:val="none"/>
              </w:rPr>
            </w:pPr>
            <w:r>
              <w:rPr>
                <w:rFonts w:hint="eastAsia" w:ascii="宋体" w:hAnsi="宋体" w:eastAsia="宋体" w:cs="宋体"/>
                <w:color w:val="auto"/>
                <w:sz w:val="24"/>
                <w:highlight w:val="none"/>
              </w:rPr>
              <w:t>投标文件的编制要求</w:t>
            </w:r>
          </w:p>
        </w:tc>
        <w:tc>
          <w:tcPr>
            <w:tcW w:w="6651" w:type="dxa"/>
            <w:vAlign w:val="center"/>
          </w:tcPr>
          <w:p w14:paraId="01B13CBA">
            <w:pPr>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w:t>
            </w:r>
            <w:r>
              <w:rPr>
                <w:rFonts w:hint="eastAsia" w:ascii="宋体" w:hAnsi="宋体" w:cs="宋体"/>
                <w:color w:val="auto"/>
                <w:sz w:val="24"/>
                <w:highlight w:val="none"/>
                <w:lang w:eastAsia="zh-CN"/>
              </w:rPr>
              <w:t>由</w:t>
            </w:r>
            <w:r>
              <w:rPr>
                <w:rFonts w:hint="eastAsia" w:ascii="宋体" w:hAnsi="宋体" w:eastAsia="宋体" w:cs="宋体"/>
                <w:color w:val="auto"/>
                <w:sz w:val="24"/>
                <w:highlight w:val="none"/>
              </w:rPr>
              <w:t>资格证明部分、商务部分、技术部分、</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资料组成，投标文件应编制目录。</w:t>
            </w:r>
          </w:p>
          <w:p w14:paraId="61EBB5AF">
            <w:pPr>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投标文件按“政采云</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进行编制</w:t>
            </w:r>
            <w:r>
              <w:rPr>
                <w:rFonts w:hint="eastAsia" w:ascii="宋体" w:hAnsi="宋体" w:eastAsia="宋体" w:cs="宋体"/>
                <w:color w:val="auto"/>
                <w:sz w:val="24"/>
                <w:highlight w:val="none"/>
              </w:rPr>
              <w:t>。</w:t>
            </w:r>
          </w:p>
        </w:tc>
      </w:tr>
      <w:tr w14:paraId="5DBAC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347BA0E6">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22</w:t>
            </w:r>
          </w:p>
        </w:tc>
        <w:tc>
          <w:tcPr>
            <w:tcW w:w="1863" w:type="dxa"/>
            <w:vAlign w:val="center"/>
          </w:tcPr>
          <w:p w14:paraId="7F5D5090">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w:t>
            </w:r>
          </w:p>
        </w:tc>
        <w:tc>
          <w:tcPr>
            <w:tcW w:w="6651" w:type="dxa"/>
            <w:vAlign w:val="center"/>
          </w:tcPr>
          <w:p w14:paraId="331F8CB3">
            <w:pPr>
              <w:pStyle w:val="16"/>
              <w:keepNext w:val="0"/>
              <w:keepLines w:val="0"/>
              <w:pageBreakBefore w:val="0"/>
              <w:kinsoku/>
              <w:wordWrap/>
              <w:overflowPunct/>
              <w:topLinePunct w:val="0"/>
              <w:bidi w:val="0"/>
              <w:spacing w:line="480" w:lineRule="exact"/>
              <w:jc w:val="left"/>
              <w:rPr>
                <w:rFonts w:hint="eastAsia" w:ascii="宋体" w:hAnsi="宋体" w:eastAsia="宋体" w:cs="宋体"/>
                <w:color w:val="auto"/>
                <w:highlight w:val="none"/>
                <w:lang w:eastAsia="zh-CN"/>
              </w:rPr>
            </w:pPr>
            <w:r>
              <w:rPr>
                <w:rFonts w:hint="eastAsia" w:hAnsi="宋体" w:cs="宋体"/>
                <w:b/>
                <w:color w:val="auto"/>
                <w:sz w:val="24"/>
                <w:highlight w:val="none"/>
                <w:u w:val="single"/>
                <w:lang w:eastAsia="zh-CN"/>
              </w:rPr>
              <w:t>2026年09月</w:t>
            </w:r>
            <w:r>
              <w:rPr>
                <w:rFonts w:hint="eastAsia" w:hAnsi="宋体" w:cs="宋体"/>
                <w:b/>
                <w:color w:val="auto"/>
                <w:sz w:val="24"/>
                <w:highlight w:val="none"/>
                <w:u w:val="single"/>
                <w:lang w:val="en-US" w:eastAsia="zh-CN"/>
              </w:rPr>
              <w:t>30</w:t>
            </w:r>
            <w:r>
              <w:rPr>
                <w:rFonts w:hint="eastAsia" w:hAnsi="宋体" w:cs="宋体"/>
                <w:b/>
                <w:color w:val="auto"/>
                <w:sz w:val="24"/>
                <w:highlight w:val="none"/>
                <w:u w:val="single"/>
                <w:lang w:eastAsia="zh-CN"/>
              </w:rPr>
              <w:t>日09点00分</w:t>
            </w:r>
            <w:r>
              <w:rPr>
                <w:rFonts w:hint="eastAsia" w:ascii="宋体" w:hAnsi="宋体" w:eastAsia="宋体" w:cs="宋体"/>
                <w:b/>
                <w:color w:val="auto"/>
                <w:sz w:val="24"/>
                <w:szCs w:val="24"/>
                <w:highlight w:val="none"/>
              </w:rPr>
              <w:t>（北京时间）</w:t>
            </w:r>
            <w:r>
              <w:rPr>
                <w:rFonts w:hint="eastAsia" w:hAnsi="宋体" w:cs="宋体"/>
                <w:b/>
                <w:color w:val="auto"/>
                <w:sz w:val="24"/>
                <w:szCs w:val="24"/>
                <w:highlight w:val="none"/>
                <w:lang w:eastAsia="zh-CN"/>
              </w:rPr>
              <w:t>。</w:t>
            </w:r>
          </w:p>
        </w:tc>
      </w:tr>
      <w:tr w14:paraId="4F49F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1009" w:type="dxa"/>
            <w:vAlign w:val="center"/>
          </w:tcPr>
          <w:p w14:paraId="2CB6E33C">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23</w:t>
            </w:r>
          </w:p>
        </w:tc>
        <w:tc>
          <w:tcPr>
            <w:tcW w:w="1863" w:type="dxa"/>
            <w:vAlign w:val="center"/>
          </w:tcPr>
          <w:p w14:paraId="0ED65CCE">
            <w:pPr>
              <w:pStyle w:val="16"/>
              <w:keepNext w:val="0"/>
              <w:keepLines w:val="0"/>
              <w:pageBreakBefore w:val="0"/>
              <w:kinsoku/>
              <w:wordWrap/>
              <w:overflowPunct/>
              <w:topLinePunct w:val="0"/>
              <w:bidi w:val="0"/>
              <w:spacing w:line="480" w:lineRule="exact"/>
              <w:jc w:val="center"/>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递交投标文件的方式</w:t>
            </w:r>
          </w:p>
        </w:tc>
        <w:tc>
          <w:tcPr>
            <w:tcW w:w="6651" w:type="dxa"/>
            <w:vAlign w:val="center"/>
          </w:tcPr>
          <w:p w14:paraId="1B3119CA">
            <w:pPr>
              <w:pStyle w:val="16"/>
              <w:keepNext w:val="0"/>
              <w:keepLines w:val="0"/>
              <w:pageBreakBefore w:val="0"/>
              <w:kinsoku/>
              <w:wordWrap/>
              <w:overflowPunct/>
              <w:topLinePunct w:val="0"/>
              <w:bidi w:val="0"/>
              <w:spacing w:line="480" w:lineRule="exact"/>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网上递交：网上递交网址为</w:t>
            </w:r>
            <w:r>
              <w:rPr>
                <w:rFonts w:hint="eastAsia" w:hAnsi="宋体" w:cs="宋体"/>
                <w:color w:val="auto"/>
                <w:sz w:val="24"/>
                <w:highlight w:val="none"/>
                <w:lang w:eastAsia="zh-CN"/>
              </w:rPr>
              <w:t>云南省政府采购电子交易平台（政采云https://www.zcygov.cn/）</w:t>
            </w:r>
            <w:r>
              <w:rPr>
                <w:rFonts w:hint="eastAsia" w:ascii="宋体" w:hAnsi="宋体" w:eastAsia="宋体" w:cs="宋体"/>
                <w:color w:val="auto"/>
                <w:sz w:val="24"/>
                <w:highlight w:val="none"/>
              </w:rPr>
              <w:t>，投标人须在投标截止时间前完成投标文件的上传，网上确认</w:t>
            </w:r>
            <w:r>
              <w:rPr>
                <w:rFonts w:hint="eastAsia" w:ascii="宋体" w:hAnsi="宋体" w:eastAsia="宋体" w:cs="宋体"/>
                <w:color w:val="auto"/>
                <w:sz w:val="24"/>
                <w:highlight w:val="none"/>
                <w:lang w:eastAsia="zh-CN"/>
              </w:rPr>
              <w:t>电子签章或电子签名</w:t>
            </w:r>
            <w:r>
              <w:rPr>
                <w:rFonts w:hint="eastAsia" w:ascii="宋体" w:hAnsi="宋体" w:eastAsia="宋体" w:cs="宋体"/>
                <w:color w:val="auto"/>
                <w:sz w:val="24"/>
                <w:highlight w:val="none"/>
              </w:rPr>
              <w:t>，投标截止时间前未完成投标文件传输的，视为撤回投标文件。</w:t>
            </w:r>
          </w:p>
        </w:tc>
      </w:tr>
      <w:tr w14:paraId="76C44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009" w:type="dxa"/>
            <w:vAlign w:val="center"/>
          </w:tcPr>
          <w:p w14:paraId="67C9A1C4">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24</w:t>
            </w:r>
          </w:p>
        </w:tc>
        <w:tc>
          <w:tcPr>
            <w:tcW w:w="1863" w:type="dxa"/>
            <w:vAlign w:val="center"/>
          </w:tcPr>
          <w:p w14:paraId="4A0F375E">
            <w:pPr>
              <w:pStyle w:val="16"/>
              <w:keepNext w:val="0"/>
              <w:keepLines w:val="0"/>
              <w:pageBreakBefore w:val="0"/>
              <w:kinsoku/>
              <w:wordWrap/>
              <w:overflowPunct/>
              <w:topLinePunct w:val="0"/>
              <w:bidi w:val="0"/>
              <w:spacing w:line="48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开标时间和地点</w:t>
            </w:r>
          </w:p>
        </w:tc>
        <w:tc>
          <w:tcPr>
            <w:tcW w:w="6651" w:type="dxa"/>
            <w:vAlign w:val="center"/>
          </w:tcPr>
          <w:p w14:paraId="7C24FD51">
            <w:pPr>
              <w:pStyle w:val="16"/>
              <w:keepNext w:val="0"/>
              <w:keepLines w:val="0"/>
              <w:pageBreakBefore w:val="0"/>
              <w:kinsoku/>
              <w:wordWrap/>
              <w:overflowPunct/>
              <w:topLinePunct w:val="0"/>
              <w:bidi w:val="0"/>
              <w:spacing w:line="480" w:lineRule="exact"/>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开标时间：同投标截止时间。</w:t>
            </w:r>
          </w:p>
          <w:p w14:paraId="00E859D8">
            <w:pPr>
              <w:pStyle w:val="16"/>
              <w:keepNext w:val="0"/>
              <w:keepLines w:val="0"/>
              <w:pageBreakBefore w:val="0"/>
              <w:kinsoku/>
              <w:wordWrap/>
              <w:overflowPunct/>
              <w:topLinePunct w:val="0"/>
              <w:bidi w:val="0"/>
              <w:spacing w:line="480" w:lineRule="exact"/>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开标地点：</w:t>
            </w:r>
            <w:r>
              <w:rPr>
                <w:rFonts w:hint="eastAsia" w:hAnsi="宋体" w:cs="宋体"/>
                <w:b/>
                <w:bCs/>
                <w:color w:val="auto"/>
                <w:sz w:val="24"/>
                <w:highlight w:val="none"/>
                <w:lang w:eastAsia="zh-CN"/>
              </w:rPr>
              <w:t>玉溪市公共资源交易中心</w:t>
            </w:r>
            <w:r>
              <w:rPr>
                <w:rFonts w:hint="eastAsia" w:ascii="宋体" w:hAnsi="宋体" w:eastAsia="宋体" w:cs="宋体"/>
                <w:b/>
                <w:bCs/>
                <w:color w:val="auto"/>
                <w:sz w:val="24"/>
                <w:highlight w:val="none"/>
                <w:lang w:eastAsia="zh-CN"/>
              </w:rPr>
              <w:t>开标厅（云南省政府采购电子交易平台（政采云https://www.zcygov.cn/）线上开标）</w:t>
            </w:r>
            <w:r>
              <w:rPr>
                <w:rFonts w:hint="eastAsia" w:ascii="宋体" w:hAnsi="宋体" w:eastAsia="宋体" w:cs="宋体"/>
                <w:b/>
                <w:bCs/>
                <w:color w:val="auto"/>
                <w:sz w:val="24"/>
                <w:highlight w:val="none"/>
                <w:lang w:val="en-US" w:eastAsia="zh-CN"/>
              </w:rPr>
              <w:t>。</w:t>
            </w:r>
          </w:p>
        </w:tc>
      </w:tr>
      <w:tr w14:paraId="18C9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jc w:val="center"/>
        </w:trPr>
        <w:tc>
          <w:tcPr>
            <w:tcW w:w="1009" w:type="dxa"/>
            <w:vAlign w:val="center"/>
          </w:tcPr>
          <w:p w14:paraId="51521640">
            <w:pPr>
              <w:keepNext w:val="0"/>
              <w:keepLines w:val="0"/>
              <w:pageBreakBefore w:val="0"/>
              <w:kinsoku/>
              <w:wordWrap/>
              <w:overflowPunct/>
              <w:topLinePunct w:val="0"/>
              <w:autoSpaceDE w:val="0"/>
              <w:autoSpaceDN w:val="0"/>
              <w:bidi w:val="0"/>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b w:val="0"/>
                <w:bCs w:val="0"/>
                <w:color w:val="auto"/>
                <w:sz w:val="24"/>
                <w:highlight w:val="none"/>
                <w:lang w:val="en-US" w:eastAsia="zh-CN"/>
              </w:rPr>
              <w:t>25</w:t>
            </w:r>
          </w:p>
        </w:tc>
        <w:tc>
          <w:tcPr>
            <w:tcW w:w="1863" w:type="dxa"/>
            <w:vAlign w:val="center"/>
          </w:tcPr>
          <w:p w14:paraId="3F64EBC0">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评标委员会的组建</w:t>
            </w:r>
          </w:p>
        </w:tc>
        <w:tc>
          <w:tcPr>
            <w:tcW w:w="6651" w:type="dxa"/>
            <w:vAlign w:val="center"/>
          </w:tcPr>
          <w:p w14:paraId="6ECE7116">
            <w:pPr>
              <w:pStyle w:val="16"/>
              <w:keepNext w:val="0"/>
              <w:keepLines w:val="0"/>
              <w:pageBreakBefore w:val="0"/>
              <w:kinsoku/>
              <w:wordWrap/>
              <w:overflowPunct/>
              <w:topLinePunct w:val="0"/>
              <w:bidi w:val="0"/>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评标委员会构成</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代表和评审专家共</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rPr>
              <w:t>人及以上单数组成，其中评审专家人数不得少于评标委员会成员总数的2/3。</w:t>
            </w:r>
          </w:p>
          <w:p w14:paraId="2535123F">
            <w:pPr>
              <w:pStyle w:val="16"/>
              <w:keepNext w:val="0"/>
              <w:keepLines w:val="0"/>
              <w:pageBreakBefore w:val="0"/>
              <w:kinsoku/>
              <w:wordWrap/>
              <w:overflowPunct/>
              <w:topLinePunct w:val="0"/>
              <w:bidi w:val="0"/>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评标委员会人数：</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rPr>
              <w:t>人以上（含</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rPr>
              <w:t>人）的单数。</w:t>
            </w:r>
          </w:p>
          <w:p w14:paraId="22A71764">
            <w:pPr>
              <w:pStyle w:val="16"/>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评标专家确定方式</w:t>
            </w:r>
            <w:r>
              <w:rPr>
                <w:rFonts w:hint="eastAsia" w:hAnsi="宋体" w:cs="宋体"/>
                <w:color w:val="auto"/>
                <w:sz w:val="24"/>
                <w:szCs w:val="24"/>
                <w:highlight w:val="none"/>
                <w:lang w:eastAsia="zh-CN"/>
              </w:rPr>
              <w:t>：在云南省政府采购电子交易平台（政采云https://www.zcygov.cn/）</w:t>
            </w:r>
            <w:r>
              <w:rPr>
                <w:rFonts w:hint="eastAsia" w:hAnsi="宋体"/>
                <w:color w:val="auto"/>
                <w:sz w:val="24"/>
                <w:szCs w:val="24"/>
                <w:highlight w:val="none"/>
              </w:rPr>
              <w:t>中随机抽取。</w:t>
            </w:r>
          </w:p>
        </w:tc>
      </w:tr>
      <w:tr w14:paraId="3211F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1009" w:type="dxa"/>
            <w:vAlign w:val="center"/>
          </w:tcPr>
          <w:p w14:paraId="66FAAA74">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highlight w:val="none"/>
                <w:lang w:val="en-US" w:eastAsia="zh-CN"/>
              </w:rPr>
            </w:pPr>
            <w:r>
              <w:rPr>
                <w:rFonts w:hint="eastAsia" w:hAnsi="宋体" w:cs="宋体"/>
                <w:color w:val="auto"/>
                <w:sz w:val="24"/>
                <w:szCs w:val="24"/>
                <w:highlight w:val="none"/>
                <w:lang w:val="en-US" w:eastAsia="zh-CN"/>
              </w:rPr>
              <w:t>26</w:t>
            </w:r>
          </w:p>
        </w:tc>
        <w:tc>
          <w:tcPr>
            <w:tcW w:w="1863" w:type="dxa"/>
            <w:vAlign w:val="center"/>
          </w:tcPr>
          <w:p w14:paraId="72CF9E0A">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评标委员会推荐中标候选人的人数</w:t>
            </w:r>
          </w:p>
        </w:tc>
        <w:tc>
          <w:tcPr>
            <w:tcW w:w="6651" w:type="dxa"/>
            <w:vAlign w:val="center"/>
          </w:tcPr>
          <w:p w14:paraId="74B973C8">
            <w:pPr>
              <w:pStyle w:val="16"/>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3名</w:t>
            </w:r>
            <w:r>
              <w:rPr>
                <w:rFonts w:hint="eastAsia" w:hAnsi="宋体" w:cs="宋体"/>
                <w:color w:val="auto"/>
                <w:sz w:val="24"/>
                <w:szCs w:val="24"/>
                <w:highlight w:val="none"/>
                <w:lang w:eastAsia="zh-CN"/>
              </w:rPr>
              <w:t>。</w:t>
            </w:r>
          </w:p>
        </w:tc>
      </w:tr>
      <w:tr w14:paraId="6912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09" w:type="dxa"/>
            <w:vAlign w:val="center"/>
          </w:tcPr>
          <w:p w14:paraId="30A07401">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highlight w:val="none"/>
                <w:lang w:val="en-US" w:eastAsia="zh-CN"/>
              </w:rPr>
            </w:pPr>
            <w:r>
              <w:rPr>
                <w:rFonts w:hint="eastAsia" w:hAnsi="宋体" w:cs="宋体"/>
                <w:color w:val="auto"/>
                <w:sz w:val="24"/>
                <w:szCs w:val="24"/>
                <w:highlight w:val="none"/>
                <w:lang w:val="en-US" w:eastAsia="zh-CN"/>
              </w:rPr>
              <w:t>27</w:t>
            </w:r>
          </w:p>
        </w:tc>
        <w:tc>
          <w:tcPr>
            <w:tcW w:w="1863" w:type="dxa"/>
            <w:vAlign w:val="center"/>
          </w:tcPr>
          <w:p w14:paraId="43C9244E">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是否授权评标委员会确定中标人</w:t>
            </w:r>
          </w:p>
        </w:tc>
        <w:tc>
          <w:tcPr>
            <w:tcW w:w="6651" w:type="dxa"/>
            <w:vAlign w:val="center"/>
          </w:tcPr>
          <w:p w14:paraId="230939C0">
            <w:pPr>
              <w:pStyle w:val="16"/>
              <w:keepNext w:val="0"/>
              <w:keepLines w:val="0"/>
              <w:pageBreakBefore w:val="0"/>
              <w:kinsoku/>
              <w:wordWrap/>
              <w:overflowPunct/>
              <w:topLinePunct w:val="0"/>
              <w:bidi w:val="0"/>
              <w:spacing w:line="48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否</w:t>
            </w:r>
            <w:r>
              <w:rPr>
                <w:rFonts w:hint="eastAsia" w:hAnsi="宋体" w:cs="宋体"/>
                <w:color w:val="auto"/>
                <w:sz w:val="24"/>
                <w:szCs w:val="24"/>
                <w:highlight w:val="none"/>
                <w:lang w:eastAsia="zh-CN"/>
              </w:rPr>
              <w:t>。</w:t>
            </w:r>
          </w:p>
        </w:tc>
      </w:tr>
      <w:tr w14:paraId="4C67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009" w:type="dxa"/>
            <w:vAlign w:val="center"/>
          </w:tcPr>
          <w:p w14:paraId="4338C717">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highlight w:val="none"/>
                <w:lang w:val="en-US" w:eastAsia="zh-CN"/>
              </w:rPr>
            </w:pPr>
            <w:r>
              <w:rPr>
                <w:rFonts w:hint="eastAsia" w:hAnsi="宋体" w:cs="宋体"/>
                <w:color w:val="auto"/>
                <w:sz w:val="24"/>
                <w:szCs w:val="24"/>
                <w:highlight w:val="none"/>
                <w:lang w:val="en-US" w:eastAsia="zh-CN"/>
              </w:rPr>
              <w:t>28</w:t>
            </w:r>
          </w:p>
        </w:tc>
        <w:tc>
          <w:tcPr>
            <w:tcW w:w="1863" w:type="dxa"/>
            <w:vAlign w:val="center"/>
          </w:tcPr>
          <w:p w14:paraId="12601B5E">
            <w:pPr>
              <w:pStyle w:val="16"/>
              <w:keepNext w:val="0"/>
              <w:keepLines w:val="0"/>
              <w:pageBreakBefore w:val="0"/>
              <w:kinsoku/>
              <w:wordWrap/>
              <w:overflowPunct/>
              <w:topLinePunct w:val="0"/>
              <w:bidi w:val="0"/>
              <w:spacing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履约</w:t>
            </w:r>
            <w:r>
              <w:rPr>
                <w:rFonts w:hint="eastAsia" w:ascii="宋体" w:hAnsi="宋体" w:eastAsia="宋体" w:cs="宋体"/>
                <w:b/>
                <w:bCs/>
                <w:color w:val="auto"/>
                <w:sz w:val="24"/>
                <w:szCs w:val="24"/>
                <w:highlight w:val="none"/>
                <w:lang w:eastAsia="zh-CN"/>
              </w:rPr>
              <w:t>保证金</w:t>
            </w:r>
          </w:p>
        </w:tc>
        <w:tc>
          <w:tcPr>
            <w:tcW w:w="6651" w:type="dxa"/>
            <w:vAlign w:val="center"/>
          </w:tcPr>
          <w:p w14:paraId="1DDC3179">
            <w:pPr>
              <w:pStyle w:val="16"/>
              <w:keepNext w:val="0"/>
              <w:keepLines w:val="0"/>
              <w:pageBreakBefore w:val="0"/>
              <w:kinsoku/>
              <w:wordWrap/>
              <w:overflowPunct/>
              <w:topLinePunct w:val="0"/>
              <w:bidi w:val="0"/>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履约保证金的形式：</w:t>
            </w:r>
            <w:r>
              <w:rPr>
                <w:rFonts w:hint="eastAsia" w:ascii="宋体" w:hAnsi="宋体" w:eastAsia="宋体" w:cs="宋体"/>
                <w:b/>
                <w:bCs/>
                <w:color w:val="auto"/>
                <w:sz w:val="24"/>
                <w:highlight w:val="none"/>
                <w:lang w:eastAsia="zh-CN"/>
              </w:rPr>
              <w:t>保险</w:t>
            </w:r>
            <w:r>
              <w:rPr>
                <w:rFonts w:hint="eastAsia" w:hAnsi="宋体" w:cs="宋体"/>
                <w:b/>
                <w:bCs/>
                <w:color w:val="auto"/>
                <w:sz w:val="24"/>
                <w:highlight w:val="none"/>
                <w:lang w:val="en-US" w:eastAsia="zh-CN"/>
              </w:rPr>
              <w:t>保函</w:t>
            </w:r>
            <w:r>
              <w:rPr>
                <w:rFonts w:hint="eastAsia" w:ascii="宋体" w:hAnsi="宋体" w:eastAsia="宋体" w:cs="宋体"/>
                <w:b/>
                <w:bCs/>
                <w:color w:val="auto"/>
                <w:sz w:val="24"/>
                <w:highlight w:val="none"/>
                <w:lang w:eastAsia="zh-CN"/>
              </w:rPr>
              <w:t>、银行</w:t>
            </w:r>
            <w:r>
              <w:rPr>
                <w:rFonts w:hint="eastAsia" w:ascii="宋体" w:hAnsi="宋体" w:eastAsia="宋体" w:cs="宋体"/>
                <w:b/>
                <w:bCs/>
                <w:color w:val="auto"/>
                <w:sz w:val="24"/>
                <w:highlight w:val="none"/>
              </w:rPr>
              <w:t>保函、银行转账等非现金形式提交；</w:t>
            </w:r>
          </w:p>
          <w:p w14:paraId="6DAD6A19">
            <w:pPr>
              <w:keepNext w:val="0"/>
              <w:keepLines w:val="0"/>
              <w:pageBreakBefore w:val="0"/>
              <w:suppressLineNumbers w:val="0"/>
              <w:kinsoku/>
              <w:wordWrap/>
              <w:overflowPunct/>
              <w:topLinePunct w:val="0"/>
              <w:bidi w:val="0"/>
              <w:spacing w:before="0" w:beforeAutospacing="0" w:after="0" w:afterAutospacing="0" w:line="360" w:lineRule="auto"/>
              <w:ind w:left="0" w:right="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履约保证金的金额：合同价款的</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p>
          <w:p w14:paraId="17867611">
            <w:pPr>
              <w:keepNext w:val="0"/>
              <w:keepLines w:val="0"/>
              <w:pageBreakBefore w:val="0"/>
              <w:suppressLineNumbers w:val="0"/>
              <w:kinsoku/>
              <w:wordWrap/>
              <w:overflowPunct/>
              <w:topLinePunct w:val="0"/>
              <w:bidi w:val="0"/>
              <w:spacing w:before="0" w:beforeAutospacing="0" w:after="0" w:afterAutospacing="0" w:line="360" w:lineRule="auto"/>
              <w:ind w:left="0" w:right="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注：履约保证金需在</w:t>
            </w:r>
            <w:r>
              <w:rPr>
                <w:rFonts w:hint="eastAsia" w:ascii="宋体" w:hAnsi="宋体" w:eastAsia="宋体" w:cs="宋体"/>
                <w:color w:val="auto"/>
                <w:sz w:val="24"/>
                <w:highlight w:val="none"/>
                <w:lang w:val="en-US" w:eastAsia="zh-CN"/>
              </w:rPr>
              <w:t>合同签订前缴纳，</w:t>
            </w:r>
            <w:r>
              <w:rPr>
                <w:rFonts w:hint="eastAsia" w:ascii="宋体" w:hAnsi="宋体" w:eastAsia="宋体" w:cs="宋体"/>
                <w:color w:val="auto"/>
                <w:sz w:val="24"/>
                <w:highlight w:val="none"/>
              </w:rPr>
              <w:t>如未按要求提交履约保证金，取消其中标人资格，终止签订合同，根据评标排名结果中标人资格顺延</w:t>
            </w:r>
            <w:r>
              <w:rPr>
                <w:rFonts w:hint="eastAsia" w:ascii="宋体" w:hAnsi="宋体" w:eastAsia="宋体" w:cs="宋体"/>
                <w:color w:val="auto"/>
                <w:sz w:val="24"/>
                <w:highlight w:val="none"/>
                <w:lang w:val="en-US" w:eastAsia="zh-CN"/>
              </w:rPr>
              <w:t>；</w:t>
            </w:r>
          </w:p>
          <w:p w14:paraId="58312840">
            <w:pPr>
              <w:pStyle w:val="16"/>
              <w:keepNext w:val="0"/>
              <w:keepLines w:val="0"/>
              <w:pageBreakBefore w:val="0"/>
              <w:kinsoku/>
              <w:wordWrap/>
              <w:overflowPunct/>
              <w:topLinePunct w:val="0"/>
              <w:bidi w:val="0"/>
              <w:spacing w:line="48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履约保证金的退还：</w:t>
            </w:r>
            <w:r>
              <w:rPr>
                <w:rFonts w:hint="eastAsia" w:ascii="宋体" w:hAnsi="宋体" w:eastAsia="宋体" w:cs="宋体"/>
                <w:color w:val="auto"/>
                <w:sz w:val="24"/>
                <w:szCs w:val="24"/>
                <w:highlight w:val="none"/>
              </w:rPr>
              <w:t>合同履约完</w:t>
            </w:r>
            <w:r>
              <w:rPr>
                <w:rFonts w:hint="eastAsia" w:hAnsi="宋体" w:cs="宋体"/>
                <w:color w:val="auto"/>
                <w:sz w:val="24"/>
                <w:szCs w:val="24"/>
                <w:highlight w:val="none"/>
                <w:lang w:eastAsia="zh-CN"/>
              </w:rPr>
              <w:t>成后</w:t>
            </w:r>
            <w:r>
              <w:rPr>
                <w:rFonts w:hint="eastAsia" w:ascii="宋体" w:hAnsi="宋体" w:eastAsia="宋体" w:cs="宋体"/>
                <w:color w:val="auto"/>
                <w:sz w:val="24"/>
                <w:szCs w:val="24"/>
                <w:highlight w:val="none"/>
              </w:rPr>
              <w:t>没有发生违约，</w:t>
            </w:r>
            <w:r>
              <w:rPr>
                <w:rFonts w:hint="eastAsia" w:ascii="宋体" w:hAnsi="宋体" w:eastAsia="宋体" w:cs="宋体"/>
                <w:color w:val="auto"/>
                <w:sz w:val="24"/>
                <w:szCs w:val="24"/>
                <w:highlight w:val="none"/>
                <w:lang w:val="en-US" w:eastAsia="zh-CN"/>
              </w:rPr>
              <w:t>没有扣除保证金情况的，</w:t>
            </w:r>
            <w:r>
              <w:rPr>
                <w:rFonts w:hint="eastAsia" w:ascii="宋体" w:hAnsi="宋体" w:eastAsia="宋体" w:cs="宋体"/>
                <w:color w:val="auto"/>
                <w:sz w:val="24"/>
                <w:szCs w:val="24"/>
                <w:highlight w:val="none"/>
              </w:rPr>
              <w:t>一次性无息退还。</w:t>
            </w:r>
          </w:p>
        </w:tc>
      </w:tr>
      <w:tr w14:paraId="448E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009" w:type="dxa"/>
            <w:vAlign w:val="center"/>
          </w:tcPr>
          <w:p w14:paraId="0C98138E">
            <w:pPr>
              <w:keepNext w:val="0"/>
              <w:keepLines w:val="0"/>
              <w:pageBreakBefore w:val="0"/>
              <w:kinsoku/>
              <w:wordWrap/>
              <w:overflowPunct/>
              <w:topLinePunct w:val="0"/>
              <w:autoSpaceDE w:val="0"/>
              <w:autoSpaceDN w:val="0"/>
              <w:bidi w:val="0"/>
              <w:spacing w:line="480" w:lineRule="exact"/>
              <w:jc w:val="center"/>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29</w:t>
            </w:r>
          </w:p>
        </w:tc>
        <w:tc>
          <w:tcPr>
            <w:tcW w:w="1863" w:type="dxa"/>
            <w:vAlign w:val="center"/>
          </w:tcPr>
          <w:p w14:paraId="5E4E4D70">
            <w:pPr>
              <w:keepNext w:val="0"/>
              <w:keepLines w:val="0"/>
              <w:pageBreakBefore w:val="0"/>
              <w:kinsoku/>
              <w:wordWrap/>
              <w:overflowPunct/>
              <w:topLinePunct w:val="0"/>
              <w:autoSpaceDE w:val="0"/>
              <w:autoSpaceDN w:val="0"/>
              <w:bidi w:val="0"/>
              <w:spacing w:line="480" w:lineRule="exact"/>
              <w:ind w:firstLine="120" w:firstLineChars="50"/>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付款方式</w:t>
            </w:r>
          </w:p>
        </w:tc>
        <w:tc>
          <w:tcPr>
            <w:tcW w:w="6651" w:type="dxa"/>
            <w:vAlign w:val="center"/>
          </w:tcPr>
          <w:p w14:paraId="2CE5B1FE">
            <w:pPr>
              <w:keepNext w:val="0"/>
              <w:keepLines w:val="0"/>
              <w:pageBreakBefore w:val="0"/>
              <w:kinsoku/>
              <w:wordWrap/>
              <w:overflowPunct/>
              <w:topLinePunct w:val="0"/>
              <w:autoSpaceDE/>
              <w:autoSpaceDN/>
              <w:bidi w:val="0"/>
              <w:adjustRightInd/>
              <w:snapToGrid/>
              <w:spacing w:line="480" w:lineRule="exact"/>
              <w:textAlignment w:val="auto"/>
              <w:rPr>
                <w:rFonts w:hint="default" w:ascii="宋体" w:hAnsi="宋体" w:eastAsia="宋体" w:cs="宋体"/>
                <w:b/>
                <w:bCs/>
                <w:color w:val="auto"/>
                <w:sz w:val="24"/>
                <w:highlight w:val="none"/>
                <w:lang w:val="en-US" w:eastAsia="zh-CN"/>
              </w:rPr>
            </w:pPr>
            <w:r>
              <w:rPr>
                <w:rFonts w:hint="eastAsia" w:ascii="宋体" w:hAnsi="宋体" w:eastAsia="宋体" w:cs="仿宋_GB2312"/>
                <w:b/>
                <w:bCs/>
                <w:color w:val="auto"/>
                <w:sz w:val="24"/>
                <w:highlight w:val="none"/>
                <w:lang w:eastAsia="zh-CN"/>
              </w:rPr>
              <w:t>按照政府采购相关法律法规、政策支付本项目服务费用，</w:t>
            </w:r>
            <w:r>
              <w:rPr>
                <w:rFonts w:hint="eastAsia" w:ascii="宋体" w:hAnsi="宋体" w:cs="仿宋_GB2312"/>
                <w:b/>
                <w:bCs/>
                <w:color w:val="auto"/>
                <w:sz w:val="24"/>
                <w:highlight w:val="none"/>
                <w:lang w:val="en-US" w:eastAsia="zh-CN"/>
              </w:rPr>
              <w:t>采购人</w:t>
            </w:r>
            <w:r>
              <w:rPr>
                <w:rFonts w:hint="eastAsia" w:ascii="宋体" w:hAnsi="宋体" w:eastAsia="宋体" w:cs="仿宋_GB2312"/>
                <w:b/>
                <w:bCs/>
                <w:color w:val="auto"/>
                <w:sz w:val="24"/>
                <w:highlight w:val="none"/>
                <w:lang w:eastAsia="zh-CN"/>
              </w:rPr>
              <w:t>依据相关考核的结果，核算后按月支付承包费用。具体支付条款由采购人和</w:t>
            </w:r>
            <w:r>
              <w:rPr>
                <w:rFonts w:hint="eastAsia" w:ascii="宋体" w:hAnsi="宋体" w:eastAsia="宋体" w:cs="仿宋_GB2312"/>
                <w:b/>
                <w:bCs/>
                <w:color w:val="auto"/>
                <w:sz w:val="24"/>
                <w:highlight w:val="none"/>
                <w:lang w:val="en-US" w:eastAsia="zh-CN"/>
              </w:rPr>
              <w:t>中标人</w:t>
            </w:r>
            <w:r>
              <w:rPr>
                <w:rFonts w:hint="eastAsia" w:ascii="宋体" w:hAnsi="宋体" w:eastAsia="宋体" w:cs="仿宋_GB2312"/>
                <w:b/>
                <w:bCs/>
                <w:color w:val="auto"/>
                <w:sz w:val="24"/>
                <w:highlight w:val="none"/>
                <w:lang w:eastAsia="zh-CN"/>
              </w:rPr>
              <w:t>在签订合同时商议确定。</w:t>
            </w:r>
          </w:p>
        </w:tc>
      </w:tr>
      <w:tr w14:paraId="1497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09" w:type="dxa"/>
            <w:vAlign w:val="center"/>
          </w:tcPr>
          <w:p w14:paraId="3309F7D4">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30</w:t>
            </w:r>
          </w:p>
        </w:tc>
        <w:tc>
          <w:tcPr>
            <w:tcW w:w="1863" w:type="dxa"/>
            <w:vAlign w:val="center"/>
          </w:tcPr>
          <w:p w14:paraId="60F6DA5F">
            <w:pPr>
              <w:keepNext w:val="0"/>
              <w:keepLines w:val="0"/>
              <w:pageBreakBefore w:val="0"/>
              <w:widowControl w:val="0"/>
              <w:kinsoku/>
              <w:wordWrap/>
              <w:overflowPunct/>
              <w:topLinePunct w:val="0"/>
              <w:autoSpaceDE w:val="0"/>
              <w:autoSpaceDN w:val="0"/>
              <w:bidi w:val="0"/>
              <w:adjustRightInd/>
              <w:snapToGrid/>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费用承担</w:t>
            </w:r>
          </w:p>
        </w:tc>
        <w:tc>
          <w:tcPr>
            <w:tcW w:w="6651" w:type="dxa"/>
            <w:vAlign w:val="center"/>
          </w:tcPr>
          <w:p w14:paraId="1393EC36">
            <w:pPr>
              <w:keepNext w:val="0"/>
              <w:keepLines w:val="0"/>
              <w:pageBreakBefore w:val="0"/>
              <w:widowControl w:val="0"/>
              <w:kinsoku/>
              <w:wordWrap/>
              <w:overflowPunct/>
              <w:topLinePunct w:val="0"/>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1.</w:t>
            </w:r>
            <w:r>
              <w:rPr>
                <w:rFonts w:hint="eastAsia" w:ascii="宋体" w:hAnsi="宋体" w:eastAsia="宋体" w:cs="宋体"/>
                <w:color w:val="auto"/>
                <w:sz w:val="24"/>
                <w:highlight w:val="none"/>
              </w:rPr>
              <w:t>投标人应承担其参加本次采购活动自身所发生的所有费用。</w:t>
            </w:r>
          </w:p>
          <w:p w14:paraId="412C1C30">
            <w:pPr>
              <w:adjustRightInd w:val="0"/>
              <w:snapToGrid w:val="0"/>
              <w:spacing w:line="480" w:lineRule="exact"/>
              <w:jc w:val="left"/>
              <w:rPr>
                <w:rFonts w:ascii="宋体" w:hAnsi="宋体"/>
                <w:b/>
                <w:bCs/>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lang w:val="en-US" w:eastAsia="zh-CN"/>
              </w:rPr>
              <w:t>采购</w:t>
            </w:r>
            <w:r>
              <w:rPr>
                <w:rFonts w:hint="eastAsia" w:ascii="宋体" w:hAnsi="宋体" w:eastAsia="宋体" w:cs="宋体"/>
                <w:b/>
                <w:bCs/>
                <w:color w:val="auto"/>
                <w:sz w:val="24"/>
                <w:highlight w:val="none"/>
                <w:lang w:eastAsia="zh-CN"/>
              </w:rPr>
              <w:t>代理</w:t>
            </w:r>
            <w:r>
              <w:rPr>
                <w:rFonts w:hint="eastAsia" w:ascii="宋体" w:hAnsi="宋体" w:eastAsia="宋体" w:cs="宋体"/>
                <w:b/>
                <w:bCs/>
                <w:color w:val="auto"/>
                <w:sz w:val="24"/>
                <w:highlight w:val="none"/>
              </w:rPr>
              <w:t>服务费</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中标服务费</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47000.00元（大写：人民币肆万柒仟元整），由中标人支付</w:t>
            </w:r>
            <w:r>
              <w:rPr>
                <w:rFonts w:hint="eastAsia" w:ascii="宋体" w:hAnsi="宋体"/>
                <w:b/>
                <w:bCs/>
                <w:color w:val="auto"/>
                <w:sz w:val="24"/>
                <w:highlight w:val="none"/>
              </w:rPr>
              <w:t>。</w:t>
            </w:r>
          </w:p>
          <w:p w14:paraId="2C6A3EF3">
            <w:pPr>
              <w:keepNext w:val="0"/>
              <w:keepLines w:val="0"/>
              <w:pageBreakBefore w:val="0"/>
              <w:widowControl w:val="0"/>
              <w:kinsoku/>
              <w:wordWrap/>
              <w:overflowPunct/>
              <w:topLinePunct w:val="0"/>
              <w:autoSpaceDE w:val="0"/>
              <w:autoSpaceDN w:val="0"/>
              <w:bidi w:val="0"/>
              <w:adjustRightInd/>
              <w:snapToGrid/>
              <w:spacing w:line="480" w:lineRule="exact"/>
              <w:ind w:left="0" w:leftChars="0" w:right="0" w:rightChars="0"/>
              <w:jc w:val="left"/>
              <w:textAlignment w:val="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eastAsia="宋体" w:cs="宋体"/>
                <w:b/>
                <w:bCs/>
                <w:color w:val="auto"/>
                <w:sz w:val="24"/>
                <w:highlight w:val="none"/>
              </w:rPr>
              <w:t>中标服务费缴纳方式：可用现金、银行转账或电汇</w:t>
            </w:r>
            <w:r>
              <w:rPr>
                <w:rFonts w:hint="eastAsia" w:ascii="宋体" w:hAnsi="宋体" w:cs="宋体"/>
                <w:b/>
                <w:bCs/>
                <w:color w:val="auto"/>
                <w:sz w:val="24"/>
                <w:highlight w:val="none"/>
                <w:lang w:val="en-US" w:eastAsia="zh-CN"/>
              </w:rPr>
              <w:t>等</w:t>
            </w:r>
            <w:r>
              <w:rPr>
                <w:rFonts w:hint="eastAsia" w:ascii="宋体" w:hAnsi="宋体" w:eastAsia="宋体" w:cs="宋体"/>
                <w:b/>
                <w:bCs/>
                <w:color w:val="auto"/>
                <w:sz w:val="24"/>
                <w:highlight w:val="none"/>
              </w:rPr>
              <w:t>付款方式。</w:t>
            </w:r>
          </w:p>
          <w:p w14:paraId="557FA496">
            <w:pPr>
              <w:keepNext w:val="0"/>
              <w:keepLines w:val="0"/>
              <w:pageBreakBefore w:val="0"/>
              <w:widowControl w:val="0"/>
              <w:kinsoku/>
              <w:wordWrap/>
              <w:overflowPunct/>
              <w:topLinePunct w:val="0"/>
              <w:bidi w:val="0"/>
              <w:adjustRightInd/>
              <w:snapToGrid/>
              <w:spacing w:line="480" w:lineRule="exact"/>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缴纳账户信息：</w:t>
            </w:r>
          </w:p>
          <w:p w14:paraId="00A6568F">
            <w:pPr>
              <w:keepNext w:val="0"/>
              <w:keepLines w:val="0"/>
              <w:pageBreakBefore w:val="0"/>
              <w:widowControl w:val="0"/>
              <w:kinsoku/>
              <w:wordWrap/>
              <w:overflowPunct/>
              <w:topLinePunct w:val="0"/>
              <w:bidi w:val="0"/>
              <w:adjustRightInd/>
              <w:snapToGrid/>
              <w:spacing w:line="480" w:lineRule="exact"/>
              <w:jc w:val="left"/>
              <w:textAlignment w:val="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开户名：</w:t>
            </w:r>
            <w:r>
              <w:rPr>
                <w:rFonts w:hint="eastAsia" w:ascii="宋体" w:hAnsi="宋体" w:cs="宋体"/>
                <w:b/>
                <w:bCs/>
                <w:color w:val="auto"/>
                <w:sz w:val="24"/>
                <w:highlight w:val="none"/>
                <w:lang w:eastAsia="zh-CN"/>
              </w:rPr>
              <w:t>玉溪优午项目管理咨询有限公司</w:t>
            </w:r>
          </w:p>
          <w:p w14:paraId="69BFBDB9">
            <w:pPr>
              <w:keepNext w:val="0"/>
              <w:keepLines w:val="0"/>
              <w:pageBreakBefore w:val="0"/>
              <w:widowControl w:val="0"/>
              <w:kinsoku/>
              <w:wordWrap/>
              <w:overflowPunct/>
              <w:topLinePunct w:val="0"/>
              <w:bidi w:val="0"/>
              <w:adjustRightInd/>
              <w:snapToGrid/>
              <w:spacing w:line="480" w:lineRule="exact"/>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开户行：中国农业银行股份有限公司易门兴文街支行</w:t>
            </w:r>
          </w:p>
          <w:p w14:paraId="534D34D5">
            <w:pPr>
              <w:keepNext w:val="0"/>
              <w:keepLines w:val="0"/>
              <w:pageBreakBefore w:val="0"/>
              <w:widowControl w:val="0"/>
              <w:kinsoku/>
              <w:wordWrap/>
              <w:overflowPunct/>
              <w:topLinePunct w:val="0"/>
              <w:bidi w:val="0"/>
              <w:adjustRightInd/>
              <w:snapToGrid/>
              <w:spacing w:line="480" w:lineRule="exact"/>
              <w:jc w:val="left"/>
              <w:textAlignment w:val="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账</w:t>
            </w:r>
            <w:r>
              <w:rPr>
                <w:rFonts w:hint="eastAsia" w:ascii="宋体" w:hAnsi="宋体" w:eastAsia="宋体" w:cs="宋体"/>
                <w:b/>
                <w:bCs/>
                <w:color w:val="auto"/>
                <w:sz w:val="24"/>
                <w:highlight w:val="none"/>
              </w:rPr>
              <w:t xml:space="preserve">  号：24057201040004075</w:t>
            </w:r>
          </w:p>
          <w:p w14:paraId="309D42A3">
            <w:pPr>
              <w:keepNext w:val="0"/>
              <w:keepLines w:val="0"/>
              <w:pageBreakBefore w:val="0"/>
              <w:widowControl w:val="0"/>
              <w:kinsoku/>
              <w:wordWrap/>
              <w:overflowPunct/>
              <w:topLinePunct w:val="0"/>
              <w:autoSpaceDE w:val="0"/>
              <w:autoSpaceDN w:val="0"/>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注：中标人在领取《中标通知书》前应向代理机构缴纳中标服务费。如采用电汇或银行转账，须同时递交中标服务费缴费凭证复印件</w:t>
            </w:r>
            <w:r>
              <w:rPr>
                <w:rFonts w:hint="eastAsia" w:ascii="宋体" w:hAnsi="宋体" w:cs="宋体"/>
                <w:b/>
                <w:bCs/>
                <w:color w:val="auto"/>
                <w:sz w:val="24"/>
                <w:highlight w:val="none"/>
                <w:lang w:eastAsia="zh-CN"/>
              </w:rPr>
              <w:t>（扫描件）</w:t>
            </w:r>
            <w:r>
              <w:rPr>
                <w:rFonts w:hint="eastAsia" w:ascii="宋体" w:hAnsi="宋体" w:eastAsia="宋体" w:cs="宋体"/>
                <w:b/>
                <w:bCs/>
                <w:color w:val="auto"/>
                <w:sz w:val="24"/>
                <w:highlight w:val="none"/>
              </w:rPr>
              <w:t>。</w:t>
            </w:r>
          </w:p>
        </w:tc>
      </w:tr>
      <w:tr w14:paraId="7908E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09" w:type="dxa"/>
            <w:vAlign w:val="center"/>
          </w:tcPr>
          <w:p w14:paraId="0E21C19A">
            <w:pPr>
              <w:pStyle w:val="16"/>
              <w:keepNext w:val="0"/>
              <w:keepLines w:val="0"/>
              <w:pageBreakBefore w:val="0"/>
              <w:kinsoku/>
              <w:wordWrap/>
              <w:overflowPunct/>
              <w:topLinePunct w:val="0"/>
              <w:bidi w:val="0"/>
              <w:spacing w:line="480" w:lineRule="exact"/>
              <w:jc w:val="center"/>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31</w:t>
            </w:r>
          </w:p>
        </w:tc>
        <w:tc>
          <w:tcPr>
            <w:tcW w:w="1863" w:type="dxa"/>
            <w:vAlign w:val="center"/>
          </w:tcPr>
          <w:p w14:paraId="77E4A3E8">
            <w:pPr>
              <w:keepNext w:val="0"/>
              <w:keepLines w:val="0"/>
              <w:pageBreakBefore w:val="0"/>
              <w:widowControl w:val="0"/>
              <w:kinsoku/>
              <w:wordWrap/>
              <w:overflowPunct/>
              <w:topLinePunct w:val="0"/>
              <w:autoSpaceDE w:val="0"/>
              <w:autoSpaceDN w:val="0"/>
              <w:bidi w:val="0"/>
              <w:adjustRightInd/>
              <w:snapToGrid/>
              <w:spacing w:line="480" w:lineRule="exact"/>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政府采购相关政策</w:t>
            </w:r>
          </w:p>
        </w:tc>
        <w:tc>
          <w:tcPr>
            <w:tcW w:w="6651" w:type="dxa"/>
            <w:vAlign w:val="center"/>
          </w:tcPr>
          <w:p w14:paraId="06D4EE23">
            <w:pPr>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ascii="宋体" w:hAnsi="宋体" w:cs="宋体"/>
                <w:b/>
                <w:color w:val="auto"/>
                <w:sz w:val="24"/>
                <w:highlight w:val="none"/>
              </w:rPr>
            </w:pPr>
            <w:r>
              <w:rPr>
                <w:rFonts w:hint="eastAsia" w:ascii="宋体" w:hAnsi="宋体" w:cs="宋体"/>
                <w:b/>
                <w:color w:val="auto"/>
                <w:sz w:val="24"/>
                <w:highlight w:val="none"/>
              </w:rPr>
              <w:t>一、按政府采购政策规定扶持小微企业、监狱企业和残疾人福利性单位。</w:t>
            </w:r>
          </w:p>
          <w:p w14:paraId="735DF1B7">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ascii="宋体" w:hAnsi="宋体" w:cs="宋体"/>
                <w:b/>
                <w:bCs/>
                <w:color w:val="auto"/>
                <w:sz w:val="24"/>
                <w:highlight w:val="none"/>
              </w:rPr>
            </w:pPr>
            <w:r>
              <w:rPr>
                <w:rFonts w:hint="eastAsia" w:ascii="宋体" w:hAnsi="宋体" w:cs="宋体"/>
                <w:b/>
                <w:bCs/>
                <w:color w:val="auto"/>
                <w:sz w:val="24"/>
                <w:highlight w:val="none"/>
              </w:rPr>
              <w:t>（1）小微企业价格扣除</w:t>
            </w:r>
          </w:p>
          <w:p w14:paraId="54926BF5">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为促进中小企业发展，根据《政府采购促进中小企业发展管理办法》（财库〔2020〕46号）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《政府采购促进中小企业发展暂行办法》（财库</w:t>
            </w:r>
            <w:r>
              <w:rPr>
                <w:rFonts w:hint="eastAsia" w:ascii="宋体" w:hAnsi="宋体" w:cs="宋体"/>
                <w:color w:val="auto"/>
                <w:sz w:val="24"/>
                <w:szCs w:val="24"/>
                <w:highlight w:val="none"/>
                <w:lang w:eastAsia="zh-CN"/>
              </w:rPr>
              <w:t>〔2022〕9号</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的规定，</w:t>
            </w:r>
            <w:r>
              <w:rPr>
                <w:rFonts w:hint="eastAsia" w:ascii="宋体" w:hAnsi="宋体" w:eastAsia="宋体" w:cs="宋体"/>
                <w:b/>
                <w:bCs/>
                <w:color w:val="auto"/>
                <w:sz w:val="24"/>
                <w:highlight w:val="none"/>
              </w:rPr>
              <w:t>本次</w:t>
            </w:r>
            <w:r>
              <w:rPr>
                <w:rFonts w:hint="eastAsia" w:ascii="宋体" w:hAnsi="宋体" w:eastAsia="宋体" w:cs="宋体"/>
                <w:b/>
                <w:bCs/>
                <w:color w:val="auto"/>
                <w:sz w:val="24"/>
                <w:highlight w:val="none"/>
                <w:lang w:val="en-US" w:eastAsia="zh-CN"/>
              </w:rPr>
              <w:t>采购</w:t>
            </w:r>
            <w:r>
              <w:rPr>
                <w:rFonts w:hint="eastAsia" w:ascii="宋体" w:hAnsi="宋体" w:eastAsia="宋体" w:cs="宋体"/>
                <w:b/>
                <w:bCs/>
                <w:color w:val="auto"/>
                <w:sz w:val="24"/>
                <w:highlight w:val="none"/>
              </w:rPr>
              <w:t>将对符合要求小型和微型企业</w:t>
            </w:r>
            <w:r>
              <w:rPr>
                <w:rFonts w:hint="eastAsia" w:ascii="宋体" w:hAnsi="宋体" w:cs="宋体"/>
                <w:b/>
                <w:bCs/>
                <w:color w:val="auto"/>
                <w:sz w:val="24"/>
                <w:szCs w:val="24"/>
                <w:highlight w:val="none"/>
              </w:rPr>
              <w:t>产品</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服务</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highlight w:val="none"/>
              </w:rPr>
              <w:t>的价格给予</w:t>
            </w:r>
            <w:r>
              <w:rPr>
                <w:rFonts w:hint="eastAsia" w:ascii="宋体" w:hAnsi="宋体" w:eastAsia="宋体" w:cs="宋体"/>
                <w:b/>
                <w:bCs/>
                <w:color w:val="auto"/>
                <w:sz w:val="24"/>
                <w:highlight w:val="none"/>
                <w:lang w:val="en-US" w:eastAsia="zh-CN"/>
              </w:rPr>
              <w:t>10</w:t>
            </w:r>
            <w:r>
              <w:rPr>
                <w:rFonts w:hint="eastAsia" w:ascii="宋体" w:hAnsi="宋体" w:eastAsia="宋体" w:cs="宋体"/>
                <w:b/>
                <w:bCs/>
                <w:color w:val="auto"/>
                <w:sz w:val="24"/>
                <w:highlight w:val="none"/>
              </w:rPr>
              <w:t>%的扣除，用扣除后的价格参与评审。</w:t>
            </w:r>
          </w:p>
          <w:p w14:paraId="137FA35B">
            <w:pPr>
              <w:keepNext w:val="0"/>
              <w:keepLines w:val="0"/>
              <w:pageBreakBefore w:val="0"/>
              <w:numPr>
                <w:ilvl w:val="0"/>
                <w:numId w:val="0"/>
              </w:numPr>
              <w:kinsoku/>
              <w:wordWrap/>
              <w:overflowPunct/>
              <w:topLinePunct w:val="0"/>
              <w:autoSpaceDE/>
              <w:autoSpaceDN/>
              <w:bidi w:val="0"/>
              <w:adjustRightInd w:val="0"/>
              <w:snapToGrid w:val="0"/>
              <w:spacing w:line="480" w:lineRule="exact"/>
              <w:jc w:val="left"/>
              <w:rPr>
                <w:rFonts w:hint="eastAsia" w:ascii="宋体" w:hAnsi="宋体"/>
                <w:b/>
                <w:bCs/>
                <w:color w:val="auto"/>
                <w:sz w:val="24"/>
                <w:highlight w:val="none"/>
              </w:rPr>
            </w:pPr>
            <w:r>
              <w:rPr>
                <w:rFonts w:hint="eastAsia" w:ascii="宋体" w:hAnsi="宋体"/>
                <w:b/>
                <w:bCs/>
                <w:color w:val="auto"/>
                <w:sz w:val="24"/>
                <w:highlight w:val="none"/>
              </w:rPr>
              <w:t>本项目小微企业认定属于：环境和公共设施管理业。</w:t>
            </w:r>
          </w:p>
          <w:p w14:paraId="51BF52A8">
            <w:pPr>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ascii="宋体" w:hAnsi="宋体" w:cs="宋体"/>
                <w:color w:val="auto"/>
                <w:sz w:val="24"/>
                <w:highlight w:val="none"/>
                <w:u w:val="single"/>
              </w:rPr>
            </w:pPr>
            <w:r>
              <w:rPr>
                <w:rFonts w:hint="eastAsia" w:ascii="宋体" w:hAnsi="宋体" w:cs="宋体"/>
                <w:b/>
                <w:color w:val="auto"/>
                <w:kern w:val="0"/>
                <w:sz w:val="24"/>
                <w:highlight w:val="none"/>
                <w:lang w:bidi="en-US"/>
              </w:rPr>
              <w:t>（2）</w:t>
            </w:r>
            <w:r>
              <w:rPr>
                <w:rFonts w:hint="eastAsia" w:ascii="宋体" w:hAnsi="宋体" w:cs="宋体"/>
                <w:b/>
                <w:color w:val="auto"/>
                <w:sz w:val="24"/>
                <w:highlight w:val="none"/>
              </w:rPr>
              <w:t>根据财政部、司法部关于政府采购支持监狱企业发展有关问题的通知（财库</w:t>
            </w:r>
            <w:r>
              <w:rPr>
                <w:rFonts w:hint="eastAsia" w:ascii="宋体" w:hAnsi="宋体" w:cs="宋体"/>
                <w:b/>
                <w:color w:val="auto"/>
                <w:sz w:val="24"/>
                <w:highlight w:val="none"/>
                <w:lang w:eastAsia="zh-CN"/>
              </w:rPr>
              <w:t>〔2014〕68号</w:t>
            </w:r>
            <w:r>
              <w:rPr>
                <w:rFonts w:hint="eastAsia" w:ascii="宋体" w:hAnsi="宋体" w:cs="宋体"/>
                <w:b/>
                <w:color w:val="auto"/>
                <w:sz w:val="24"/>
                <w:highlight w:val="none"/>
              </w:rPr>
              <w:t>），监狱企业视同小型、微型企业，享受小型、微型企业评审中价格扣除的政府采购政策；</w:t>
            </w:r>
          </w:p>
          <w:p w14:paraId="4DAC9723">
            <w:pPr>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ascii="宋体" w:hAnsi="宋体" w:cs="宋体"/>
                <w:b/>
                <w:bCs/>
                <w:color w:val="auto"/>
                <w:sz w:val="24"/>
                <w:highlight w:val="none"/>
              </w:rPr>
            </w:pPr>
            <w:r>
              <w:rPr>
                <w:rFonts w:hint="eastAsia" w:ascii="宋体" w:hAnsi="宋体" w:cs="宋体"/>
                <w:b/>
                <w:color w:val="auto"/>
                <w:kern w:val="0"/>
                <w:sz w:val="24"/>
                <w:highlight w:val="none"/>
                <w:lang w:bidi="en-US"/>
              </w:rPr>
              <w:t>（3）</w:t>
            </w:r>
            <w:r>
              <w:rPr>
                <w:rFonts w:hint="eastAsia" w:ascii="宋体" w:hAnsi="宋体" w:cs="宋体"/>
                <w:b/>
                <w:bCs/>
                <w:color w:val="auto"/>
                <w:sz w:val="24"/>
                <w:highlight w:val="none"/>
              </w:rPr>
              <w:t>根据《三部门联合发布关于促进残疾人就业政府采购政策的通知》（财库〔2017〕141号）残疾人福利性单位视同小型、微型企业，享受预留份额、评审中价格扣除等促进中小企业发展的政府采购政策。</w:t>
            </w:r>
          </w:p>
          <w:p w14:paraId="3912428E">
            <w:pPr>
              <w:keepNext w:val="0"/>
              <w:keepLines w:val="0"/>
              <w:pageBreakBefore w:val="0"/>
              <w:widowControl w:val="0"/>
              <w:kinsoku/>
              <w:wordWrap/>
              <w:overflowPunct/>
              <w:topLinePunct w:val="0"/>
              <w:autoSpaceDE w:val="0"/>
              <w:autoSpaceDN w:val="0"/>
              <w:bidi w:val="0"/>
              <w:adjustRightInd/>
              <w:snapToGrid/>
              <w:spacing w:line="480" w:lineRule="exact"/>
              <w:jc w:val="left"/>
              <w:textAlignment w:val="auto"/>
              <w:rPr>
                <w:rFonts w:hint="eastAsia" w:ascii="宋体" w:hAnsi="宋体" w:eastAsia="宋体" w:cs="宋体"/>
                <w:b/>
                <w:bCs/>
                <w:color w:val="auto"/>
                <w:sz w:val="24"/>
                <w:highlight w:val="none"/>
              </w:rPr>
            </w:pPr>
            <w:r>
              <w:rPr>
                <w:rFonts w:hint="eastAsia" w:ascii="宋体" w:hAnsi="宋体" w:cs="宋体"/>
                <w:b/>
                <w:bCs/>
                <w:color w:val="auto"/>
                <w:sz w:val="24"/>
                <w:highlight w:val="none"/>
              </w:rPr>
              <w:t>注：</w:t>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 1 \* GB3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①</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小型、微型企业、监狱企业、残疾人福利性单位，不重复享受评审中价格扣除的政府采购政策。</w:t>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 2 \* GB3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②</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lang w:val="en-US" w:eastAsia="zh-CN"/>
              </w:rPr>
              <w:t>中标</w:t>
            </w:r>
            <w:r>
              <w:rPr>
                <w:rFonts w:hint="eastAsia" w:ascii="宋体" w:hAnsi="宋体" w:cs="宋体"/>
                <w:b/>
                <w:bCs/>
                <w:color w:val="auto"/>
                <w:sz w:val="24"/>
                <w:highlight w:val="none"/>
              </w:rPr>
              <w:t>单位为小微型企业或监狱企业或残疾人福利性单位的，其声明函将随</w:t>
            </w:r>
            <w:r>
              <w:rPr>
                <w:rFonts w:hint="eastAsia" w:ascii="宋体" w:hAnsi="宋体" w:cs="宋体"/>
                <w:b/>
                <w:bCs/>
                <w:color w:val="auto"/>
                <w:sz w:val="24"/>
                <w:highlight w:val="none"/>
                <w:lang w:val="en-US" w:eastAsia="zh-CN"/>
              </w:rPr>
              <w:t>成交</w:t>
            </w:r>
            <w:r>
              <w:rPr>
                <w:rFonts w:hint="eastAsia" w:ascii="宋体" w:hAnsi="宋体" w:cs="宋体"/>
                <w:b/>
                <w:bCs/>
                <w:color w:val="auto"/>
                <w:sz w:val="24"/>
                <w:highlight w:val="none"/>
              </w:rPr>
              <w:t>中标结果同时公告，接受社会监督。</w:t>
            </w:r>
            <w:r>
              <w:rPr>
                <w:rFonts w:hint="eastAsia" w:ascii="宋体" w:hAnsi="宋体" w:cs="宋体"/>
                <w:b/>
                <w:bCs/>
                <w:color w:val="auto"/>
                <w:sz w:val="24"/>
                <w:highlight w:val="none"/>
                <w:lang w:eastAsia="zh-CN"/>
              </w:rPr>
              <w:t>投标人</w:t>
            </w:r>
            <w:r>
              <w:rPr>
                <w:rFonts w:hint="eastAsia" w:ascii="宋体" w:hAnsi="宋体" w:cs="宋体"/>
                <w:b/>
                <w:bCs/>
                <w:color w:val="auto"/>
                <w:sz w:val="24"/>
                <w:highlight w:val="none"/>
              </w:rPr>
              <w:t>提供的</w:t>
            </w:r>
            <w:r>
              <w:rPr>
                <w:rFonts w:ascii="宋体" w:hAnsi="宋体" w:cs="宋体"/>
                <w:b/>
                <w:bCs/>
                <w:color w:val="auto"/>
                <w:sz w:val="24"/>
                <w:highlight w:val="none"/>
              </w:rPr>
              <w:t>声明函内容不实的，属于提供虚假材料谋取中标</w:t>
            </w:r>
            <w:r>
              <w:rPr>
                <w:rFonts w:hint="eastAsia" w:ascii="宋体" w:hAnsi="宋体" w:cs="宋体"/>
                <w:b/>
                <w:bCs/>
                <w:color w:val="auto"/>
                <w:sz w:val="24"/>
                <w:highlight w:val="none"/>
                <w:lang w:eastAsia="zh-CN"/>
              </w:rPr>
              <w:t>（</w:t>
            </w:r>
            <w:r>
              <w:rPr>
                <w:rFonts w:ascii="宋体" w:hAnsi="宋体" w:cs="宋体"/>
                <w:b/>
                <w:bCs/>
                <w:color w:val="auto"/>
                <w:sz w:val="24"/>
                <w:highlight w:val="none"/>
              </w:rPr>
              <w:t>成交</w:t>
            </w:r>
            <w:r>
              <w:rPr>
                <w:rFonts w:hint="eastAsia" w:ascii="宋体" w:hAnsi="宋体" w:cs="宋体"/>
                <w:b/>
                <w:bCs/>
                <w:color w:val="auto"/>
                <w:sz w:val="24"/>
                <w:highlight w:val="none"/>
                <w:lang w:eastAsia="zh-CN"/>
              </w:rPr>
              <w:t>）</w:t>
            </w:r>
            <w:r>
              <w:rPr>
                <w:rFonts w:ascii="宋体" w:hAnsi="宋体" w:cs="宋体"/>
                <w:b/>
                <w:bCs/>
                <w:color w:val="auto"/>
                <w:sz w:val="24"/>
                <w:highlight w:val="none"/>
              </w:rPr>
              <w:t>，依照《中华人民共和国政府采购法》等国家有关规定追究相应责任。</w:t>
            </w:r>
          </w:p>
        </w:tc>
      </w:tr>
      <w:tr w14:paraId="1FBCE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shd w:val="clear" w:color="auto" w:fill="auto"/>
            <w:vAlign w:val="center"/>
          </w:tcPr>
          <w:p w14:paraId="390C146D">
            <w:pPr>
              <w:pStyle w:val="16"/>
              <w:keepNext w:val="0"/>
              <w:keepLines w:val="0"/>
              <w:pageBreakBefore w:val="0"/>
              <w:kinsoku/>
              <w:wordWrap/>
              <w:overflowPunct/>
              <w:topLinePunct w:val="0"/>
              <w:bidi w:val="0"/>
              <w:spacing w:line="48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32</w:t>
            </w:r>
          </w:p>
        </w:tc>
        <w:tc>
          <w:tcPr>
            <w:tcW w:w="8514" w:type="dxa"/>
            <w:gridSpan w:val="2"/>
            <w:shd w:val="solid" w:color="FFFFFF" w:fill="auto"/>
            <w:vAlign w:val="center"/>
          </w:tcPr>
          <w:p w14:paraId="45B94E44">
            <w:pPr>
              <w:pStyle w:val="16"/>
              <w:keepNext w:val="0"/>
              <w:keepLines w:val="0"/>
              <w:pageBreakBefore w:val="0"/>
              <w:tabs>
                <w:tab w:val="left" w:pos="2472"/>
              </w:tabs>
              <w:kinsoku/>
              <w:wordWrap/>
              <w:overflowPunct/>
              <w:topLinePunct w:val="0"/>
              <w:bidi w:val="0"/>
              <w:spacing w:line="480" w:lineRule="exact"/>
              <w:jc w:val="left"/>
              <w:rPr>
                <w:rFonts w:hint="eastAsia" w:ascii="宋体" w:hAnsi="宋体" w:eastAsia="宋体" w:cs="宋体"/>
                <w:color w:val="auto"/>
                <w:szCs w:val="24"/>
                <w:highlight w:val="none"/>
              </w:rPr>
            </w:pPr>
            <w:r>
              <w:rPr>
                <w:rFonts w:hint="eastAsia" w:ascii="宋体" w:hAnsi="宋体" w:eastAsia="宋体" w:cs="宋体"/>
                <w:color w:val="auto"/>
                <w:sz w:val="24"/>
                <w:highlight w:val="none"/>
              </w:rPr>
              <w:t>需要补充的</w:t>
            </w:r>
            <w:r>
              <w:rPr>
                <w:rFonts w:hint="eastAsia" w:hAnsi="宋体" w:cs="宋体"/>
                <w:color w:val="auto"/>
                <w:sz w:val="24"/>
                <w:highlight w:val="none"/>
                <w:lang w:eastAsia="zh-CN"/>
              </w:rPr>
              <w:t>其他</w:t>
            </w:r>
            <w:r>
              <w:rPr>
                <w:rFonts w:hint="eastAsia" w:ascii="宋体" w:hAnsi="宋体" w:eastAsia="宋体" w:cs="宋体"/>
                <w:color w:val="auto"/>
                <w:sz w:val="24"/>
                <w:highlight w:val="none"/>
              </w:rPr>
              <w:t>内容</w:t>
            </w:r>
          </w:p>
        </w:tc>
      </w:tr>
      <w:tr w14:paraId="719DC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523" w:type="dxa"/>
            <w:gridSpan w:val="3"/>
            <w:shd w:val="clear" w:color="auto" w:fill="auto"/>
            <w:vAlign w:val="center"/>
          </w:tcPr>
          <w:p w14:paraId="6BC4B063">
            <w:pPr>
              <w:pStyle w:val="16"/>
              <w:keepNext w:val="0"/>
              <w:keepLines w:val="0"/>
              <w:pageBreakBefore w:val="0"/>
              <w:tabs>
                <w:tab w:val="left" w:pos="2472"/>
              </w:tabs>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32.1</w:t>
            </w:r>
            <w:r>
              <w:rPr>
                <w:rFonts w:hint="eastAsia" w:ascii="宋体" w:hAnsi="宋体" w:eastAsia="宋体" w:cs="宋体"/>
                <w:b/>
                <w:bCs/>
                <w:color w:val="auto"/>
                <w:sz w:val="24"/>
                <w:highlight w:val="none"/>
              </w:rPr>
              <w:t>本项目中标人在进场服务过程中支付给涉及本项目使用人员的薪资不得低于《</w:t>
            </w:r>
            <w:r>
              <w:rPr>
                <w:rFonts w:hint="eastAsia" w:ascii="宋体" w:hAnsi="宋体" w:eastAsia="宋体" w:cs="宋体"/>
                <w:b/>
                <w:bCs/>
                <w:color w:val="auto"/>
                <w:sz w:val="24"/>
                <w:highlight w:val="none"/>
                <w:lang w:eastAsia="zh-CN"/>
              </w:rPr>
              <w:t>中华人民共和国劳动法</w:t>
            </w:r>
            <w:r>
              <w:rPr>
                <w:rFonts w:hint="eastAsia" w:ascii="宋体" w:hAnsi="宋体" w:eastAsia="宋体" w:cs="宋体"/>
                <w:b/>
                <w:bCs/>
                <w:color w:val="auto"/>
                <w:sz w:val="24"/>
                <w:highlight w:val="none"/>
              </w:rPr>
              <w:t>》</w:t>
            </w:r>
            <w:r>
              <w:rPr>
                <w:rFonts w:hint="eastAsia" w:hAnsi="宋体" w:cs="宋体"/>
                <w:b/>
                <w:bCs/>
                <w:color w:val="auto"/>
                <w:sz w:val="24"/>
                <w:highlight w:val="none"/>
                <w:lang w:val="en-US" w:eastAsia="zh-CN"/>
              </w:rPr>
              <w:t>及玉溪最新规定</w:t>
            </w:r>
            <w:r>
              <w:rPr>
                <w:rFonts w:hint="eastAsia" w:ascii="宋体" w:hAnsi="宋体" w:eastAsia="宋体" w:cs="宋体"/>
                <w:b/>
                <w:bCs/>
                <w:color w:val="auto"/>
                <w:sz w:val="24"/>
                <w:highlight w:val="none"/>
              </w:rPr>
              <w:t>的标准。</w:t>
            </w:r>
          </w:p>
          <w:p w14:paraId="115CB1D5">
            <w:pPr>
              <w:pStyle w:val="16"/>
              <w:keepNext w:val="0"/>
              <w:keepLines w:val="0"/>
              <w:pageBreakBefore w:val="0"/>
              <w:tabs>
                <w:tab w:val="left" w:pos="2472"/>
              </w:tabs>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32.2</w:t>
            </w:r>
            <w:r>
              <w:rPr>
                <w:rFonts w:hint="eastAsia" w:ascii="宋体" w:hAnsi="宋体" w:eastAsia="宋体" w:cs="宋体"/>
                <w:b/>
                <w:bCs/>
                <w:color w:val="auto"/>
                <w:sz w:val="24"/>
                <w:highlight w:val="none"/>
              </w:rPr>
              <w:t>本项目中标人在进场服务过程中机械化清扫率</w:t>
            </w:r>
            <w:r>
              <w:rPr>
                <w:rFonts w:hint="eastAsia" w:ascii="宋体" w:hAnsi="宋体" w:eastAsia="宋体" w:cs="宋体"/>
                <w:b/>
                <w:bCs/>
                <w:color w:val="auto"/>
                <w:sz w:val="24"/>
                <w:highlight w:val="none"/>
                <w:lang w:eastAsia="zh-CN"/>
              </w:rPr>
              <w:t>应符合省、市相关行业部门指标要求（现行标准为</w:t>
            </w:r>
            <w:r>
              <w:rPr>
                <w:rFonts w:hint="eastAsia" w:ascii="宋体" w:hAnsi="宋体" w:eastAsia="宋体" w:cs="宋体"/>
                <w:b/>
                <w:bCs/>
                <w:color w:val="auto"/>
                <w:sz w:val="24"/>
                <w:highlight w:val="none"/>
              </w:rPr>
              <w:t>不得低于</w:t>
            </w:r>
            <w:r>
              <w:rPr>
                <w:rFonts w:hint="eastAsia" w:ascii="宋体" w:hAnsi="宋体" w:eastAsia="宋体" w:cs="宋体"/>
                <w:b/>
                <w:bCs/>
                <w:color w:val="auto"/>
                <w:sz w:val="24"/>
                <w:highlight w:val="none"/>
                <w:lang w:val="en-US" w:eastAsia="zh-CN"/>
              </w:rPr>
              <w:t>80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投标单位</w:t>
            </w:r>
            <w:r>
              <w:rPr>
                <w:rFonts w:hint="eastAsia" w:ascii="宋体" w:hAnsi="宋体" w:eastAsia="宋体" w:cs="宋体"/>
                <w:b/>
                <w:bCs/>
                <w:color w:val="auto"/>
                <w:sz w:val="24"/>
                <w:highlight w:val="none"/>
              </w:rPr>
              <w:t>在本项目中配备的清扫保洁</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垃圾</w:t>
            </w:r>
            <w:r>
              <w:rPr>
                <w:rFonts w:hint="eastAsia" w:ascii="宋体" w:hAnsi="宋体" w:eastAsia="宋体" w:cs="宋体"/>
                <w:b/>
                <w:bCs/>
                <w:color w:val="auto"/>
                <w:sz w:val="24"/>
                <w:highlight w:val="none"/>
                <w:lang w:eastAsia="zh-CN"/>
              </w:rPr>
              <w:t>转运</w:t>
            </w:r>
            <w:r>
              <w:rPr>
                <w:rFonts w:hint="eastAsia" w:hAnsi="宋体" w:cs="宋体"/>
                <w:b/>
                <w:bCs/>
                <w:color w:val="auto"/>
                <w:sz w:val="24"/>
                <w:highlight w:val="none"/>
                <w:lang w:val="en-US" w:eastAsia="zh-CN"/>
              </w:rPr>
              <w:t>处理</w:t>
            </w:r>
            <w:r>
              <w:rPr>
                <w:rFonts w:hint="eastAsia" w:ascii="宋体" w:hAnsi="宋体" w:eastAsia="宋体" w:cs="宋体"/>
                <w:b/>
                <w:bCs/>
                <w:color w:val="auto"/>
                <w:sz w:val="24"/>
                <w:highlight w:val="none"/>
              </w:rPr>
              <w:t>机械设备</w:t>
            </w:r>
            <w:r>
              <w:rPr>
                <w:rFonts w:hint="eastAsia" w:ascii="宋体" w:hAnsi="宋体" w:eastAsia="宋体" w:cs="宋体"/>
                <w:b/>
                <w:bCs/>
                <w:color w:val="auto"/>
                <w:sz w:val="24"/>
                <w:highlight w:val="none"/>
                <w:lang w:eastAsia="zh-CN"/>
              </w:rPr>
              <w:t>、路灯管护</w:t>
            </w:r>
            <w:r>
              <w:rPr>
                <w:rFonts w:hint="eastAsia" w:ascii="宋体" w:hAnsi="宋体" w:eastAsia="宋体" w:cs="宋体"/>
                <w:b/>
                <w:bCs/>
                <w:color w:val="auto"/>
                <w:sz w:val="24"/>
                <w:highlight w:val="none"/>
              </w:rPr>
              <w:t>设备可为自有或租赁，但须满足以下条件：（1）自有的清扫保洁</w:t>
            </w:r>
            <w:r>
              <w:rPr>
                <w:rFonts w:hint="eastAsia" w:ascii="宋体" w:hAnsi="宋体" w:eastAsia="宋体" w:cs="宋体"/>
                <w:b/>
                <w:bCs/>
                <w:color w:val="auto"/>
                <w:sz w:val="24"/>
                <w:highlight w:val="none"/>
                <w:lang w:eastAsia="zh-CN"/>
              </w:rPr>
              <w:t>、</w:t>
            </w:r>
            <w:r>
              <w:rPr>
                <w:rFonts w:hint="eastAsia" w:hAnsi="宋体" w:cs="宋体"/>
                <w:b/>
                <w:bCs/>
                <w:color w:val="auto"/>
                <w:sz w:val="24"/>
                <w:highlight w:val="none"/>
                <w:lang w:val="en-US" w:eastAsia="zh-CN"/>
              </w:rPr>
              <w:t>垃圾转运处理机械</w:t>
            </w:r>
            <w:r>
              <w:rPr>
                <w:rFonts w:hint="eastAsia" w:ascii="宋体" w:hAnsi="宋体" w:eastAsia="宋体" w:cs="宋体"/>
                <w:b/>
                <w:bCs/>
                <w:color w:val="auto"/>
                <w:sz w:val="24"/>
                <w:highlight w:val="none"/>
                <w:lang w:eastAsia="zh-CN"/>
              </w:rPr>
              <w:t>及路灯管护</w:t>
            </w:r>
            <w:r>
              <w:rPr>
                <w:rFonts w:hint="eastAsia" w:ascii="宋体" w:hAnsi="宋体" w:eastAsia="宋体" w:cs="宋体"/>
                <w:b/>
                <w:bCs/>
                <w:color w:val="auto"/>
                <w:sz w:val="24"/>
                <w:highlight w:val="none"/>
              </w:rPr>
              <w:t>设备须提供相关资料（购买发票</w:t>
            </w:r>
            <w:r>
              <w:rPr>
                <w:rFonts w:hint="eastAsia" w:ascii="宋体" w:hAnsi="宋体" w:eastAsia="宋体" w:cs="宋体"/>
                <w:b/>
                <w:bCs/>
                <w:color w:val="auto"/>
                <w:sz w:val="24"/>
                <w:highlight w:val="none"/>
                <w:lang w:eastAsia="zh-CN"/>
              </w:rPr>
              <w:t>、车辆登记证及</w:t>
            </w:r>
            <w:r>
              <w:rPr>
                <w:rFonts w:hint="eastAsia" w:ascii="宋体" w:hAnsi="宋体" w:eastAsia="宋体" w:cs="宋体"/>
                <w:b/>
                <w:bCs/>
                <w:color w:val="auto"/>
                <w:sz w:val="24"/>
                <w:highlight w:val="none"/>
              </w:rPr>
              <w:t>行驶证等资料）；（2）如需租赁的，</w:t>
            </w:r>
            <w:r>
              <w:rPr>
                <w:rFonts w:hint="eastAsia" w:hAnsi="宋体" w:cs="宋体"/>
                <w:b/>
                <w:bCs/>
                <w:color w:val="auto"/>
                <w:sz w:val="24"/>
                <w:highlight w:val="none"/>
                <w:lang w:val="en-US" w:eastAsia="zh-CN"/>
              </w:rPr>
              <w:t>优先选择</w:t>
            </w:r>
            <w:r>
              <w:rPr>
                <w:rFonts w:hint="eastAsia" w:ascii="宋体" w:hAnsi="宋体" w:eastAsia="宋体" w:cs="宋体"/>
                <w:b/>
                <w:bCs/>
                <w:color w:val="auto"/>
                <w:sz w:val="24"/>
                <w:highlight w:val="none"/>
              </w:rPr>
              <w:t>易门县环卫站现有机械设备并有偿使用，租赁期内的保险等</w:t>
            </w:r>
            <w:r>
              <w:rPr>
                <w:rFonts w:hint="eastAsia" w:hAnsi="宋体" w:cs="宋体"/>
                <w:b/>
                <w:bCs/>
                <w:color w:val="auto"/>
                <w:sz w:val="24"/>
                <w:highlight w:val="none"/>
                <w:lang w:val="en-US" w:eastAsia="zh-CN"/>
              </w:rPr>
              <w:t>维</w:t>
            </w:r>
            <w:r>
              <w:rPr>
                <w:rFonts w:hint="eastAsia" w:ascii="宋体" w:hAnsi="宋体" w:eastAsia="宋体" w:cs="宋体"/>
                <w:b/>
                <w:bCs/>
                <w:color w:val="auto"/>
                <w:sz w:val="24"/>
                <w:highlight w:val="none"/>
              </w:rPr>
              <w:t>护运营费用均由中标单位负责，租赁期内的安全责任均由中标单位负责（</w:t>
            </w:r>
            <w:r>
              <w:rPr>
                <w:rFonts w:hint="eastAsia" w:ascii="宋体" w:hAnsi="宋体" w:eastAsia="宋体" w:cs="宋体"/>
                <w:b/>
                <w:bCs/>
                <w:color w:val="auto"/>
                <w:sz w:val="24"/>
                <w:highlight w:val="none"/>
                <w:lang w:eastAsia="zh-CN"/>
              </w:rPr>
              <w:t>采购人</w:t>
            </w:r>
            <w:r>
              <w:rPr>
                <w:rFonts w:hint="eastAsia" w:ascii="宋体" w:hAnsi="宋体" w:eastAsia="宋体" w:cs="宋体"/>
                <w:b/>
                <w:bCs/>
                <w:color w:val="auto"/>
                <w:sz w:val="24"/>
                <w:highlight w:val="none"/>
              </w:rPr>
              <w:t>现有机械设备详见第</w:t>
            </w:r>
            <w:r>
              <w:rPr>
                <w:rFonts w:hint="eastAsia" w:ascii="宋体" w:hAnsi="宋体" w:eastAsia="宋体" w:cs="宋体"/>
                <w:b/>
                <w:bCs/>
                <w:color w:val="auto"/>
                <w:sz w:val="24"/>
                <w:highlight w:val="none"/>
                <w:lang w:eastAsia="zh-CN"/>
              </w:rPr>
              <w:t>六</w:t>
            </w:r>
            <w:r>
              <w:rPr>
                <w:rFonts w:hint="eastAsia" w:ascii="宋体" w:hAnsi="宋体" w:eastAsia="宋体" w:cs="宋体"/>
                <w:b/>
                <w:bCs/>
                <w:color w:val="auto"/>
                <w:sz w:val="24"/>
                <w:highlight w:val="none"/>
              </w:rPr>
              <w:t>章），</w:t>
            </w:r>
            <w:r>
              <w:rPr>
                <w:rFonts w:hint="eastAsia" w:ascii="宋体" w:hAnsi="宋体" w:eastAsia="宋体" w:cs="宋体"/>
                <w:b/>
                <w:bCs/>
                <w:color w:val="auto"/>
                <w:sz w:val="24"/>
                <w:highlight w:val="none"/>
                <w:lang w:eastAsia="zh-CN"/>
              </w:rPr>
              <w:t>采购人</w:t>
            </w:r>
            <w:r>
              <w:rPr>
                <w:rFonts w:hint="eastAsia" w:ascii="宋体" w:hAnsi="宋体" w:eastAsia="宋体" w:cs="宋体"/>
                <w:b/>
                <w:bCs/>
                <w:color w:val="auto"/>
                <w:sz w:val="24"/>
                <w:highlight w:val="none"/>
              </w:rPr>
              <w:t>不足</w:t>
            </w:r>
            <w:r>
              <w:rPr>
                <w:rFonts w:hint="eastAsia" w:ascii="宋体" w:hAnsi="宋体" w:eastAsia="宋体" w:cs="宋体"/>
                <w:b/>
                <w:bCs/>
                <w:color w:val="auto"/>
                <w:sz w:val="24"/>
                <w:highlight w:val="none"/>
                <w:lang w:val="en-US" w:eastAsia="zh-CN"/>
              </w:rPr>
              <w:t>部分</w:t>
            </w:r>
            <w:r>
              <w:rPr>
                <w:rFonts w:hint="eastAsia" w:ascii="宋体" w:hAnsi="宋体" w:eastAsia="宋体" w:cs="宋体"/>
                <w:b/>
                <w:bCs/>
                <w:color w:val="auto"/>
                <w:sz w:val="24"/>
                <w:highlight w:val="none"/>
              </w:rPr>
              <w:t>方可外租。</w:t>
            </w:r>
          </w:p>
          <w:p w14:paraId="4F1C0214">
            <w:pPr>
              <w:pStyle w:val="16"/>
              <w:keepNext w:val="0"/>
              <w:keepLines w:val="0"/>
              <w:pageBreakBefore w:val="0"/>
              <w:tabs>
                <w:tab w:val="left" w:pos="2472"/>
              </w:tabs>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32.3在合同履行期间，因市政道路公用设施清扫保洁</w:t>
            </w:r>
            <w:r>
              <w:rPr>
                <w:rFonts w:hint="eastAsia" w:hAnsi="宋体" w:cs="宋体"/>
                <w:b/>
                <w:bCs/>
                <w:color w:val="auto"/>
                <w:sz w:val="24"/>
                <w:highlight w:val="none"/>
                <w:lang w:val="en-US" w:eastAsia="zh-CN"/>
              </w:rPr>
              <w:t>管护</w:t>
            </w:r>
            <w:r>
              <w:rPr>
                <w:rFonts w:hint="eastAsia" w:ascii="宋体" w:hAnsi="宋体" w:eastAsia="宋体" w:cs="宋体"/>
                <w:b/>
                <w:bCs/>
                <w:color w:val="auto"/>
                <w:sz w:val="24"/>
                <w:highlight w:val="none"/>
                <w:lang w:val="en-US" w:eastAsia="zh-CN"/>
              </w:rPr>
              <w:t>面积增加不超过10000平方米的</w:t>
            </w:r>
            <w:r>
              <w:rPr>
                <w:rFonts w:hint="eastAsia" w:hAnsi="宋体" w:cs="宋体"/>
                <w:b/>
                <w:bCs/>
                <w:color w:val="auto"/>
                <w:sz w:val="24"/>
                <w:highlight w:val="none"/>
                <w:lang w:val="en-US" w:eastAsia="zh-CN"/>
              </w:rPr>
              <w:t>、路灯维护增加不超过200盏的、餐厨垃圾增加每日不超过10吨的，</w:t>
            </w:r>
            <w:r>
              <w:rPr>
                <w:rFonts w:hint="eastAsia" w:ascii="宋体" w:hAnsi="宋体" w:eastAsia="宋体" w:cs="宋体"/>
                <w:b/>
                <w:bCs/>
                <w:color w:val="auto"/>
                <w:sz w:val="24"/>
                <w:highlight w:val="none"/>
                <w:lang w:val="en-US" w:eastAsia="zh-CN"/>
              </w:rPr>
              <w:t>中标合同价款不作调整。</w:t>
            </w:r>
          </w:p>
          <w:p w14:paraId="236F1E94">
            <w:pPr>
              <w:pStyle w:val="16"/>
              <w:keepNext w:val="0"/>
              <w:keepLines w:val="0"/>
              <w:pageBreakBefore w:val="0"/>
              <w:tabs>
                <w:tab w:val="left" w:pos="2472"/>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hAnsi="宋体" w:cs="宋体"/>
                <w:color w:val="auto"/>
                <w:sz w:val="24"/>
                <w:highlight w:val="none"/>
                <w:lang w:val="en-US" w:eastAsia="zh-CN"/>
              </w:rPr>
              <w:t>32.4</w:t>
            </w:r>
            <w:r>
              <w:rPr>
                <w:rFonts w:hint="eastAsia" w:ascii="宋体" w:hAnsi="宋体" w:eastAsia="宋体" w:cs="宋体"/>
                <w:color w:val="auto"/>
                <w:sz w:val="24"/>
                <w:highlight w:val="none"/>
              </w:rPr>
              <w:t>中标人若因报价过低致使</w:t>
            </w:r>
            <w:r>
              <w:rPr>
                <w:rFonts w:hint="eastAsia" w:hAnsi="宋体" w:cs="宋体"/>
                <w:color w:val="auto"/>
                <w:sz w:val="24"/>
                <w:highlight w:val="none"/>
                <w:lang w:eastAsia="zh-CN"/>
              </w:rPr>
              <w:t>不能</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签订合同的，或在合同签订、履行中无故要求变更投标承诺和变更投标报价的，</w:t>
            </w:r>
            <w:r>
              <w:rPr>
                <w:rFonts w:hint="eastAsia" w:ascii="宋体" w:hAnsi="宋体" w:eastAsia="宋体" w:cs="宋体"/>
                <w:color w:val="auto"/>
                <w:sz w:val="24"/>
                <w:highlight w:val="none"/>
                <w:lang w:eastAsia="zh-CN"/>
              </w:rPr>
              <w:t>采购人</w:t>
            </w:r>
            <w:r>
              <w:rPr>
                <w:rFonts w:hint="eastAsia" w:hAnsi="宋体" w:cs="宋体"/>
                <w:color w:val="auto"/>
                <w:sz w:val="24"/>
                <w:highlight w:val="none"/>
                <w:lang w:eastAsia="zh-CN"/>
              </w:rPr>
              <w:t>可以</w:t>
            </w:r>
            <w:r>
              <w:rPr>
                <w:rFonts w:hint="eastAsia" w:ascii="宋体" w:hAnsi="宋体" w:eastAsia="宋体" w:cs="宋体"/>
                <w:color w:val="auto"/>
                <w:sz w:val="24"/>
                <w:highlight w:val="none"/>
              </w:rPr>
              <w:t>取消其中标资格。</w:t>
            </w:r>
          </w:p>
          <w:p w14:paraId="3DBAC327">
            <w:pPr>
              <w:pStyle w:val="16"/>
              <w:keepNext w:val="0"/>
              <w:keepLines w:val="0"/>
              <w:pageBreakBefore w:val="0"/>
              <w:tabs>
                <w:tab w:val="left" w:pos="2472"/>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hAnsi="宋体" w:cs="宋体"/>
                <w:color w:val="auto"/>
                <w:sz w:val="24"/>
                <w:highlight w:val="none"/>
                <w:lang w:val="en-US" w:eastAsia="zh-CN"/>
              </w:rPr>
              <w:t>32.5</w:t>
            </w:r>
            <w:r>
              <w:rPr>
                <w:rFonts w:hint="eastAsia" w:ascii="宋体" w:hAnsi="宋体" w:eastAsia="宋体" w:cs="宋体"/>
                <w:color w:val="auto"/>
                <w:sz w:val="24"/>
                <w:highlight w:val="none"/>
              </w:rPr>
              <w:t>合同签订：领取中标通知书</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rPr>
              <w:t>由中标人凭中标通知书与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w:t>
            </w:r>
          </w:p>
          <w:p w14:paraId="189CE67D">
            <w:pPr>
              <w:pStyle w:val="16"/>
              <w:keepNext w:val="0"/>
              <w:keepLines w:val="0"/>
              <w:pageBreakBefore w:val="0"/>
              <w:tabs>
                <w:tab w:val="left" w:pos="2472"/>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hAnsi="宋体" w:cs="宋体"/>
                <w:color w:val="auto"/>
                <w:sz w:val="24"/>
                <w:highlight w:val="none"/>
                <w:lang w:val="en-US" w:eastAsia="zh-CN"/>
              </w:rPr>
              <w:t>32.6</w:t>
            </w:r>
            <w:r>
              <w:rPr>
                <w:rFonts w:hint="eastAsia" w:ascii="宋体" w:hAnsi="宋体" w:eastAsia="宋体" w:cs="宋体"/>
                <w:color w:val="auto"/>
                <w:sz w:val="24"/>
                <w:highlight w:val="none"/>
              </w:rPr>
              <w:t>在服务过程中，若</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发现中标人所提供的服务不能满足</w:t>
            </w:r>
            <w:r>
              <w:rPr>
                <w:rFonts w:hint="eastAsia" w:hAnsi="宋体" w:cs="宋体"/>
                <w:color w:val="auto"/>
                <w:sz w:val="24"/>
                <w:highlight w:val="none"/>
                <w:lang w:val="en-US" w:eastAsia="zh-CN"/>
              </w:rPr>
              <w:t>实际</w:t>
            </w:r>
            <w:r>
              <w:rPr>
                <w:rFonts w:hint="eastAsia" w:ascii="宋体" w:hAnsi="宋体" w:eastAsia="宋体" w:cs="宋体"/>
                <w:color w:val="auto"/>
                <w:sz w:val="24"/>
                <w:highlight w:val="none"/>
              </w:rPr>
              <w:t>要求，可向中标人提出整改要求或提出警告，如中标人拒不整改或整改后依然无法满足</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要求的，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有权提前终止合同，所造成的一切损失由中标人自行承担。</w:t>
            </w:r>
          </w:p>
        </w:tc>
      </w:tr>
      <w:tr w14:paraId="2B8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9523" w:type="dxa"/>
            <w:gridSpan w:val="3"/>
            <w:shd w:val="clear" w:color="auto" w:fill="auto"/>
            <w:vAlign w:val="center"/>
          </w:tcPr>
          <w:p w14:paraId="4714818A">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☆☆☆特别说明☆☆☆</w:t>
            </w:r>
          </w:p>
          <w:p w14:paraId="33CCCF13">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1.</w:t>
            </w:r>
            <w:r>
              <w:rPr>
                <w:rFonts w:hint="eastAsia" w:ascii="宋体" w:hAnsi="宋体" w:eastAsia="宋体" w:cs="宋体"/>
                <w:color w:val="auto"/>
                <w:sz w:val="24"/>
                <w:highlight w:val="none"/>
              </w:rPr>
              <w:t>本次招标采用电子化招标，投标人应登录</w:t>
            </w:r>
            <w:r>
              <w:rPr>
                <w:rFonts w:hint="eastAsia" w:ascii="宋体" w:hAnsi="宋体" w:cs="宋体"/>
                <w:color w:val="auto"/>
                <w:sz w:val="24"/>
                <w:highlight w:val="none"/>
                <w:lang w:eastAsia="zh-CN"/>
              </w:rPr>
              <w:t>云南省政府采购电子交易平台（政采云https://www.zcygov.cn/）</w:t>
            </w:r>
            <w:r>
              <w:rPr>
                <w:rFonts w:hint="eastAsia" w:ascii="宋体" w:hAnsi="宋体" w:eastAsia="宋体" w:cs="宋体"/>
                <w:color w:val="auto"/>
                <w:sz w:val="24"/>
                <w:highlight w:val="none"/>
              </w:rPr>
              <w:t>下载招标文件，此途径为获取招标文件的唯一途径。投标人按系统要求向系统提交电子投标文件，并按相关要求进行解密。</w:t>
            </w:r>
          </w:p>
          <w:p w14:paraId="7D361331">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招标文件中要求的相关证件扫描件可以为彩色扫描件或黑白扫描件，由投标人结合自身情况选择。</w:t>
            </w:r>
          </w:p>
          <w:p w14:paraId="02567DF0">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投标人中标后须按</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实际需求提供与网上上传的电子投标文件完全一致的纸质投标文件，纸质投标文件可以为网上递交的电子投标文件的打印件。</w:t>
            </w:r>
          </w:p>
          <w:p w14:paraId="2299DDF0">
            <w:pPr>
              <w:pStyle w:val="16"/>
              <w:keepNext w:val="0"/>
              <w:keepLines w:val="0"/>
              <w:pageBreakBefore w:val="0"/>
              <w:tabs>
                <w:tab w:val="left" w:pos="2472"/>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注：中标后提供的纸质版投标文件不提倡豪华装订，投标文件应装订成册，不得采用活页夹等可随时拆换的方式装订。</w:t>
            </w:r>
          </w:p>
          <w:p w14:paraId="2444A9CF">
            <w:pPr>
              <w:pageBreakBefore w:val="0"/>
              <w:kinsoku/>
              <w:overflowPunct/>
              <w:bidi w:val="0"/>
              <w:adjustRightInd w:val="0"/>
              <w:snapToGrid w:val="0"/>
              <w:spacing w:after="0" w:line="480" w:lineRule="exact"/>
              <w:textAlignment w:val="auto"/>
              <w:rPr>
                <w:rFonts w:hint="default" w:eastAsia="宋体"/>
                <w:color w:val="auto"/>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投标文件应按招标文件要求进行电子签章或签字或电子签章。</w:t>
            </w:r>
            <w:r>
              <w:rPr>
                <w:rFonts w:hint="eastAsia" w:ascii="宋体" w:hAnsi="宋体" w:eastAsia="宋体" w:cs="宋体"/>
                <w:color w:val="auto"/>
                <w:sz w:val="24"/>
                <w:highlight w:val="none"/>
              </w:rPr>
              <w:t>若为联合体投标，除联合体协议书以外所有需要签字盖章处均由牵头人进行电子签章即可。</w:t>
            </w:r>
            <w:r>
              <w:rPr>
                <w:rFonts w:hint="eastAsia" w:ascii="宋体" w:hAnsi="宋体" w:eastAsia="宋体" w:cs="宋体"/>
                <w:color w:val="auto"/>
                <w:sz w:val="24"/>
                <w:highlight w:val="none"/>
                <w:lang w:eastAsia="zh-CN"/>
              </w:rPr>
              <w:t>由投标人牵头单位的法定代表人或其委托代理人签名（或签章），未按照招标文件规定的格式进行签名（或签章）的投标文件将被否决；由委托代理人签名（或签章）的，投标文件中应附有法定代表人签名（或签章）的投标文件签署授权委托书。投标人在电子投标系统中利用CA锁加盖的电子签章或签字或电子签章均予以认可。</w:t>
            </w:r>
          </w:p>
        </w:tc>
      </w:tr>
    </w:tbl>
    <w:p w14:paraId="3EA998E9">
      <w:pPr>
        <w:rPr>
          <w:rFonts w:hint="eastAsia" w:ascii="宋体" w:hAnsi="宋体" w:eastAsia="宋体" w:cs="宋体"/>
          <w:color w:val="auto"/>
          <w:kern w:val="0"/>
          <w:sz w:val="28"/>
          <w:szCs w:val="20"/>
          <w:highlight w:val="none"/>
        </w:rPr>
      </w:pPr>
      <w:bookmarkStart w:id="134" w:name="_Toc23578"/>
      <w:bookmarkStart w:id="135" w:name="_Toc417632154"/>
      <w:bookmarkStart w:id="136" w:name="_Toc417632239"/>
      <w:bookmarkStart w:id="137" w:name="_Toc305963491"/>
      <w:bookmarkStart w:id="138" w:name="_Toc305963788"/>
      <w:bookmarkStart w:id="139" w:name="_Toc305963549"/>
      <w:r>
        <w:rPr>
          <w:rFonts w:hint="eastAsia" w:ascii="宋体" w:hAnsi="宋体" w:eastAsia="宋体" w:cs="宋体"/>
          <w:color w:val="auto"/>
          <w:kern w:val="0"/>
          <w:sz w:val="28"/>
          <w:szCs w:val="20"/>
          <w:highlight w:val="none"/>
        </w:rPr>
        <w:br w:type="page"/>
      </w:r>
    </w:p>
    <w:p w14:paraId="39F97E27">
      <w:pPr>
        <w:pStyle w:val="3"/>
        <w:keepLines w:val="0"/>
        <w:pageBreakBefore w:val="0"/>
        <w:tabs>
          <w:tab w:val="left" w:pos="1021"/>
        </w:tabs>
        <w:kinsoku/>
        <w:wordWrap/>
        <w:overflowPunct/>
        <w:topLinePunct w:val="0"/>
        <w:autoSpaceDE/>
        <w:autoSpaceDN/>
        <w:bidi w:val="0"/>
        <w:adjustRightInd w:val="0"/>
        <w:snapToGrid w:val="0"/>
        <w:spacing w:line="480" w:lineRule="exact"/>
        <w:textAlignment w:val="baseline"/>
        <w:rPr>
          <w:rFonts w:hint="eastAsia" w:ascii="宋体" w:hAnsi="宋体" w:eastAsia="宋体" w:cs="宋体"/>
          <w:color w:val="auto"/>
          <w:kern w:val="0"/>
          <w:sz w:val="28"/>
          <w:szCs w:val="20"/>
          <w:highlight w:val="none"/>
        </w:rPr>
      </w:pPr>
      <w:bookmarkStart w:id="140" w:name="_Toc18927"/>
      <w:bookmarkStart w:id="141" w:name="_Toc24896"/>
      <w:bookmarkStart w:id="142" w:name="_Toc8026"/>
      <w:bookmarkStart w:id="143" w:name="_Toc15672"/>
      <w:r>
        <w:rPr>
          <w:rFonts w:hint="eastAsia" w:hAnsi="宋体" w:cs="宋体"/>
          <w:color w:val="auto"/>
          <w:kern w:val="0"/>
          <w:sz w:val="28"/>
          <w:szCs w:val="20"/>
          <w:highlight w:val="none"/>
          <w:lang w:eastAsia="zh-CN"/>
        </w:rPr>
        <w:t>1.</w:t>
      </w:r>
      <w:r>
        <w:rPr>
          <w:rFonts w:hint="eastAsia" w:ascii="宋体" w:hAnsi="宋体" w:eastAsia="宋体" w:cs="宋体"/>
          <w:color w:val="auto"/>
          <w:kern w:val="0"/>
          <w:sz w:val="28"/>
          <w:szCs w:val="20"/>
          <w:highlight w:val="none"/>
        </w:rPr>
        <w:t>总则</w:t>
      </w:r>
      <w:bookmarkEnd w:id="134"/>
      <w:bookmarkEnd w:id="140"/>
      <w:bookmarkEnd w:id="141"/>
      <w:bookmarkEnd w:id="142"/>
      <w:bookmarkEnd w:id="143"/>
    </w:p>
    <w:p w14:paraId="58307A1C">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bookmarkStart w:id="144" w:name="_Toc417632241"/>
      <w:bookmarkStart w:id="145" w:name="_Toc28602"/>
      <w:bookmarkStart w:id="146" w:name="_Toc417632156"/>
      <w:bookmarkStart w:id="147" w:name="_Toc305963493"/>
      <w:bookmarkStart w:id="148" w:name="_Toc13667123"/>
      <w:bookmarkStart w:id="149" w:name="_Toc305963551"/>
      <w:bookmarkStart w:id="150" w:name="_Toc305963790"/>
      <w:bookmarkStart w:id="151" w:name="_Toc6936"/>
      <w:bookmarkStart w:id="152" w:name="_Toc21273"/>
      <w:bookmarkStart w:id="153" w:name="_Toc4528"/>
      <w:r>
        <w:rPr>
          <w:rFonts w:hint="eastAsia" w:ascii="宋体" w:hAnsi="宋体" w:eastAsia="宋体" w:cs="宋体"/>
          <w:color w:val="auto"/>
          <w:szCs w:val="24"/>
          <w:highlight w:val="none"/>
        </w:rPr>
        <w:t>1.1项目概况</w:t>
      </w:r>
    </w:p>
    <w:p w14:paraId="467E2688">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w:t>
      </w:r>
      <w:r>
        <w:rPr>
          <w:rFonts w:hint="eastAsia" w:ascii="宋体" w:hAnsi="宋体" w:cs="宋体"/>
          <w:color w:val="auto"/>
          <w:sz w:val="24"/>
          <w:highlight w:val="none"/>
          <w:lang w:val="en-US" w:eastAsia="zh-CN"/>
        </w:rPr>
        <w:t>按照</w:t>
      </w:r>
      <w:r>
        <w:rPr>
          <w:rFonts w:hint="eastAsia" w:ascii="宋体" w:hAnsi="宋体" w:eastAsia="宋体" w:cs="宋体"/>
          <w:color w:val="auto"/>
          <w:sz w:val="24"/>
          <w:highlight w:val="none"/>
        </w:rPr>
        <w:t>《中华人民共和国政府采购法》、《中华人民共和国政府采购法实施条例》、《政府采购货物和服务招标投标管理办法》（财政部令第87号）等相关法律法规的规定，</w:t>
      </w:r>
      <w:r>
        <w:rPr>
          <w:rFonts w:hint="eastAsia" w:ascii="宋体" w:hAnsi="宋体" w:cs="宋体"/>
          <w:color w:val="auto"/>
          <w:sz w:val="24"/>
          <w:highlight w:val="none"/>
          <w:u w:val="single"/>
          <w:lang w:eastAsia="zh-CN"/>
        </w:rPr>
        <w:t>玉溪优午项目管理咨询有限公司</w:t>
      </w:r>
      <w:r>
        <w:rPr>
          <w:rFonts w:hint="eastAsia" w:ascii="宋体" w:hAnsi="宋体" w:eastAsia="宋体" w:cs="宋体"/>
          <w:color w:val="auto"/>
          <w:sz w:val="24"/>
          <w:highlight w:val="none"/>
        </w:rPr>
        <w:t>受</w:t>
      </w:r>
      <w:r>
        <w:rPr>
          <w:rFonts w:hint="eastAsia" w:ascii="宋体" w:hAnsi="宋体" w:cs="宋体"/>
          <w:bCs/>
          <w:color w:val="auto"/>
          <w:sz w:val="24"/>
          <w:highlight w:val="none"/>
          <w:u w:val="single"/>
          <w:lang w:eastAsia="zh-CN"/>
        </w:rPr>
        <w:t>易门县环卫站</w:t>
      </w:r>
      <w:r>
        <w:rPr>
          <w:rFonts w:hint="eastAsia" w:ascii="宋体" w:hAnsi="宋体" w:eastAsia="宋体" w:cs="宋体"/>
          <w:color w:val="auto"/>
          <w:sz w:val="24"/>
          <w:highlight w:val="none"/>
        </w:rPr>
        <w:t>的委托，对</w:t>
      </w:r>
      <w:r>
        <w:rPr>
          <w:rFonts w:hint="eastAsia" w:ascii="宋体" w:hAnsi="宋体" w:cs="宋体"/>
          <w:color w:val="auto"/>
          <w:sz w:val="24"/>
          <w:highlight w:val="none"/>
          <w:u w:val="single"/>
          <w:lang w:eastAsia="zh-CN"/>
        </w:rPr>
        <w:t>易门县环卫站购买县城环卫市政服务项目</w:t>
      </w:r>
      <w:r>
        <w:rPr>
          <w:rFonts w:hint="eastAsia" w:ascii="宋体" w:hAnsi="宋体" w:eastAsia="宋体" w:cs="宋体"/>
          <w:color w:val="auto"/>
          <w:sz w:val="24"/>
          <w:highlight w:val="none"/>
        </w:rPr>
        <w:t>进行公开招标</w:t>
      </w:r>
      <w:r>
        <w:rPr>
          <w:rFonts w:hint="eastAsia" w:ascii="宋体" w:hAnsi="宋体" w:cs="宋体"/>
          <w:color w:val="auto"/>
          <w:sz w:val="24"/>
          <w:highlight w:val="none"/>
          <w:lang w:eastAsia="zh-CN"/>
        </w:rPr>
        <w:t>。</w:t>
      </w:r>
      <w:r>
        <w:rPr>
          <w:rFonts w:hint="eastAsia" w:ascii="宋体" w:hAnsi="宋体" w:eastAsia="宋体" w:cs="宋体"/>
          <w:bCs/>
          <w:color w:val="auto"/>
          <w:sz w:val="24"/>
          <w:highlight w:val="none"/>
        </w:rPr>
        <w:t>本招标项目已具备招标条件,</w:t>
      </w:r>
      <w:r>
        <w:rPr>
          <w:rFonts w:hint="eastAsia" w:ascii="宋体" w:hAnsi="宋体" w:eastAsia="宋体" w:cs="宋体"/>
          <w:color w:val="auto"/>
          <w:sz w:val="24"/>
          <w:highlight w:val="none"/>
        </w:rPr>
        <w:t>现对本项目所需相关内容进行招标。</w:t>
      </w:r>
    </w:p>
    <w:p w14:paraId="77A63E5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1.1.2</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：见投标人须知前附表。</w:t>
      </w:r>
    </w:p>
    <w:p w14:paraId="2E61A55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1.1.3</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代理机构：见投标人须知前附表。</w:t>
      </w:r>
    </w:p>
    <w:p w14:paraId="1A9D0A93">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1.1.4项目名称及项目编号：见投标人须知前附表。</w:t>
      </w:r>
    </w:p>
    <w:p w14:paraId="6F7D22E3">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1.2招标项目的资金来源和落实情况</w:t>
      </w:r>
    </w:p>
    <w:p w14:paraId="53CF9553">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1.2.1资金来源及比例：见投标人须知前附表。</w:t>
      </w:r>
    </w:p>
    <w:p w14:paraId="323E4B6B">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1.2.2资金落实情况：见投标人须知前附表。</w:t>
      </w:r>
    </w:p>
    <w:p w14:paraId="794D1200">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1.3</w:t>
      </w:r>
      <w:r>
        <w:rPr>
          <w:rFonts w:hint="eastAsia" w:ascii="宋体" w:hAnsi="宋体"/>
          <w:color w:val="auto"/>
          <w:szCs w:val="24"/>
          <w:highlight w:val="none"/>
        </w:rPr>
        <w:t>项目预算及最高限价</w:t>
      </w:r>
      <w:r>
        <w:rPr>
          <w:rFonts w:hint="eastAsia" w:ascii="宋体" w:hAnsi="宋体" w:eastAsia="宋体" w:cs="宋体"/>
          <w:color w:val="auto"/>
          <w:szCs w:val="24"/>
          <w:highlight w:val="none"/>
        </w:rPr>
        <w:t>、采购需求、合同履行期限、质量要求</w:t>
      </w:r>
      <w:r>
        <w:rPr>
          <w:rFonts w:hint="eastAsia" w:cs="宋体"/>
          <w:color w:val="auto"/>
          <w:szCs w:val="24"/>
          <w:highlight w:val="none"/>
          <w:lang w:eastAsia="zh-CN"/>
        </w:rPr>
        <w:t>、</w:t>
      </w:r>
      <w:r>
        <w:rPr>
          <w:rFonts w:hint="eastAsia" w:cs="宋体"/>
          <w:color w:val="auto"/>
          <w:szCs w:val="24"/>
          <w:highlight w:val="none"/>
          <w:lang w:val="en-US" w:eastAsia="zh-CN"/>
        </w:rPr>
        <w:t>服务地点</w:t>
      </w:r>
    </w:p>
    <w:p w14:paraId="176E6408">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1.3.1项目预算及最高限价：见投标人须知前附表。</w:t>
      </w:r>
    </w:p>
    <w:p w14:paraId="3511BF5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1.3.2采购需求：见投标人须知前附表。</w:t>
      </w:r>
    </w:p>
    <w:p w14:paraId="5C972FA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1.3.3合同履行期限：见投标人须知前附表。</w:t>
      </w:r>
    </w:p>
    <w:p w14:paraId="59B3DCCB">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1.3.4质量要求：见投标人须知前附表。</w:t>
      </w:r>
    </w:p>
    <w:p w14:paraId="7A1ED294">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color w:val="auto"/>
          <w:highlight w:val="none"/>
        </w:rPr>
      </w:pPr>
      <w:r>
        <w:rPr>
          <w:rFonts w:hint="eastAsia" w:ascii="宋体" w:hAnsi="宋体" w:eastAsia="宋体" w:cs="宋体"/>
          <w:color w:val="auto"/>
          <w:sz w:val="24"/>
          <w:highlight w:val="none"/>
        </w:rPr>
        <w:t>1.3.5</w:t>
      </w:r>
      <w:r>
        <w:rPr>
          <w:rFonts w:hint="eastAsia" w:ascii="宋体" w:hAnsi="宋体" w:cs="宋体"/>
          <w:color w:val="auto"/>
          <w:sz w:val="24"/>
          <w:highlight w:val="none"/>
          <w:lang w:eastAsia="zh-CN"/>
        </w:rPr>
        <w:t>服务地点</w:t>
      </w:r>
      <w:r>
        <w:rPr>
          <w:rFonts w:hint="eastAsia" w:ascii="宋体" w:hAnsi="宋体" w:eastAsia="宋体" w:cs="宋体"/>
          <w:color w:val="auto"/>
          <w:sz w:val="24"/>
          <w:highlight w:val="none"/>
        </w:rPr>
        <w:t>：见投标人须知前附表。</w:t>
      </w:r>
    </w:p>
    <w:p w14:paraId="340BAA65">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1.4合格的投标人</w:t>
      </w:r>
    </w:p>
    <w:p w14:paraId="54A90C9F">
      <w:pPr>
        <w:keepLines w:val="0"/>
        <w:pageBreakBefore w:val="0"/>
        <w:kinsoku/>
        <w:wordWrap/>
        <w:overflowPunct/>
        <w:topLinePunct w:val="0"/>
        <w:autoSpaceDE/>
        <w:autoSpaceDN/>
        <w:bidi w:val="0"/>
        <w:spacing w:after="0" w:line="480" w:lineRule="exact"/>
        <w:ind w:firstLine="480" w:firstLineChars="200"/>
        <w:jc w:val="left"/>
        <w:rPr>
          <w:rFonts w:ascii="宋体" w:hAnsi="宋体"/>
          <w:b w:val="0"/>
          <w:bCs w:val="0"/>
          <w:color w:val="auto"/>
          <w:sz w:val="24"/>
          <w:highlight w:val="none"/>
        </w:rPr>
      </w:pPr>
      <w:r>
        <w:rPr>
          <w:rFonts w:hint="eastAsia" w:ascii="宋体" w:hAnsi="宋体"/>
          <w:b w:val="0"/>
          <w:bCs w:val="0"/>
          <w:color w:val="auto"/>
          <w:sz w:val="24"/>
          <w:highlight w:val="none"/>
        </w:rPr>
        <w:t>1.</w:t>
      </w:r>
      <w:r>
        <w:rPr>
          <w:rFonts w:ascii="宋体" w:hAnsi="宋体"/>
          <w:b w:val="0"/>
          <w:bCs w:val="0"/>
          <w:color w:val="auto"/>
          <w:sz w:val="24"/>
          <w:highlight w:val="none"/>
        </w:rPr>
        <w:t>4.1投标人应符合招标文件“投标人须知前附表”中规定的条件。</w:t>
      </w:r>
    </w:p>
    <w:p w14:paraId="07D53F4C">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b w:val="0"/>
          <w:bCs w:val="0"/>
          <w:color w:val="auto"/>
          <w:sz w:val="24"/>
          <w:highlight w:val="none"/>
          <w:lang w:eastAsia="zh-CN"/>
        </w:rPr>
      </w:pPr>
      <w:r>
        <w:rPr>
          <w:rFonts w:hint="eastAsia" w:ascii="宋体" w:hAnsi="宋体"/>
          <w:b w:val="0"/>
          <w:bCs w:val="0"/>
          <w:color w:val="auto"/>
          <w:sz w:val="24"/>
          <w:highlight w:val="none"/>
        </w:rPr>
        <w:t>1.</w:t>
      </w:r>
      <w:r>
        <w:rPr>
          <w:rFonts w:ascii="宋体" w:hAnsi="宋体"/>
          <w:b w:val="0"/>
          <w:bCs w:val="0"/>
          <w:color w:val="auto"/>
          <w:sz w:val="24"/>
          <w:highlight w:val="none"/>
        </w:rPr>
        <w:t>4.2</w:t>
      </w:r>
      <w:r>
        <w:rPr>
          <w:rFonts w:hint="eastAsia" w:ascii="宋体" w:hAnsi="宋体"/>
          <w:b w:val="0"/>
          <w:bCs w:val="0"/>
          <w:color w:val="auto"/>
          <w:sz w:val="24"/>
          <w:highlight w:val="none"/>
        </w:rPr>
        <w:t>是否接受联合体投标的，见“投标人须知前附表”</w:t>
      </w:r>
      <w:r>
        <w:rPr>
          <w:rFonts w:hint="eastAsia" w:ascii="宋体" w:hAnsi="宋体"/>
          <w:b w:val="0"/>
          <w:bCs w:val="0"/>
          <w:color w:val="auto"/>
          <w:sz w:val="24"/>
          <w:highlight w:val="none"/>
          <w:lang w:eastAsia="zh-CN"/>
        </w:rPr>
        <w:t>。</w:t>
      </w:r>
    </w:p>
    <w:p w14:paraId="6B6B6157">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 xml:space="preserve">1.4.3投标人存在下列情况之一的，投标无效： </w:t>
      </w:r>
    </w:p>
    <w:p w14:paraId="66AA6F25">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（1）投标文件未按招标文件要求签署、盖章的；</w:t>
      </w:r>
      <w:r>
        <w:rPr>
          <w:rFonts w:hint="eastAsia" w:ascii="宋体" w:hAnsi="宋体" w:eastAsia="宋体" w:cs="Times New Roman"/>
          <w:color w:val="auto"/>
          <w:sz w:val="24"/>
          <w:highlight w:val="none"/>
        </w:rPr>
        <w:t xml:space="preserve"> </w:t>
      </w:r>
    </w:p>
    <w:p w14:paraId="24ABFCC7">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（2）不具备招标文件中规定的资格要求的； </w:t>
      </w:r>
    </w:p>
    <w:p w14:paraId="1B2795DA">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（3）报价超过招标文件中规定的预算金额或者最高限价的； </w:t>
      </w:r>
    </w:p>
    <w:p w14:paraId="0B56527F">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（4）投标文件含有采购人不能接受的附加条件的； </w:t>
      </w:r>
    </w:p>
    <w:p w14:paraId="27C30352">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（5）法律、法规和招标文件规定的</w:t>
      </w:r>
      <w:r>
        <w:rPr>
          <w:rFonts w:hint="eastAsia" w:ascii="宋体" w:hAnsi="宋体" w:cs="Times New Roman"/>
          <w:color w:val="auto"/>
          <w:sz w:val="24"/>
          <w:highlight w:val="none"/>
          <w:lang w:eastAsia="zh-CN"/>
        </w:rPr>
        <w:t>其他</w:t>
      </w:r>
      <w:r>
        <w:rPr>
          <w:rFonts w:hint="eastAsia" w:ascii="宋体" w:hAnsi="宋体" w:eastAsia="宋体" w:cs="Times New Roman"/>
          <w:color w:val="auto"/>
          <w:sz w:val="24"/>
          <w:highlight w:val="none"/>
        </w:rPr>
        <w:t xml:space="preserve">无效情形。 </w:t>
      </w:r>
    </w:p>
    <w:p w14:paraId="66870EC4">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1.4.4有下列情形之一的，视为投标人串通投标，其投标无效： </w:t>
      </w:r>
    </w:p>
    <w:p w14:paraId="2211C743">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（1）不同投标人的投标文件由同一单位或者个人编制； </w:t>
      </w:r>
    </w:p>
    <w:p w14:paraId="21B32FCA">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（2）不同投标人委托同一单位或者个人办理投标事宜； </w:t>
      </w:r>
    </w:p>
    <w:p w14:paraId="72ACAE8D">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（3）不同投标人的投标文件载明的项目管理成员或者联系人员为同一人； </w:t>
      </w:r>
    </w:p>
    <w:p w14:paraId="15F0ED06">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（4）不同投标人的投标文件异常一致或者投标报价呈规律性差异； </w:t>
      </w:r>
    </w:p>
    <w:p w14:paraId="4F21E92C">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olor w:val="auto"/>
          <w:sz w:val="24"/>
          <w:highlight w:val="none"/>
          <w:lang w:eastAsia="zh-CN"/>
        </w:rPr>
      </w:pPr>
      <w:r>
        <w:rPr>
          <w:rFonts w:hint="eastAsia" w:ascii="宋体" w:hAnsi="宋体" w:eastAsia="宋体" w:cs="Times New Roman"/>
          <w:color w:val="auto"/>
          <w:sz w:val="24"/>
          <w:highlight w:val="none"/>
        </w:rPr>
        <w:t>（5）不同投标人的投标文件相互混装</w:t>
      </w:r>
      <w:r>
        <w:rPr>
          <w:rFonts w:hint="eastAsia" w:ascii="宋体" w:hAnsi="宋体" w:eastAsia="宋体" w:cs="Times New Roman"/>
          <w:color w:val="auto"/>
          <w:sz w:val="24"/>
          <w:highlight w:val="none"/>
          <w:lang w:eastAsia="zh-CN"/>
        </w:rPr>
        <w:t>。</w:t>
      </w:r>
    </w:p>
    <w:p w14:paraId="560331DF">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1.5费用承担</w:t>
      </w:r>
    </w:p>
    <w:p w14:paraId="53C71FB1">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1.5.1投标人准备和参加投标活动发生的费用自理。</w:t>
      </w:r>
    </w:p>
    <w:p w14:paraId="20AD714C">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1.5.2招标代理服务费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中标服务费</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：见投标人须知前附表。</w:t>
      </w:r>
    </w:p>
    <w:p w14:paraId="42A80CDA">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1.6保密</w:t>
      </w:r>
    </w:p>
    <w:p w14:paraId="4B24AA97">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参与招标投标活动的各方应对招标文件和投标文件中的商业和技术等秘密保密，否则应承担相应的法律责任。</w:t>
      </w:r>
    </w:p>
    <w:p w14:paraId="0C5587A6">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1.7语言文字</w:t>
      </w:r>
    </w:p>
    <w:p w14:paraId="0F4DBA9C">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招标投标文件使用的语言文字为中文。专用术语使用外文的，应附有中文注释。</w:t>
      </w:r>
    </w:p>
    <w:p w14:paraId="47A6EC7F">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1.8计量单位</w:t>
      </w:r>
    </w:p>
    <w:p w14:paraId="4342D25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所有计量均采用中华人民共和国法定计量单位。</w:t>
      </w:r>
    </w:p>
    <w:p w14:paraId="6F40F2ED">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w:t>
      </w:r>
      <w:r>
        <w:rPr>
          <w:rFonts w:hint="eastAsia" w:cs="宋体"/>
          <w:color w:val="auto"/>
          <w:szCs w:val="24"/>
          <w:highlight w:val="none"/>
          <w:lang w:eastAsia="zh-CN"/>
        </w:rPr>
        <w:t>现场</w:t>
      </w:r>
      <w:r>
        <w:rPr>
          <w:rFonts w:hint="eastAsia" w:ascii="宋体" w:hAnsi="宋体" w:eastAsia="宋体" w:cs="宋体"/>
          <w:color w:val="auto"/>
          <w:szCs w:val="24"/>
          <w:highlight w:val="none"/>
        </w:rPr>
        <w:t>考察或者召开开标前答疑会</w:t>
      </w:r>
    </w:p>
    <w:p w14:paraId="31556167">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1.9.1投标人须知前附表规定组织已获取招标文件的潜在投标人现场考察的，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按投标人须知前附表规定的时间和地点组织。</w:t>
      </w:r>
    </w:p>
    <w:p w14:paraId="2E7FA79E">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1.9.2投标人须知前附表规定召开开标前答疑会的，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按投标人须知前附表规定的时间和地点组织召开开标前答疑会。</w:t>
      </w:r>
    </w:p>
    <w:p w14:paraId="519344F3">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1.9.3投标人应在召开开标前答疑会前将提出的问题送达</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，以便</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在会议期间澄清。</w:t>
      </w:r>
    </w:p>
    <w:p w14:paraId="417E15D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1.9.4开标前答疑会后，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将对投标人所提问题</w:t>
      </w:r>
      <w:r>
        <w:rPr>
          <w:rFonts w:hint="eastAsia" w:ascii="宋体" w:hAnsi="宋体" w:cs="宋体"/>
          <w:color w:val="auto"/>
          <w:sz w:val="24"/>
          <w:highlight w:val="none"/>
          <w:lang w:eastAsia="zh-CN"/>
        </w:rPr>
        <w:t>进行</w:t>
      </w:r>
      <w:r>
        <w:rPr>
          <w:rFonts w:hint="eastAsia" w:ascii="宋体" w:hAnsi="宋体" w:eastAsia="宋体" w:cs="宋体"/>
          <w:color w:val="auto"/>
          <w:sz w:val="24"/>
          <w:highlight w:val="none"/>
        </w:rPr>
        <w:t>澄清，以投标人须知前附表规定的形式通知所有</w:t>
      </w:r>
      <w:r>
        <w:rPr>
          <w:rFonts w:hint="eastAsia" w:ascii="宋体" w:hAnsi="宋体" w:cs="宋体"/>
          <w:color w:val="auto"/>
          <w:sz w:val="24"/>
          <w:highlight w:val="none"/>
          <w:lang w:val="en-US" w:eastAsia="zh-CN"/>
        </w:rPr>
        <w:t>获取</w:t>
      </w:r>
      <w:r>
        <w:rPr>
          <w:rFonts w:hint="eastAsia" w:ascii="宋体" w:hAnsi="宋体" w:eastAsia="宋体" w:cs="宋体"/>
          <w:color w:val="auto"/>
          <w:sz w:val="24"/>
          <w:highlight w:val="none"/>
        </w:rPr>
        <w:t>招标文件的投标人。该澄清内容为招标文件的组成部分。</w:t>
      </w:r>
    </w:p>
    <w:p w14:paraId="5F6162D1">
      <w:pPr>
        <w:pStyle w:val="4"/>
        <w:keepLines w:val="0"/>
        <w:pageBreakBefore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1.10分包</w:t>
      </w:r>
    </w:p>
    <w:bookmarkEnd w:id="144"/>
    <w:bookmarkEnd w:id="145"/>
    <w:bookmarkEnd w:id="146"/>
    <w:bookmarkEnd w:id="147"/>
    <w:bookmarkEnd w:id="148"/>
    <w:bookmarkEnd w:id="149"/>
    <w:bookmarkEnd w:id="150"/>
    <w:p w14:paraId="2AEC0963">
      <w:pPr>
        <w:keepLines w:val="0"/>
        <w:pageBreakBefore w:val="0"/>
        <w:kinsoku/>
        <w:wordWrap/>
        <w:overflowPunct/>
        <w:topLinePunct w:val="0"/>
        <w:autoSpaceDE/>
        <w:autoSpaceDN/>
        <w:bidi w:val="0"/>
        <w:adjustRightInd w:val="0"/>
        <w:snapToGrid w:val="0"/>
        <w:spacing w:line="480" w:lineRule="exact"/>
        <w:ind w:firstLine="482" w:firstLineChars="200"/>
        <w:jc w:val="left"/>
        <w:rPr>
          <w:rFonts w:hint="default" w:ascii="宋体" w:hAnsi="宋体" w:eastAsia="宋体" w:cs="宋体"/>
          <w:b/>
          <w:bCs/>
          <w:color w:val="auto"/>
          <w:sz w:val="24"/>
          <w:highlight w:val="none"/>
          <w:lang w:val="en-US" w:eastAsia="zh-CN"/>
        </w:rPr>
      </w:pPr>
      <w:bookmarkStart w:id="154" w:name="_Toc13432"/>
      <w:bookmarkStart w:id="155" w:name="_Toc22176"/>
      <w:bookmarkStart w:id="156" w:name="_Toc17200"/>
      <w:bookmarkStart w:id="157" w:name="_Toc10567"/>
      <w:bookmarkStart w:id="158" w:name="_Toc24306"/>
      <w:r>
        <w:rPr>
          <w:rFonts w:hint="eastAsia" w:ascii="宋体" w:hAnsi="宋体" w:cs="宋体"/>
          <w:b/>
          <w:bCs/>
          <w:color w:val="auto"/>
          <w:sz w:val="24"/>
          <w:highlight w:val="none"/>
          <w:lang w:val="en-US" w:eastAsia="zh-CN"/>
        </w:rPr>
        <w:t>不允许整体转包，</w:t>
      </w:r>
      <w:r>
        <w:rPr>
          <w:rFonts w:hint="eastAsia" w:cs="宋体"/>
          <w:b w:val="0"/>
          <w:bCs/>
          <w:i w:val="0"/>
          <w:iCs w:val="0"/>
          <w:caps w:val="0"/>
          <w:color w:val="auto"/>
          <w:spacing w:val="0"/>
          <w:sz w:val="24"/>
          <w:szCs w:val="24"/>
          <w:highlight w:val="none"/>
          <w:shd w:val="clear" w:color="auto" w:fill="FFFFFF"/>
          <w:lang w:eastAsia="zh-CN"/>
        </w:rPr>
        <w:t>经甲方书面同意核心服务</w:t>
      </w:r>
      <w:r>
        <w:rPr>
          <w:rFonts w:hint="eastAsia" w:cs="宋体"/>
          <w:b w:val="0"/>
          <w:bCs/>
          <w:i w:val="0"/>
          <w:iCs w:val="0"/>
          <w:caps w:val="0"/>
          <w:color w:val="auto"/>
          <w:spacing w:val="0"/>
          <w:sz w:val="24"/>
          <w:szCs w:val="24"/>
          <w:highlight w:val="none"/>
          <w:shd w:val="clear" w:color="auto" w:fill="FFFFFF"/>
          <w:lang w:val="en-US" w:eastAsia="zh-CN"/>
        </w:rPr>
        <w:t>允许分包。</w:t>
      </w:r>
    </w:p>
    <w:p w14:paraId="3581B40A">
      <w:pPr>
        <w:pStyle w:val="3"/>
        <w:keepLines w:val="0"/>
        <w:pageBreakBefore w:val="0"/>
        <w:kinsoku/>
        <w:wordWrap/>
        <w:overflowPunct/>
        <w:topLinePunct w:val="0"/>
        <w:autoSpaceDE/>
        <w:autoSpaceDN/>
        <w:bidi w:val="0"/>
        <w:adjustRightInd w:val="0"/>
        <w:snapToGrid w:val="0"/>
        <w:spacing w:line="480" w:lineRule="exact"/>
        <w:jc w:val="both"/>
        <w:rPr>
          <w:rFonts w:hint="eastAsia" w:ascii="宋体" w:hAnsi="宋体" w:eastAsia="宋体" w:cs="宋体"/>
          <w:color w:val="auto"/>
          <w:sz w:val="28"/>
          <w:highlight w:val="none"/>
        </w:rPr>
      </w:pPr>
      <w:r>
        <w:rPr>
          <w:rFonts w:hint="eastAsia" w:hAnsi="宋体" w:cs="宋体"/>
          <w:color w:val="auto"/>
          <w:sz w:val="28"/>
          <w:highlight w:val="none"/>
          <w:lang w:eastAsia="zh-CN"/>
        </w:rPr>
        <w:t>2.</w:t>
      </w:r>
      <w:r>
        <w:rPr>
          <w:rFonts w:hint="eastAsia" w:ascii="宋体" w:hAnsi="宋体" w:eastAsia="宋体" w:cs="宋体"/>
          <w:color w:val="auto"/>
          <w:sz w:val="28"/>
          <w:highlight w:val="none"/>
        </w:rPr>
        <w:t>招标文件</w:t>
      </w:r>
      <w:bookmarkEnd w:id="151"/>
      <w:bookmarkEnd w:id="152"/>
      <w:bookmarkEnd w:id="153"/>
      <w:bookmarkEnd w:id="154"/>
      <w:bookmarkEnd w:id="155"/>
      <w:bookmarkEnd w:id="156"/>
      <w:bookmarkEnd w:id="157"/>
      <w:bookmarkEnd w:id="158"/>
    </w:p>
    <w:p w14:paraId="585AF996">
      <w:pPr>
        <w:keepLines w:val="0"/>
        <w:pageBreakBefore w:val="0"/>
        <w:kinsoku/>
        <w:wordWrap/>
        <w:overflowPunct/>
        <w:topLinePunct w:val="0"/>
        <w:autoSpaceDE/>
        <w:autoSpaceDN/>
        <w:bidi w:val="0"/>
        <w:adjustRightInd w:val="0"/>
        <w:snapToGrid w:val="0"/>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2.1招标文件的组成</w:t>
      </w:r>
    </w:p>
    <w:p w14:paraId="53C6D0F9">
      <w:pPr>
        <w:keepLines w:val="0"/>
        <w:pageBreakBefore w:val="0"/>
        <w:kinsoku/>
        <w:wordWrap/>
        <w:overflowPunct/>
        <w:topLinePunct w:val="0"/>
        <w:autoSpaceDE/>
        <w:autoSpaceDN/>
        <w:bidi w:val="0"/>
        <w:adjustRightInd w:val="0"/>
        <w:snapToGrid w:val="0"/>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2.1.1招标文件包括下列内容：</w:t>
      </w:r>
    </w:p>
    <w:p w14:paraId="7A9B88D6">
      <w:pPr>
        <w:keepLines w:val="0"/>
        <w:pageBreakBefore w:val="0"/>
        <w:kinsoku/>
        <w:wordWrap/>
        <w:overflowPunct/>
        <w:topLinePunct w:val="0"/>
        <w:autoSpaceDE/>
        <w:autoSpaceDN/>
        <w:bidi w:val="0"/>
        <w:adjustRightInd w:val="0"/>
        <w:snapToGrid w:val="0"/>
        <w:spacing w:line="480" w:lineRule="exact"/>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  招标公告</w:t>
      </w:r>
    </w:p>
    <w:p w14:paraId="6C2B643D">
      <w:pPr>
        <w:keepLines w:val="0"/>
        <w:pageBreakBefore w:val="0"/>
        <w:kinsoku/>
        <w:wordWrap/>
        <w:overflowPunct/>
        <w:topLinePunct w:val="0"/>
        <w:autoSpaceDE/>
        <w:autoSpaceDN/>
        <w:bidi w:val="0"/>
        <w:adjustRightInd w:val="0"/>
        <w:snapToGrid w:val="0"/>
        <w:spacing w:line="480" w:lineRule="exact"/>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  投标人须知</w:t>
      </w:r>
    </w:p>
    <w:p w14:paraId="32C8B98A">
      <w:pPr>
        <w:keepLines w:val="0"/>
        <w:pageBreakBefore w:val="0"/>
        <w:kinsoku/>
        <w:wordWrap/>
        <w:overflowPunct/>
        <w:topLinePunct w:val="0"/>
        <w:autoSpaceDE/>
        <w:autoSpaceDN/>
        <w:bidi w:val="0"/>
        <w:adjustRightInd w:val="0"/>
        <w:snapToGrid w:val="0"/>
        <w:spacing w:line="480" w:lineRule="exact"/>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拟签订的合同文本</w:t>
      </w:r>
    </w:p>
    <w:p w14:paraId="1BF2C17D">
      <w:pPr>
        <w:keepLines w:val="0"/>
        <w:pageBreakBefore w:val="0"/>
        <w:kinsoku/>
        <w:wordWrap/>
        <w:overflowPunct/>
        <w:topLinePunct w:val="0"/>
        <w:autoSpaceDE/>
        <w:autoSpaceDN/>
        <w:bidi w:val="0"/>
        <w:adjustRightInd w:val="0"/>
        <w:snapToGrid w:val="0"/>
        <w:spacing w:line="480" w:lineRule="exact"/>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  资格审查</w:t>
      </w:r>
    </w:p>
    <w:p w14:paraId="5E1FD6F5">
      <w:pPr>
        <w:keepLines w:val="0"/>
        <w:pageBreakBefore w:val="0"/>
        <w:kinsoku/>
        <w:wordWrap/>
        <w:overflowPunct/>
        <w:topLinePunct w:val="0"/>
        <w:autoSpaceDE/>
        <w:autoSpaceDN/>
        <w:bidi w:val="0"/>
        <w:adjustRightInd w:val="0"/>
        <w:snapToGrid w:val="0"/>
        <w:spacing w:line="480" w:lineRule="exact"/>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  评标办法</w:t>
      </w:r>
    </w:p>
    <w:p w14:paraId="7D59EED8">
      <w:pPr>
        <w:keepLines w:val="0"/>
        <w:pageBreakBefore w:val="0"/>
        <w:kinsoku/>
        <w:wordWrap/>
        <w:overflowPunct/>
        <w:topLinePunct w:val="0"/>
        <w:autoSpaceDE/>
        <w:autoSpaceDN/>
        <w:bidi w:val="0"/>
        <w:adjustRightInd w:val="0"/>
        <w:snapToGrid w:val="0"/>
        <w:spacing w:line="480" w:lineRule="exact"/>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  采购需求</w:t>
      </w:r>
    </w:p>
    <w:p w14:paraId="52FFB092">
      <w:pPr>
        <w:keepLines w:val="0"/>
        <w:pageBreakBefore w:val="0"/>
        <w:kinsoku/>
        <w:wordWrap/>
        <w:overflowPunct/>
        <w:topLinePunct w:val="0"/>
        <w:autoSpaceDE/>
        <w:autoSpaceDN/>
        <w:bidi w:val="0"/>
        <w:adjustRightInd w:val="0"/>
        <w:snapToGrid w:val="0"/>
        <w:spacing w:line="480" w:lineRule="exact"/>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第七章  投标文件格式</w:t>
      </w:r>
    </w:p>
    <w:p w14:paraId="309B432E">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2.1.2根据本章第1.9款、第2.2款和第2.3款对招标文件所</w:t>
      </w:r>
      <w:r>
        <w:rPr>
          <w:rFonts w:hint="eastAsia" w:ascii="宋体" w:hAnsi="宋体" w:cs="宋体"/>
          <w:color w:val="auto"/>
          <w:sz w:val="24"/>
          <w:highlight w:val="none"/>
          <w:lang w:eastAsia="zh-CN"/>
        </w:rPr>
        <w:t>做</w:t>
      </w:r>
      <w:r>
        <w:rPr>
          <w:rFonts w:hint="eastAsia" w:ascii="宋体" w:hAnsi="宋体" w:eastAsia="宋体" w:cs="宋体"/>
          <w:color w:val="auto"/>
          <w:sz w:val="24"/>
          <w:highlight w:val="none"/>
        </w:rPr>
        <w:t>的澄清</w:t>
      </w:r>
      <w:r>
        <w:rPr>
          <w:rFonts w:hint="eastAsia" w:ascii="宋体" w:hAnsi="宋体" w:cs="宋体"/>
          <w:color w:val="auto"/>
          <w:sz w:val="24"/>
          <w:highlight w:val="none"/>
          <w:lang w:eastAsia="zh-CN"/>
        </w:rPr>
        <w:t>或</w:t>
      </w:r>
      <w:r>
        <w:rPr>
          <w:rFonts w:hint="eastAsia" w:ascii="宋体" w:hAnsi="宋体" w:eastAsia="宋体" w:cs="宋体"/>
          <w:color w:val="auto"/>
          <w:sz w:val="24"/>
          <w:highlight w:val="none"/>
        </w:rPr>
        <w:t>修改，构成招标文件的组成部分。</w:t>
      </w:r>
    </w:p>
    <w:p w14:paraId="2DDA395A">
      <w:pPr>
        <w:keepLines w:val="0"/>
        <w:pageBreakBefore w:val="0"/>
        <w:kinsoku/>
        <w:wordWrap/>
        <w:overflowPunct/>
        <w:topLinePunct w:val="0"/>
        <w:autoSpaceDE/>
        <w:autoSpaceDN/>
        <w:bidi w:val="0"/>
        <w:adjustRightInd w:val="0"/>
        <w:snapToGrid w:val="0"/>
        <w:spacing w:line="480" w:lineRule="exact"/>
        <w:ind w:firstLine="482" w:firstLineChars="200"/>
        <w:jc w:val="left"/>
        <w:rPr>
          <w:rFonts w:hint="eastAsia" w:ascii="宋体" w:hAnsi="宋体" w:eastAsia="宋体" w:cs="宋体"/>
          <w:color w:val="auto"/>
          <w:spacing w:val="-4"/>
          <w:sz w:val="24"/>
          <w:highlight w:val="none"/>
        </w:rPr>
      </w:pPr>
      <w:r>
        <w:rPr>
          <w:rFonts w:hint="eastAsia" w:ascii="宋体" w:hAnsi="宋体" w:eastAsia="宋体" w:cs="宋体"/>
          <w:b/>
          <w:color w:val="auto"/>
          <w:sz w:val="24"/>
          <w:highlight w:val="none"/>
        </w:rPr>
        <w:t>2.2招标文件的澄清</w:t>
      </w:r>
    </w:p>
    <w:p w14:paraId="0409FC1E">
      <w:pPr>
        <w:keepLines w:val="0"/>
        <w:pageBreakBefore w:val="0"/>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2.2.1投标人应仔细阅读和检查招标文件的全部内容。如发现缺页或附件不全，应及时向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提出，以便补齐。如有疑问，应按投标人须知前附表规定的时间和形式将提出的问题送达</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对招标文件予以澄清。</w:t>
      </w:r>
    </w:p>
    <w:p w14:paraId="52DF30C5">
      <w:pPr>
        <w:keepLines w:val="0"/>
        <w:pageBreakBefore w:val="0"/>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2.2.2招标文件的澄清以投标人须知前附表规定的形式发给所有获取招标文件的潜在投标人，但不指明澄清问题的来源。澄清的时间距本章第4.2.1规定的投标截止时间不足15日的，并且澄清内容可能影响投标文件编制的，将相应延长投标截止时间。</w:t>
      </w:r>
    </w:p>
    <w:p w14:paraId="4C41EBA3">
      <w:pPr>
        <w:keepLines w:val="0"/>
        <w:pageBreakBefore w:val="0"/>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2.2.3投标人在收到澄清后，应按</w:t>
      </w:r>
      <w:r>
        <w:rPr>
          <w:rFonts w:hint="eastAsia" w:ascii="宋体" w:hAnsi="宋体" w:cs="宋体"/>
          <w:color w:val="auto"/>
          <w:sz w:val="24"/>
          <w:highlight w:val="none"/>
          <w:lang w:eastAsia="zh-CN"/>
        </w:rPr>
        <w:t>招标文件澄清</w:t>
      </w:r>
      <w:r>
        <w:rPr>
          <w:rFonts w:hint="eastAsia" w:ascii="宋体" w:hAnsi="宋体" w:eastAsia="宋体" w:cs="宋体"/>
          <w:color w:val="auto"/>
          <w:sz w:val="24"/>
          <w:highlight w:val="none"/>
        </w:rPr>
        <w:t>规定的方式，确定已收到该澄清。</w:t>
      </w:r>
    </w:p>
    <w:p w14:paraId="125DF097">
      <w:pPr>
        <w:keepLines w:val="0"/>
        <w:pageBreakBefore w:val="0"/>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2.2.4除非</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认为确有必要答复，否则，</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有权拒绝回复投标人在本章第4.2.1项规定的时间后的任何澄清要求。</w:t>
      </w:r>
    </w:p>
    <w:p w14:paraId="224EE371">
      <w:pPr>
        <w:keepLines w:val="0"/>
        <w:pageBreakBefore w:val="0"/>
        <w:kinsoku/>
        <w:wordWrap/>
        <w:overflowPunct/>
        <w:topLinePunct w:val="0"/>
        <w:autoSpaceDE/>
        <w:autoSpaceDN/>
        <w:bidi w:val="0"/>
        <w:adjustRightInd w:val="0"/>
        <w:snapToGrid w:val="0"/>
        <w:spacing w:line="48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2.3招标文件的修改</w:t>
      </w:r>
    </w:p>
    <w:p w14:paraId="52405017">
      <w:pPr>
        <w:keepLines w:val="0"/>
        <w:pageBreakBefore w:val="0"/>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以投标人须知前附表规定的形式修改招标文件，并通知所有已获取招标文件的投标人。修改招标文件的时间距本章第4.2.1项规定的投标截止时间不足15日，并且修改内容可能影响投标文件编制的，将相应延长投标截止时间。</w:t>
      </w:r>
    </w:p>
    <w:p w14:paraId="7F5F452B">
      <w:pPr>
        <w:keepLines w:val="0"/>
        <w:pageBreakBefore w:val="0"/>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2.3.2投标人收到修改内容后，应按</w:t>
      </w:r>
      <w:r>
        <w:rPr>
          <w:rFonts w:hint="eastAsia" w:ascii="宋体" w:hAnsi="宋体" w:cs="宋体"/>
          <w:color w:val="auto"/>
          <w:sz w:val="24"/>
          <w:highlight w:val="none"/>
          <w:lang w:eastAsia="zh-CN"/>
        </w:rPr>
        <w:t>招标文件修改</w:t>
      </w:r>
      <w:r>
        <w:rPr>
          <w:rFonts w:hint="eastAsia" w:ascii="宋体" w:hAnsi="宋体" w:eastAsia="宋体" w:cs="宋体"/>
          <w:color w:val="auto"/>
          <w:sz w:val="24"/>
          <w:highlight w:val="none"/>
        </w:rPr>
        <w:t>规定的方式，确定已收到该澄清。</w:t>
      </w:r>
    </w:p>
    <w:p w14:paraId="39802DA5">
      <w:pPr>
        <w:keepLines w:val="0"/>
        <w:pageBreakBefore w:val="0"/>
        <w:kinsoku/>
        <w:wordWrap/>
        <w:overflowPunct/>
        <w:topLinePunct w:val="0"/>
        <w:autoSpaceDE/>
        <w:autoSpaceDN/>
        <w:bidi w:val="0"/>
        <w:adjustRightInd w:val="0"/>
        <w:snapToGrid w:val="0"/>
        <w:spacing w:line="480" w:lineRule="exact"/>
        <w:ind w:firstLine="482" w:firstLineChars="200"/>
        <w:jc w:val="left"/>
        <w:rPr>
          <w:rFonts w:hint="eastAsia" w:ascii="宋体" w:hAnsi="宋体" w:eastAsia="宋体" w:cs="宋体"/>
          <w:color w:val="auto"/>
          <w:highlight w:val="none"/>
        </w:rPr>
      </w:pPr>
      <w:r>
        <w:rPr>
          <w:rFonts w:hint="eastAsia" w:ascii="宋体" w:hAnsi="宋体" w:eastAsia="宋体" w:cs="宋体"/>
          <w:b/>
          <w:color w:val="auto"/>
          <w:sz w:val="24"/>
          <w:highlight w:val="none"/>
        </w:rPr>
        <w:t>2.4招标文件解释权归属</w:t>
      </w:r>
      <w:r>
        <w:rPr>
          <w:rFonts w:hint="eastAsia" w:ascii="宋体" w:hAnsi="宋体" w:eastAsia="宋体" w:cs="宋体"/>
          <w:b/>
          <w:color w:val="auto"/>
          <w:sz w:val="24"/>
          <w:highlight w:val="none"/>
          <w:lang w:eastAsia="zh-CN"/>
        </w:rPr>
        <w:t>采购人</w:t>
      </w:r>
      <w:r>
        <w:rPr>
          <w:rFonts w:hint="eastAsia" w:ascii="宋体" w:hAnsi="宋体" w:eastAsia="宋体" w:cs="宋体"/>
          <w:b/>
          <w:color w:val="auto"/>
          <w:sz w:val="24"/>
          <w:highlight w:val="none"/>
        </w:rPr>
        <w:t>。只要投标人提交了投标文件，即意味着已经理解并同意了本招标文件的所有条文。</w:t>
      </w:r>
    </w:p>
    <w:bookmarkEnd w:id="135"/>
    <w:bookmarkEnd w:id="136"/>
    <w:bookmarkEnd w:id="137"/>
    <w:bookmarkEnd w:id="138"/>
    <w:bookmarkEnd w:id="139"/>
    <w:p w14:paraId="525325D7">
      <w:pPr>
        <w:pStyle w:val="3"/>
        <w:keepLines w:val="0"/>
        <w:pageBreakBefore w:val="0"/>
        <w:kinsoku/>
        <w:wordWrap/>
        <w:overflowPunct/>
        <w:topLinePunct w:val="0"/>
        <w:autoSpaceDE/>
        <w:autoSpaceDN/>
        <w:bidi w:val="0"/>
        <w:adjustRightInd w:val="0"/>
        <w:snapToGrid w:val="0"/>
        <w:spacing w:line="480" w:lineRule="exact"/>
        <w:jc w:val="both"/>
        <w:rPr>
          <w:rFonts w:hint="eastAsia" w:ascii="宋体" w:hAnsi="宋体" w:eastAsia="宋体" w:cs="宋体"/>
          <w:color w:val="auto"/>
          <w:sz w:val="28"/>
          <w:highlight w:val="none"/>
        </w:rPr>
      </w:pPr>
      <w:bookmarkStart w:id="159" w:name="_Toc2201"/>
      <w:bookmarkStart w:id="160" w:name="_Toc28452"/>
      <w:bookmarkStart w:id="161" w:name="_Toc13111"/>
      <w:bookmarkStart w:id="162" w:name="_Toc7468"/>
      <w:r>
        <w:rPr>
          <w:rFonts w:hint="eastAsia" w:hAnsi="宋体" w:cs="宋体"/>
          <w:color w:val="auto"/>
          <w:sz w:val="28"/>
          <w:highlight w:val="none"/>
          <w:lang w:eastAsia="zh-CN"/>
        </w:rPr>
        <w:t>3.</w:t>
      </w:r>
      <w:r>
        <w:rPr>
          <w:rFonts w:hint="eastAsia" w:ascii="宋体" w:hAnsi="宋体" w:eastAsia="宋体" w:cs="宋体"/>
          <w:color w:val="auto"/>
          <w:sz w:val="28"/>
          <w:highlight w:val="none"/>
        </w:rPr>
        <w:t>投标文件</w:t>
      </w:r>
      <w:bookmarkEnd w:id="159"/>
      <w:bookmarkEnd w:id="160"/>
      <w:bookmarkEnd w:id="161"/>
      <w:bookmarkEnd w:id="162"/>
    </w:p>
    <w:p w14:paraId="76A7B8EC">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3.1投标文件的组成</w:t>
      </w:r>
    </w:p>
    <w:p w14:paraId="774A60C1">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3.1.1投标文件应包括下列内容</w:t>
      </w:r>
    </w:p>
    <w:p w14:paraId="41D8EB13">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（1）资格证明部分</w:t>
      </w:r>
    </w:p>
    <w:p w14:paraId="2B4933E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（2）技术部分</w:t>
      </w:r>
    </w:p>
    <w:p w14:paraId="3A1352F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（3）商务部分</w:t>
      </w:r>
    </w:p>
    <w:p w14:paraId="660735D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资料</w:t>
      </w:r>
    </w:p>
    <w:p w14:paraId="6A57198B">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投标人在评标过程中作出的符合法律法规和招标文件规定的澄清确认，构成投标文件的组成部分。</w:t>
      </w:r>
    </w:p>
    <w:p w14:paraId="4C2A7FA2">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3.2投标报价</w:t>
      </w:r>
    </w:p>
    <w:p w14:paraId="3171D0E8">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3.2.1本项目预算及最高限价见“招标公告”，若投标人的投标报价超过项目预算及最高限价，按不响应招标文件实质性要求处理。</w:t>
      </w:r>
    </w:p>
    <w:p w14:paraId="0A676737">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3.2.2</w:t>
      </w:r>
      <w:r>
        <w:rPr>
          <w:rFonts w:hint="eastAsia" w:ascii="宋体" w:hAnsi="宋体" w:eastAsia="宋体" w:cs="宋体"/>
          <w:color w:val="auto"/>
          <w:sz w:val="24"/>
          <w:highlight w:val="none"/>
          <w:lang w:val="en-US" w:eastAsia="zh-CN"/>
        </w:rPr>
        <w:t>投标单位参考国家、行业相关收费标准，结合投标企业自身实力，填报包干总报价（含税，元）及分项包干单价，单价限价详见第六章“采购需求”。投标单位的投标报价不得高于项目预算及最高限价</w:t>
      </w:r>
      <w:r>
        <w:rPr>
          <w:rFonts w:hint="eastAsia" w:ascii="宋体" w:hAnsi="宋体" w:cs="宋体"/>
          <w:color w:val="auto"/>
          <w:sz w:val="24"/>
          <w:highlight w:val="none"/>
          <w:lang w:val="en-US" w:eastAsia="zh-CN"/>
        </w:rPr>
        <w:t>以及</w:t>
      </w:r>
      <w:r>
        <w:rPr>
          <w:rFonts w:hint="eastAsia" w:ascii="宋体" w:hAnsi="宋体" w:eastAsia="宋体" w:cs="宋体"/>
          <w:color w:val="auto"/>
          <w:sz w:val="24"/>
          <w:highlight w:val="none"/>
          <w:lang w:val="en-US" w:eastAsia="zh-CN"/>
        </w:rPr>
        <w:t>第六章“采购需求”中公布</w:t>
      </w:r>
      <w:r>
        <w:rPr>
          <w:rFonts w:hint="eastAsia" w:ascii="宋体" w:hAnsi="宋体" w:cs="宋体"/>
          <w:color w:val="auto"/>
          <w:sz w:val="24"/>
          <w:highlight w:val="none"/>
          <w:lang w:val="en-US" w:eastAsia="zh-CN"/>
        </w:rPr>
        <w:t>的分项</w:t>
      </w:r>
      <w:r>
        <w:rPr>
          <w:rFonts w:hint="eastAsia" w:ascii="宋体" w:hAnsi="宋体" w:eastAsia="宋体" w:cs="宋体"/>
          <w:color w:val="auto"/>
          <w:sz w:val="24"/>
          <w:highlight w:val="none"/>
          <w:lang w:val="en-US" w:eastAsia="zh-CN"/>
        </w:rPr>
        <w:t>单价，否则按否决投标处理。报价应符合国内行情并能保证完成履行合同所需的</w:t>
      </w:r>
      <w:r>
        <w:rPr>
          <w:rFonts w:hint="eastAsia" w:ascii="宋体" w:hAnsi="宋体" w:cs="宋体"/>
          <w:color w:val="auto"/>
          <w:sz w:val="24"/>
          <w:highlight w:val="none"/>
          <w:lang w:val="en-US" w:eastAsia="zh-CN"/>
        </w:rPr>
        <w:t>全部费用</w:t>
      </w:r>
      <w:r>
        <w:rPr>
          <w:rFonts w:hint="eastAsia" w:ascii="宋体" w:hAnsi="宋体" w:eastAsia="宋体" w:cs="宋体"/>
          <w:color w:val="auto"/>
          <w:sz w:val="24"/>
          <w:highlight w:val="none"/>
          <w:lang w:val="en-US" w:eastAsia="zh-CN"/>
        </w:rPr>
        <w:t>，包含但不限于人员工资、人员保险费、服装费、所投设施设备费、设备保险费、设备保养维修费、检验检测费、药剂费、公厕水电费（含洗手台）、公厕网络服务费、材料费（含消耗性材料、措施性材料、更换材料、老化材料等）、备品备件、工器具、办公用品费、劳保用品费、生活用品费、车辆使用费（含折旧、燃料、保险、维修费用等）、项目交接移交费、安全文明生产费、管理费（含差旅费、培训费、协调费等）、利润、税金等本招标文件明示或暗示的所有费用，该价格已充分考虑市场风险、价格风险、政策风险、汇率风险等所有因素，应为履行合同的最终价格，其市场风险由投标单位承担。合同一旦签订，各项单价及总价在合同实施期间将不因市场价格</w:t>
      </w:r>
      <w:r>
        <w:rPr>
          <w:rFonts w:hint="eastAsia" w:ascii="宋体" w:hAnsi="宋体" w:cs="宋体"/>
          <w:b w:val="0"/>
          <w:bCs w:val="0"/>
          <w:color w:val="auto"/>
          <w:sz w:val="24"/>
          <w:highlight w:val="none"/>
          <w:lang w:val="en-US" w:eastAsia="zh-CN"/>
        </w:rPr>
        <w:t>、最低工资标准及其他因素</w:t>
      </w:r>
      <w:r>
        <w:rPr>
          <w:rFonts w:hint="eastAsia" w:ascii="宋体" w:hAnsi="宋体" w:eastAsia="宋体" w:cs="宋体"/>
          <w:b w:val="0"/>
          <w:bCs w:val="0"/>
          <w:color w:val="auto"/>
          <w:sz w:val="24"/>
          <w:highlight w:val="none"/>
          <w:lang w:val="en-US" w:eastAsia="zh-CN"/>
        </w:rPr>
        <w:t>的变化</w:t>
      </w:r>
      <w:r>
        <w:rPr>
          <w:rFonts w:hint="eastAsia" w:ascii="宋体" w:hAnsi="宋体" w:cs="宋体"/>
          <w:b w:val="0"/>
          <w:bCs w:val="0"/>
          <w:color w:val="auto"/>
          <w:sz w:val="24"/>
          <w:highlight w:val="none"/>
          <w:lang w:val="en-US" w:eastAsia="zh-CN"/>
        </w:rPr>
        <w:t>而增加</w:t>
      </w:r>
      <w:r>
        <w:rPr>
          <w:rFonts w:hint="eastAsia" w:ascii="宋体" w:hAnsi="宋体" w:eastAsia="宋体" w:cs="宋体"/>
          <w:b w:val="0"/>
          <w:bCs w:val="0"/>
          <w:color w:val="auto"/>
          <w:sz w:val="24"/>
          <w:highlight w:val="none"/>
          <w:lang w:val="en-US" w:eastAsia="zh-CN"/>
        </w:rPr>
        <w:t>，投标人不得因此类问题提出任何索赔要求。投标人应根据本企业的成本自行决定报价，但不得以低于成本的报价投标。中标后，采购人不接受任何因地形复杂、管护工艺、保洁及路灯维修管护环境等理由提出的费用的增加。因清扫保洁产生的垃圾清运由投标单位负责，所有清扫保洁产生的垃圾清运至中转站，垃圾清运费用包含在以上投标报价中。</w:t>
      </w:r>
      <w:r>
        <w:rPr>
          <w:rFonts w:hint="eastAsia" w:cs="宋体"/>
          <w:b w:val="0"/>
          <w:bCs w:val="0"/>
          <w:color w:val="auto"/>
          <w:sz w:val="24"/>
          <w:highlight w:val="none"/>
          <w:lang w:val="en-US" w:eastAsia="zh-CN"/>
        </w:rPr>
        <w:t>因管护面积、数量、内容等减少的，按单价计算相应核减总费用。</w:t>
      </w:r>
    </w:p>
    <w:p w14:paraId="7A4C854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3.2.3</w:t>
      </w:r>
      <w:r>
        <w:rPr>
          <w:rFonts w:hint="eastAsia" w:ascii="宋体" w:hAnsi="宋体" w:eastAsia="宋体" w:cs="宋体"/>
          <w:color w:val="auto"/>
          <w:sz w:val="24"/>
          <w:highlight w:val="none"/>
        </w:rPr>
        <w:t>投标人必须对所投项目内所有内容作出完整唯一的投标报价，不得缺项、漏项，否则</w:t>
      </w:r>
      <w:r>
        <w:rPr>
          <w:rFonts w:hint="eastAsia" w:ascii="宋体" w:hAnsi="宋体" w:cs="宋体"/>
          <w:color w:val="auto"/>
          <w:sz w:val="24"/>
          <w:highlight w:val="none"/>
          <w:lang w:eastAsia="zh-CN"/>
        </w:rPr>
        <w:t>其投标</w:t>
      </w:r>
      <w:r>
        <w:rPr>
          <w:rFonts w:hint="eastAsia" w:ascii="宋体" w:hAnsi="宋体" w:eastAsia="宋体" w:cs="宋体"/>
          <w:color w:val="auto"/>
          <w:sz w:val="24"/>
          <w:highlight w:val="none"/>
        </w:rPr>
        <w:t>文件将按无效处理。</w:t>
      </w:r>
    </w:p>
    <w:p w14:paraId="1986281E">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3.2.4</w:t>
      </w:r>
      <w:r>
        <w:rPr>
          <w:rFonts w:hint="eastAsia" w:ascii="宋体" w:hAnsi="宋体" w:eastAsia="宋体" w:cs="宋体"/>
          <w:color w:val="auto"/>
          <w:sz w:val="24"/>
          <w:highlight w:val="none"/>
        </w:rPr>
        <w:t>投标人不得哄抬报价，也不应低于成本价（或进价）报价。评标委员会认为投标人的投标报价或者某些分项报价明显不合理或者低于成本，将要求其在规定的期限内提供书面文件予以解释说明，并提交相关证明材料；投标人不能证明其报价合理性的，评标委员会将认定投标人投标文件无效。</w:t>
      </w:r>
    </w:p>
    <w:p w14:paraId="282E8CF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3.2.5</w:t>
      </w:r>
      <w:r>
        <w:rPr>
          <w:rFonts w:hint="eastAsia" w:ascii="宋体" w:hAnsi="宋体" w:eastAsia="宋体" w:cs="宋体"/>
          <w:color w:val="auto"/>
          <w:sz w:val="24"/>
          <w:highlight w:val="none"/>
        </w:rPr>
        <w:t>投标报价不得缺项、漏项，所投报价将被视为已经包含了所有服务费用。由于投标人分项报价填报不完整、不清楚或存在</w:t>
      </w:r>
      <w:r>
        <w:rPr>
          <w:rFonts w:hint="eastAsia" w:ascii="宋体" w:hAnsi="宋体" w:cs="宋体"/>
          <w:color w:val="auto"/>
          <w:sz w:val="24"/>
          <w:highlight w:val="none"/>
          <w:lang w:eastAsia="zh-CN"/>
        </w:rPr>
        <w:t>其他任何</w:t>
      </w:r>
      <w:r>
        <w:rPr>
          <w:rFonts w:hint="eastAsia" w:ascii="宋体" w:hAnsi="宋体" w:eastAsia="宋体" w:cs="宋体"/>
          <w:color w:val="auto"/>
          <w:sz w:val="24"/>
          <w:highlight w:val="none"/>
        </w:rPr>
        <w:t>失误</w:t>
      </w:r>
      <w:r>
        <w:rPr>
          <w:rFonts w:hint="eastAsia" w:ascii="宋体" w:hAnsi="宋体" w:cs="宋体"/>
          <w:color w:val="auto"/>
          <w:sz w:val="24"/>
          <w:highlight w:val="none"/>
          <w:lang w:eastAsia="zh-CN"/>
        </w:rPr>
        <w:t>而</w:t>
      </w:r>
      <w:r>
        <w:rPr>
          <w:rFonts w:hint="eastAsia" w:ascii="宋体" w:hAnsi="宋体" w:eastAsia="宋体" w:cs="宋体"/>
          <w:color w:val="auto"/>
          <w:sz w:val="24"/>
          <w:highlight w:val="none"/>
        </w:rPr>
        <w:t>导致的任何不利后果</w:t>
      </w:r>
      <w:r>
        <w:rPr>
          <w:rFonts w:hint="eastAsia" w:ascii="宋体" w:hAnsi="宋体" w:cs="宋体"/>
          <w:color w:val="auto"/>
          <w:sz w:val="24"/>
          <w:highlight w:val="none"/>
          <w:lang w:eastAsia="zh-CN"/>
        </w:rPr>
        <w:t>，均</w:t>
      </w:r>
      <w:r>
        <w:rPr>
          <w:rFonts w:hint="eastAsia" w:ascii="宋体" w:hAnsi="宋体" w:eastAsia="宋体" w:cs="宋体"/>
          <w:color w:val="auto"/>
          <w:sz w:val="24"/>
          <w:highlight w:val="none"/>
        </w:rPr>
        <w:t>由投标人自行承担</w:t>
      </w:r>
      <w:r>
        <w:rPr>
          <w:rFonts w:hint="eastAsia" w:ascii="宋体" w:hAnsi="宋体" w:cs="宋体"/>
          <w:color w:val="auto"/>
          <w:sz w:val="24"/>
          <w:highlight w:val="none"/>
          <w:lang w:eastAsia="zh-CN"/>
        </w:rPr>
        <w:t>。</w:t>
      </w:r>
    </w:p>
    <w:p w14:paraId="59BC4AF1">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3.2.6</w:t>
      </w:r>
      <w:r>
        <w:rPr>
          <w:rFonts w:hint="eastAsia" w:ascii="宋体" w:hAnsi="宋体" w:eastAsia="宋体" w:cs="宋体"/>
          <w:color w:val="auto"/>
          <w:sz w:val="24"/>
          <w:highlight w:val="none"/>
        </w:rPr>
        <w:t>所有投标均以人民币报价，</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不承诺最低报价一定中标。</w:t>
      </w:r>
    </w:p>
    <w:p w14:paraId="547438DE">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3.3投标有效期</w:t>
      </w:r>
    </w:p>
    <w:p w14:paraId="41614AE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3.3.1除投标人须知前附表另有规定外，投标有效期为90天。</w:t>
      </w:r>
    </w:p>
    <w:p w14:paraId="506129D0">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3.3.2在投标有效期内，投标人撤销投标文件的，应承担招标文件和法律规定的责任。</w:t>
      </w:r>
    </w:p>
    <w:p w14:paraId="2646E68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3.3.3出现特殊情况需要延长投标文件的，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以书面形式通知所有投标人延长投标有效期。投标人应予以书面答复，同意延长的，应相应延长其投标保证金的有效期，但不得要求或被允许修改其投标文件；投标人拒绝延长，其投标失效，投标人有权收回其投标保证金。</w:t>
      </w:r>
    </w:p>
    <w:p w14:paraId="1238504B">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3.4投标保证金</w:t>
      </w:r>
    </w:p>
    <w:p w14:paraId="7685B0CF">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3.4.1投标人在递交投标文件的同时，应按投标人须知前附表规定的金额、形式递交投标保证金，并作为其投标文件的组成部分。</w:t>
      </w:r>
    </w:p>
    <w:p w14:paraId="7A53DCE0">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3.4.2投标人不按本章第3.4.1项要求提交投标保证金的，评标委员会将否决其投标。</w:t>
      </w:r>
    </w:p>
    <w:p w14:paraId="13C1509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3.4.3保证金退还：详见投标人须知前附表。</w:t>
      </w:r>
    </w:p>
    <w:p w14:paraId="0E0D59C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3.4.4有下列情形之一的，投标保证金将不予退还：</w:t>
      </w:r>
    </w:p>
    <w:p w14:paraId="13F6E8F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（1）投标人在规定的投标有效期内撤销或修改其投标文件；</w:t>
      </w:r>
    </w:p>
    <w:p w14:paraId="1066CC6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（2）中标人在收到中标通知书后，无正当理由拒签合同或未按招标文件规定提交履约担保。</w:t>
      </w:r>
    </w:p>
    <w:p w14:paraId="3A571CC5">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（3）投标人无故不参加投标或者出现不廉洁行为的；</w:t>
      </w:r>
    </w:p>
    <w:p w14:paraId="5347B1BC">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（4）投标人采用不正当的手段骗取中标的；</w:t>
      </w:r>
    </w:p>
    <w:p w14:paraId="5E9848E3">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（5）被相关管理部门认定投标人有串通投标行为的。</w:t>
      </w:r>
    </w:p>
    <w:p w14:paraId="65636DC4">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（6）发生投标人须知前附表规定的</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可以不予退还投标保证金的情形。</w:t>
      </w:r>
    </w:p>
    <w:p w14:paraId="4C4D0F6D">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3.5投标文件的编制</w:t>
      </w:r>
    </w:p>
    <w:p w14:paraId="76E6BC26">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3.5.1本项目所述的投标文件指电子投标文件。</w:t>
      </w:r>
    </w:p>
    <w:p w14:paraId="3FAFEBC2">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3.5.2</w:t>
      </w:r>
      <w:r>
        <w:rPr>
          <w:rFonts w:ascii="宋体" w:hAnsi="宋体"/>
          <w:color w:val="auto"/>
          <w:sz w:val="24"/>
          <w:highlight w:val="none"/>
        </w:rPr>
        <w:t>投标人应仔细阅读招标文件，在完全了解采购的内容、</w:t>
      </w:r>
      <w:r>
        <w:rPr>
          <w:rFonts w:hint="eastAsia" w:ascii="宋体" w:hAnsi="宋体"/>
          <w:color w:val="auto"/>
          <w:sz w:val="24"/>
          <w:highlight w:val="none"/>
        </w:rPr>
        <w:t>技术</w:t>
      </w:r>
      <w:r>
        <w:rPr>
          <w:rFonts w:ascii="宋体" w:hAnsi="宋体"/>
          <w:color w:val="auto"/>
          <w:sz w:val="24"/>
          <w:highlight w:val="none"/>
        </w:rPr>
        <w:t>要求（见第</w:t>
      </w:r>
      <w:r>
        <w:rPr>
          <w:rFonts w:hint="eastAsia" w:ascii="宋体" w:hAnsi="宋体"/>
          <w:color w:val="auto"/>
          <w:sz w:val="24"/>
          <w:highlight w:val="none"/>
          <w:lang w:val="en-US" w:eastAsia="zh-CN"/>
        </w:rPr>
        <w:t>六</w:t>
      </w:r>
      <w:r>
        <w:rPr>
          <w:rFonts w:ascii="宋体" w:hAnsi="宋体"/>
          <w:color w:val="auto"/>
          <w:sz w:val="24"/>
          <w:highlight w:val="none"/>
        </w:rPr>
        <w:t>章“采购需求”）和商务条件后，编写投标文件。如果没有按照招标文件要求提交全部投标文件或者资料，没有对招标文件的实质性要求和条件作出响应是投标人的风险，并可能导致该投标无效。</w:t>
      </w:r>
    </w:p>
    <w:p w14:paraId="76D4744E">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3.5.3对招标文件提出的实质性要求和条件作出响应是指投标人必须对招标文件中标明的实质性要求和条件作出满足或者优于原要求和条件的承诺。</w:t>
      </w:r>
    </w:p>
    <w:p w14:paraId="4C262F85">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3.5.4</w:t>
      </w:r>
      <w:r>
        <w:rPr>
          <w:rFonts w:ascii="宋体" w:hAnsi="宋体"/>
          <w:color w:val="auto"/>
          <w:sz w:val="24"/>
          <w:highlight w:val="none"/>
        </w:rPr>
        <w:t>电子投标文件全部采用电子文档，</w:t>
      </w:r>
      <w:r>
        <w:rPr>
          <w:rFonts w:hint="eastAsia" w:ascii="宋体" w:hAnsi="宋体"/>
          <w:color w:val="auto"/>
          <w:sz w:val="24"/>
          <w:highlight w:val="none"/>
        </w:rPr>
        <w:t>投标人应安装客户端软件—“政采云电子交易客户端”，并按照招标文件和政采云电子交易平台的要求编制，编制后应进行电子签名及加密，加密后在投标提交截止时间前通过网络上传至“政采云”平台，投标人在“政采云”平台提交电子投标文件时，请填写参加远程采购活动经办人联系方式。编制和导入投标文件方法详见</w:t>
      </w:r>
      <w:r>
        <w:rPr>
          <w:rFonts w:hint="eastAsia" w:ascii="宋体" w:hAnsi="宋体"/>
          <w:color w:val="auto"/>
          <w:sz w:val="24"/>
          <w:highlight w:val="none"/>
          <w:lang w:eastAsia="zh-CN"/>
        </w:rPr>
        <w:t>政采云平台</w:t>
      </w:r>
      <w:r>
        <w:rPr>
          <w:rFonts w:ascii="宋体" w:hAnsi="宋体"/>
          <w:color w:val="auto"/>
          <w:sz w:val="24"/>
          <w:highlight w:val="none"/>
        </w:rPr>
        <w:t>。</w:t>
      </w:r>
      <w:r>
        <w:rPr>
          <w:rFonts w:hint="eastAsia" w:ascii="宋体" w:hAnsi="宋体"/>
          <w:color w:val="auto"/>
          <w:sz w:val="24"/>
          <w:highlight w:val="none"/>
        </w:rPr>
        <w:t>如有问题可拨打政采云客户服务热线95763进行咨询</w:t>
      </w:r>
      <w:r>
        <w:rPr>
          <w:rFonts w:ascii="宋体" w:hAnsi="宋体"/>
          <w:color w:val="auto"/>
          <w:sz w:val="24"/>
          <w:highlight w:val="none"/>
        </w:rPr>
        <w:t>。</w:t>
      </w:r>
    </w:p>
    <w:p w14:paraId="32EF8169">
      <w:pPr>
        <w:keepLines w:val="0"/>
        <w:pageBreakBefore w:val="0"/>
        <w:kinsoku/>
        <w:wordWrap/>
        <w:overflowPunct/>
        <w:topLinePunct w:val="0"/>
        <w:autoSpaceDE/>
        <w:autoSpaceDN/>
        <w:bidi w:val="0"/>
        <w:spacing w:after="0" w:line="48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lang w:val="en-US" w:eastAsia="zh-CN"/>
        </w:rPr>
        <w:t>5</w:t>
      </w:r>
      <w:r>
        <w:rPr>
          <w:rFonts w:hint="eastAsia" w:ascii="宋体" w:hAnsi="宋体"/>
          <w:color w:val="auto"/>
          <w:sz w:val="24"/>
          <w:highlight w:val="none"/>
        </w:rPr>
        <w:t>如投标人提交的电子投标文件在开标时无法读取导入或解密，其投标文件将不予受理。</w:t>
      </w:r>
    </w:p>
    <w:p w14:paraId="28B542A4">
      <w:pPr>
        <w:keepLines w:val="0"/>
        <w:pageBreakBefore w:val="0"/>
        <w:kinsoku/>
        <w:wordWrap/>
        <w:overflowPunct/>
        <w:topLinePunct w:val="0"/>
        <w:autoSpaceDE/>
        <w:autoSpaceDN/>
        <w:bidi w:val="0"/>
        <w:spacing w:after="0" w:line="48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投标文件应尽量避免涂改、行间插字或删除。如果出现上述情况，改动之处应加盖单</w:t>
      </w:r>
      <w:r>
        <w:rPr>
          <w:rFonts w:hint="eastAsia" w:ascii="宋体" w:hAnsi="宋体"/>
          <w:color w:val="auto"/>
          <w:sz w:val="24"/>
          <w:highlight w:val="none"/>
          <w:lang w:eastAsia="zh-CN"/>
        </w:rPr>
        <w:t>位公</w:t>
      </w:r>
      <w:r>
        <w:rPr>
          <w:rFonts w:hint="eastAsia" w:ascii="宋体" w:hAnsi="宋体"/>
          <w:color w:val="auto"/>
          <w:sz w:val="24"/>
          <w:highlight w:val="none"/>
        </w:rPr>
        <w:t>章或由</w:t>
      </w:r>
      <w:r>
        <w:rPr>
          <w:rFonts w:hint="eastAsia" w:ascii="宋体" w:hAnsi="宋体"/>
          <w:color w:val="auto"/>
          <w:sz w:val="24"/>
          <w:highlight w:val="none"/>
          <w:lang w:eastAsia="zh-CN"/>
        </w:rPr>
        <w:t>投标人</w:t>
      </w:r>
      <w:r>
        <w:rPr>
          <w:rFonts w:hint="eastAsia" w:ascii="宋体" w:hAnsi="宋体"/>
          <w:color w:val="auto"/>
          <w:sz w:val="24"/>
          <w:highlight w:val="none"/>
        </w:rPr>
        <w:t>的法定代表人（签名或盖章</w:t>
      </w:r>
      <w:r>
        <w:rPr>
          <w:rFonts w:hint="eastAsia" w:ascii="宋体" w:hAnsi="宋体"/>
          <w:color w:val="auto"/>
          <w:sz w:val="24"/>
          <w:highlight w:val="none"/>
          <w:lang w:val="en-US" w:eastAsia="zh-CN"/>
        </w:rPr>
        <w:t>或电子签名或电子盖章</w:t>
      </w:r>
      <w:r>
        <w:rPr>
          <w:rFonts w:hint="eastAsia" w:ascii="宋体" w:hAnsi="宋体"/>
          <w:color w:val="auto"/>
          <w:sz w:val="24"/>
          <w:highlight w:val="none"/>
        </w:rPr>
        <w:t>）确认。</w:t>
      </w:r>
    </w:p>
    <w:p w14:paraId="76A3F05A">
      <w:pPr>
        <w:keepLines w:val="0"/>
        <w:pageBreakBefore w:val="0"/>
        <w:kinsoku/>
        <w:wordWrap/>
        <w:overflowPunct/>
        <w:topLinePunct w:val="0"/>
        <w:autoSpaceDE/>
        <w:autoSpaceDN/>
        <w:bidi w:val="0"/>
        <w:spacing w:after="0" w:line="48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关键内容字迹潦草、表达不清、未按要求填写而导致非唯一理解，视为未实质性响应招标文件的投标文件。</w:t>
      </w:r>
    </w:p>
    <w:p w14:paraId="4EE7E3C5">
      <w:pPr>
        <w:keepLines w:val="0"/>
        <w:pageBreakBefore w:val="0"/>
        <w:kinsoku/>
        <w:wordWrap/>
        <w:overflowPunct/>
        <w:topLinePunct w:val="0"/>
        <w:autoSpaceDE/>
        <w:autoSpaceDN/>
        <w:bidi w:val="0"/>
        <w:spacing w:after="0" w:line="48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投标文件中提供的资料（扫描件</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复印件</w:t>
      </w:r>
      <w:r>
        <w:rPr>
          <w:rFonts w:hint="eastAsia" w:ascii="宋体" w:hAnsi="宋体"/>
          <w:color w:val="auto"/>
          <w:sz w:val="24"/>
          <w:highlight w:val="none"/>
        </w:rPr>
        <w:t>），内容必须清晰可辨，若内容模糊，无法辨识，均视为未提供。</w:t>
      </w:r>
    </w:p>
    <w:p w14:paraId="2FB0904C">
      <w:pPr>
        <w:keepLines w:val="0"/>
        <w:pageBreakBefore w:val="0"/>
        <w:kinsoku/>
        <w:wordWrap/>
        <w:overflowPunct/>
        <w:topLinePunct w:val="0"/>
        <w:autoSpaceDE/>
        <w:autoSpaceDN/>
        <w:bidi w:val="0"/>
        <w:spacing w:after="0" w:line="480" w:lineRule="exact"/>
        <w:ind w:firstLine="480" w:firstLineChars="200"/>
        <w:rPr>
          <w:rFonts w:ascii="宋体" w:hAnsi="宋体"/>
          <w:color w:val="auto"/>
          <w:kern w:val="0"/>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lang w:val="en-US" w:eastAsia="zh-CN"/>
        </w:rPr>
        <w:t>9</w:t>
      </w:r>
      <w:r>
        <w:rPr>
          <w:rFonts w:hint="eastAsia" w:ascii="宋体" w:hAnsi="宋体"/>
          <w:color w:val="auto"/>
          <w:sz w:val="24"/>
          <w:highlight w:val="none"/>
        </w:rPr>
        <w:t>投标</w:t>
      </w:r>
      <w:r>
        <w:rPr>
          <w:rFonts w:ascii="宋体" w:hAnsi="宋体"/>
          <w:color w:val="auto"/>
          <w:sz w:val="24"/>
          <w:highlight w:val="none"/>
        </w:rPr>
        <w:t>文件的签署：按照</w:t>
      </w:r>
      <w:r>
        <w:rPr>
          <w:rFonts w:hint="eastAsia" w:ascii="宋体" w:hAnsi="宋体"/>
          <w:color w:val="auto"/>
          <w:sz w:val="24"/>
          <w:highlight w:val="none"/>
        </w:rPr>
        <w:t>招标文件中</w:t>
      </w:r>
      <w:r>
        <w:rPr>
          <w:rFonts w:hint="eastAsia" w:ascii="宋体" w:hAnsi="宋体"/>
          <w:color w:val="auto"/>
          <w:sz w:val="24"/>
          <w:highlight w:val="none"/>
          <w:lang w:eastAsia="zh-CN"/>
        </w:rPr>
        <w:t>投标文件</w:t>
      </w:r>
      <w:r>
        <w:rPr>
          <w:rFonts w:ascii="宋体" w:hAnsi="宋体"/>
          <w:color w:val="auto"/>
          <w:sz w:val="24"/>
          <w:highlight w:val="none"/>
        </w:rPr>
        <w:t>格式要求</w:t>
      </w:r>
      <w:bookmarkStart w:id="163" w:name="_Hlk95923238"/>
      <w:r>
        <w:rPr>
          <w:rFonts w:hint="eastAsia" w:ascii="宋体" w:hAnsi="宋体"/>
          <w:color w:val="auto"/>
          <w:sz w:val="24"/>
          <w:highlight w:val="none"/>
        </w:rPr>
        <w:t>盖单位电子公章</w:t>
      </w:r>
      <w:bookmarkEnd w:id="163"/>
      <w:r>
        <w:rPr>
          <w:rFonts w:hint="eastAsia" w:ascii="宋体" w:hAnsi="宋体"/>
          <w:color w:val="auto"/>
          <w:sz w:val="24"/>
          <w:highlight w:val="none"/>
        </w:rPr>
        <w:t>、电子</w:t>
      </w:r>
      <w:r>
        <w:rPr>
          <w:rFonts w:hint="eastAsia" w:hAnsi="宋体"/>
          <w:color w:val="auto"/>
          <w:sz w:val="24"/>
          <w:highlight w:val="none"/>
        </w:rPr>
        <w:t>签名或电子盖章</w:t>
      </w:r>
      <w:r>
        <w:rPr>
          <w:rFonts w:hint="eastAsia" w:ascii="宋体" w:hAnsi="宋体"/>
          <w:color w:val="auto"/>
          <w:sz w:val="24"/>
          <w:highlight w:val="none"/>
        </w:rPr>
        <w:t>。委托代理人</w:t>
      </w:r>
      <w:r>
        <w:rPr>
          <w:rFonts w:hint="eastAsia" w:hAnsi="宋体"/>
          <w:color w:val="auto"/>
          <w:sz w:val="24"/>
          <w:highlight w:val="none"/>
        </w:rPr>
        <w:t>盖章</w:t>
      </w:r>
      <w:r>
        <w:rPr>
          <w:rFonts w:hint="eastAsia" w:ascii="宋体" w:hAnsi="宋体"/>
          <w:color w:val="auto"/>
          <w:sz w:val="24"/>
          <w:highlight w:val="none"/>
        </w:rPr>
        <w:t>包括电子签字章或电子</w:t>
      </w:r>
      <w:r>
        <w:rPr>
          <w:rFonts w:hint="eastAsia" w:ascii="宋体" w:hAnsi="宋体"/>
          <w:color w:val="auto"/>
          <w:sz w:val="24"/>
          <w:highlight w:val="none"/>
          <w:lang w:eastAsia="zh-CN"/>
        </w:rPr>
        <w:t>公章</w:t>
      </w:r>
      <w:r>
        <w:rPr>
          <w:rFonts w:hint="eastAsia" w:ascii="宋体" w:hAnsi="宋体"/>
          <w:color w:val="auto"/>
          <w:sz w:val="24"/>
          <w:highlight w:val="none"/>
        </w:rPr>
        <w:t>。</w:t>
      </w:r>
      <w:r>
        <w:rPr>
          <w:rFonts w:hint="eastAsia" w:ascii="宋体" w:hAnsi="宋体"/>
          <w:color w:val="auto"/>
          <w:kern w:val="0"/>
          <w:sz w:val="24"/>
          <w:highlight w:val="none"/>
        </w:rPr>
        <w:t>否则视为非实质性响应招标采购文件要求，作否决处理。</w:t>
      </w:r>
    </w:p>
    <w:p w14:paraId="3EF12351">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3.6投标文件编写注意事项</w:t>
      </w:r>
    </w:p>
    <w:p w14:paraId="5768E704">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3.6.1投标人应仔细阅读招标文件，在完全了解采购需求和商务条件后，编写投标文件。如果没有按照招标文件要求提交全部投标文件或者资料，没有对招标文件的实质性要求和条件作出响应是投标人的风险，并可能导致该投标被拒绝。</w:t>
      </w:r>
    </w:p>
    <w:p w14:paraId="57D5791D">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w:t>
      </w:r>
      <w:r>
        <w:rPr>
          <w:rFonts w:ascii="宋体" w:hAnsi="宋体"/>
          <w:color w:val="auto"/>
          <w:sz w:val="24"/>
          <w:highlight w:val="none"/>
        </w:rPr>
        <w:t>对招标文件提出的实质性要求和条件作出响应是指投标人必须对招标文件中标明实质性要求和条件的技术参数及数量、售后服务、合同主要条款</w:t>
      </w:r>
      <w:r>
        <w:rPr>
          <w:rFonts w:hint="eastAsia" w:ascii="宋体" w:hAnsi="宋体"/>
          <w:color w:val="auto"/>
          <w:sz w:val="24"/>
          <w:highlight w:val="none"/>
          <w:lang w:eastAsia="zh-CN"/>
        </w:rPr>
        <w:t>及其他</w:t>
      </w:r>
      <w:r>
        <w:rPr>
          <w:rFonts w:ascii="宋体" w:hAnsi="宋体"/>
          <w:color w:val="auto"/>
          <w:sz w:val="24"/>
          <w:highlight w:val="none"/>
        </w:rPr>
        <w:t>要求等内容作出满足或者优于原要求和条件的承诺。</w:t>
      </w:r>
    </w:p>
    <w:p w14:paraId="1E68180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3.6.3投标人的投标文件以及投标人与</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就有关投标的所有来往函电统一使用中文（特别规定除外）。</w:t>
      </w:r>
    </w:p>
    <w:p w14:paraId="32AE5B28">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3.6.4投标文件中使用的计量单位除招标文件中有特殊规定外，一律使用中国法定计量单位。</w:t>
      </w:r>
    </w:p>
    <w:p w14:paraId="23A4613D">
      <w:pPr>
        <w:pStyle w:val="3"/>
        <w:keepLines w:val="0"/>
        <w:pageBreakBefore w:val="0"/>
        <w:kinsoku/>
        <w:wordWrap/>
        <w:overflowPunct/>
        <w:topLinePunct w:val="0"/>
        <w:autoSpaceDE/>
        <w:autoSpaceDN/>
        <w:bidi w:val="0"/>
        <w:adjustRightInd w:val="0"/>
        <w:snapToGrid w:val="0"/>
        <w:spacing w:line="480" w:lineRule="exact"/>
        <w:jc w:val="both"/>
        <w:rPr>
          <w:rFonts w:hint="eastAsia" w:ascii="宋体" w:hAnsi="宋体" w:eastAsia="宋体" w:cs="宋体"/>
          <w:color w:val="auto"/>
          <w:sz w:val="28"/>
          <w:highlight w:val="none"/>
        </w:rPr>
      </w:pPr>
      <w:bookmarkStart w:id="164" w:name="_Toc23170"/>
      <w:bookmarkStart w:id="165" w:name="_Toc29104"/>
      <w:bookmarkStart w:id="166" w:name="_Toc19936"/>
      <w:bookmarkStart w:id="167" w:name="_Toc29500"/>
      <w:bookmarkStart w:id="168" w:name="_Toc5388"/>
      <w:bookmarkStart w:id="169" w:name="_Toc17562"/>
      <w:r>
        <w:rPr>
          <w:rFonts w:hint="eastAsia" w:hAnsi="宋体" w:cs="宋体"/>
          <w:color w:val="auto"/>
          <w:sz w:val="28"/>
          <w:highlight w:val="none"/>
          <w:lang w:eastAsia="zh-CN"/>
        </w:rPr>
        <w:t>4.</w:t>
      </w:r>
      <w:r>
        <w:rPr>
          <w:rFonts w:hint="eastAsia" w:ascii="宋体" w:hAnsi="宋体" w:eastAsia="宋体" w:cs="宋体"/>
          <w:color w:val="auto"/>
          <w:sz w:val="28"/>
          <w:highlight w:val="none"/>
        </w:rPr>
        <w:t>投标</w:t>
      </w:r>
      <w:bookmarkEnd w:id="164"/>
      <w:bookmarkEnd w:id="165"/>
      <w:bookmarkEnd w:id="166"/>
      <w:bookmarkEnd w:id="167"/>
      <w:bookmarkEnd w:id="168"/>
      <w:bookmarkEnd w:id="169"/>
    </w:p>
    <w:p w14:paraId="03761588">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4.1投标文件的加密</w:t>
      </w:r>
    </w:p>
    <w:p w14:paraId="38C08E5B">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投标人对网上提交的投标文件必须加密，如果投标人使用某个数字证书（CA）对投标文件进行了数字证书（CA）加密，需要在开标过程中使用该数字证书（CA）进行解密，才能读取或导入</w:t>
      </w:r>
      <w:r>
        <w:rPr>
          <w:rFonts w:hint="eastAsia" w:ascii="宋体" w:hAnsi="宋体"/>
          <w:color w:val="auto"/>
          <w:sz w:val="24"/>
          <w:highlight w:val="none"/>
          <w:lang w:eastAsia="zh-CN"/>
        </w:rPr>
        <w:t>投标文件</w:t>
      </w:r>
      <w:r>
        <w:rPr>
          <w:rFonts w:hint="eastAsia" w:ascii="宋体" w:hAnsi="宋体"/>
          <w:color w:val="auto"/>
          <w:sz w:val="24"/>
          <w:highlight w:val="none"/>
        </w:rPr>
        <w:t>，因投标人原因造成投标文件未解密的，视为撤回其</w:t>
      </w:r>
      <w:r>
        <w:rPr>
          <w:rFonts w:hint="eastAsia" w:ascii="宋体" w:hAnsi="宋体"/>
          <w:color w:val="auto"/>
          <w:sz w:val="24"/>
          <w:highlight w:val="none"/>
          <w:lang w:eastAsia="zh-CN"/>
        </w:rPr>
        <w:t>投标文件</w:t>
      </w:r>
      <w:r>
        <w:rPr>
          <w:rFonts w:ascii="宋体" w:hAnsi="宋体"/>
          <w:color w:val="auto"/>
          <w:sz w:val="24"/>
          <w:highlight w:val="none"/>
        </w:rPr>
        <w:t>。</w:t>
      </w:r>
    </w:p>
    <w:p w14:paraId="74E9CF00">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4.2投标文件的递交</w:t>
      </w:r>
    </w:p>
    <w:p w14:paraId="7161D4DA">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4.2.1投标人应在投标人须知前附表规定的投标截止时间前递交投标文件。</w:t>
      </w:r>
    </w:p>
    <w:p w14:paraId="60D76AE8">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4.2.2投标人递交投标文件的方式</w:t>
      </w:r>
      <w:r>
        <w:rPr>
          <w:rFonts w:hint="eastAsia" w:ascii="宋体" w:hAnsi="宋体" w:cs="宋体"/>
          <w:color w:val="auto"/>
          <w:sz w:val="24"/>
          <w:highlight w:val="none"/>
          <w:lang w:val="en-US" w:eastAsia="zh-CN"/>
        </w:rPr>
        <w:t>及地点</w:t>
      </w:r>
      <w:r>
        <w:rPr>
          <w:rFonts w:hint="eastAsia" w:ascii="宋体" w:hAnsi="宋体" w:eastAsia="宋体" w:cs="宋体"/>
          <w:color w:val="auto"/>
          <w:sz w:val="24"/>
          <w:highlight w:val="none"/>
        </w:rPr>
        <w:t>：见投标人须知前附表。</w:t>
      </w:r>
    </w:p>
    <w:p w14:paraId="58CF014F">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4.2.3</w:t>
      </w:r>
      <w:r>
        <w:rPr>
          <w:rFonts w:hint="eastAsia" w:ascii="宋体" w:hAnsi="宋体"/>
          <w:color w:val="auto"/>
          <w:sz w:val="24"/>
          <w:highlight w:val="none"/>
        </w:rPr>
        <w:t>网上递交：投标人须在投标文件提交截止时间前完成所有电子投标文件的上传，网上确认电子签名</w:t>
      </w:r>
      <w:r>
        <w:rPr>
          <w:rFonts w:hint="eastAsia" w:ascii="宋体" w:hAnsi="宋体"/>
          <w:color w:val="auto"/>
          <w:sz w:val="24"/>
          <w:highlight w:val="none"/>
          <w:lang w:eastAsia="zh-CN"/>
        </w:rPr>
        <w:t>，在</w:t>
      </w:r>
      <w:r>
        <w:rPr>
          <w:rFonts w:hint="eastAsia" w:ascii="宋体" w:hAnsi="宋体"/>
          <w:color w:val="auto"/>
          <w:sz w:val="24"/>
          <w:highlight w:val="none"/>
        </w:rPr>
        <w:t>投标文件递交截止时间前未完成文件上传的，视为撤回投标文件，投标无效。投标人在政府采购云平台递交电子版投标文件时，请填写参与远程开标活动经办人的联系方式。</w:t>
      </w:r>
    </w:p>
    <w:p w14:paraId="1CD34139">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4.2</w:t>
      </w:r>
      <w:r>
        <w:rPr>
          <w:rFonts w:hint="eastAsia" w:ascii="宋体" w:hAnsi="宋体"/>
          <w:color w:val="auto"/>
          <w:highlight w:val="none"/>
        </w:rPr>
        <w:t>.</w:t>
      </w:r>
      <w:r>
        <w:rPr>
          <w:rFonts w:hint="eastAsia" w:ascii="宋体" w:hAnsi="宋体"/>
          <w:color w:val="auto"/>
          <w:sz w:val="24"/>
          <w:highlight w:val="none"/>
        </w:rPr>
        <w:t>4本项目采用全流程电子化交易，无需现场递交纸质文件，但应在文件递交截止时间</w:t>
      </w:r>
      <w:r>
        <w:rPr>
          <w:rFonts w:hint="eastAsia" w:ascii="宋体" w:hAnsi="宋体"/>
          <w:color w:val="auto"/>
          <w:sz w:val="24"/>
          <w:highlight w:val="none"/>
          <w:lang w:val="en-US" w:eastAsia="zh-CN"/>
        </w:rPr>
        <w:t>前</w:t>
      </w:r>
      <w:r>
        <w:rPr>
          <w:rFonts w:hint="eastAsia" w:ascii="宋体" w:hAnsi="宋体"/>
          <w:color w:val="auto"/>
          <w:sz w:val="24"/>
          <w:highlight w:val="none"/>
        </w:rPr>
        <w:t>登录系统，并根据开标系统的提示操作解密文件。</w:t>
      </w:r>
      <w:r>
        <w:rPr>
          <w:rFonts w:ascii="宋体" w:hAnsi="宋体"/>
          <w:color w:val="auto"/>
          <w:sz w:val="24"/>
          <w:highlight w:val="none"/>
        </w:rPr>
        <w:t xml:space="preserve"> </w:t>
      </w:r>
    </w:p>
    <w:p w14:paraId="60F36958">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4.2</w:t>
      </w:r>
      <w:r>
        <w:rPr>
          <w:rFonts w:hint="eastAsia" w:ascii="宋体" w:hAnsi="宋体"/>
          <w:color w:val="auto"/>
          <w:highlight w:val="none"/>
        </w:rPr>
        <w:t>.</w:t>
      </w:r>
      <w:r>
        <w:rPr>
          <w:rFonts w:hint="eastAsia" w:ascii="宋体" w:hAnsi="宋体"/>
          <w:color w:val="auto"/>
          <w:sz w:val="24"/>
          <w:highlight w:val="none"/>
        </w:rPr>
        <w:t>5</w:t>
      </w:r>
      <w:r>
        <w:rPr>
          <w:rFonts w:hint="eastAsia" w:ascii="宋体" w:hAnsi="宋体"/>
          <w:color w:val="auto"/>
          <w:sz w:val="24"/>
          <w:highlight w:val="none"/>
          <w:lang w:eastAsia="zh-CN"/>
        </w:rPr>
        <w:t>其他</w:t>
      </w:r>
      <w:r>
        <w:rPr>
          <w:rFonts w:hint="eastAsia" w:ascii="宋体" w:hAnsi="宋体"/>
          <w:color w:val="auto"/>
          <w:sz w:val="24"/>
          <w:highlight w:val="none"/>
        </w:rPr>
        <w:t>（开标规定等）</w:t>
      </w:r>
      <w:r>
        <w:rPr>
          <w:rFonts w:ascii="宋体" w:hAnsi="宋体"/>
          <w:color w:val="auto"/>
          <w:sz w:val="24"/>
          <w:highlight w:val="none"/>
        </w:rPr>
        <w:t xml:space="preserve"> </w:t>
      </w:r>
    </w:p>
    <w:p w14:paraId="015ADB86">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智能开标：投标人登录政府采购云平台</w:t>
      </w:r>
      <w:r>
        <w:rPr>
          <w:rFonts w:ascii="宋体" w:hAnsi="宋体"/>
          <w:color w:val="auto"/>
          <w:sz w:val="24"/>
          <w:highlight w:val="none"/>
        </w:rPr>
        <w:t>,</w:t>
      </w:r>
      <w:r>
        <w:rPr>
          <w:rFonts w:hint="eastAsia" w:ascii="宋体" w:hAnsi="宋体"/>
          <w:color w:val="auto"/>
          <w:sz w:val="24"/>
          <w:highlight w:val="none"/>
        </w:rPr>
        <w:t>在投标截止时间进入</w:t>
      </w:r>
      <w:r>
        <w:rPr>
          <w:rFonts w:ascii="宋体" w:hAnsi="宋体"/>
          <w:color w:val="auto"/>
          <w:sz w:val="24"/>
          <w:highlight w:val="none"/>
        </w:rPr>
        <w:t>“</w:t>
      </w:r>
      <w:r>
        <w:rPr>
          <w:rFonts w:hint="eastAsia" w:ascii="宋体" w:hAnsi="宋体"/>
          <w:color w:val="auto"/>
          <w:sz w:val="24"/>
          <w:highlight w:val="none"/>
        </w:rPr>
        <w:t>网上开标室</w:t>
      </w:r>
      <w:r>
        <w:rPr>
          <w:rFonts w:ascii="宋体" w:hAnsi="宋体"/>
          <w:color w:val="auto"/>
          <w:sz w:val="24"/>
          <w:highlight w:val="none"/>
        </w:rPr>
        <w:t>”,</w:t>
      </w:r>
      <w:r>
        <w:rPr>
          <w:rFonts w:hint="eastAsia" w:ascii="宋体" w:hAnsi="宋体"/>
          <w:color w:val="auto"/>
          <w:sz w:val="24"/>
          <w:highlight w:val="none"/>
        </w:rPr>
        <w:t>根据网上远程解密、开标的要求</w:t>
      </w:r>
      <w:r>
        <w:rPr>
          <w:rFonts w:ascii="宋体" w:hAnsi="宋体"/>
          <w:color w:val="auto"/>
          <w:sz w:val="24"/>
          <w:highlight w:val="none"/>
        </w:rPr>
        <w:t>,</w:t>
      </w:r>
      <w:r>
        <w:rPr>
          <w:rFonts w:hint="eastAsia" w:ascii="宋体" w:hAnsi="宋体"/>
          <w:color w:val="auto"/>
          <w:sz w:val="24"/>
          <w:highlight w:val="none"/>
        </w:rPr>
        <w:t>在规定时</w:t>
      </w:r>
      <w:r>
        <w:rPr>
          <w:rFonts w:hint="eastAsia" w:ascii="宋体" w:hAnsi="宋体"/>
          <w:color w:val="auto"/>
          <w:sz w:val="24"/>
          <w:highlight w:val="none"/>
          <w:lang w:eastAsia="zh-CN"/>
        </w:rPr>
        <w:t>间内</w:t>
      </w:r>
      <w:r>
        <w:rPr>
          <w:rFonts w:hint="eastAsia" w:ascii="宋体" w:hAnsi="宋体"/>
          <w:color w:val="auto"/>
          <w:sz w:val="24"/>
          <w:highlight w:val="none"/>
        </w:rPr>
        <w:t>完成在线解密、开标一览表确认等相关操作。若投标人未在规定时</w:t>
      </w:r>
      <w:r>
        <w:rPr>
          <w:rFonts w:hint="eastAsia" w:ascii="宋体" w:hAnsi="宋体"/>
          <w:color w:val="auto"/>
          <w:sz w:val="24"/>
          <w:highlight w:val="none"/>
          <w:lang w:eastAsia="zh-CN"/>
        </w:rPr>
        <w:t>间内</w:t>
      </w:r>
      <w:r>
        <w:rPr>
          <w:rFonts w:hint="eastAsia" w:ascii="宋体" w:hAnsi="宋体"/>
          <w:color w:val="auto"/>
          <w:sz w:val="24"/>
          <w:highlight w:val="none"/>
        </w:rPr>
        <w:t>完成以上相关操作</w:t>
      </w:r>
      <w:r>
        <w:rPr>
          <w:rFonts w:ascii="宋体" w:hAnsi="宋体"/>
          <w:color w:val="auto"/>
          <w:sz w:val="24"/>
          <w:highlight w:val="none"/>
        </w:rPr>
        <w:t>,</w:t>
      </w:r>
      <w:r>
        <w:rPr>
          <w:rFonts w:hint="eastAsia" w:ascii="宋体" w:hAnsi="宋体"/>
          <w:color w:val="auto"/>
          <w:sz w:val="24"/>
          <w:highlight w:val="none"/>
        </w:rPr>
        <w:t>则视为撤销其投标文件</w:t>
      </w:r>
      <w:r>
        <w:rPr>
          <w:rFonts w:ascii="宋体" w:hAnsi="宋体"/>
          <w:color w:val="auto"/>
          <w:sz w:val="24"/>
          <w:highlight w:val="none"/>
        </w:rPr>
        <w:t>,</w:t>
      </w:r>
      <w:r>
        <w:rPr>
          <w:rFonts w:hint="eastAsia" w:ascii="宋体" w:hAnsi="宋体"/>
          <w:color w:val="auto"/>
          <w:sz w:val="24"/>
          <w:highlight w:val="none"/>
        </w:rPr>
        <w:t>不再进入评标阶段。开标过程中如有问题，可以发起在线异议</w:t>
      </w:r>
      <w:r>
        <w:rPr>
          <w:rFonts w:ascii="宋体" w:hAnsi="宋体"/>
          <w:color w:val="auto"/>
          <w:sz w:val="24"/>
          <w:highlight w:val="none"/>
        </w:rPr>
        <w:t>,</w:t>
      </w:r>
      <w:r>
        <w:rPr>
          <w:rFonts w:hint="eastAsia" w:ascii="宋体" w:hAnsi="宋体"/>
          <w:color w:val="auto"/>
          <w:sz w:val="24"/>
          <w:highlight w:val="none"/>
        </w:rPr>
        <w:t>由采购代理机构给予对应的回复。</w:t>
      </w:r>
      <w:r>
        <w:rPr>
          <w:rFonts w:ascii="宋体" w:hAnsi="宋体"/>
          <w:color w:val="auto"/>
          <w:sz w:val="24"/>
          <w:highlight w:val="none"/>
        </w:rPr>
        <w:t xml:space="preserve"> </w:t>
      </w:r>
    </w:p>
    <w:p w14:paraId="491013C9">
      <w:pPr>
        <w:keepLines w:val="0"/>
        <w:pageBreakBefore w:val="0"/>
        <w:widowControl/>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请参与本项目投标人提前熟悉网上开标的相关操作。在使用政府采购云平台时，请自行配备</w:t>
      </w:r>
      <w:r>
        <w:rPr>
          <w:rFonts w:hint="eastAsia" w:ascii="宋体" w:hAnsi="宋体"/>
          <w:color w:val="auto"/>
          <w:sz w:val="24"/>
          <w:highlight w:val="none"/>
          <w:lang w:eastAsia="zh-CN"/>
        </w:rPr>
        <w:t>具备</w:t>
      </w:r>
      <w:r>
        <w:rPr>
          <w:rFonts w:hint="eastAsia" w:ascii="宋体" w:hAnsi="宋体"/>
          <w:color w:val="auto"/>
          <w:sz w:val="24"/>
          <w:highlight w:val="none"/>
        </w:rPr>
        <w:t>音视频通话（带摄像头及</w:t>
      </w:r>
      <w:r>
        <w:rPr>
          <w:rFonts w:hint="eastAsia" w:ascii="宋体" w:hAnsi="宋体"/>
          <w:color w:val="auto"/>
          <w:sz w:val="24"/>
          <w:highlight w:val="none"/>
          <w:lang w:eastAsia="zh-CN"/>
        </w:rPr>
        <w:t>话筒</w:t>
      </w:r>
      <w:r>
        <w:rPr>
          <w:rFonts w:hint="eastAsia" w:ascii="宋体" w:hAnsi="宋体"/>
          <w:color w:val="auto"/>
          <w:sz w:val="24"/>
          <w:highlight w:val="none"/>
        </w:rPr>
        <w:t>）功能的相应设备</w:t>
      </w:r>
      <w:r>
        <w:rPr>
          <w:rFonts w:hint="eastAsia" w:ascii="宋体" w:hAnsi="宋体"/>
          <w:color w:val="auto"/>
          <w:sz w:val="24"/>
          <w:highlight w:val="none"/>
          <w:lang w:eastAsia="zh-CN"/>
        </w:rPr>
        <w:t>，并在</w:t>
      </w:r>
      <w:r>
        <w:rPr>
          <w:rFonts w:hint="eastAsia" w:ascii="宋体" w:hAnsi="宋体"/>
          <w:color w:val="auto"/>
          <w:sz w:val="24"/>
          <w:highlight w:val="none"/>
        </w:rPr>
        <w:t>稳定网络的环境下，并按政府采购云平台开标大厅中的提示完成投标文件的解密。</w:t>
      </w:r>
    </w:p>
    <w:p w14:paraId="5EF7B9E5">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4.3投标文件的修改与撤回</w:t>
      </w:r>
    </w:p>
    <w:p w14:paraId="4B66DE4E">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color w:val="auto"/>
          <w:sz w:val="24"/>
          <w:highlight w:val="none"/>
        </w:rPr>
      </w:pPr>
      <w:bookmarkStart w:id="170" w:name="_Toc24298"/>
      <w:bookmarkStart w:id="171" w:name="_Toc16808"/>
      <w:r>
        <w:rPr>
          <w:rFonts w:hint="eastAsia" w:ascii="宋体" w:hAnsi="宋体"/>
          <w:color w:val="auto"/>
          <w:sz w:val="24"/>
          <w:highlight w:val="none"/>
        </w:rPr>
        <w:t>在本章第4.2.1项规定的投标截止时间前，投标人可以修改或撤回递交的投标文件，修改或重新制作投标文件，应符合招标文件和政采云电子交易平台的要求。</w:t>
      </w:r>
      <w:bookmarkStart w:id="172" w:name="_Toc5515"/>
      <w:bookmarkStart w:id="173" w:name="_Toc19838"/>
      <w:bookmarkStart w:id="174" w:name="_Toc11067"/>
      <w:bookmarkStart w:id="175" w:name="_Toc8355"/>
    </w:p>
    <w:p w14:paraId="3C3234B3">
      <w:pPr>
        <w:keepLines w:val="0"/>
        <w:pageBreakBefore w:val="0"/>
        <w:kinsoku/>
        <w:wordWrap/>
        <w:overflowPunct/>
        <w:topLinePunct w:val="0"/>
        <w:autoSpaceDE/>
        <w:autoSpaceDN/>
        <w:bidi w:val="0"/>
        <w:spacing w:after="0" w:line="480" w:lineRule="exact"/>
        <w:jc w:val="lef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lang w:eastAsia="zh-CN"/>
        </w:rPr>
        <w:t>5.</w:t>
      </w:r>
      <w:r>
        <w:rPr>
          <w:rFonts w:hint="eastAsia" w:ascii="宋体" w:hAnsi="宋体" w:eastAsia="宋体" w:cs="宋体"/>
          <w:b/>
          <w:bCs/>
          <w:color w:val="auto"/>
          <w:sz w:val="28"/>
          <w:highlight w:val="none"/>
        </w:rPr>
        <w:t>开标</w:t>
      </w:r>
      <w:bookmarkEnd w:id="170"/>
      <w:bookmarkEnd w:id="171"/>
      <w:bookmarkEnd w:id="172"/>
      <w:bookmarkEnd w:id="173"/>
      <w:bookmarkEnd w:id="174"/>
      <w:bookmarkEnd w:id="175"/>
    </w:p>
    <w:p w14:paraId="473EE3C0">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5.1开标时间和地点</w:t>
      </w:r>
    </w:p>
    <w:p w14:paraId="17C9B007">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将在“投标人须知前附表”规定的时间和地点组织开标</w:t>
      </w:r>
      <w:r>
        <w:rPr>
          <w:rFonts w:ascii="宋体" w:hAnsi="宋体"/>
          <w:color w:val="auto"/>
          <w:sz w:val="24"/>
          <w:highlight w:val="none"/>
        </w:rPr>
        <w:t>，</w:t>
      </w:r>
      <w:r>
        <w:rPr>
          <w:rFonts w:hint="eastAsia" w:ascii="宋体" w:hAnsi="宋体"/>
          <w:color w:val="auto"/>
          <w:sz w:val="24"/>
          <w:highlight w:val="none"/>
        </w:rPr>
        <w:t>开标采用网上智能开标和远程解密方式，投标人须进入政采云平台，在规定的时间</w:t>
      </w:r>
      <w:r>
        <w:rPr>
          <w:rFonts w:hint="eastAsia" w:ascii="宋体" w:hAnsi="宋体"/>
          <w:color w:val="auto"/>
          <w:sz w:val="24"/>
          <w:highlight w:val="none"/>
          <w:lang w:eastAsia="zh-CN"/>
        </w:rPr>
        <w:t>内</w:t>
      </w:r>
      <w:r>
        <w:rPr>
          <w:rFonts w:hint="eastAsia" w:ascii="宋体" w:hAnsi="宋体"/>
          <w:color w:val="auto"/>
          <w:sz w:val="24"/>
          <w:highlight w:val="none"/>
        </w:rPr>
        <w:t>完成远程解密，否则视为撤销其投标文件，不再进入评标阶段。</w:t>
      </w:r>
    </w:p>
    <w:p w14:paraId="4BCDFBAA">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highlight w:val="none"/>
        </w:rPr>
      </w:pPr>
      <w:r>
        <w:rPr>
          <w:rFonts w:hint="eastAsia" w:ascii="宋体" w:hAnsi="宋体" w:eastAsia="宋体" w:cs="宋体"/>
          <w:color w:val="auto"/>
          <w:szCs w:val="24"/>
          <w:highlight w:val="none"/>
        </w:rPr>
        <w:t>5.2开标注意事项：</w:t>
      </w:r>
      <w:r>
        <w:rPr>
          <w:rFonts w:hint="eastAsia" w:ascii="宋体" w:hAnsi="宋体" w:eastAsia="宋体" w:cs="宋体"/>
          <w:color w:val="auto"/>
          <w:highlight w:val="none"/>
        </w:rPr>
        <w:t>投标人不足3家的，不得开标。</w:t>
      </w:r>
    </w:p>
    <w:p w14:paraId="2647CF7F">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5.3开标程序</w:t>
      </w:r>
    </w:p>
    <w:p w14:paraId="185E5423">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（1）开标会由采购代理机构主持，主持人宣布开标会议开始</w:t>
      </w:r>
      <w:r>
        <w:rPr>
          <w:rFonts w:ascii="宋体" w:hAnsi="宋体"/>
          <w:color w:val="auto"/>
          <w:sz w:val="24"/>
          <w:highlight w:val="none"/>
        </w:rPr>
        <w:t>；</w:t>
      </w:r>
    </w:p>
    <w:p w14:paraId="2433E700">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（2）介绍参加开标会的人员名单</w:t>
      </w:r>
      <w:r>
        <w:rPr>
          <w:rFonts w:ascii="宋体" w:hAnsi="宋体"/>
          <w:color w:val="auto"/>
          <w:sz w:val="24"/>
          <w:highlight w:val="none"/>
        </w:rPr>
        <w:t>；</w:t>
      </w:r>
    </w:p>
    <w:p w14:paraId="53D5DA98">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（3）宣布唱标、监标和记录人员名单；</w:t>
      </w:r>
    </w:p>
    <w:p w14:paraId="3BACF12E">
      <w:pPr>
        <w:keepLines w:val="0"/>
        <w:pageBreakBefore w:val="0"/>
        <w:kinsoku/>
        <w:wordWrap/>
        <w:overflowPunct/>
        <w:topLinePunct w:val="0"/>
        <w:autoSpaceDE/>
        <w:autoSpaceDN/>
        <w:bidi w:val="0"/>
        <w:spacing w:after="0" w:line="480" w:lineRule="exact"/>
        <w:ind w:firstLine="480" w:firstLineChars="200"/>
        <w:jc w:val="left"/>
        <w:rPr>
          <w:rFonts w:ascii="宋体" w:hAnsi="宋体"/>
          <w:color w:val="auto"/>
          <w:sz w:val="24"/>
          <w:highlight w:val="none"/>
        </w:rPr>
      </w:pPr>
      <w:r>
        <w:rPr>
          <w:rFonts w:hint="eastAsia" w:ascii="宋体" w:hAnsi="宋体"/>
          <w:color w:val="auto"/>
          <w:sz w:val="24"/>
          <w:highlight w:val="none"/>
        </w:rPr>
        <w:t>（4）签到、解密、唱标和签名，每一步骤均应按照</w:t>
      </w:r>
      <w:r>
        <w:rPr>
          <w:rFonts w:hint="eastAsia" w:ascii="宋体" w:hAnsi="宋体"/>
          <w:color w:val="auto"/>
          <w:sz w:val="24"/>
          <w:highlight w:val="none"/>
          <w:lang w:eastAsia="zh-CN"/>
        </w:rPr>
        <w:t>政采云</w:t>
      </w:r>
      <w:r>
        <w:rPr>
          <w:rFonts w:hint="eastAsia" w:ascii="宋体" w:hAnsi="宋体"/>
          <w:color w:val="auto"/>
          <w:sz w:val="24"/>
          <w:highlight w:val="none"/>
        </w:rPr>
        <w:t>平台的规定进行操作</w:t>
      </w:r>
      <w:r>
        <w:rPr>
          <w:rFonts w:ascii="宋体" w:hAnsi="宋体"/>
          <w:color w:val="auto"/>
          <w:sz w:val="24"/>
          <w:highlight w:val="none"/>
        </w:rPr>
        <w:t>；</w:t>
      </w:r>
    </w:p>
    <w:p w14:paraId="014952E0">
      <w:pPr>
        <w:keepLines w:val="0"/>
        <w:pageBreakBefore w:val="0"/>
        <w:kinsoku/>
        <w:wordWrap/>
        <w:overflowPunct/>
        <w:topLinePunct w:val="0"/>
        <w:autoSpaceDE/>
        <w:autoSpaceDN/>
        <w:bidi w:val="0"/>
        <w:spacing w:after="0" w:line="480" w:lineRule="exact"/>
        <w:ind w:firstLine="480" w:firstLineChars="200"/>
        <w:jc w:val="left"/>
        <w:rPr>
          <w:rFonts w:hint="eastAsia"/>
          <w:color w:val="auto"/>
          <w:highlight w:val="none"/>
        </w:rPr>
      </w:pPr>
      <w:r>
        <w:rPr>
          <w:rFonts w:hint="eastAsia" w:ascii="宋体" w:hAnsi="宋体"/>
          <w:color w:val="auto"/>
          <w:sz w:val="24"/>
          <w:highlight w:val="none"/>
        </w:rPr>
        <w:t>（5）开标结束。</w:t>
      </w:r>
    </w:p>
    <w:p w14:paraId="4C45B857">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5.4开标异议</w:t>
      </w:r>
    </w:p>
    <w:p w14:paraId="292753C5">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投标人代表对开标过程和开标记录有疑义，以及认为</w:t>
      </w:r>
      <w:r>
        <w:rPr>
          <w:rFonts w:hint="eastAsia" w:ascii="宋体" w:hAnsi="宋体" w:eastAsia="宋体" w:cs="Times New Roman"/>
          <w:color w:val="auto"/>
          <w:sz w:val="24"/>
          <w:highlight w:val="none"/>
          <w:lang w:eastAsia="zh-CN"/>
        </w:rPr>
        <w:t>采购人</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采购代理机构</w:t>
      </w:r>
      <w:r>
        <w:rPr>
          <w:rFonts w:hint="eastAsia" w:ascii="宋体" w:hAnsi="宋体" w:eastAsia="宋体" w:cs="Times New Roman"/>
          <w:color w:val="auto"/>
          <w:sz w:val="24"/>
          <w:highlight w:val="none"/>
        </w:rPr>
        <w:t>相关工作人员有需要回避的情形的，应当场提出询问或者回避申请。</w:t>
      </w:r>
      <w:r>
        <w:rPr>
          <w:rFonts w:hint="eastAsia" w:ascii="宋体" w:hAnsi="宋体" w:eastAsia="宋体" w:cs="Times New Roman"/>
          <w:color w:val="auto"/>
          <w:sz w:val="24"/>
          <w:highlight w:val="none"/>
          <w:lang w:eastAsia="zh-CN"/>
        </w:rPr>
        <w:t>采购人</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采购代理机构</w:t>
      </w:r>
      <w:r>
        <w:rPr>
          <w:rFonts w:hint="eastAsia" w:ascii="宋体" w:hAnsi="宋体" w:eastAsia="宋体" w:cs="Times New Roman"/>
          <w:color w:val="auto"/>
          <w:sz w:val="24"/>
          <w:highlight w:val="none"/>
        </w:rPr>
        <w:t>对投标人代表提出的询问或者回避申请应当及时处理，并记录在案。</w:t>
      </w:r>
    </w:p>
    <w:p w14:paraId="1FB6DBDC">
      <w:pPr>
        <w:pStyle w:val="3"/>
        <w:keepLines w:val="0"/>
        <w:pageBreakBefore w:val="0"/>
        <w:tabs>
          <w:tab w:val="left" w:pos="1021"/>
        </w:tabs>
        <w:kinsoku/>
        <w:wordWrap/>
        <w:overflowPunct/>
        <w:topLinePunct w:val="0"/>
        <w:autoSpaceDE/>
        <w:autoSpaceDN/>
        <w:bidi w:val="0"/>
        <w:adjustRightInd w:val="0"/>
        <w:snapToGrid w:val="0"/>
        <w:spacing w:line="480" w:lineRule="exact"/>
        <w:rPr>
          <w:rFonts w:hint="eastAsia" w:ascii="宋体" w:hAnsi="宋体" w:eastAsia="宋体" w:cs="宋体"/>
          <w:color w:val="auto"/>
          <w:sz w:val="28"/>
          <w:szCs w:val="28"/>
          <w:highlight w:val="none"/>
        </w:rPr>
      </w:pPr>
      <w:bookmarkStart w:id="176" w:name="_Toc24899"/>
      <w:bookmarkStart w:id="177" w:name="_Toc29535"/>
      <w:bookmarkStart w:id="178" w:name="_Toc25841"/>
      <w:bookmarkStart w:id="179" w:name="_Toc25399"/>
      <w:bookmarkStart w:id="180" w:name="_Toc646"/>
      <w:bookmarkStart w:id="181" w:name="_Toc2522"/>
      <w:r>
        <w:rPr>
          <w:rFonts w:hint="eastAsia" w:hAnsi="宋体" w:cs="宋体"/>
          <w:color w:val="auto"/>
          <w:sz w:val="28"/>
          <w:szCs w:val="28"/>
          <w:highlight w:val="none"/>
          <w:lang w:eastAsia="zh-CN"/>
        </w:rPr>
        <w:t>6.</w:t>
      </w:r>
      <w:r>
        <w:rPr>
          <w:rFonts w:hint="eastAsia" w:ascii="宋体" w:hAnsi="宋体" w:eastAsia="宋体" w:cs="宋体"/>
          <w:color w:val="auto"/>
          <w:sz w:val="28"/>
          <w:szCs w:val="28"/>
          <w:highlight w:val="none"/>
        </w:rPr>
        <w:t>资格审查</w:t>
      </w:r>
      <w:bookmarkEnd w:id="176"/>
      <w:bookmarkEnd w:id="177"/>
      <w:bookmarkEnd w:id="178"/>
      <w:bookmarkEnd w:id="179"/>
      <w:bookmarkEnd w:id="180"/>
      <w:bookmarkEnd w:id="181"/>
    </w:p>
    <w:p w14:paraId="39813A73">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资格后审；公开招标采购项目开标结束后，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或者</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应当依法对投标人的资格进行审查。合格投标人不足3家的，不得评标。</w:t>
      </w:r>
    </w:p>
    <w:p w14:paraId="58E9F485">
      <w:pPr>
        <w:pStyle w:val="3"/>
        <w:keepLines w:val="0"/>
        <w:pageBreakBefore w:val="0"/>
        <w:tabs>
          <w:tab w:val="left" w:pos="1021"/>
        </w:tabs>
        <w:kinsoku/>
        <w:wordWrap/>
        <w:overflowPunct/>
        <w:topLinePunct w:val="0"/>
        <w:autoSpaceDE/>
        <w:autoSpaceDN/>
        <w:bidi w:val="0"/>
        <w:adjustRightInd w:val="0"/>
        <w:snapToGrid w:val="0"/>
        <w:spacing w:line="480" w:lineRule="exact"/>
        <w:rPr>
          <w:rFonts w:hint="eastAsia" w:ascii="宋体" w:hAnsi="宋体" w:eastAsia="宋体" w:cs="宋体"/>
          <w:color w:val="auto"/>
          <w:sz w:val="28"/>
          <w:szCs w:val="28"/>
          <w:highlight w:val="none"/>
        </w:rPr>
      </w:pPr>
      <w:bookmarkStart w:id="182" w:name="_Toc16146"/>
      <w:bookmarkStart w:id="183" w:name="_Toc2493"/>
      <w:bookmarkStart w:id="184" w:name="_Toc12249"/>
      <w:bookmarkStart w:id="185" w:name="_Toc32268"/>
      <w:bookmarkStart w:id="186" w:name="_Toc25889"/>
      <w:bookmarkStart w:id="187" w:name="_Toc23069"/>
      <w:r>
        <w:rPr>
          <w:rFonts w:hint="eastAsia" w:hAnsi="宋体" w:cs="宋体"/>
          <w:color w:val="auto"/>
          <w:sz w:val="28"/>
          <w:szCs w:val="28"/>
          <w:highlight w:val="none"/>
          <w:lang w:eastAsia="zh-CN"/>
        </w:rPr>
        <w:t>7.</w:t>
      </w:r>
      <w:r>
        <w:rPr>
          <w:rFonts w:hint="eastAsia" w:ascii="宋体" w:hAnsi="宋体" w:eastAsia="宋体" w:cs="宋体"/>
          <w:color w:val="auto"/>
          <w:sz w:val="28"/>
          <w:szCs w:val="28"/>
          <w:highlight w:val="none"/>
        </w:rPr>
        <w:t>评标</w:t>
      </w:r>
      <w:bookmarkEnd w:id="182"/>
      <w:bookmarkEnd w:id="183"/>
      <w:bookmarkEnd w:id="184"/>
      <w:bookmarkEnd w:id="185"/>
      <w:bookmarkEnd w:id="186"/>
      <w:bookmarkEnd w:id="187"/>
    </w:p>
    <w:p w14:paraId="11712211">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7.1评标委员会</w:t>
      </w:r>
    </w:p>
    <w:p w14:paraId="39989711">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7.1.1评标由</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依法组建的评标委员会负责。评标</w:t>
      </w:r>
      <w:r>
        <w:rPr>
          <w:rFonts w:hint="eastAsia" w:ascii="宋体" w:hAnsi="宋体" w:cs="宋体"/>
          <w:color w:val="auto"/>
          <w:sz w:val="24"/>
          <w:highlight w:val="none"/>
          <w:lang w:eastAsia="zh-CN"/>
        </w:rPr>
        <w:t>委员会</w:t>
      </w:r>
      <w:r>
        <w:rPr>
          <w:rFonts w:hint="eastAsia" w:ascii="宋体" w:hAnsi="宋体" w:eastAsia="宋体" w:cs="宋体"/>
          <w:color w:val="auto"/>
          <w:sz w:val="24"/>
          <w:highlight w:val="none"/>
        </w:rPr>
        <w:t>依法组成，成员人数应当为5人以上单数，其中评审专家不得少于成员总数的三分之二。评标委员会确定方式见投标人须知前附表。</w:t>
      </w:r>
    </w:p>
    <w:p w14:paraId="5CA8442B">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7.1.2评标委员会成员有下列情形之一的，应当回避：</w:t>
      </w:r>
    </w:p>
    <w:p w14:paraId="7BC25A3C">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或投标人的主要负责人的近亲属。</w:t>
      </w:r>
    </w:p>
    <w:p w14:paraId="374A1FC0">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（2）项目主管部门或者行政监督部门的人员。</w:t>
      </w:r>
    </w:p>
    <w:p w14:paraId="31873A9B">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（3）与投标人有利害关系的人不得进入本</w:t>
      </w:r>
      <w:r>
        <w:rPr>
          <w:rFonts w:hint="eastAsia" w:ascii="宋体" w:hAnsi="宋体" w:cs="宋体"/>
          <w:color w:val="auto"/>
          <w:sz w:val="24"/>
          <w:highlight w:val="none"/>
          <w:lang w:eastAsia="zh-CN"/>
        </w:rPr>
        <w:t>项目</w:t>
      </w:r>
      <w:r>
        <w:rPr>
          <w:rFonts w:hint="eastAsia" w:ascii="宋体" w:hAnsi="宋体" w:eastAsia="宋体" w:cs="宋体"/>
          <w:color w:val="auto"/>
          <w:sz w:val="24"/>
          <w:highlight w:val="none"/>
        </w:rPr>
        <w:t>的评标委员会。</w:t>
      </w:r>
    </w:p>
    <w:p w14:paraId="44962065">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（4）曾因在招标、评标以及</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与招标投标有关活动中从事违法行为而受过行政处罚或刑事处罚的。</w:t>
      </w:r>
    </w:p>
    <w:p w14:paraId="48CD8D38">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7.2评标原则</w:t>
      </w:r>
    </w:p>
    <w:p w14:paraId="31722AB4">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评标将遵循下列原则：</w:t>
      </w:r>
    </w:p>
    <w:p w14:paraId="6C3A3701">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（一）坚持公平、公正、科学、择优的原则，本着实事求是的精神，不带有任何主观意愿和偏见，认真负责地做好评标工作，公平、公正地对待每一个投标人。 </w:t>
      </w:r>
    </w:p>
    <w:p w14:paraId="09A4293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（二）全面分析，综合评审。 </w:t>
      </w:r>
    </w:p>
    <w:p w14:paraId="7332832A">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（三）评标只对投标人的投标文件进行评审，投标文件以外的资料、信息不应作为评标的依据。</w:t>
      </w:r>
    </w:p>
    <w:p w14:paraId="7FC84065">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7.3评标</w:t>
      </w:r>
    </w:p>
    <w:p w14:paraId="4D65AF44">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7.3.1评标委员会按照第</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章“评标办法”规定的方法、评审因素、标准和程序对投标文件进行评审。第</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章“评标办法”没有规定的方法、评审因素和标准，不作为评标依据。</w:t>
      </w:r>
    </w:p>
    <w:p w14:paraId="1D9210E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7.3.2评标完成后，评标委员会应当向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提交书面评标报告和中标候选人名单。评标委员会推荐中标候选人的人数见投标人须知前附表。</w:t>
      </w:r>
    </w:p>
    <w:p w14:paraId="68B50A61">
      <w:pPr>
        <w:pStyle w:val="3"/>
        <w:keepLines w:val="0"/>
        <w:pageBreakBefore w:val="0"/>
        <w:tabs>
          <w:tab w:val="left" w:pos="1021"/>
        </w:tabs>
        <w:kinsoku/>
        <w:wordWrap/>
        <w:overflowPunct/>
        <w:topLinePunct w:val="0"/>
        <w:autoSpaceDE/>
        <w:autoSpaceDN/>
        <w:bidi w:val="0"/>
        <w:adjustRightInd w:val="0"/>
        <w:snapToGrid w:val="0"/>
        <w:spacing w:line="480" w:lineRule="exact"/>
        <w:rPr>
          <w:rFonts w:hint="eastAsia" w:ascii="宋体" w:hAnsi="宋体" w:eastAsia="宋体" w:cs="宋体"/>
          <w:color w:val="auto"/>
          <w:sz w:val="28"/>
          <w:szCs w:val="28"/>
          <w:highlight w:val="none"/>
        </w:rPr>
      </w:pPr>
      <w:bookmarkStart w:id="188" w:name="_Toc20371"/>
      <w:bookmarkStart w:id="189" w:name="_Toc1189"/>
      <w:bookmarkStart w:id="190" w:name="_Toc19229"/>
      <w:bookmarkStart w:id="191" w:name="_Toc2723"/>
      <w:bookmarkStart w:id="192" w:name="_Toc8678"/>
      <w:bookmarkStart w:id="193" w:name="_Toc31550"/>
      <w:r>
        <w:rPr>
          <w:rFonts w:hint="eastAsia" w:hAnsi="宋体" w:cs="宋体"/>
          <w:color w:val="auto"/>
          <w:sz w:val="28"/>
          <w:szCs w:val="28"/>
          <w:highlight w:val="none"/>
          <w:lang w:eastAsia="zh-CN"/>
        </w:rPr>
        <w:t>8.</w:t>
      </w:r>
      <w:r>
        <w:rPr>
          <w:rFonts w:hint="eastAsia" w:ascii="宋体" w:hAnsi="宋体" w:eastAsia="宋体" w:cs="宋体"/>
          <w:color w:val="auto"/>
          <w:sz w:val="28"/>
          <w:szCs w:val="28"/>
          <w:highlight w:val="none"/>
        </w:rPr>
        <w:t>中标和合同</w:t>
      </w:r>
      <w:bookmarkEnd w:id="188"/>
      <w:bookmarkEnd w:id="189"/>
      <w:bookmarkEnd w:id="190"/>
      <w:bookmarkEnd w:id="191"/>
      <w:bookmarkEnd w:id="192"/>
      <w:bookmarkEnd w:id="193"/>
    </w:p>
    <w:p w14:paraId="4E33500D">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8.1中标人的确定</w:t>
      </w:r>
    </w:p>
    <w:p w14:paraId="0EAA53AE">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按照投标人须知前附表的规定，</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授权的评标委员会依法确定中标人。</w:t>
      </w:r>
    </w:p>
    <w:p w14:paraId="3E82AAB3">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8.2中标公告</w:t>
      </w:r>
    </w:p>
    <w:p w14:paraId="3E502E4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8.2.1</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或者</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应当自中标人确定之日起2个工作日内，在发布招标公告的媒体上公告中标结果。</w:t>
      </w:r>
    </w:p>
    <w:p w14:paraId="1721B3CA">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8.2.2中标公告期限为1个工作日。</w:t>
      </w:r>
    </w:p>
    <w:p w14:paraId="38ED752E">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8.3中标结果质疑 </w:t>
      </w:r>
    </w:p>
    <w:p w14:paraId="6FB7BFB6">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投标人对中标结果有质疑的，应当在中标结果公告期限届满之日起七个工作日内提出。</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应当在收到投标人的书面质疑后七个工作日内作出答复，并以书面形式通知质疑投标人，但答复的内容不得涉及商业秘密。</w:t>
      </w:r>
    </w:p>
    <w:p w14:paraId="0FCC1F29">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8.4中标通知 </w:t>
      </w:r>
    </w:p>
    <w:p w14:paraId="64216ED8">
      <w:pPr>
        <w:keepLines w:val="0"/>
        <w:pageBreakBefore w:val="0"/>
        <w:kinsoku/>
        <w:wordWrap/>
        <w:overflowPunct/>
        <w:topLinePunct w:val="0"/>
        <w:autoSpaceDE/>
        <w:autoSpaceDN/>
        <w:bidi w:val="0"/>
        <w:spacing w:after="0" w:line="480" w:lineRule="exact"/>
        <w:ind w:firstLine="480" w:firstLineChars="200"/>
        <w:jc w:val="left"/>
        <w:rPr>
          <w:rFonts w:hint="eastAsia" w:ascii="宋体" w:hAnsi="宋体" w:eastAsia="宋体" w:cs="宋体"/>
          <w:color w:val="auto"/>
          <w:sz w:val="24"/>
          <w:highlight w:val="none"/>
        </w:rPr>
      </w:pPr>
      <w:r>
        <w:rPr>
          <w:rFonts w:hint="eastAsia" w:ascii="宋体" w:hAnsi="宋体"/>
          <w:color w:val="auto"/>
          <w:sz w:val="24"/>
          <w:highlight w:val="none"/>
        </w:rPr>
        <w:t>在本章第3.3款规定的投标有效期内，在公告中标结果的同时，采购人或者采购代理机构应当向中标人发出中标通知书；对未通过资格审查的投标人，应当告知其未通过的原因</w:t>
      </w:r>
      <w:r>
        <w:rPr>
          <w:rFonts w:hint="eastAsia" w:ascii="宋体" w:hAnsi="宋体"/>
          <w:color w:val="auto"/>
          <w:sz w:val="24"/>
          <w:highlight w:val="none"/>
          <w:lang w:eastAsia="zh-CN"/>
        </w:rPr>
        <w:t>；</w:t>
      </w:r>
      <w:r>
        <w:rPr>
          <w:rFonts w:hint="eastAsia" w:ascii="宋体" w:hAnsi="宋体"/>
          <w:color w:val="auto"/>
          <w:sz w:val="24"/>
          <w:highlight w:val="none"/>
        </w:rPr>
        <w:t>同时应当告知未中标人本人的评审得分与排序。</w:t>
      </w:r>
    </w:p>
    <w:p w14:paraId="119DC43E">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8.5履约</w:t>
      </w:r>
      <w:r>
        <w:rPr>
          <w:rFonts w:hint="eastAsia" w:ascii="宋体" w:hAnsi="宋体" w:eastAsia="宋体" w:cs="宋体"/>
          <w:color w:val="auto"/>
          <w:szCs w:val="24"/>
          <w:highlight w:val="none"/>
          <w:lang w:eastAsia="zh-CN"/>
        </w:rPr>
        <w:t>保证金</w:t>
      </w:r>
    </w:p>
    <w:p w14:paraId="364255FD">
      <w:pPr>
        <w:pStyle w:val="16"/>
        <w:spacing w:line="46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8.5.1履约保证金的形式：保险保函、银行保函、银行转账等非现金形式提交；</w:t>
      </w:r>
    </w:p>
    <w:p w14:paraId="0AB04D11">
      <w:pPr>
        <w:pStyle w:val="16"/>
        <w:spacing w:line="46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8.5.2</w:t>
      </w:r>
      <w:r>
        <w:rPr>
          <w:rFonts w:hint="eastAsia" w:ascii="宋体" w:hAnsi="宋体" w:eastAsia="宋体" w:cs="宋体"/>
          <w:b w:val="0"/>
          <w:bCs w:val="0"/>
          <w:color w:val="auto"/>
          <w:sz w:val="24"/>
          <w:szCs w:val="24"/>
          <w:highlight w:val="none"/>
          <w:lang w:val="en-US" w:eastAsia="zh-CN"/>
        </w:rPr>
        <w:t>履约保证金的金额：合同价款的</w:t>
      </w: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w:t>
      </w:r>
    </w:p>
    <w:p w14:paraId="16F77FE6">
      <w:pPr>
        <w:pStyle w:val="16"/>
        <w:spacing w:line="46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注：履约保证金需在合同签订前缴纳，如未按要求提交履约保证金，取消其中</w:t>
      </w:r>
      <w:r>
        <w:rPr>
          <w:rFonts w:hint="eastAsia" w:hAnsi="宋体" w:cs="宋体"/>
          <w:b w:val="0"/>
          <w:bCs w:val="0"/>
          <w:color w:val="auto"/>
          <w:sz w:val="24"/>
          <w:szCs w:val="24"/>
          <w:highlight w:val="none"/>
          <w:lang w:val="en-US" w:eastAsia="zh-CN"/>
        </w:rPr>
        <w:t>标</w:t>
      </w:r>
      <w:r>
        <w:rPr>
          <w:rFonts w:hint="eastAsia" w:ascii="宋体" w:hAnsi="宋体" w:eastAsia="宋体" w:cs="宋体"/>
          <w:b w:val="0"/>
          <w:bCs w:val="0"/>
          <w:color w:val="auto"/>
          <w:sz w:val="24"/>
          <w:szCs w:val="24"/>
          <w:highlight w:val="none"/>
          <w:lang w:val="en-US" w:eastAsia="zh-CN"/>
        </w:rPr>
        <w:t>资格，终止签订合同，根据评标排名结果</w:t>
      </w:r>
      <w:r>
        <w:rPr>
          <w:rFonts w:hint="eastAsia" w:hAnsi="宋体" w:cs="宋体"/>
          <w:b w:val="0"/>
          <w:bCs w:val="0"/>
          <w:color w:val="auto"/>
          <w:sz w:val="24"/>
          <w:szCs w:val="24"/>
          <w:highlight w:val="none"/>
          <w:lang w:val="en-US" w:eastAsia="zh-CN"/>
        </w:rPr>
        <w:t>顺延中标资格。</w:t>
      </w:r>
    </w:p>
    <w:p w14:paraId="116B2238">
      <w:pPr>
        <w:pStyle w:val="16"/>
        <w:spacing w:line="460" w:lineRule="exact"/>
        <w:ind w:firstLine="480" w:firstLineChars="200"/>
        <w:jc w:val="lef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8.5.3</w:t>
      </w:r>
      <w:r>
        <w:rPr>
          <w:rFonts w:hint="eastAsia" w:ascii="宋体" w:hAnsi="宋体" w:eastAsia="宋体" w:cs="宋体"/>
          <w:b w:val="0"/>
          <w:bCs w:val="0"/>
          <w:color w:val="auto"/>
          <w:sz w:val="24"/>
          <w:szCs w:val="24"/>
          <w:highlight w:val="none"/>
          <w:lang w:val="zh-CN"/>
        </w:rPr>
        <w:t>若中标人在合同执行过程中单方面终止合同的，</w:t>
      </w:r>
      <w:r>
        <w:rPr>
          <w:rFonts w:hint="eastAsia" w:ascii="宋体" w:hAnsi="宋体" w:eastAsia="宋体" w:cs="宋体"/>
          <w:b w:val="0"/>
          <w:bCs w:val="0"/>
          <w:color w:val="auto"/>
          <w:sz w:val="24"/>
          <w:szCs w:val="24"/>
          <w:highlight w:val="none"/>
        </w:rPr>
        <w:t>履约保证金</w:t>
      </w:r>
      <w:r>
        <w:rPr>
          <w:rFonts w:hint="eastAsia" w:ascii="宋体" w:hAnsi="宋体" w:eastAsia="宋体" w:cs="宋体"/>
          <w:b w:val="0"/>
          <w:bCs w:val="0"/>
          <w:color w:val="auto"/>
          <w:sz w:val="24"/>
          <w:szCs w:val="24"/>
          <w:highlight w:val="none"/>
          <w:lang w:val="zh-CN"/>
        </w:rPr>
        <w:t>不退还。</w:t>
      </w:r>
    </w:p>
    <w:p w14:paraId="2BFA2B41">
      <w:pPr>
        <w:pStyle w:val="16"/>
        <w:spacing w:line="460" w:lineRule="exact"/>
        <w:ind w:firstLine="480" w:firstLineChars="200"/>
        <w:jc w:val="left"/>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8.5.4</w:t>
      </w:r>
      <w:r>
        <w:rPr>
          <w:rFonts w:hint="eastAsia" w:ascii="宋体" w:hAnsi="宋体" w:eastAsia="宋体" w:cs="宋体"/>
          <w:b w:val="0"/>
          <w:bCs w:val="0"/>
          <w:color w:val="auto"/>
          <w:sz w:val="24"/>
          <w:szCs w:val="24"/>
          <w:highlight w:val="none"/>
          <w:lang w:val="en-US" w:eastAsia="zh-CN"/>
        </w:rPr>
        <w:t>履约保证金的退还：合同履约完</w:t>
      </w:r>
      <w:r>
        <w:rPr>
          <w:rFonts w:hint="eastAsia" w:hAnsi="宋体" w:cs="宋体"/>
          <w:b w:val="0"/>
          <w:bCs w:val="0"/>
          <w:color w:val="auto"/>
          <w:sz w:val="24"/>
          <w:szCs w:val="24"/>
          <w:highlight w:val="none"/>
          <w:lang w:val="en-US" w:eastAsia="zh-CN"/>
        </w:rPr>
        <w:t>成后</w:t>
      </w:r>
      <w:r>
        <w:rPr>
          <w:rFonts w:hint="eastAsia" w:ascii="宋体" w:hAnsi="宋体" w:eastAsia="宋体" w:cs="宋体"/>
          <w:b w:val="0"/>
          <w:bCs w:val="0"/>
          <w:color w:val="auto"/>
          <w:sz w:val="24"/>
          <w:szCs w:val="24"/>
          <w:highlight w:val="none"/>
          <w:lang w:val="en-US" w:eastAsia="zh-CN"/>
        </w:rPr>
        <w:t>没有发生违约，没有扣除保证金情况的，一次性无息退还。</w:t>
      </w:r>
    </w:p>
    <w:p w14:paraId="6F77B212">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8.6签订合同</w:t>
      </w:r>
    </w:p>
    <w:p w14:paraId="5E813B02">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8.6.1</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 xml:space="preserve">不得向中标人提出任何不合理的要求作为签订合同的条件。 </w:t>
      </w:r>
    </w:p>
    <w:p w14:paraId="6C7EE80C">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8.6.2中标通知书发出后，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不得违法改变中标结果，中标人无正当理由不得放弃中标。</w:t>
      </w:r>
    </w:p>
    <w:p w14:paraId="2E235DD5">
      <w:pPr>
        <w:pStyle w:val="3"/>
        <w:keepLines w:val="0"/>
        <w:pageBreakBefore w:val="0"/>
        <w:tabs>
          <w:tab w:val="left" w:pos="1021"/>
        </w:tabs>
        <w:kinsoku/>
        <w:wordWrap/>
        <w:overflowPunct/>
        <w:topLinePunct w:val="0"/>
        <w:autoSpaceDE/>
        <w:autoSpaceDN/>
        <w:bidi w:val="0"/>
        <w:adjustRightInd w:val="0"/>
        <w:snapToGrid w:val="0"/>
        <w:spacing w:line="480" w:lineRule="exact"/>
        <w:rPr>
          <w:rFonts w:hint="eastAsia" w:ascii="宋体" w:hAnsi="宋体" w:eastAsia="宋体" w:cs="宋体"/>
          <w:color w:val="auto"/>
          <w:sz w:val="28"/>
          <w:szCs w:val="28"/>
          <w:highlight w:val="none"/>
        </w:rPr>
      </w:pPr>
      <w:bookmarkStart w:id="194" w:name="_Toc23168"/>
      <w:bookmarkStart w:id="195" w:name="_Toc16566"/>
      <w:bookmarkStart w:id="196" w:name="_Toc26814"/>
      <w:bookmarkStart w:id="197" w:name="_Toc12078"/>
      <w:bookmarkStart w:id="198" w:name="_Toc17915"/>
      <w:bookmarkStart w:id="199" w:name="_Toc25751"/>
      <w:r>
        <w:rPr>
          <w:rFonts w:hint="eastAsia" w:hAnsi="宋体" w:cs="宋体"/>
          <w:color w:val="auto"/>
          <w:sz w:val="28"/>
          <w:szCs w:val="28"/>
          <w:highlight w:val="none"/>
          <w:lang w:eastAsia="zh-CN"/>
        </w:rPr>
        <w:t>9.</w:t>
      </w:r>
      <w:r>
        <w:rPr>
          <w:rFonts w:hint="eastAsia" w:ascii="宋体" w:hAnsi="宋体" w:eastAsia="宋体" w:cs="宋体"/>
          <w:color w:val="auto"/>
          <w:sz w:val="28"/>
          <w:szCs w:val="28"/>
          <w:highlight w:val="none"/>
        </w:rPr>
        <w:t>纪律和监督</w:t>
      </w:r>
      <w:bookmarkEnd w:id="194"/>
      <w:bookmarkEnd w:id="195"/>
      <w:bookmarkEnd w:id="196"/>
      <w:bookmarkEnd w:id="197"/>
      <w:bookmarkEnd w:id="198"/>
      <w:bookmarkEnd w:id="199"/>
      <w:r>
        <w:rPr>
          <w:rFonts w:hint="eastAsia" w:ascii="宋体" w:hAnsi="宋体" w:eastAsia="宋体" w:cs="宋体"/>
          <w:color w:val="auto"/>
          <w:sz w:val="28"/>
          <w:szCs w:val="28"/>
          <w:highlight w:val="none"/>
        </w:rPr>
        <w:t xml:space="preserve"> </w:t>
      </w:r>
    </w:p>
    <w:p w14:paraId="697D95C0">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9.1对</w:t>
      </w:r>
      <w:r>
        <w:rPr>
          <w:rFonts w:hint="eastAsia" w:ascii="宋体" w:hAnsi="宋体" w:eastAsia="宋体" w:cs="宋体"/>
          <w:color w:val="auto"/>
          <w:szCs w:val="24"/>
          <w:highlight w:val="none"/>
          <w:lang w:eastAsia="zh-CN"/>
        </w:rPr>
        <w:t>采购人</w:t>
      </w:r>
      <w:r>
        <w:rPr>
          <w:rFonts w:hint="eastAsia" w:ascii="宋体" w:hAnsi="宋体" w:eastAsia="宋体" w:cs="宋体"/>
          <w:color w:val="auto"/>
          <w:szCs w:val="24"/>
          <w:highlight w:val="none"/>
        </w:rPr>
        <w:t xml:space="preserve">的纪律要求 </w:t>
      </w:r>
    </w:p>
    <w:p w14:paraId="6E20A36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（1）按照《中华人民共和国财政部令第87号</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政府采购货物和服务招标投标管理办法》的规定编制采购需求</w:t>
      </w:r>
      <w:r>
        <w:rPr>
          <w:rFonts w:hint="eastAsia" w:ascii="宋体" w:hAnsi="宋体" w:cs="宋体"/>
          <w:color w:val="auto"/>
          <w:sz w:val="24"/>
          <w:highlight w:val="none"/>
          <w:lang w:eastAsia="zh-CN"/>
        </w:rPr>
        <w:t>。</w:t>
      </w:r>
    </w:p>
    <w:p w14:paraId="1C877AB3">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不得向投标人索要或者接受其给予的赠品、回扣或者与采购无关的</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商品、服务</w:t>
      </w:r>
      <w:r>
        <w:rPr>
          <w:rFonts w:hint="eastAsia" w:ascii="宋体" w:hAnsi="宋体" w:cs="宋体"/>
          <w:color w:val="auto"/>
          <w:sz w:val="24"/>
          <w:highlight w:val="none"/>
          <w:lang w:eastAsia="zh-CN"/>
        </w:rPr>
        <w:t>。</w:t>
      </w:r>
    </w:p>
    <w:p w14:paraId="1FC02074">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（3）在规定时间内确定中标人的</w:t>
      </w:r>
      <w:r>
        <w:rPr>
          <w:rFonts w:hint="eastAsia" w:ascii="宋体" w:hAnsi="宋体" w:cs="宋体"/>
          <w:color w:val="auto"/>
          <w:sz w:val="24"/>
          <w:highlight w:val="none"/>
          <w:lang w:eastAsia="zh-CN"/>
        </w:rPr>
        <w:t>。</w:t>
      </w:r>
    </w:p>
    <w:p w14:paraId="771D2804">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（4）不得向中标人提出不合理要求作为签订合同条件的。 </w:t>
      </w:r>
    </w:p>
    <w:p w14:paraId="2A695E7B">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9.2对投标人的纪律要求</w:t>
      </w:r>
    </w:p>
    <w:p w14:paraId="6C3DD59E">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投标人不得相互串通投标或者与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串通投标，不得向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或者评标委员会成员行贿谋取中标，不得以他人名义投标</w:t>
      </w:r>
      <w:r>
        <w:rPr>
          <w:rFonts w:hint="eastAsia" w:ascii="宋体" w:hAnsi="宋体" w:cs="宋体"/>
          <w:color w:val="auto"/>
          <w:sz w:val="24"/>
          <w:highlight w:val="none"/>
          <w:lang w:eastAsia="zh-CN"/>
        </w:rPr>
        <w:t>或者以其他方式</w:t>
      </w:r>
      <w:r>
        <w:rPr>
          <w:rFonts w:hint="eastAsia" w:ascii="宋体" w:hAnsi="宋体" w:eastAsia="宋体" w:cs="宋体"/>
          <w:color w:val="auto"/>
          <w:sz w:val="24"/>
          <w:highlight w:val="none"/>
        </w:rPr>
        <w:t>弄虚作假骗取中标；投标人不得以任何方式干扰、影响评标工作。</w:t>
      </w:r>
    </w:p>
    <w:p w14:paraId="296EF692">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9.3对评标委员会成员的纪律要求</w:t>
      </w:r>
    </w:p>
    <w:p w14:paraId="62AC41CC">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评标委员会及其成员不得有下列行为：</w:t>
      </w:r>
    </w:p>
    <w:p w14:paraId="014F8719">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（1）确定参与评标至评标结束</w:t>
      </w:r>
      <w:r>
        <w:rPr>
          <w:rFonts w:hint="eastAsia" w:ascii="宋体" w:hAnsi="宋体" w:cs="宋体"/>
          <w:color w:val="auto"/>
          <w:sz w:val="24"/>
          <w:highlight w:val="none"/>
          <w:lang w:eastAsia="zh-CN"/>
        </w:rPr>
        <w:t>期间</w:t>
      </w:r>
      <w:r>
        <w:rPr>
          <w:rFonts w:hint="eastAsia" w:ascii="宋体" w:hAnsi="宋体" w:eastAsia="宋体" w:cs="宋体"/>
          <w:color w:val="auto"/>
          <w:sz w:val="24"/>
          <w:highlight w:val="none"/>
        </w:rPr>
        <w:t>私自接触投标人；</w:t>
      </w:r>
    </w:p>
    <w:p w14:paraId="2E656CFA">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（2）接受投标人提出的与投标文件不一致的澄清或者说明；</w:t>
      </w:r>
    </w:p>
    <w:p w14:paraId="353E9391">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（3）违反评标纪律发表倾向性意见或者征询</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的倾向性意见；</w:t>
      </w:r>
    </w:p>
    <w:p w14:paraId="441F128C">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（4）对需要专业判断的主观评审因素协商评分；</w:t>
      </w:r>
    </w:p>
    <w:p w14:paraId="2A8F76F0">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（5）在评标过程中擅离职守，影响评标程序正常进行的；</w:t>
      </w:r>
    </w:p>
    <w:p w14:paraId="1E813697">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（6）记录、复制或者带走任何评标资料；</w:t>
      </w:r>
    </w:p>
    <w:p w14:paraId="192D9B60">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不遵守评标纪律的行为。</w:t>
      </w:r>
    </w:p>
    <w:p w14:paraId="57B3553F">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评标委员会成员有前款第（1）至（7）项行为之一的，其评审意见无效，并不得获取评审劳务报酬和报销异地评审差旅费。 </w:t>
      </w:r>
    </w:p>
    <w:p w14:paraId="2BCE3836">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9.4对与评标活动有关的工作人员的纪律要求 </w:t>
      </w:r>
    </w:p>
    <w:p w14:paraId="758E0AB9">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与评标活动有关的工作人员不得收受他人的财物或者</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好处，不得向他人</w:t>
      </w:r>
      <w:r>
        <w:rPr>
          <w:rFonts w:hint="eastAsia" w:ascii="宋体" w:hAnsi="宋体" w:cs="宋体"/>
          <w:color w:val="auto"/>
          <w:sz w:val="24"/>
          <w:highlight w:val="none"/>
          <w:lang w:eastAsia="zh-CN"/>
        </w:rPr>
        <w:t>透露</w:t>
      </w:r>
      <w:r>
        <w:rPr>
          <w:rFonts w:hint="eastAsia" w:ascii="宋体" w:hAnsi="宋体" w:eastAsia="宋体" w:cs="宋体"/>
          <w:color w:val="auto"/>
          <w:sz w:val="24"/>
          <w:highlight w:val="none"/>
        </w:rPr>
        <w:t>对投标文件的评审和比较、中标候选人的推荐情况以及评标有关的</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 xml:space="preserve">情况。在评标活动中，与评标活动有关的工作人员不得擅离职守，影响评标程序正常进行。 </w:t>
      </w:r>
    </w:p>
    <w:p w14:paraId="476A259B">
      <w:pPr>
        <w:pStyle w:val="4"/>
        <w:keepLines w:val="0"/>
        <w:pageBreakBefore w:val="0"/>
        <w:widowControl w:val="0"/>
        <w:tabs>
          <w:tab w:val="left" w:pos="900"/>
        </w:tabs>
        <w:kinsoku/>
        <w:wordWrap/>
        <w:overflowPunct/>
        <w:topLinePunct w:val="0"/>
        <w:autoSpaceDE/>
        <w:autoSpaceDN/>
        <w:bidi w:val="0"/>
        <w:adjustRightInd w:val="0"/>
        <w:snapToGrid w:val="0"/>
        <w:spacing w:line="480" w:lineRule="exact"/>
        <w:ind w:firstLine="241"/>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9.5</w:t>
      </w:r>
      <w:r>
        <w:rPr>
          <w:rFonts w:hint="eastAsia" w:ascii="宋体" w:hAnsi="宋体" w:eastAsia="宋体" w:cs="宋体"/>
          <w:color w:val="auto"/>
          <w:highlight w:val="none"/>
        </w:rPr>
        <w:t>质疑及投诉</w:t>
      </w:r>
    </w:p>
    <w:p w14:paraId="376425E8">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9.5.1投标人认为招标</w:t>
      </w:r>
      <w:r>
        <w:rPr>
          <w:rFonts w:hint="eastAsia" w:ascii="宋体" w:hAnsi="宋体" w:cs="宋体"/>
          <w:color w:val="auto"/>
          <w:sz w:val="24"/>
          <w:highlight w:val="none"/>
          <w:lang w:eastAsia="zh-CN"/>
        </w:rPr>
        <w:t>文件</w:t>
      </w:r>
      <w:r>
        <w:rPr>
          <w:rFonts w:hint="eastAsia" w:ascii="宋体" w:hAnsi="宋体" w:eastAsia="宋体" w:cs="宋体"/>
          <w:color w:val="auto"/>
          <w:sz w:val="24"/>
          <w:highlight w:val="none"/>
        </w:rPr>
        <w:t>、招标过程和中标结果使自己的权益受到</w:t>
      </w:r>
      <w:r>
        <w:rPr>
          <w:rFonts w:hint="eastAsia" w:ascii="宋体" w:hAnsi="宋体" w:cs="宋体"/>
          <w:color w:val="auto"/>
          <w:sz w:val="24"/>
          <w:highlight w:val="none"/>
          <w:lang w:eastAsia="zh-CN"/>
        </w:rPr>
        <w:t>损害</w:t>
      </w:r>
      <w:r>
        <w:rPr>
          <w:rFonts w:hint="eastAsia" w:ascii="宋体" w:hAnsi="宋体" w:eastAsia="宋体" w:cs="宋体"/>
          <w:color w:val="auto"/>
          <w:sz w:val="24"/>
          <w:highlight w:val="none"/>
        </w:rPr>
        <w:t>（或者违反相关</w:t>
      </w:r>
      <w:r>
        <w:rPr>
          <w:rFonts w:hint="eastAsia" w:ascii="宋体" w:hAnsi="宋体" w:cs="宋体"/>
          <w:color w:val="auto"/>
          <w:sz w:val="24"/>
          <w:highlight w:val="none"/>
          <w:lang w:eastAsia="zh-CN"/>
        </w:rPr>
        <w:t>法律法规</w:t>
      </w:r>
      <w:r>
        <w:rPr>
          <w:rFonts w:hint="eastAsia" w:ascii="宋体" w:hAnsi="宋体" w:eastAsia="宋体" w:cs="宋体"/>
          <w:color w:val="auto"/>
          <w:sz w:val="24"/>
          <w:highlight w:val="none"/>
        </w:rPr>
        <w:t>），应当在知道或者应知其权益受到损害之日起七个工作日内，以书面形式向下列部门或</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提出质疑。质疑内容不得含有虚假、恶意成分。当事人对自己提出的主张，有责任提供证据，提出质疑时应同时提交相关证据材料和注明事实的确切来源。</w:t>
      </w:r>
    </w:p>
    <w:p w14:paraId="325C9176">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投标人在法定质疑期内一次性提出针对同一采购程序环节的质疑。</w:t>
      </w:r>
    </w:p>
    <w:p w14:paraId="27BC9B5A">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受理质疑部门：</w:t>
      </w:r>
      <w:r>
        <w:rPr>
          <w:rFonts w:hint="eastAsia" w:ascii="宋体" w:hAnsi="宋体" w:cs="宋体"/>
          <w:color w:val="auto"/>
          <w:sz w:val="24"/>
          <w:highlight w:val="none"/>
          <w:lang w:eastAsia="zh-CN"/>
        </w:rPr>
        <w:t>玉溪优午项目管理咨询有限公司</w:t>
      </w:r>
      <w:r>
        <w:rPr>
          <w:rFonts w:hint="eastAsia" w:ascii="宋体" w:hAnsi="宋体" w:eastAsia="宋体" w:cs="宋体"/>
          <w:color w:val="auto"/>
          <w:sz w:val="24"/>
          <w:highlight w:val="none"/>
        </w:rPr>
        <w:t>，联系人：</w:t>
      </w:r>
      <w:r>
        <w:rPr>
          <w:rFonts w:hint="eastAsia" w:ascii="宋体" w:hAnsi="宋体" w:cs="宋体"/>
          <w:color w:val="auto"/>
          <w:sz w:val="24"/>
          <w:highlight w:val="none"/>
          <w:u w:val="single"/>
          <w:lang w:val="en-US" w:eastAsia="zh-CN"/>
        </w:rPr>
        <w:t>陈室伯</w:t>
      </w:r>
      <w:r>
        <w:rPr>
          <w:rFonts w:hint="eastAsia" w:ascii="宋体" w:hAnsi="宋体" w:eastAsia="宋体" w:cs="宋体"/>
          <w:color w:val="auto"/>
          <w:sz w:val="24"/>
          <w:highlight w:val="none"/>
        </w:rPr>
        <w:t>；电话：</w:t>
      </w:r>
      <w:r>
        <w:rPr>
          <w:rFonts w:hint="eastAsia" w:ascii="宋体" w:hAnsi="宋体" w:cs="宋体"/>
          <w:color w:val="auto"/>
          <w:sz w:val="24"/>
          <w:highlight w:val="none"/>
          <w:u w:val="single"/>
          <w:lang w:eastAsia="zh-CN"/>
        </w:rPr>
        <w:t>18887728220。</w:t>
      </w:r>
    </w:p>
    <w:p w14:paraId="1B17F157">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9.5.2</w:t>
      </w:r>
      <w:r>
        <w:rPr>
          <w:rFonts w:hint="eastAsia" w:ascii="宋体" w:hAnsi="宋体" w:eastAsia="宋体" w:cs="宋体"/>
          <w:b/>
          <w:bCs/>
          <w:color w:val="auto"/>
          <w:sz w:val="24"/>
          <w:highlight w:val="none"/>
          <w:u w:val="single"/>
        </w:rPr>
        <w:t>投标人提供的质疑书应符合中华人民共和国财政部第94号令《政府采购质疑和投诉</w:t>
      </w:r>
      <w:r>
        <w:rPr>
          <w:rFonts w:hint="eastAsia" w:ascii="宋体" w:hAnsi="宋体" w:cs="宋体"/>
          <w:b/>
          <w:bCs/>
          <w:color w:val="auto"/>
          <w:sz w:val="24"/>
          <w:highlight w:val="none"/>
          <w:u w:val="single"/>
          <w:lang w:eastAsia="zh-CN"/>
        </w:rPr>
        <w:t>办法》</w:t>
      </w:r>
      <w:r>
        <w:rPr>
          <w:rFonts w:hint="eastAsia" w:ascii="宋体" w:hAnsi="宋体" w:eastAsia="宋体" w:cs="宋体"/>
          <w:b/>
          <w:bCs/>
          <w:color w:val="auto"/>
          <w:sz w:val="24"/>
          <w:highlight w:val="none"/>
          <w:u w:val="single"/>
        </w:rPr>
        <w:t>的规定。</w:t>
      </w:r>
      <w:r>
        <w:rPr>
          <w:rFonts w:hint="eastAsia" w:ascii="宋体" w:hAnsi="宋体" w:eastAsia="宋体" w:cs="宋体"/>
          <w:color w:val="auto"/>
          <w:sz w:val="24"/>
          <w:highlight w:val="none"/>
        </w:rPr>
        <w:t>投标人提供的质疑书（如材料中有外文资料应同时附上中文译本）应当包括以下主要内容：</w:t>
      </w:r>
    </w:p>
    <w:p w14:paraId="7ACD298F">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的姓名或者名称、地址、邮编、联系人及联系电话；（2）质疑项目的名称、编号；（3）具体、明确的质疑事项和与质疑事项相关的请求；（4）事实依据；（5）必要的法律依据；（6）提出质疑的日期。</w:t>
      </w:r>
    </w:p>
    <w:p w14:paraId="3031EBDF">
      <w:pPr>
        <w:keepLines w:val="0"/>
        <w:pageBreakBefore w:val="0"/>
        <w:widowControl w:val="0"/>
        <w:kinsoku/>
        <w:wordWrap/>
        <w:overflowPunct/>
        <w:topLinePunct w:val="0"/>
        <w:autoSpaceDE/>
        <w:autoSpaceDN/>
        <w:bidi w:val="0"/>
        <w:adjustRightInd w:val="0"/>
        <w:snapToGrid w:val="0"/>
        <w:spacing w:line="480" w:lineRule="exact"/>
        <w:ind w:firstLine="482" w:firstLineChars="200"/>
        <w:jc w:val="left"/>
        <w:textAlignment w:val="auto"/>
        <w:rPr>
          <w:rFonts w:hint="eastAsia" w:ascii="宋体" w:hAnsi="宋体" w:eastAsia="宋体" w:cs="宋体"/>
          <w:b/>
          <w:bCs/>
          <w:color w:val="auto"/>
          <w:sz w:val="24"/>
          <w:highlight w:val="none"/>
          <w:u w:val="single"/>
        </w:rPr>
      </w:pPr>
      <w:r>
        <w:rPr>
          <w:rFonts w:hint="eastAsia" w:ascii="宋体" w:hAnsi="宋体" w:eastAsia="宋体" w:cs="宋体"/>
          <w:b/>
          <w:color w:val="auto"/>
          <w:sz w:val="24"/>
          <w:highlight w:val="none"/>
          <w:u w:val="single"/>
        </w:rPr>
        <w:t>投标人</w:t>
      </w:r>
      <w:r>
        <w:rPr>
          <w:rFonts w:hint="eastAsia" w:ascii="宋体" w:hAnsi="宋体" w:eastAsia="宋体" w:cs="宋体"/>
          <w:b/>
          <w:bCs/>
          <w:color w:val="auto"/>
          <w:sz w:val="24"/>
          <w:highlight w:val="none"/>
          <w:u w:val="single"/>
        </w:rPr>
        <w:t>为自然人的，应当由本人签字；投标人为法人或者</w:t>
      </w:r>
      <w:r>
        <w:rPr>
          <w:rFonts w:hint="eastAsia" w:ascii="宋体" w:hAnsi="宋体" w:cs="宋体"/>
          <w:b/>
          <w:bCs/>
          <w:color w:val="auto"/>
          <w:sz w:val="24"/>
          <w:highlight w:val="none"/>
          <w:u w:val="single"/>
          <w:lang w:eastAsia="zh-CN"/>
        </w:rPr>
        <w:t>其他</w:t>
      </w:r>
      <w:r>
        <w:rPr>
          <w:rFonts w:hint="eastAsia" w:ascii="宋体" w:hAnsi="宋体" w:eastAsia="宋体" w:cs="宋体"/>
          <w:b/>
          <w:bCs/>
          <w:color w:val="auto"/>
          <w:sz w:val="24"/>
          <w:highlight w:val="none"/>
          <w:u w:val="single"/>
        </w:rPr>
        <w:t>组织的，应当由法定代表人、主要负责人，或者其授权代表签字或者盖章，并加盖公章。</w:t>
      </w:r>
    </w:p>
    <w:p w14:paraId="14E8A86F">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9.5.3</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将在收到投标人的书面质疑后七个工作日内作出答复，但答复的内容不涉及商业秘密。</w:t>
      </w:r>
    </w:p>
    <w:p w14:paraId="26BA3B42">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9.5.4参与政府采购活动的投标人对评审过程或者结果提出质疑的，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可以组织原评审委员会协助处理质疑事项，并依据评审委员会出具的意见进行答复。质疑答复导致中标或中标结果改变的，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应当将相关情况报政府采购主管部门备案。</w:t>
      </w:r>
    </w:p>
    <w:p w14:paraId="02A2AA03">
      <w:pPr>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9.5.5投诉</w:t>
      </w:r>
    </w:p>
    <w:p w14:paraId="29B9141B">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质疑投标人对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的答复不满意，或者</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未在规定时间内作出答复的，可以在答复期满后15个工作日内向政府采购主管部门提出投诉。</w:t>
      </w:r>
    </w:p>
    <w:p w14:paraId="6B2E696E">
      <w:pPr>
        <w:pStyle w:val="3"/>
        <w:keepLines w:val="0"/>
        <w:pageBreakBefore w:val="0"/>
        <w:widowControl w:val="0"/>
        <w:tabs>
          <w:tab w:val="left" w:pos="1021"/>
        </w:tabs>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highlight w:val="none"/>
        </w:rPr>
      </w:pPr>
      <w:bookmarkStart w:id="200" w:name="_Toc22411"/>
      <w:bookmarkStart w:id="201" w:name="_Toc10741"/>
      <w:bookmarkStart w:id="202" w:name="_Toc1831"/>
      <w:bookmarkStart w:id="203" w:name="_Toc25119"/>
      <w:bookmarkStart w:id="204" w:name="_Toc13571"/>
      <w:bookmarkStart w:id="205" w:name="_Toc18952"/>
      <w:r>
        <w:rPr>
          <w:rFonts w:hint="eastAsia" w:ascii="宋体" w:hAnsi="宋体" w:eastAsia="宋体" w:cs="宋体"/>
          <w:color w:val="auto"/>
          <w:highlight w:val="none"/>
        </w:rPr>
        <w:t>10.是否采用电子招标投标</w:t>
      </w:r>
      <w:bookmarkEnd w:id="200"/>
      <w:bookmarkEnd w:id="201"/>
      <w:bookmarkEnd w:id="202"/>
      <w:bookmarkEnd w:id="203"/>
      <w:bookmarkEnd w:id="204"/>
      <w:bookmarkEnd w:id="205"/>
      <w:r>
        <w:rPr>
          <w:rFonts w:hint="eastAsia" w:ascii="宋体" w:hAnsi="宋体" w:eastAsia="宋体" w:cs="宋体"/>
          <w:color w:val="auto"/>
          <w:highlight w:val="none"/>
        </w:rPr>
        <w:t xml:space="preserve"> </w:t>
      </w:r>
    </w:p>
    <w:p w14:paraId="4A9444B0">
      <w:pPr>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本招标项目采用电子招标投标方式。</w:t>
      </w:r>
    </w:p>
    <w:p w14:paraId="67E6AC96">
      <w:pPr>
        <w:pStyle w:val="3"/>
        <w:keepLines w:val="0"/>
        <w:pageBreakBefore w:val="0"/>
        <w:tabs>
          <w:tab w:val="left" w:pos="1021"/>
        </w:tabs>
        <w:kinsoku/>
        <w:wordWrap/>
        <w:overflowPunct/>
        <w:topLinePunct w:val="0"/>
        <w:autoSpaceDE/>
        <w:autoSpaceDN/>
        <w:bidi w:val="0"/>
        <w:adjustRightInd w:val="0"/>
        <w:snapToGrid w:val="0"/>
        <w:spacing w:line="480" w:lineRule="exact"/>
        <w:rPr>
          <w:rFonts w:hint="eastAsia" w:ascii="宋体" w:hAnsi="宋体" w:eastAsia="宋体" w:cs="宋体"/>
          <w:color w:val="auto"/>
          <w:highlight w:val="none"/>
        </w:rPr>
      </w:pPr>
      <w:bookmarkStart w:id="206" w:name="_Toc2980"/>
      <w:bookmarkStart w:id="207" w:name="_Toc13668"/>
      <w:bookmarkStart w:id="208" w:name="_Toc4580"/>
      <w:bookmarkStart w:id="209" w:name="_Toc19662"/>
      <w:bookmarkStart w:id="210" w:name="_Toc1031"/>
      <w:bookmarkStart w:id="211" w:name="_Toc10165"/>
      <w:r>
        <w:rPr>
          <w:rFonts w:hint="eastAsia" w:ascii="宋体" w:hAnsi="宋体" w:eastAsia="宋体" w:cs="宋体"/>
          <w:color w:val="auto"/>
          <w:highlight w:val="none"/>
        </w:rPr>
        <w:t>11.需要补充的</w:t>
      </w:r>
      <w:r>
        <w:rPr>
          <w:rFonts w:hint="eastAsia" w:hAnsi="宋体" w:cs="宋体"/>
          <w:color w:val="auto"/>
          <w:highlight w:val="none"/>
          <w:lang w:eastAsia="zh-CN"/>
        </w:rPr>
        <w:t>其他</w:t>
      </w:r>
      <w:r>
        <w:rPr>
          <w:rFonts w:hint="eastAsia" w:ascii="宋体" w:hAnsi="宋体" w:eastAsia="宋体" w:cs="宋体"/>
          <w:color w:val="auto"/>
          <w:highlight w:val="none"/>
        </w:rPr>
        <w:t>内容</w:t>
      </w:r>
      <w:bookmarkEnd w:id="206"/>
      <w:bookmarkEnd w:id="207"/>
      <w:bookmarkEnd w:id="208"/>
      <w:bookmarkEnd w:id="209"/>
      <w:bookmarkEnd w:id="210"/>
      <w:bookmarkEnd w:id="211"/>
    </w:p>
    <w:p w14:paraId="66412A68">
      <w:pPr>
        <w:keepLines w:val="0"/>
        <w:pageBreakBefore w:val="0"/>
        <w:kinsoku/>
        <w:wordWrap/>
        <w:overflowPunct/>
        <w:topLinePunct w:val="0"/>
        <w:autoSpaceDE/>
        <w:autoSpaceDN/>
        <w:bidi w:val="0"/>
        <w:adjustRightInd w:val="0"/>
        <w:snapToGrid w:val="0"/>
        <w:spacing w:line="480" w:lineRule="exact"/>
        <w:ind w:firstLine="480" w:firstLineChars="200"/>
        <w:jc w:val="left"/>
        <w:rPr>
          <w:rFonts w:hint="eastAsia" w:ascii="宋体" w:hAnsi="宋体" w:eastAsia="宋体" w:cs="宋体"/>
          <w:b/>
          <w:bCs/>
          <w:color w:val="auto"/>
          <w:kern w:val="2"/>
          <w:sz w:val="32"/>
          <w:szCs w:val="24"/>
          <w:highlight w:val="none"/>
          <w:lang w:val="en-US" w:eastAsia="zh-CN" w:bidi="ar-SA"/>
        </w:rPr>
      </w:pPr>
      <w:r>
        <w:rPr>
          <w:rFonts w:hint="eastAsia" w:ascii="宋体" w:hAnsi="宋体" w:eastAsia="宋体" w:cs="宋体"/>
          <w:color w:val="auto"/>
          <w:sz w:val="24"/>
          <w:highlight w:val="none"/>
        </w:rPr>
        <w:t>需要补充的</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内容：见投标人须知前附表。</w:t>
      </w:r>
      <w:bookmarkStart w:id="212" w:name="_Toc27667"/>
      <w:bookmarkStart w:id="213" w:name="_Toc21868"/>
    </w:p>
    <w:p w14:paraId="41E95377">
      <w:pPr>
        <w:rPr>
          <w:rFonts w:hint="eastAsia" w:ascii="宋体" w:hAnsi="宋体" w:eastAsia="宋体" w:cs="宋体"/>
          <w:b/>
          <w:bCs/>
          <w:color w:val="auto"/>
          <w:kern w:val="2"/>
          <w:sz w:val="32"/>
          <w:szCs w:val="24"/>
          <w:highlight w:val="none"/>
          <w:lang w:val="en-US" w:eastAsia="zh-CN" w:bidi="ar-SA"/>
        </w:rPr>
      </w:pPr>
      <w:r>
        <w:rPr>
          <w:rFonts w:hint="eastAsia" w:ascii="宋体" w:hAnsi="宋体" w:eastAsia="宋体" w:cs="宋体"/>
          <w:b/>
          <w:bCs/>
          <w:color w:val="auto"/>
          <w:kern w:val="2"/>
          <w:sz w:val="32"/>
          <w:szCs w:val="24"/>
          <w:highlight w:val="none"/>
          <w:lang w:val="en-US" w:eastAsia="zh-CN" w:bidi="ar-SA"/>
        </w:rPr>
        <w:br w:type="page"/>
      </w:r>
    </w:p>
    <w:p w14:paraId="7A2755DF">
      <w:pPr>
        <w:pStyle w:val="2"/>
        <w:keepLines w:val="0"/>
        <w:pageBreakBefore w:val="0"/>
        <w:numPr>
          <w:ilvl w:val="0"/>
          <w:numId w:val="0"/>
        </w:numPr>
        <w:kinsoku/>
        <w:overflowPunct/>
        <w:topLinePunct w:val="0"/>
        <w:bidi w:val="0"/>
        <w:spacing w:line="480" w:lineRule="exact"/>
        <w:rPr>
          <w:rFonts w:hint="eastAsia" w:ascii="宋体" w:hAnsi="宋体" w:eastAsia="宋体" w:cs="宋体"/>
          <w:color w:val="auto"/>
          <w:sz w:val="44"/>
          <w:szCs w:val="44"/>
          <w:highlight w:val="none"/>
          <w:lang w:eastAsia="zh-CN"/>
        </w:rPr>
      </w:pPr>
      <w:bookmarkStart w:id="214" w:name="_Toc28462"/>
      <w:r>
        <w:rPr>
          <w:rFonts w:hint="eastAsia" w:ascii="宋体" w:hAnsi="宋体" w:eastAsia="宋体" w:cs="宋体"/>
          <w:color w:val="auto"/>
          <w:sz w:val="44"/>
          <w:szCs w:val="44"/>
          <w:highlight w:val="none"/>
          <w:lang w:val="en-US" w:eastAsia="zh-CN"/>
        </w:rPr>
        <w:t xml:space="preserve">第三章 </w:t>
      </w:r>
      <w:r>
        <w:rPr>
          <w:rFonts w:hint="eastAsia" w:ascii="宋体" w:hAnsi="宋体" w:eastAsia="宋体" w:cs="宋体"/>
          <w:color w:val="auto"/>
          <w:sz w:val="44"/>
          <w:szCs w:val="44"/>
          <w:highlight w:val="none"/>
        </w:rPr>
        <w:t>拟签订的合同文本</w:t>
      </w:r>
      <w:bookmarkEnd w:id="212"/>
      <w:bookmarkEnd w:id="213"/>
      <w:bookmarkEnd w:id="214"/>
    </w:p>
    <w:p w14:paraId="07FD26ED">
      <w:pPr>
        <w:spacing w:line="360" w:lineRule="auto"/>
        <w:ind w:left="397" w:leftChars="189" w:right="-48" w:rightChars="-23"/>
        <w:jc w:val="center"/>
        <w:rPr>
          <w:rFonts w:hint="eastAsia" w:ascii="宋体" w:hAnsi="宋体" w:eastAsia="宋体" w:cs="宋体"/>
          <w:color w:val="auto"/>
          <w:sz w:val="24"/>
          <w:highlight w:val="none"/>
        </w:rPr>
      </w:pPr>
    </w:p>
    <w:p w14:paraId="0DCBB53D">
      <w:pPr>
        <w:spacing w:line="360" w:lineRule="auto"/>
        <w:ind w:left="397" w:leftChars="189" w:right="-48" w:rightChars="-2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（本合同文本仅供参考，具体由</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及中标人最终商定，但不能改变招标文件、投标文件的实质性条件）</w:t>
      </w:r>
    </w:p>
    <w:p w14:paraId="59A6D3A6">
      <w:pPr>
        <w:rPr>
          <w:rFonts w:hint="eastAsia" w:ascii="宋体" w:hAnsi="宋体" w:eastAsia="宋体" w:cs="宋体"/>
          <w:color w:val="auto"/>
          <w:sz w:val="24"/>
          <w:highlight w:val="none"/>
        </w:rPr>
      </w:pPr>
    </w:p>
    <w:p w14:paraId="475A3FD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                         招标编号：</w:t>
      </w:r>
    </w:p>
    <w:p w14:paraId="2FF016FC">
      <w:pPr>
        <w:pStyle w:val="5"/>
        <w:ind w:firstLine="0"/>
        <w:rPr>
          <w:rFonts w:hint="eastAsia" w:ascii="宋体" w:hAnsi="宋体" w:eastAsia="宋体" w:cs="宋体"/>
          <w:color w:val="auto"/>
          <w:kern w:val="0"/>
          <w:sz w:val="24"/>
          <w:szCs w:val="24"/>
          <w:highlight w:val="none"/>
        </w:rPr>
      </w:pPr>
    </w:p>
    <w:p w14:paraId="6F9E9291">
      <w:pPr>
        <w:pStyle w:val="5"/>
        <w:ind w:firstLine="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●本合同须加盖甲乙双方骑缝章有效</w:t>
      </w:r>
    </w:p>
    <w:p w14:paraId="42DD4A4E">
      <w:pPr>
        <w:pStyle w:val="5"/>
        <w:ind w:firstLine="0"/>
        <w:rPr>
          <w:rFonts w:hint="eastAsia" w:ascii="宋体" w:hAnsi="宋体" w:eastAsia="宋体" w:cs="宋体"/>
          <w:color w:val="auto"/>
          <w:kern w:val="0"/>
          <w:sz w:val="24"/>
          <w:szCs w:val="24"/>
          <w:highlight w:val="none"/>
        </w:rPr>
      </w:pPr>
    </w:p>
    <w:p w14:paraId="0AF4555D">
      <w:pPr>
        <w:pStyle w:val="5"/>
        <w:ind w:firstLine="0"/>
        <w:rPr>
          <w:rFonts w:hint="eastAsia" w:ascii="宋体" w:hAnsi="宋体" w:eastAsia="宋体" w:cs="宋体"/>
          <w:color w:val="auto"/>
          <w:kern w:val="0"/>
          <w:sz w:val="24"/>
          <w:szCs w:val="24"/>
          <w:highlight w:val="none"/>
        </w:rPr>
      </w:pPr>
    </w:p>
    <w:p w14:paraId="0259FBA4">
      <w:pPr>
        <w:pStyle w:val="5"/>
        <w:ind w:firstLine="0"/>
        <w:rPr>
          <w:rFonts w:hint="eastAsia" w:ascii="宋体" w:hAnsi="宋体" w:eastAsia="宋体" w:cs="宋体"/>
          <w:color w:val="auto"/>
          <w:kern w:val="0"/>
          <w:sz w:val="24"/>
          <w:szCs w:val="24"/>
          <w:highlight w:val="none"/>
        </w:rPr>
      </w:pPr>
    </w:p>
    <w:p w14:paraId="678D91C5">
      <w:pPr>
        <w:snapToGrid w:val="0"/>
        <w:spacing w:line="288" w:lineRule="auto"/>
        <w:jc w:val="center"/>
        <w:rPr>
          <w:rFonts w:hint="eastAsia" w:ascii="Cambria Math" w:hAnsi="Cambria Math" w:eastAsia="宋体"/>
          <w:b/>
          <w:color w:val="auto"/>
          <w:sz w:val="36"/>
          <w:szCs w:val="36"/>
          <w:highlight w:val="none"/>
          <w:lang w:eastAsia="zh-CN"/>
        </w:rPr>
      </w:pPr>
      <w:r>
        <w:rPr>
          <w:rFonts w:hint="eastAsia" w:ascii="Cambria Math" w:hAnsi="Cambria Math"/>
          <w:b/>
          <w:color w:val="auto"/>
          <w:sz w:val="36"/>
          <w:szCs w:val="36"/>
          <w:highlight w:val="none"/>
          <w:lang w:eastAsia="zh-CN"/>
        </w:rPr>
        <w:t>易门县环卫站购买县城环卫市政服务项目</w:t>
      </w:r>
    </w:p>
    <w:p w14:paraId="50642A7A">
      <w:pPr>
        <w:pStyle w:val="5"/>
        <w:ind w:firstLine="0"/>
        <w:rPr>
          <w:rFonts w:hint="eastAsia" w:ascii="宋体" w:hAnsi="宋体" w:eastAsia="宋体" w:cs="宋体"/>
          <w:color w:val="auto"/>
          <w:kern w:val="0"/>
          <w:sz w:val="24"/>
          <w:szCs w:val="24"/>
          <w:highlight w:val="none"/>
        </w:rPr>
      </w:pPr>
    </w:p>
    <w:p w14:paraId="4A9846D4">
      <w:pPr>
        <w:pStyle w:val="5"/>
        <w:ind w:firstLine="0"/>
        <w:rPr>
          <w:rFonts w:hint="eastAsia" w:ascii="宋体" w:hAnsi="宋体" w:eastAsia="宋体" w:cs="宋体"/>
          <w:color w:val="auto"/>
          <w:kern w:val="0"/>
          <w:sz w:val="24"/>
          <w:szCs w:val="24"/>
          <w:highlight w:val="none"/>
        </w:rPr>
      </w:pPr>
    </w:p>
    <w:p w14:paraId="3FDD6AAD">
      <w:pPr>
        <w:pStyle w:val="5"/>
        <w:ind w:firstLine="0"/>
        <w:rPr>
          <w:rFonts w:hint="eastAsia" w:ascii="宋体" w:hAnsi="宋体" w:eastAsia="宋体" w:cs="宋体"/>
          <w:color w:val="auto"/>
          <w:kern w:val="0"/>
          <w:sz w:val="24"/>
          <w:szCs w:val="24"/>
          <w:highlight w:val="none"/>
        </w:rPr>
      </w:pPr>
    </w:p>
    <w:p w14:paraId="649600A6">
      <w:pPr>
        <w:pStyle w:val="5"/>
        <w:ind w:firstLine="0"/>
        <w:jc w:val="center"/>
        <w:rPr>
          <w:rFonts w:hint="eastAsia" w:ascii="宋体" w:hAnsi="宋体" w:eastAsia="宋体" w:cs="宋体"/>
          <w:color w:val="auto"/>
          <w:kern w:val="0"/>
          <w:sz w:val="44"/>
          <w:szCs w:val="44"/>
          <w:highlight w:val="none"/>
        </w:rPr>
      </w:pPr>
      <w:r>
        <w:rPr>
          <w:rFonts w:hint="eastAsia" w:ascii="宋体" w:hAnsi="宋体" w:eastAsia="宋体" w:cs="宋体"/>
          <w:color w:val="auto"/>
          <w:kern w:val="0"/>
          <w:sz w:val="44"/>
          <w:szCs w:val="44"/>
          <w:highlight w:val="none"/>
        </w:rPr>
        <w:t>云南省省级政府采购</w:t>
      </w:r>
    </w:p>
    <w:p w14:paraId="6A1B4FAD">
      <w:pPr>
        <w:pStyle w:val="5"/>
        <w:ind w:firstLine="0"/>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（委托采购）</w:t>
      </w:r>
    </w:p>
    <w:p w14:paraId="71C50B46">
      <w:pPr>
        <w:rPr>
          <w:rFonts w:hint="eastAsia" w:ascii="宋体" w:hAnsi="宋体" w:eastAsia="宋体" w:cs="宋体"/>
          <w:color w:val="auto"/>
          <w:sz w:val="24"/>
          <w:szCs w:val="24"/>
          <w:highlight w:val="none"/>
        </w:rPr>
      </w:pPr>
    </w:p>
    <w:p w14:paraId="154B2914">
      <w:pPr>
        <w:pStyle w:val="5"/>
        <w:rPr>
          <w:rFonts w:hint="eastAsia" w:ascii="宋体" w:hAnsi="宋体" w:eastAsia="宋体" w:cs="宋体"/>
          <w:color w:val="auto"/>
          <w:sz w:val="24"/>
          <w:szCs w:val="24"/>
          <w:highlight w:val="none"/>
        </w:rPr>
      </w:pPr>
    </w:p>
    <w:p w14:paraId="117CAA60">
      <w:pPr>
        <w:pStyle w:val="5"/>
        <w:jc w:val="center"/>
        <w:outlineLvl w:val="9"/>
        <w:rPr>
          <w:rFonts w:hint="eastAsia" w:ascii="宋体" w:hAnsi="宋体" w:eastAsia="宋体" w:cs="宋体"/>
          <w:b/>
          <w:bCs/>
          <w:color w:val="auto"/>
          <w:sz w:val="84"/>
          <w:szCs w:val="84"/>
          <w:highlight w:val="none"/>
        </w:rPr>
      </w:pPr>
      <w:bookmarkStart w:id="215" w:name="_Toc30492"/>
      <w:r>
        <w:rPr>
          <w:rFonts w:hint="eastAsia" w:ascii="宋体" w:hAnsi="宋体" w:eastAsia="宋体" w:cs="宋体"/>
          <w:b/>
          <w:bCs/>
          <w:color w:val="auto"/>
          <w:sz w:val="84"/>
          <w:szCs w:val="84"/>
          <w:highlight w:val="none"/>
        </w:rPr>
        <w:t>合</w:t>
      </w:r>
      <w:bookmarkEnd w:id="215"/>
    </w:p>
    <w:p w14:paraId="1F66FB7D">
      <w:pPr>
        <w:pStyle w:val="5"/>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同</w:t>
      </w:r>
    </w:p>
    <w:p w14:paraId="2E5AAD44">
      <w:pPr>
        <w:pStyle w:val="5"/>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书</w:t>
      </w:r>
    </w:p>
    <w:p w14:paraId="04B88498">
      <w:pPr>
        <w:pStyle w:val="5"/>
        <w:rPr>
          <w:rFonts w:hint="eastAsia" w:ascii="宋体" w:hAnsi="宋体" w:eastAsia="宋体" w:cs="宋体"/>
          <w:color w:val="auto"/>
          <w:sz w:val="24"/>
          <w:szCs w:val="24"/>
          <w:highlight w:val="none"/>
        </w:rPr>
      </w:pPr>
    </w:p>
    <w:p w14:paraId="5E43D9EE">
      <w:pPr>
        <w:pStyle w:val="5"/>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签订地点：</w:t>
      </w:r>
    </w:p>
    <w:p w14:paraId="22304CB9">
      <w:pPr>
        <w:pStyle w:val="5"/>
        <w:rPr>
          <w:rFonts w:hint="eastAsia" w:ascii="宋体" w:hAnsi="宋体" w:eastAsia="宋体" w:cs="宋体"/>
          <w:color w:val="auto"/>
          <w:sz w:val="24"/>
          <w:szCs w:val="24"/>
          <w:highlight w:val="none"/>
        </w:rPr>
      </w:pPr>
    </w:p>
    <w:p w14:paraId="1F6048CA">
      <w:pPr>
        <w:pStyle w:val="5"/>
        <w:jc w:val="center"/>
        <w:rPr>
          <w:rStyle w:val="31"/>
          <w:rFonts w:hint="eastAsia" w:ascii="宋体" w:hAnsi="宋体" w:eastAsia="宋体" w:cs="宋体"/>
          <w:color w:val="auto"/>
          <w:sz w:val="28"/>
          <w:szCs w:val="28"/>
          <w:highlight w:val="none"/>
        </w:rPr>
      </w:pPr>
    </w:p>
    <w:p w14:paraId="59391B65">
      <w:pPr>
        <w:pStyle w:val="5"/>
        <w:ind w:left="0" w:leftChars="0" w:firstLine="0" w:firstLineChars="0"/>
        <w:jc w:val="center"/>
        <w:rPr>
          <w:rFonts w:hint="eastAsia" w:ascii="宋体" w:hAnsi="宋体" w:eastAsia="宋体" w:cs="宋体"/>
          <w:color w:val="auto"/>
          <w:sz w:val="28"/>
          <w:szCs w:val="28"/>
          <w:highlight w:val="none"/>
        </w:rPr>
      </w:pPr>
      <w:r>
        <w:rPr>
          <w:rStyle w:val="31"/>
          <w:rFonts w:hint="eastAsia" w:ascii="宋体" w:hAnsi="宋体" w:eastAsia="宋体" w:cs="宋体"/>
          <w:color w:val="auto"/>
          <w:sz w:val="28"/>
          <w:szCs w:val="28"/>
          <w:highlight w:val="none"/>
        </w:rPr>
        <w:t>云南省财政厅　制</w:t>
      </w:r>
    </w:p>
    <w:p w14:paraId="29B6415A">
      <w:pPr>
        <w:spacing w:line="360" w:lineRule="auto"/>
        <w:rPr>
          <w:rFonts w:hint="eastAsia" w:ascii="宋体" w:hAnsi="宋体" w:eastAsia="宋体" w:cs="宋体"/>
          <w:b/>
          <w:color w:val="auto"/>
          <w:sz w:val="28"/>
          <w:szCs w:val="28"/>
          <w:highlight w:val="none"/>
        </w:rPr>
      </w:pPr>
    </w:p>
    <w:p w14:paraId="1AC79674">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【签字页】</w:t>
      </w:r>
    </w:p>
    <w:p w14:paraId="46DB0655">
      <w:pPr>
        <w:spacing w:line="360" w:lineRule="auto"/>
        <w:rPr>
          <w:rFonts w:hint="eastAsia" w:ascii="宋体" w:hAnsi="宋体" w:eastAsia="宋体" w:cs="宋体"/>
          <w:b/>
          <w:color w:val="auto"/>
          <w:sz w:val="24"/>
          <w:highlight w:val="none"/>
        </w:rPr>
      </w:pPr>
    </w:p>
    <w:p w14:paraId="32501A82">
      <w:pPr>
        <w:spacing w:line="360" w:lineRule="auto"/>
        <w:ind w:left="2880" w:hanging="2891" w:hangingChars="1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甲方（</w:t>
      </w:r>
      <w:r>
        <w:rPr>
          <w:rFonts w:hint="eastAsia" w:ascii="宋体" w:hAnsi="宋体" w:eastAsia="宋体" w:cs="宋体"/>
          <w:b/>
          <w:color w:val="auto"/>
          <w:sz w:val="24"/>
          <w:highlight w:val="none"/>
          <w:lang w:eastAsia="zh-CN"/>
        </w:rPr>
        <w:t>采购人</w:t>
      </w:r>
      <w:r>
        <w:rPr>
          <w:rFonts w:hint="eastAsia" w:ascii="宋体" w:hAnsi="宋体" w:eastAsia="宋体" w:cs="宋体"/>
          <w:b/>
          <w:color w:val="auto"/>
          <w:sz w:val="24"/>
          <w:highlight w:val="none"/>
        </w:rPr>
        <w:t>公章）名 称：</w:t>
      </w:r>
      <w:r>
        <w:rPr>
          <w:rFonts w:hint="eastAsia" w:ascii="宋体" w:hAnsi="宋体" w:cs="宋体"/>
          <w:b/>
          <w:color w:val="auto"/>
          <w:sz w:val="24"/>
          <w:highlight w:val="none"/>
          <w:lang w:eastAsia="zh-CN"/>
        </w:rPr>
        <w:t>易门县环卫站</w:t>
      </w:r>
    </w:p>
    <w:p w14:paraId="18CA1471">
      <w:pPr>
        <w:spacing w:line="360" w:lineRule="auto"/>
        <w:ind w:left="2886" w:leftChars="1030" w:hanging="723" w:hangingChars="300"/>
        <w:rPr>
          <w:rFonts w:hint="eastAsia" w:ascii="宋体" w:hAnsi="宋体" w:eastAsia="宋体" w:cs="宋体"/>
          <w:color w:val="auto"/>
          <w:sz w:val="24"/>
          <w:highlight w:val="none"/>
          <w:lang w:val="en-US" w:eastAsia="zh-CN"/>
        </w:rPr>
      </w:pPr>
      <w:r>
        <w:rPr>
          <w:rFonts w:hint="eastAsia" w:ascii="宋体" w:hAnsi="宋体" w:eastAsia="宋体" w:cs="宋体"/>
          <w:b/>
          <w:color w:val="auto"/>
          <w:sz w:val="24"/>
          <w:highlight w:val="none"/>
        </w:rPr>
        <w:t>地 址：</w:t>
      </w:r>
      <w:r>
        <w:rPr>
          <w:rFonts w:hint="eastAsia" w:ascii="宋体" w:hAnsi="宋体" w:cs="宋体"/>
          <w:b/>
          <w:color w:val="auto"/>
          <w:sz w:val="24"/>
          <w:highlight w:val="none"/>
          <w:lang w:eastAsia="zh-CN"/>
        </w:rPr>
        <w:t>易门县皇阁苑小区东门西南100米</w:t>
      </w:r>
    </w:p>
    <w:p w14:paraId="7B977DBB">
      <w:pPr>
        <w:spacing w:line="360" w:lineRule="auto"/>
        <w:ind w:firstLine="2168" w:firstLineChars="900"/>
        <w:rPr>
          <w:rFonts w:hint="default" w:ascii="宋体" w:hAnsi="宋体" w:eastAsia="宋体" w:cs="宋体"/>
          <w:color w:val="auto"/>
          <w:sz w:val="24"/>
          <w:highlight w:val="none"/>
          <w:lang w:val="en-US" w:eastAsia="zh-CN"/>
        </w:rPr>
      </w:pPr>
      <w:r>
        <w:rPr>
          <w:rFonts w:hint="eastAsia" w:ascii="宋体" w:hAnsi="宋体" w:eastAsia="宋体" w:cs="宋体"/>
          <w:b/>
          <w:color w:val="auto"/>
          <w:sz w:val="24"/>
          <w:highlight w:val="none"/>
        </w:rPr>
        <w:t>邮 编：</w:t>
      </w:r>
    </w:p>
    <w:p w14:paraId="384CD640">
      <w:pPr>
        <w:spacing w:line="360" w:lineRule="auto"/>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法定代表人或委托代理人：</w:t>
      </w:r>
    </w:p>
    <w:p w14:paraId="6570E96B">
      <w:pPr>
        <w:spacing w:line="360" w:lineRule="auto"/>
        <w:ind w:firstLine="723" w:firstLineChars="3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项目（技术）负责人：</w:t>
      </w:r>
    </w:p>
    <w:p w14:paraId="48C4B333">
      <w:pPr>
        <w:spacing w:line="360" w:lineRule="auto"/>
        <w:ind w:firstLine="2168" w:firstLineChars="900"/>
        <w:rPr>
          <w:rFonts w:hint="eastAsia" w:ascii="宋体" w:hAnsi="宋体" w:eastAsia="宋体" w:cs="宋体"/>
          <w:color w:val="auto"/>
          <w:sz w:val="24"/>
          <w:highlight w:val="none"/>
        </w:rPr>
      </w:pPr>
      <w:r>
        <w:rPr>
          <w:rFonts w:hint="eastAsia" w:ascii="宋体" w:hAnsi="宋体" w:eastAsia="宋体" w:cs="宋体"/>
          <w:b/>
          <w:color w:val="auto"/>
          <w:sz w:val="24"/>
          <w:highlight w:val="none"/>
        </w:rPr>
        <w:t>电 话：</w:t>
      </w:r>
    </w:p>
    <w:p w14:paraId="60E2858C">
      <w:pPr>
        <w:spacing w:line="360" w:lineRule="auto"/>
        <w:ind w:firstLine="1928" w:firstLineChars="8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签订日期：  </w:t>
      </w:r>
    </w:p>
    <w:p w14:paraId="77781488">
      <w:pPr>
        <w:spacing w:line="360" w:lineRule="auto"/>
        <w:ind w:firstLine="1928" w:firstLineChars="800"/>
        <w:rPr>
          <w:rFonts w:hint="eastAsia" w:ascii="宋体" w:hAnsi="宋体" w:eastAsia="宋体" w:cs="宋体"/>
          <w:b/>
          <w:color w:val="auto"/>
          <w:sz w:val="24"/>
          <w:highlight w:val="none"/>
        </w:rPr>
      </w:pPr>
    </w:p>
    <w:p w14:paraId="63287333">
      <w:pPr>
        <w:spacing w:line="360" w:lineRule="auto"/>
        <w:rPr>
          <w:rFonts w:hint="eastAsia" w:ascii="宋体" w:hAnsi="宋体" w:eastAsia="宋体" w:cs="宋体"/>
          <w:b/>
          <w:color w:val="auto"/>
          <w:sz w:val="24"/>
          <w:highlight w:val="none"/>
        </w:rPr>
      </w:pPr>
    </w:p>
    <w:p w14:paraId="7B5FC237">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乙方（</w:t>
      </w:r>
      <w:r>
        <w:rPr>
          <w:rFonts w:hint="eastAsia" w:ascii="宋体" w:hAnsi="宋体" w:cs="宋体"/>
          <w:b/>
          <w:color w:val="auto"/>
          <w:sz w:val="24"/>
          <w:highlight w:val="none"/>
          <w:lang w:val="en-US" w:eastAsia="zh-CN"/>
        </w:rPr>
        <w:t>中标</w:t>
      </w:r>
      <w:r>
        <w:rPr>
          <w:rFonts w:hint="eastAsia" w:ascii="宋体" w:hAnsi="宋体" w:cs="宋体"/>
          <w:b/>
          <w:color w:val="auto"/>
          <w:sz w:val="24"/>
          <w:highlight w:val="none"/>
          <w:lang w:eastAsia="zh-CN"/>
        </w:rPr>
        <w:t>人</w:t>
      </w:r>
      <w:r>
        <w:rPr>
          <w:rFonts w:hint="eastAsia" w:ascii="宋体" w:hAnsi="宋体" w:eastAsia="宋体" w:cs="宋体"/>
          <w:b/>
          <w:color w:val="auto"/>
          <w:sz w:val="24"/>
          <w:highlight w:val="none"/>
        </w:rPr>
        <w:t xml:space="preserve">公章）名 称： </w:t>
      </w:r>
    </w:p>
    <w:p w14:paraId="0F1A17FB">
      <w:pPr>
        <w:spacing w:line="360" w:lineRule="auto"/>
        <w:ind w:firstLine="2168" w:firstLineChars="9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 址：</w:t>
      </w:r>
    </w:p>
    <w:p w14:paraId="59F0F064">
      <w:pPr>
        <w:spacing w:line="360" w:lineRule="auto"/>
        <w:ind w:firstLine="2168" w:firstLineChars="9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邮 编：</w:t>
      </w:r>
    </w:p>
    <w:p w14:paraId="60A9A015">
      <w:pPr>
        <w:spacing w:line="360" w:lineRule="auto"/>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法定代表人或委托代理人：</w:t>
      </w:r>
    </w:p>
    <w:p w14:paraId="0044C1A6">
      <w:pPr>
        <w:spacing w:line="360" w:lineRule="auto"/>
        <w:ind w:firstLine="723" w:firstLineChars="3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项目（技术）负责人：</w:t>
      </w:r>
    </w:p>
    <w:p w14:paraId="43D561E3">
      <w:pPr>
        <w:spacing w:line="360" w:lineRule="auto"/>
        <w:ind w:firstLine="2168" w:firstLineChars="9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电 话：</w:t>
      </w:r>
    </w:p>
    <w:p w14:paraId="1C2F8FE2">
      <w:pPr>
        <w:spacing w:line="360" w:lineRule="auto"/>
        <w:ind w:firstLine="1928" w:firstLineChars="800"/>
        <w:rPr>
          <w:rFonts w:hint="eastAsia" w:ascii="宋体" w:hAnsi="宋体" w:eastAsia="宋体" w:cs="宋体"/>
          <w:color w:val="auto"/>
          <w:sz w:val="24"/>
          <w:highlight w:val="none"/>
        </w:rPr>
      </w:pPr>
      <w:r>
        <w:rPr>
          <w:rFonts w:hint="eastAsia" w:ascii="宋体" w:hAnsi="宋体" w:eastAsia="宋体" w:cs="宋体"/>
          <w:b/>
          <w:color w:val="auto"/>
          <w:sz w:val="24"/>
          <w:highlight w:val="none"/>
        </w:rPr>
        <w:t>签订日期：</w:t>
      </w:r>
    </w:p>
    <w:p w14:paraId="029BBBEE">
      <w:pPr>
        <w:spacing w:line="360" w:lineRule="auto"/>
        <w:ind w:firstLine="1920" w:firstLineChars="800"/>
        <w:rPr>
          <w:rFonts w:hint="eastAsia" w:ascii="宋体" w:hAnsi="宋体" w:eastAsia="宋体" w:cs="宋体"/>
          <w:color w:val="auto"/>
          <w:sz w:val="24"/>
          <w:highlight w:val="none"/>
        </w:rPr>
      </w:pPr>
    </w:p>
    <w:p w14:paraId="70B5403D">
      <w:pPr>
        <w:spacing w:line="360" w:lineRule="auto"/>
        <w:rPr>
          <w:rFonts w:hint="eastAsia" w:ascii="宋体" w:hAnsi="宋体" w:eastAsia="宋体" w:cs="宋体"/>
          <w:b/>
          <w:color w:val="auto"/>
          <w:sz w:val="24"/>
          <w:highlight w:val="none"/>
        </w:rPr>
      </w:pPr>
    </w:p>
    <w:p w14:paraId="65F247DB">
      <w:pPr>
        <w:pStyle w:val="13"/>
        <w:rPr>
          <w:rFonts w:hint="eastAsia" w:ascii="宋体" w:hAnsi="宋体" w:eastAsia="宋体" w:cs="宋体"/>
          <w:color w:val="auto"/>
          <w:sz w:val="24"/>
          <w:szCs w:val="24"/>
          <w:highlight w:val="none"/>
        </w:rPr>
      </w:pPr>
    </w:p>
    <w:p w14:paraId="64ABBE9F">
      <w:pPr>
        <w:pStyle w:val="13"/>
        <w:ind w:left="0" w:leftChars="0" w:firstLine="0" w:firstLineChars="0"/>
        <w:rPr>
          <w:rFonts w:hint="eastAsia" w:ascii="宋体" w:hAnsi="宋体" w:eastAsia="宋体" w:cs="宋体"/>
          <w:color w:val="auto"/>
          <w:sz w:val="24"/>
          <w:szCs w:val="24"/>
          <w:highlight w:val="none"/>
        </w:rPr>
      </w:pPr>
    </w:p>
    <w:p w14:paraId="4F9E4934">
      <w:pPr>
        <w:rPr>
          <w:rFonts w:hint="eastAsia" w:ascii="宋体" w:hAnsi="宋体" w:eastAsia="宋体" w:cs="宋体"/>
          <w:b/>
          <w:color w:val="auto"/>
          <w:sz w:val="24"/>
          <w:highlight w:val="none"/>
        </w:rPr>
      </w:pPr>
    </w:p>
    <w:p w14:paraId="0FEEE410">
      <w:pPr>
        <w:rPr>
          <w:rFonts w:hint="eastAsia" w:ascii="宋体" w:hAnsi="宋体" w:cs="宋体"/>
          <w:b/>
          <w:bCs/>
          <w:color w:val="auto"/>
          <w:sz w:val="32"/>
          <w:szCs w:val="32"/>
          <w:highlight w:val="none"/>
          <w:lang w:eastAsia="zh-CN"/>
        </w:rPr>
      </w:pPr>
      <w:bookmarkStart w:id="216" w:name="_Toc26049"/>
      <w:r>
        <w:rPr>
          <w:rFonts w:hint="eastAsia" w:ascii="宋体" w:hAnsi="宋体" w:cs="宋体"/>
          <w:b/>
          <w:bCs/>
          <w:color w:val="auto"/>
          <w:sz w:val="32"/>
          <w:szCs w:val="32"/>
          <w:highlight w:val="none"/>
          <w:lang w:eastAsia="zh-CN"/>
        </w:rPr>
        <w:br w:type="page"/>
      </w:r>
    </w:p>
    <w:p w14:paraId="4B0EF78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right="0"/>
        <w:jc w:val="both"/>
        <w:rPr>
          <w:rFonts w:hint="eastAsia" w:ascii="宋体" w:hAnsi="宋体" w:eastAsia="宋体" w:cs="宋体"/>
          <w:i w:val="0"/>
          <w:iCs w:val="0"/>
          <w:caps w:val="0"/>
          <w:spacing w:val="0"/>
          <w:sz w:val="24"/>
          <w:szCs w:val="24"/>
          <w:highlight w:val="none"/>
        </w:rPr>
      </w:pPr>
      <w:r>
        <w:rPr>
          <w:rStyle w:val="31"/>
          <w:rFonts w:hint="eastAsia" w:ascii="宋体" w:hAnsi="宋体" w:eastAsia="宋体" w:cs="宋体"/>
          <w:i w:val="0"/>
          <w:iCs w:val="0"/>
          <w:caps w:val="0"/>
          <w:spacing w:val="0"/>
          <w:sz w:val="24"/>
          <w:szCs w:val="24"/>
          <w:highlight w:val="none"/>
          <w:shd w:val="clear" w:color="auto" w:fill="FFFFFF"/>
        </w:rPr>
        <w:t>甲方（发包方）：</w:t>
      </w:r>
      <w:r>
        <w:rPr>
          <w:rFonts w:hint="eastAsia" w:ascii="宋体" w:hAnsi="宋体" w:eastAsia="宋体" w:cs="宋体"/>
          <w:i w:val="0"/>
          <w:iCs w:val="0"/>
          <w:caps w:val="0"/>
          <w:spacing w:val="0"/>
          <w:sz w:val="24"/>
          <w:szCs w:val="24"/>
          <w:highlight w:val="none"/>
          <w:u w:val="single"/>
          <w:shd w:val="clear" w:color="auto" w:fill="FFFFFF"/>
        </w:rPr>
        <w:t>易门县环卫站</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统一社会信用代码：</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法定代表人：</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地址：</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联系电话：</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p>
    <w:p w14:paraId="604130A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right="0"/>
        <w:jc w:val="both"/>
        <w:rPr>
          <w:rFonts w:hint="eastAsia" w:ascii="宋体" w:hAnsi="宋体" w:eastAsia="宋体" w:cs="宋体"/>
          <w:i w:val="0"/>
          <w:iCs w:val="0"/>
          <w:caps w:val="0"/>
          <w:spacing w:val="0"/>
          <w:sz w:val="24"/>
          <w:szCs w:val="24"/>
          <w:highlight w:val="none"/>
        </w:rPr>
      </w:pPr>
      <w:r>
        <w:rPr>
          <w:rStyle w:val="31"/>
          <w:rFonts w:hint="eastAsia" w:ascii="宋体" w:hAnsi="宋体" w:eastAsia="宋体" w:cs="宋体"/>
          <w:i w:val="0"/>
          <w:iCs w:val="0"/>
          <w:caps w:val="0"/>
          <w:spacing w:val="0"/>
          <w:sz w:val="24"/>
          <w:szCs w:val="24"/>
          <w:highlight w:val="none"/>
          <w:shd w:val="clear" w:color="auto" w:fill="FFFFFF"/>
        </w:rPr>
        <w:t>乙方（承包方）：</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统一社会信用代码：</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法定代表人：</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地址：</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spacing w:val="0"/>
          <w:sz w:val="24"/>
          <w:szCs w:val="24"/>
          <w:highlight w:val="none"/>
          <w:shd w:val="clear" w:color="auto" w:fill="FFFFFF"/>
        </w:rPr>
        <w:br w:type="textWrapping"/>
      </w:r>
      <w:r>
        <w:rPr>
          <w:rStyle w:val="31"/>
          <w:rFonts w:hint="eastAsia" w:ascii="宋体" w:hAnsi="宋体" w:eastAsia="宋体" w:cs="宋体"/>
          <w:i w:val="0"/>
          <w:iCs w:val="0"/>
          <w:caps w:val="0"/>
          <w:spacing w:val="0"/>
          <w:sz w:val="24"/>
          <w:szCs w:val="24"/>
          <w:highlight w:val="none"/>
          <w:shd w:val="clear" w:color="auto" w:fill="FFFFFF"/>
        </w:rPr>
        <w:t>联系电话：</w:t>
      </w:r>
      <w:r>
        <w:rPr>
          <w:rFonts w:hint="eastAsia" w:ascii="宋体" w:hAnsi="宋体" w:eastAsia="宋体" w:cs="宋体"/>
          <w:i w:val="0"/>
          <w:iCs w:val="0"/>
          <w:caps w:val="0"/>
          <w:spacing w:val="0"/>
          <w:sz w:val="24"/>
          <w:szCs w:val="24"/>
          <w:highlight w:val="none"/>
          <w:u w:val="single"/>
          <w:shd w:val="clear" w:color="auto" w:fill="FFFFFF"/>
          <w:lang w:val="en-US" w:eastAsia="zh-CN"/>
        </w:rPr>
        <w:t xml:space="preserve">               </w:t>
      </w:r>
    </w:p>
    <w:p w14:paraId="5E025C3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根据《中华人民共和国民法典》《中华人民共和国政府采购法》及相关法律法规，甲乙双方在平等、自愿、公平、诚实信用原则基础上，就</w:t>
      </w:r>
      <w:r>
        <w:rPr>
          <w:rFonts w:hint="eastAsia" w:ascii="宋体" w:hAnsi="宋体" w:eastAsia="宋体" w:cs="宋体"/>
          <w:i w:val="0"/>
          <w:iCs w:val="0"/>
          <w:caps w:val="0"/>
          <w:spacing w:val="0"/>
          <w:sz w:val="24"/>
          <w:szCs w:val="24"/>
          <w:highlight w:val="none"/>
          <w:u w:val="single"/>
          <w:shd w:val="clear" w:color="auto" w:fill="FFFFFF"/>
        </w:rPr>
        <w:t>易门县县城环卫市政服务</w:t>
      </w:r>
      <w:r>
        <w:rPr>
          <w:rFonts w:hint="eastAsia" w:ascii="宋体" w:hAnsi="宋体" w:eastAsia="宋体" w:cs="宋体"/>
          <w:i w:val="0"/>
          <w:iCs w:val="0"/>
          <w:caps w:val="0"/>
          <w:spacing w:val="0"/>
          <w:sz w:val="24"/>
          <w:szCs w:val="24"/>
          <w:highlight w:val="none"/>
          <w:shd w:val="clear" w:color="auto" w:fill="FFFFFF"/>
        </w:rPr>
        <w:t>承包事项达成如下协议：</w:t>
      </w:r>
    </w:p>
    <w:p w14:paraId="696390B7">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第一条 服务项目及范围</w:t>
      </w:r>
    </w:p>
    <w:p w14:paraId="18E1CE5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1.1 服务项目名称：</w:t>
      </w:r>
      <w:r>
        <w:rPr>
          <w:rFonts w:hint="eastAsia" w:ascii="宋体" w:hAnsi="宋体" w:eastAsia="宋体" w:cs="宋体"/>
          <w:i w:val="0"/>
          <w:iCs w:val="0"/>
          <w:caps w:val="0"/>
          <w:spacing w:val="0"/>
          <w:sz w:val="24"/>
          <w:szCs w:val="24"/>
          <w:highlight w:val="none"/>
          <w:u w:val="single"/>
          <w:shd w:val="clear" w:color="auto" w:fill="FFFFFF"/>
        </w:rPr>
        <w:t>易门县环卫站购买县城环卫市政服务项目</w:t>
      </w:r>
      <w:r>
        <w:rPr>
          <w:rFonts w:hint="eastAsia" w:ascii="宋体" w:hAnsi="宋体" w:eastAsia="宋体" w:cs="宋体"/>
          <w:i w:val="0"/>
          <w:iCs w:val="0"/>
          <w:caps w:val="0"/>
          <w:spacing w:val="0"/>
          <w:sz w:val="24"/>
          <w:szCs w:val="24"/>
          <w:highlight w:val="none"/>
          <w:shd w:val="clear" w:color="auto" w:fill="FFFFFF"/>
        </w:rPr>
        <w:t>。</w:t>
      </w:r>
    </w:p>
    <w:p w14:paraId="46EAB7A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1.2 服务地点：易门县县城规划区范围内（具体范围以甲方确认的区域为准）。</w:t>
      </w:r>
    </w:p>
    <w:p w14:paraId="7863E5A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1.3 服务内容：</w:t>
      </w:r>
      <w:r>
        <w:rPr>
          <w:rFonts w:hint="eastAsia" w:ascii="宋体" w:hAnsi="宋体" w:cs="宋体"/>
          <w:color w:val="auto"/>
          <w:sz w:val="24"/>
          <w:highlight w:val="none"/>
          <w:lang w:val="en-US" w:eastAsia="zh-CN"/>
        </w:rPr>
        <w:t>本项目</w:t>
      </w:r>
      <w:r>
        <w:rPr>
          <w:rFonts w:hint="eastAsia" w:ascii="宋体" w:hAnsi="宋体" w:eastAsia="宋体" w:cs="宋体"/>
          <w:color w:val="auto"/>
          <w:sz w:val="24"/>
          <w:highlight w:val="none"/>
          <w:lang w:eastAsia="zh-CN"/>
        </w:rPr>
        <w:t>涵盖县城建成区范围和龙泉街道中心街、兴文街、西环路、中屯、罗所、方屯、梅营7个社区部分主次干道及公共区域。完成以下服务内容：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清扫保洁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含日常洒水降尘作业</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、垃圾收集运输</w:t>
      </w:r>
      <w:r>
        <w:rPr>
          <w:rFonts w:hint="eastAsia" w:ascii="宋体" w:hAnsi="宋体" w:cs="宋体"/>
          <w:color w:val="auto"/>
          <w:sz w:val="24"/>
          <w:highlight w:val="none"/>
          <w:lang w:eastAsia="zh-CN"/>
        </w:rPr>
        <w:t>、县城建成区内除</w:t>
      </w:r>
      <w:r>
        <w:rPr>
          <w:rFonts w:hint="eastAsia" w:cs="宋体"/>
          <w:color w:val="auto"/>
          <w:sz w:val="24"/>
          <w:highlight w:val="none"/>
          <w:lang w:eastAsia="zh-CN"/>
        </w:rPr>
        <w:t>公园标外</w:t>
      </w:r>
      <w:r>
        <w:rPr>
          <w:rFonts w:hint="eastAsia" w:ascii="宋体" w:hAnsi="宋体" w:cs="宋体"/>
          <w:color w:val="auto"/>
          <w:sz w:val="24"/>
          <w:highlight w:val="none"/>
          <w:lang w:eastAsia="zh-CN"/>
        </w:rPr>
        <w:t>的公共绿化带日常保洁</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生活垃圾压缩转运、</w:t>
      </w:r>
      <w:r>
        <w:rPr>
          <w:rFonts w:hint="eastAsia" w:ascii="宋体" w:hAnsi="宋体" w:cs="宋体"/>
          <w:color w:val="auto"/>
          <w:sz w:val="24"/>
          <w:highlight w:val="none"/>
          <w:lang w:eastAsia="zh-CN"/>
        </w:rPr>
        <w:t>2个垃圾填埋场管护</w:t>
      </w:r>
      <w:r>
        <w:rPr>
          <w:rFonts w:hint="eastAsia" w:ascii="宋体" w:hAnsi="宋体" w:eastAsia="宋体" w:cs="宋体"/>
          <w:color w:val="auto"/>
          <w:sz w:val="24"/>
          <w:highlight w:val="none"/>
          <w:lang w:eastAsia="zh-CN"/>
        </w:rPr>
        <w:t>、渗滤液处理站运管、环境在线监测运行</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垃圾填埋场环境监测</w:t>
      </w:r>
      <w:r>
        <w:rPr>
          <w:rFonts w:hint="eastAsia" w:ascii="宋体" w:hAnsi="宋体" w:eastAsia="宋体" w:cs="宋体"/>
          <w:color w:val="auto"/>
          <w:sz w:val="24"/>
          <w:highlight w:val="none"/>
          <w:lang w:eastAsia="zh-CN"/>
        </w:rPr>
        <w:t>；（3）</w:t>
      </w:r>
      <w:r>
        <w:rPr>
          <w:rFonts w:hint="eastAsia" w:ascii="宋体" w:hAnsi="宋体" w:cs="宋体"/>
          <w:color w:val="auto"/>
          <w:sz w:val="24"/>
          <w:highlight w:val="none"/>
          <w:lang w:eastAsia="zh-CN"/>
        </w:rPr>
        <w:t>33座公厕日常运行维修维护</w:t>
      </w:r>
      <w:r>
        <w:rPr>
          <w:rFonts w:hint="eastAsia" w:ascii="宋体" w:hAnsi="宋体" w:eastAsia="宋体" w:cs="宋体"/>
          <w:color w:val="auto"/>
          <w:sz w:val="24"/>
          <w:highlight w:val="none"/>
          <w:lang w:eastAsia="zh-CN"/>
        </w:rPr>
        <w:t>；（4）</w:t>
      </w:r>
      <w:r>
        <w:rPr>
          <w:rFonts w:hint="eastAsia" w:ascii="宋体" w:hAnsi="宋体" w:cs="宋体"/>
          <w:color w:val="auto"/>
          <w:sz w:val="24"/>
          <w:highlight w:val="none"/>
          <w:lang w:eastAsia="zh-CN"/>
        </w:rPr>
        <w:t>26座洗手台日常运行维修维护</w:t>
      </w:r>
      <w:r>
        <w:rPr>
          <w:rFonts w:hint="eastAsia" w:ascii="宋体" w:hAnsi="宋体" w:eastAsia="宋体" w:cs="宋体"/>
          <w:color w:val="auto"/>
          <w:sz w:val="24"/>
          <w:highlight w:val="none"/>
          <w:lang w:eastAsia="zh-CN"/>
        </w:rPr>
        <w:t>；（5）市政路灯日常运行维修维护（含</w:t>
      </w:r>
      <w:r>
        <w:rPr>
          <w:rFonts w:hint="eastAsia" w:ascii="宋体" w:hAnsi="宋体" w:cs="宋体"/>
          <w:color w:val="auto"/>
          <w:sz w:val="24"/>
          <w:highlight w:val="none"/>
          <w:lang w:eastAsia="zh-CN"/>
        </w:rPr>
        <w:t>目前管理的</w:t>
      </w:r>
      <w:r>
        <w:rPr>
          <w:rFonts w:hint="eastAsia" w:ascii="宋体" w:hAnsi="宋体" w:eastAsia="宋体" w:cs="宋体"/>
          <w:color w:val="auto"/>
          <w:sz w:val="24"/>
          <w:highlight w:val="none"/>
          <w:lang w:eastAsia="zh-CN"/>
        </w:rPr>
        <w:t>16台变压器、72个控制箱、2847棵灯杆、8566盏路灯日常维护）；（6）县城餐厨垃圾收运；（7）环卫设施</w:t>
      </w:r>
      <w:r>
        <w:rPr>
          <w:rFonts w:hint="eastAsia" w:ascii="宋体" w:hAnsi="宋体" w:cs="宋体"/>
          <w:color w:val="auto"/>
          <w:sz w:val="24"/>
          <w:highlight w:val="none"/>
          <w:lang w:eastAsia="zh-CN"/>
        </w:rPr>
        <w:t>日常运行维修维护</w:t>
      </w:r>
      <w:r>
        <w:rPr>
          <w:rFonts w:hint="eastAsia" w:ascii="宋体" w:hAnsi="宋体" w:eastAsia="宋体" w:cs="宋体"/>
          <w:color w:val="auto"/>
          <w:sz w:val="24"/>
          <w:highlight w:val="none"/>
          <w:lang w:eastAsia="zh-CN"/>
        </w:rPr>
        <w:t>；（8）县城</w:t>
      </w:r>
      <w:r>
        <w:rPr>
          <w:rFonts w:hint="eastAsia" w:ascii="宋体" w:hAnsi="宋体" w:cs="宋体"/>
          <w:color w:val="auto"/>
          <w:sz w:val="24"/>
          <w:highlight w:val="none"/>
          <w:lang w:val="en-US" w:eastAsia="zh-CN"/>
        </w:rPr>
        <w:t>公共市政</w:t>
      </w:r>
      <w:r>
        <w:rPr>
          <w:rFonts w:hint="eastAsia" w:ascii="宋体" w:hAnsi="宋体" w:eastAsia="宋体" w:cs="宋体"/>
          <w:color w:val="auto"/>
          <w:sz w:val="24"/>
          <w:highlight w:val="none"/>
          <w:lang w:eastAsia="zh-CN"/>
        </w:rPr>
        <w:t>道路</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w:t>
      </w:r>
      <w:r>
        <w:rPr>
          <w:rFonts w:hint="eastAsia" w:ascii="宋体" w:hAnsi="宋体" w:eastAsia="宋体" w:cs="宋体"/>
          <w:color w:val="auto"/>
          <w:sz w:val="24"/>
          <w:highlight w:val="none"/>
          <w:lang w:eastAsia="zh-CN"/>
        </w:rPr>
        <w:t>、雨污管网</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附属设施维修维护</w:t>
      </w:r>
      <w:r>
        <w:rPr>
          <w:rFonts w:hint="eastAsia" w:ascii="宋体" w:hAnsi="宋体" w:eastAsia="宋体" w:cs="宋体"/>
          <w:color w:val="auto"/>
          <w:sz w:val="24"/>
          <w:highlight w:val="none"/>
          <w:lang w:eastAsia="zh-CN"/>
        </w:rPr>
        <w:t>、市政消火栓</w:t>
      </w:r>
      <w:r>
        <w:rPr>
          <w:rFonts w:hint="eastAsia" w:ascii="宋体" w:hAnsi="宋体" w:cs="宋体"/>
          <w:color w:val="auto"/>
          <w:sz w:val="24"/>
          <w:highlight w:val="none"/>
          <w:lang w:eastAsia="zh-CN"/>
        </w:rPr>
        <w:t>、落</w:t>
      </w:r>
      <w:r>
        <w:rPr>
          <w:rFonts w:hint="eastAsia" w:ascii="宋体" w:hAnsi="宋体" w:eastAsia="宋体" w:cs="宋体"/>
          <w:color w:val="auto"/>
          <w:sz w:val="24"/>
          <w:highlight w:val="none"/>
          <w:lang w:eastAsia="zh-CN"/>
        </w:rPr>
        <w:t>雨水井</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雨水篦子</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污水井维护管理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具体</w:t>
      </w:r>
      <w:r>
        <w:rPr>
          <w:rFonts w:hint="eastAsia" w:ascii="宋体" w:hAnsi="宋体" w:cs="宋体"/>
          <w:color w:val="auto"/>
          <w:sz w:val="24"/>
          <w:highlight w:val="none"/>
          <w:lang w:eastAsia="zh-CN"/>
        </w:rPr>
        <w:t>内容</w:t>
      </w:r>
      <w:r>
        <w:rPr>
          <w:rFonts w:hint="eastAsia" w:ascii="宋体" w:hAnsi="宋体" w:cs="宋体"/>
          <w:color w:val="auto"/>
          <w:sz w:val="24"/>
          <w:highlight w:val="none"/>
          <w:lang w:val="en-US" w:eastAsia="zh-CN"/>
        </w:rPr>
        <w:t>包括但不限于</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①</w:t>
      </w:r>
      <w:r>
        <w:rPr>
          <w:rFonts w:hint="eastAsia" w:ascii="宋体" w:hAnsi="宋体" w:cs="宋体"/>
          <w:color w:val="auto"/>
          <w:sz w:val="24"/>
          <w:highlight w:val="none"/>
          <w:lang w:eastAsia="zh-CN"/>
        </w:rPr>
        <w:t>排水主管网及服务区内新增排水主管网日常运行维护管理工作；包括日常巡查、易涝点、排水管沟、排水井、雨水箅子清掏等工作。</w:t>
      </w:r>
      <w:r>
        <w:rPr>
          <w:rFonts w:hint="eastAsia" w:ascii="宋体" w:hAnsi="宋体" w:cs="宋体"/>
          <w:color w:val="auto"/>
          <w:sz w:val="24"/>
          <w:highlight w:val="none"/>
          <w:lang w:val="en-US" w:eastAsia="zh-CN"/>
        </w:rPr>
        <w:t>②</w:t>
      </w:r>
      <w:r>
        <w:rPr>
          <w:rFonts w:hint="eastAsia" w:ascii="宋体" w:hAnsi="宋体" w:cs="宋体"/>
          <w:color w:val="auto"/>
          <w:sz w:val="24"/>
          <w:highlight w:val="none"/>
          <w:lang w:eastAsia="zh-CN"/>
        </w:rPr>
        <w:t>易门县建成区公共市政道路及附属设施等维修维护管理工作；包括道路、人行道路面及窨井、消火栓等公共市政运行的维修维护工作。</w:t>
      </w:r>
      <w:r>
        <w:rPr>
          <w:rFonts w:hint="eastAsia" w:ascii="宋体" w:hAnsi="宋体" w:cs="宋体"/>
          <w:color w:val="auto"/>
          <w:sz w:val="24"/>
          <w:highlight w:val="none"/>
          <w:lang w:val="en-US" w:eastAsia="zh-CN"/>
        </w:rPr>
        <w:t>③</w:t>
      </w:r>
      <w:r>
        <w:rPr>
          <w:rFonts w:hint="eastAsia" w:ascii="宋体" w:hAnsi="宋体" w:cs="宋体"/>
          <w:color w:val="auto"/>
          <w:sz w:val="24"/>
          <w:highlight w:val="none"/>
          <w:lang w:eastAsia="zh-CN"/>
        </w:rPr>
        <w:t>易门县建成区城市防洪排涝工作。</w:t>
      </w:r>
      <w:r>
        <w:rPr>
          <w:rFonts w:hint="eastAsia" w:ascii="宋体" w:hAnsi="宋体" w:cs="宋体"/>
          <w:color w:val="auto"/>
          <w:sz w:val="24"/>
          <w:highlight w:val="none"/>
          <w:lang w:val="en-US" w:eastAsia="zh-CN"/>
        </w:rPr>
        <w:t>④</w:t>
      </w:r>
      <w:r>
        <w:rPr>
          <w:rFonts w:hint="eastAsia" w:ascii="宋体" w:hAnsi="宋体" w:cs="宋体"/>
          <w:color w:val="auto"/>
          <w:sz w:val="24"/>
          <w:highlight w:val="none"/>
          <w:lang w:eastAsia="zh-CN"/>
        </w:rPr>
        <w:t>协助做好其他涉及易门县建成区市政公用管理职责职能突发性、应急性工作任务</w:t>
      </w:r>
      <w:r>
        <w:rPr>
          <w:rFonts w:hint="eastAsia" w:ascii="宋体" w:hAnsi="宋体" w:cs="宋体"/>
          <w:color w:val="auto"/>
          <w:sz w:val="24"/>
          <w:highlight w:val="none"/>
          <w:lang w:val="en-US" w:eastAsia="zh-CN"/>
        </w:rPr>
        <w:t>等</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易门县美丽县城建设项目正式竣工验收移交后需列为管护的市政道路、变压器、控制箱、</w:t>
      </w:r>
      <w:r>
        <w:rPr>
          <w:rFonts w:hint="eastAsia" w:ascii="宋体" w:hAnsi="宋体" w:eastAsia="宋体" w:cs="宋体"/>
          <w:color w:val="auto"/>
          <w:sz w:val="24"/>
          <w:highlight w:val="none"/>
          <w:lang w:eastAsia="zh-CN"/>
        </w:rPr>
        <w:t>灯杆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路灯</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广告灯杆等公共市政设施</w:t>
      </w:r>
      <w:r>
        <w:rPr>
          <w:rFonts w:hint="eastAsia" w:ascii="宋体" w:hAnsi="宋体" w:eastAsia="宋体" w:cs="宋体"/>
          <w:color w:val="auto"/>
          <w:sz w:val="24"/>
          <w:highlight w:val="none"/>
          <w:lang w:eastAsia="zh-CN"/>
        </w:rPr>
        <w:t>日常</w:t>
      </w:r>
      <w:r>
        <w:rPr>
          <w:rFonts w:hint="eastAsia" w:ascii="宋体" w:hAnsi="宋体" w:cs="宋体"/>
          <w:color w:val="auto"/>
          <w:sz w:val="24"/>
          <w:highlight w:val="none"/>
          <w:lang w:eastAsia="zh-CN"/>
        </w:rPr>
        <w:t>管护</w:t>
      </w:r>
      <w:r>
        <w:rPr>
          <w:rFonts w:hint="eastAsia" w:ascii="宋体" w:hAnsi="宋体" w:eastAsia="宋体" w:cs="宋体"/>
          <w:color w:val="auto"/>
          <w:sz w:val="24"/>
          <w:highlight w:val="none"/>
          <w:lang w:eastAsia="zh-CN"/>
        </w:rPr>
        <w:t>维护</w:t>
      </w:r>
      <w:r>
        <w:rPr>
          <w:rFonts w:hint="eastAsia" w:cs="宋体"/>
          <w:color w:val="auto"/>
          <w:sz w:val="24"/>
          <w:highlight w:val="none"/>
          <w:lang w:val="en-US" w:eastAsia="zh-CN"/>
        </w:rPr>
        <w:t>。</w:t>
      </w:r>
    </w:p>
    <w:p w14:paraId="7E9842C2">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第二条 合同期限</w:t>
      </w:r>
    </w:p>
    <w:p w14:paraId="18238EE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2.1 本合同期限为____年，自____年____月____日起至____年____月____日止。</w:t>
      </w:r>
    </w:p>
    <w:p w14:paraId="79939DA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2.2 合同期满前____个月，甲乙双方协商一致可续签合同。续签条件由双方另行约定。</w:t>
      </w:r>
    </w:p>
    <w:p w14:paraId="53194C67">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0" w:firstLineChars="200"/>
        <w:rPr>
          <w:rFonts w:hint="eastAsia" w:ascii="宋体" w:hAnsi="宋体" w:eastAsia="宋体" w:cs="宋体"/>
          <w:i w:val="0"/>
          <w:iCs w:val="0"/>
          <w:caps w:val="0"/>
          <w:color w:val="auto"/>
          <w:spacing w:val="0"/>
          <w:sz w:val="24"/>
          <w:szCs w:val="24"/>
          <w:highlight w:val="none"/>
          <w:shd w:val="clear" w:color="auto" w:fill="FFFFFF"/>
        </w:rPr>
      </w:pPr>
      <w:r>
        <w:rPr>
          <w:rFonts w:hint="eastAsia" w:hAnsi="宋体" w:cs="宋体"/>
          <w:b w:val="0"/>
          <w:bCs/>
          <w:i w:val="0"/>
          <w:iCs w:val="0"/>
          <w:caps w:val="0"/>
          <w:color w:val="auto"/>
          <w:spacing w:val="0"/>
          <w:sz w:val="24"/>
          <w:szCs w:val="24"/>
          <w:highlight w:val="none"/>
          <w:shd w:val="clear" w:color="auto" w:fill="FFFFFF"/>
          <w:lang w:val="en-US" w:eastAsia="zh-CN"/>
        </w:rPr>
        <w:t>2.3合同到期未达成续签协议的，乙方须在合同终止之日起10日内完成全部人员、设备、台账、环卫、市政等资产移交，逾期未移交产生的环卫、市政空档、设施损坏损失由乙方承担。</w:t>
      </w:r>
    </w:p>
    <w:p w14:paraId="6EAB0EEF">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第三条 服务费用及支付方式</w:t>
      </w:r>
    </w:p>
    <w:p w14:paraId="741858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3.1 服务费用总额</w:t>
      </w:r>
    </w:p>
    <w:p w14:paraId="0FA0E263">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i w:val="0"/>
          <w:iCs w:val="0"/>
          <w:caps w:val="0"/>
          <w:spacing w:val="0"/>
          <w:sz w:val="24"/>
          <w:szCs w:val="24"/>
          <w:highlight w:val="none"/>
          <w:shd w:val="clear" w:color="auto" w:fill="FFFFFF"/>
        </w:rPr>
      </w:pPr>
      <w:r>
        <w:rPr>
          <w:rFonts w:hint="eastAsia" w:ascii="宋体" w:hAnsi="宋体" w:eastAsia="宋体" w:cs="宋体"/>
          <w:i w:val="0"/>
          <w:iCs w:val="0"/>
          <w:caps w:val="0"/>
          <w:spacing w:val="0"/>
          <w:sz w:val="24"/>
          <w:szCs w:val="24"/>
          <w:highlight w:val="none"/>
          <w:shd w:val="clear" w:color="auto" w:fill="FFFFFF"/>
        </w:rPr>
        <w:t>本合同服务费用总额为人民币________元（大写：________________元整）。各项服务费用明细如下</w:t>
      </w:r>
    </w:p>
    <w:tbl>
      <w:tblPr>
        <w:tblStyle w:val="28"/>
        <w:tblW w:w="94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2"/>
        <w:gridCol w:w="959"/>
        <w:gridCol w:w="1229"/>
        <w:gridCol w:w="653"/>
        <w:gridCol w:w="1131"/>
        <w:gridCol w:w="1164"/>
        <w:gridCol w:w="1227"/>
        <w:gridCol w:w="1310"/>
        <w:gridCol w:w="1310"/>
      </w:tblGrid>
      <w:tr w14:paraId="04115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EBC0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B29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8E18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E5A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9426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单价（元）</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97D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合价（元）</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0C6E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合计（元）</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77A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tc>
      </w:tr>
      <w:tr w14:paraId="3B944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D801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4E72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清扫保洁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含日常洒水降尘作业</w:t>
            </w:r>
            <w:r>
              <w:rPr>
                <w:rFonts w:hint="eastAsia" w:ascii="宋体" w:hAnsi="宋体" w:eastAsia="宋体" w:cs="宋体"/>
                <w:color w:val="auto"/>
                <w:sz w:val="24"/>
                <w:szCs w:val="24"/>
                <w:highlight w:val="none"/>
                <w:lang w:eastAsia="zh-CN"/>
              </w:rPr>
              <w:t>）</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CEEA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84B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1614481.2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F61E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0E9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E98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E59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固定单价，含龙泉街道</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cs="宋体"/>
                <w:color w:val="auto"/>
                <w:sz w:val="24"/>
                <w:highlight w:val="none"/>
                <w:lang w:eastAsia="zh-CN"/>
              </w:rPr>
              <w:t>县城建成区内除公园标外的公共绿化带日常保洁</w:t>
            </w:r>
          </w:p>
        </w:tc>
      </w:tr>
      <w:tr w14:paraId="55FAC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E63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3750D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生活垃圾</w:t>
            </w:r>
            <w:r>
              <w:rPr>
                <w:rFonts w:hint="eastAsia" w:ascii="宋体" w:hAnsi="宋体" w:cs="宋体"/>
                <w:i w:val="0"/>
                <w:iCs w:val="0"/>
                <w:color w:val="000000"/>
                <w:kern w:val="0"/>
                <w:sz w:val="24"/>
                <w:szCs w:val="24"/>
                <w:highlight w:val="none"/>
                <w:u w:val="none"/>
                <w:lang w:val="en-US" w:eastAsia="zh-CN" w:bidi="ar"/>
              </w:rPr>
              <w:t>收集</w:t>
            </w:r>
            <w:r>
              <w:rPr>
                <w:rFonts w:hint="eastAsia" w:ascii="宋体" w:hAnsi="宋体" w:eastAsia="宋体" w:cs="宋体"/>
                <w:i w:val="0"/>
                <w:iCs w:val="0"/>
                <w:color w:val="000000"/>
                <w:kern w:val="0"/>
                <w:sz w:val="24"/>
                <w:szCs w:val="24"/>
                <w:highlight w:val="none"/>
                <w:u w:val="none"/>
                <w:lang w:val="en-US" w:eastAsia="zh-CN" w:bidi="ar"/>
              </w:rPr>
              <w:t>压缩转运、2个垃圾填埋场管护、渗滤液处理站运行、垃圾填埋场环境监测、环境在线监测运行</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20D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垃圾</w:t>
            </w:r>
            <w:r>
              <w:rPr>
                <w:rFonts w:hint="eastAsia" w:ascii="宋体" w:hAnsi="宋体" w:cs="宋体"/>
                <w:i w:val="0"/>
                <w:iCs w:val="0"/>
                <w:color w:val="000000"/>
                <w:kern w:val="0"/>
                <w:sz w:val="24"/>
                <w:szCs w:val="24"/>
                <w:highlight w:val="none"/>
                <w:u w:val="none"/>
                <w:lang w:val="en-US" w:eastAsia="zh-CN" w:bidi="ar"/>
              </w:rPr>
              <w:t>收集</w:t>
            </w:r>
            <w:r>
              <w:rPr>
                <w:rFonts w:hint="eastAsia" w:ascii="宋体" w:hAnsi="宋体" w:eastAsia="宋体" w:cs="宋体"/>
                <w:i w:val="0"/>
                <w:iCs w:val="0"/>
                <w:color w:val="000000"/>
                <w:kern w:val="0"/>
                <w:sz w:val="24"/>
                <w:szCs w:val="24"/>
                <w:highlight w:val="none"/>
                <w:u w:val="none"/>
                <w:lang w:val="en-US" w:eastAsia="zh-CN" w:bidi="ar"/>
              </w:rPr>
              <w:t>转运</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78E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吨/年</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025E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26596.5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2EAD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CD3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6F8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D9D5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约72.8吨/天×365天（含龙泉街道）</w:t>
            </w:r>
          </w:p>
        </w:tc>
      </w:tr>
      <w:tr w14:paraId="539F0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E01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CC1B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426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外运装卸</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49DA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4AB1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FA8A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0290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421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707E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75896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B024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0801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B6B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渗滤液处理</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25E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66DB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3B36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AC60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EC5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5D8B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2864C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2"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60A5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F468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0C1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环境监测（其中监测费用60000.00元，按2500.00元/组水样据实支付）、环境在线监测</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DE2B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3B4E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89A6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7F7E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5228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DA52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60A11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B286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58D3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1CC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老垃圾场管护</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53B6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79DB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A68F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581B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E3947">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7A4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53299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142C0">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878F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EEC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进场道路维护</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482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0819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2410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CF2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6290">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6DD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59A12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9E4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35E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公厕管护</w:t>
            </w:r>
            <w:r>
              <w:rPr>
                <w:rFonts w:hint="eastAsia" w:ascii="宋体" w:hAnsi="宋体" w:cs="宋体"/>
                <w:i w:val="0"/>
                <w:iCs w:val="0"/>
                <w:color w:val="000000"/>
                <w:kern w:val="0"/>
                <w:sz w:val="24"/>
                <w:szCs w:val="24"/>
                <w:highlight w:val="none"/>
                <w:u w:val="none"/>
                <w:lang w:val="en-US" w:eastAsia="zh-CN" w:bidi="ar"/>
              </w:rPr>
              <w:t>及配件更新</w:t>
            </w:r>
            <w:r>
              <w:rPr>
                <w:rFonts w:hint="eastAsia" w:ascii="宋体" w:hAnsi="宋体" w:eastAsia="宋体" w:cs="宋体"/>
                <w:i w:val="0"/>
                <w:iCs w:val="0"/>
                <w:color w:val="000000"/>
                <w:kern w:val="0"/>
                <w:sz w:val="24"/>
                <w:szCs w:val="24"/>
                <w:highlight w:val="none"/>
                <w:u w:val="none"/>
                <w:lang w:val="en-US" w:eastAsia="zh-CN" w:bidi="ar"/>
              </w:rPr>
              <w:t>（含一年一次清掏）</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211C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座</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F71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3B06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5D4E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18C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3A76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30153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5C2C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D23C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洗手台管护</w:t>
            </w:r>
            <w:r>
              <w:rPr>
                <w:rFonts w:hint="eastAsia" w:ascii="宋体" w:hAnsi="宋体" w:cs="宋体"/>
                <w:i w:val="0"/>
                <w:iCs w:val="0"/>
                <w:color w:val="000000"/>
                <w:kern w:val="0"/>
                <w:sz w:val="24"/>
                <w:szCs w:val="24"/>
                <w:highlight w:val="none"/>
                <w:u w:val="none"/>
                <w:lang w:val="en-US" w:eastAsia="zh-CN" w:bidi="ar"/>
              </w:rPr>
              <w:t>及配件更新</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083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座</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9396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EDD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D5C1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48F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279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4CC13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7"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64D9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20E34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Style w:val="68"/>
                <w:rFonts w:hint="eastAsia" w:ascii="宋体" w:hAnsi="宋体" w:eastAsia="宋体" w:cs="宋体"/>
                <w:sz w:val="24"/>
                <w:szCs w:val="24"/>
                <w:highlight w:val="none"/>
                <w:lang w:val="en-US" w:eastAsia="zh-CN" w:bidi="ar"/>
              </w:rPr>
              <w:t>路灯管护更新（</w:t>
            </w:r>
            <w:r>
              <w:rPr>
                <w:rFonts w:hint="eastAsia" w:ascii="宋体" w:hAnsi="宋体" w:eastAsia="宋体" w:cs="宋体"/>
                <w:color w:val="auto"/>
                <w:sz w:val="24"/>
                <w:szCs w:val="24"/>
                <w:highlight w:val="none"/>
                <w:lang w:eastAsia="zh-CN"/>
              </w:rPr>
              <w:t>2847</w:t>
            </w:r>
            <w:r>
              <w:rPr>
                <w:rStyle w:val="68"/>
                <w:rFonts w:hint="eastAsia" w:ascii="宋体" w:hAnsi="宋体" w:eastAsia="宋体" w:cs="宋体"/>
                <w:sz w:val="24"/>
                <w:szCs w:val="24"/>
                <w:highlight w:val="none"/>
                <w:lang w:val="en-US" w:eastAsia="zh-CN" w:bidi="ar"/>
              </w:rPr>
              <w:t>棵灯杆、</w:t>
            </w:r>
            <w:r>
              <w:rPr>
                <w:rFonts w:hint="eastAsia" w:ascii="宋体" w:hAnsi="宋体" w:eastAsia="宋体" w:cs="宋体"/>
                <w:color w:val="auto"/>
                <w:sz w:val="24"/>
                <w:szCs w:val="24"/>
                <w:highlight w:val="none"/>
                <w:lang w:eastAsia="zh-CN"/>
              </w:rPr>
              <w:t>8566</w:t>
            </w:r>
            <w:r>
              <w:rPr>
                <w:rStyle w:val="68"/>
                <w:rFonts w:hint="eastAsia" w:ascii="宋体" w:hAnsi="宋体" w:eastAsia="宋体" w:cs="宋体"/>
                <w:sz w:val="24"/>
                <w:szCs w:val="24"/>
                <w:highlight w:val="none"/>
                <w:lang w:val="en-US" w:eastAsia="zh-CN" w:bidi="ar"/>
              </w:rPr>
              <w:t>盏灯、</w:t>
            </w:r>
            <w:r>
              <w:rPr>
                <w:rFonts w:hint="eastAsia" w:ascii="宋体" w:hAnsi="宋体" w:eastAsia="宋体" w:cs="宋体"/>
                <w:i w:val="0"/>
                <w:iCs w:val="0"/>
                <w:color w:val="000000"/>
                <w:kern w:val="0"/>
                <w:sz w:val="24"/>
                <w:szCs w:val="24"/>
                <w:highlight w:val="none"/>
                <w:u w:val="none"/>
                <w:lang w:val="en-US" w:eastAsia="zh-CN" w:bidi="ar"/>
              </w:rPr>
              <w:t>16</w:t>
            </w:r>
            <w:r>
              <w:rPr>
                <w:rStyle w:val="68"/>
                <w:rFonts w:hint="eastAsia" w:ascii="宋体" w:hAnsi="宋体" w:eastAsia="宋体" w:cs="宋体"/>
                <w:sz w:val="24"/>
                <w:szCs w:val="24"/>
                <w:highlight w:val="none"/>
                <w:lang w:val="en-US" w:eastAsia="zh-CN" w:bidi="ar"/>
              </w:rPr>
              <w:t>台变压器、72个控制箱）</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4AE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B3B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B301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FD2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CA4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B3A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包干</w:t>
            </w:r>
          </w:p>
        </w:tc>
      </w:tr>
      <w:tr w14:paraId="61191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F7A3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948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餐厨垃圾年度收运服务</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C065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C26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0E6B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EBDB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DE92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AE97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6BF51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69D8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1315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环卫设施设备维护</w:t>
            </w:r>
            <w:r>
              <w:rPr>
                <w:rFonts w:hint="eastAsia" w:ascii="宋体" w:hAnsi="宋体" w:cs="宋体"/>
                <w:color w:val="auto"/>
                <w:sz w:val="24"/>
                <w:highlight w:val="none"/>
                <w:lang w:val="en-US" w:eastAsia="zh-CN"/>
              </w:rPr>
              <w:t>更新</w:t>
            </w:r>
            <w:r>
              <w:rPr>
                <w:rFonts w:hint="eastAsia" w:ascii="宋体" w:hAnsi="宋体" w:eastAsia="宋体" w:cs="宋体"/>
                <w:i w:val="0"/>
                <w:iCs w:val="0"/>
                <w:color w:val="000000"/>
                <w:kern w:val="0"/>
                <w:sz w:val="24"/>
                <w:szCs w:val="24"/>
                <w:highlight w:val="none"/>
                <w:u w:val="none"/>
                <w:lang w:val="en-US" w:eastAsia="zh-CN" w:bidi="ar"/>
              </w:rPr>
              <w:t>费</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6CFD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维修更换果皮箱</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FAB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42AD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990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E180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D02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73C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4C35D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97C9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A7B0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BFC0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维修更换垃圾分类亭</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4AE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36B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C2DF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7786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09BD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64C4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r>
      <w:tr w14:paraId="07EFA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1D46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9BBE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6E4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维修更换垃圾分类桶</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844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70AA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247</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8A0B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3E6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5208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1E9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含龙泉街道87个</w:t>
            </w:r>
          </w:p>
        </w:tc>
      </w:tr>
      <w:tr w14:paraId="46EA0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A8C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EBF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城区公共排水管网、市政道路及附属设施等维护管理费</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19B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auto"/>
                <w:sz w:val="24"/>
                <w:highlight w:val="none"/>
                <w:lang w:eastAsia="zh-CN"/>
              </w:rPr>
              <w:t>县城1611581平方米</w:t>
            </w:r>
            <w:r>
              <w:rPr>
                <w:rFonts w:hint="eastAsia" w:ascii="宋体" w:hAnsi="宋体" w:cs="宋体"/>
                <w:color w:val="auto"/>
                <w:sz w:val="24"/>
                <w:highlight w:val="none"/>
                <w:lang w:val="en-US" w:eastAsia="zh-CN"/>
              </w:rPr>
              <w:t>公共市政</w:t>
            </w:r>
            <w:r>
              <w:rPr>
                <w:rFonts w:hint="eastAsia" w:ascii="宋体" w:hAnsi="宋体" w:eastAsia="宋体" w:cs="宋体"/>
                <w:color w:val="auto"/>
                <w:sz w:val="24"/>
                <w:highlight w:val="none"/>
                <w:lang w:eastAsia="zh-CN"/>
              </w:rPr>
              <w:t>道路</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w:t>
            </w:r>
            <w:r>
              <w:rPr>
                <w:rFonts w:hint="eastAsia" w:ascii="宋体" w:hAnsi="宋体" w:eastAsia="宋体" w:cs="宋体"/>
                <w:color w:val="auto"/>
                <w:sz w:val="24"/>
                <w:highlight w:val="none"/>
                <w:lang w:eastAsia="zh-CN"/>
              </w:rPr>
              <w:t>、144公里雨污管网</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附属设施维修维护</w:t>
            </w:r>
            <w:r>
              <w:rPr>
                <w:rFonts w:hint="eastAsia" w:ascii="宋体" w:hAnsi="宋体" w:eastAsia="宋体" w:cs="宋体"/>
                <w:color w:val="auto"/>
                <w:sz w:val="24"/>
                <w:highlight w:val="none"/>
                <w:lang w:eastAsia="zh-CN"/>
              </w:rPr>
              <w:t>、271个市政消火栓</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2822座雨水井，1108个雨水篦子，2592座污水井维护管理</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CD5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B6C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ECCD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2077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BFD7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1E35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1FE4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BC7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95275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业主预留金</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F667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086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AAF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65AA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53C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1DE6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73C7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679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AD2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549B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12577897.88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E5A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0C34F452">
      <w:pPr>
        <w:keepNext w:val="0"/>
        <w:keepLines w:val="0"/>
        <w:pageBreakBefore w:val="0"/>
        <w:widowControl w:val="0"/>
        <w:shd w:val="clear" w:color="auto"/>
        <w:kinsoku/>
        <w:wordWrap/>
        <w:overflowPunct/>
        <w:topLinePunct/>
        <w:autoSpaceDE/>
        <w:autoSpaceDN/>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注：1.本项目采用</w:t>
      </w:r>
      <w:r>
        <w:rPr>
          <w:rFonts w:hint="eastAsia" w:ascii="宋体" w:hAnsi="宋体" w:cs="宋体"/>
          <w:color w:val="auto"/>
          <w:sz w:val="24"/>
          <w:szCs w:val="24"/>
          <w:highlight w:val="none"/>
          <w:lang w:val="en-US" w:eastAsia="zh-CN"/>
        </w:rPr>
        <w:t>综合</w:t>
      </w:r>
      <w:r>
        <w:rPr>
          <w:rFonts w:hint="eastAsia" w:ascii="宋体" w:hAnsi="宋体" w:eastAsia="宋体" w:cs="宋体"/>
          <w:color w:val="auto"/>
          <w:sz w:val="24"/>
          <w:szCs w:val="24"/>
          <w:highlight w:val="none"/>
          <w:lang w:val="en-US" w:eastAsia="zh-CN"/>
        </w:rPr>
        <w:t>单价包干按实结算的</w:t>
      </w:r>
      <w:r>
        <w:rPr>
          <w:rFonts w:hint="eastAsia" w:ascii="宋体" w:hAnsi="宋体" w:cs="宋体"/>
          <w:color w:val="auto"/>
          <w:sz w:val="24"/>
          <w:szCs w:val="24"/>
          <w:highlight w:val="none"/>
          <w:lang w:val="en-US" w:eastAsia="zh-CN"/>
        </w:rPr>
        <w:t>方式结算合同价格</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highlight w:val="none"/>
          <w:lang w:val="en-US" w:eastAsia="zh-CN"/>
        </w:rPr>
        <w:t>在合同履行期间，因市政道路公用设施清扫保洁</w:t>
      </w:r>
      <w:r>
        <w:rPr>
          <w:rFonts w:hint="eastAsia" w:hAnsi="宋体" w:cs="宋体"/>
          <w:b/>
          <w:bCs/>
          <w:color w:val="auto"/>
          <w:sz w:val="24"/>
          <w:highlight w:val="none"/>
          <w:lang w:val="en-US" w:eastAsia="zh-CN"/>
        </w:rPr>
        <w:t>管护</w:t>
      </w:r>
      <w:r>
        <w:rPr>
          <w:rFonts w:hint="eastAsia" w:ascii="宋体" w:hAnsi="宋体" w:eastAsia="宋体" w:cs="宋体"/>
          <w:b/>
          <w:bCs/>
          <w:color w:val="auto"/>
          <w:sz w:val="24"/>
          <w:highlight w:val="none"/>
          <w:lang w:val="en-US" w:eastAsia="zh-CN"/>
        </w:rPr>
        <w:t>面积增加不超过10000平方米的</w:t>
      </w:r>
      <w:r>
        <w:rPr>
          <w:rFonts w:hint="eastAsia" w:hAnsi="宋体" w:cs="宋体"/>
          <w:b/>
          <w:bCs/>
          <w:color w:val="auto"/>
          <w:sz w:val="24"/>
          <w:highlight w:val="none"/>
          <w:lang w:val="en-US" w:eastAsia="zh-CN"/>
        </w:rPr>
        <w:t>、路灯维护增加不超过200盏的、餐厨垃圾增加每日不超过10吨的，</w:t>
      </w:r>
      <w:r>
        <w:rPr>
          <w:rFonts w:hint="eastAsia" w:ascii="宋体" w:hAnsi="宋体" w:eastAsia="宋体" w:cs="宋体"/>
          <w:b/>
          <w:bCs/>
          <w:color w:val="auto"/>
          <w:sz w:val="24"/>
          <w:highlight w:val="none"/>
          <w:lang w:val="en-US" w:eastAsia="zh-CN"/>
        </w:rPr>
        <w:t>中标合同价款不作调整</w:t>
      </w:r>
      <w:r>
        <w:rPr>
          <w:rFonts w:hint="eastAsia" w:ascii="宋体" w:hAnsi="宋体" w:eastAsia="宋体" w:cs="宋体"/>
          <w:b/>
          <w:bCs/>
          <w:color w:val="auto"/>
          <w:sz w:val="24"/>
          <w:szCs w:val="24"/>
          <w:highlight w:val="none"/>
          <w:lang w:val="en-US" w:eastAsia="zh-CN"/>
        </w:rPr>
        <w:t>）。</w:t>
      </w:r>
    </w:p>
    <w:p w14:paraId="41822898">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2.综合</w:t>
      </w:r>
      <w:r>
        <w:rPr>
          <w:rFonts w:hint="eastAsia" w:ascii="宋体" w:hAnsi="宋体" w:eastAsia="宋体" w:cs="宋体"/>
          <w:color w:val="auto"/>
          <w:sz w:val="24"/>
          <w:szCs w:val="24"/>
          <w:highlight w:val="none"/>
          <w:lang w:val="en-US" w:eastAsia="zh-CN"/>
        </w:rPr>
        <w:t>单价</w:t>
      </w:r>
      <w:r>
        <w:rPr>
          <w:rFonts w:hint="eastAsia" w:ascii="宋体" w:hAnsi="宋体" w:cs="宋体"/>
          <w:color w:val="auto"/>
          <w:sz w:val="24"/>
          <w:szCs w:val="24"/>
          <w:highlight w:val="none"/>
          <w:lang w:val="en-US" w:eastAsia="zh-CN"/>
        </w:rPr>
        <w:t>为</w:t>
      </w:r>
      <w:r>
        <w:rPr>
          <w:rFonts w:hint="eastAsia" w:ascii="宋体" w:hAnsi="宋体" w:eastAsia="宋体" w:cs="宋体"/>
          <w:color w:val="auto"/>
          <w:sz w:val="24"/>
          <w:szCs w:val="24"/>
          <w:highlight w:val="none"/>
          <w:lang w:val="en-US" w:eastAsia="zh-CN"/>
        </w:rPr>
        <w:t>包干综合单价，包含易门县环卫站购买县城环卫市政服务项目作业管理的所有服务范围和内容产生的费用。</w:t>
      </w:r>
    </w:p>
    <w:p w14:paraId="778D67EE">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3.合同价</w:t>
      </w:r>
      <w:r>
        <w:rPr>
          <w:rFonts w:hint="eastAsia" w:ascii="宋体" w:hAnsi="宋体" w:eastAsia="宋体" w:cs="宋体"/>
          <w:color w:val="auto"/>
          <w:sz w:val="24"/>
          <w:szCs w:val="24"/>
          <w:highlight w:val="none"/>
          <w:lang w:val="en-US" w:eastAsia="zh-CN"/>
        </w:rPr>
        <w:t>中已人员工资、人员保险费、服装费、所投设施设备费、设备保险费、设备保养维修费、检验检测费、药剂费、公厕水电费（含洗手台）、公厕网络服务费、材料费（含消耗性材料、措施性材料、更换材料、老化材料等）、备品备件、工器具、办公用品费、劳保用品费、生活用品费、车辆使用费（含折旧、燃料、保险、维修费用等）、项目交接移交费、安全文明生产费、管理费（含差旅费、培训费、协调费等）、利润、税金等本招标文件明示或暗示的所有费用，该价格已充分考虑市场风险、价格风险、政策风险、汇率风险等所有因素。合同一旦签订，各项单价及总价在合同实施期间将不因市场价格、最低工资标准及其他因素的变化而增加，</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不得因此类问题提出任何索赔要求。</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不得再以任何理由再向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收取费用。</w:t>
      </w:r>
    </w:p>
    <w:p w14:paraId="57D08E8B">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5.甲方</w:t>
      </w:r>
      <w:r>
        <w:rPr>
          <w:rFonts w:hint="eastAsia" w:ascii="宋体" w:hAnsi="宋体" w:eastAsia="宋体" w:cs="宋体"/>
          <w:color w:val="auto"/>
          <w:sz w:val="24"/>
          <w:szCs w:val="24"/>
          <w:highlight w:val="none"/>
          <w:lang w:val="en-US" w:eastAsia="zh-CN"/>
        </w:rPr>
        <w:t>不接受任何因地形复杂、管护工艺、保洁</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路灯维修</w:t>
      </w:r>
      <w:r>
        <w:rPr>
          <w:rFonts w:hint="eastAsia" w:ascii="宋体" w:hAnsi="宋体" w:cs="宋体"/>
          <w:color w:val="auto"/>
          <w:sz w:val="24"/>
          <w:szCs w:val="24"/>
          <w:highlight w:val="none"/>
          <w:lang w:val="en-US" w:eastAsia="zh-CN"/>
        </w:rPr>
        <w:t>及</w:t>
      </w:r>
      <w:r>
        <w:rPr>
          <w:rFonts w:hint="eastAsia" w:ascii="宋体" w:hAnsi="宋体" w:eastAsia="宋体" w:cs="宋体"/>
          <w:b/>
          <w:bCs/>
          <w:color w:val="auto"/>
          <w:sz w:val="24"/>
          <w:highlight w:val="none"/>
          <w:lang w:val="en-US" w:eastAsia="zh-CN"/>
        </w:rPr>
        <w:t>市政道路公用设施</w:t>
      </w:r>
      <w:r>
        <w:rPr>
          <w:rFonts w:hint="eastAsia" w:ascii="宋体" w:hAnsi="宋体" w:eastAsia="宋体" w:cs="宋体"/>
          <w:color w:val="auto"/>
          <w:sz w:val="24"/>
          <w:szCs w:val="24"/>
          <w:highlight w:val="none"/>
          <w:lang w:val="en-US" w:eastAsia="zh-CN"/>
        </w:rPr>
        <w:t>管护环境等理由提出的费用的增加。</w:t>
      </w:r>
    </w:p>
    <w:p w14:paraId="32DFAC4C">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因清扫保洁产生的垃圾清运由</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负责，所有清扫保洁产生的垃圾清运至中转站，垃圾清运费用包含在以上</w:t>
      </w:r>
      <w:r>
        <w:rPr>
          <w:rFonts w:hint="eastAsia" w:ascii="宋体" w:hAnsi="宋体" w:cs="宋体"/>
          <w:color w:val="auto"/>
          <w:sz w:val="24"/>
          <w:szCs w:val="24"/>
          <w:highlight w:val="none"/>
          <w:lang w:val="en-US" w:eastAsia="zh-CN"/>
        </w:rPr>
        <w:t>合同价款</w:t>
      </w:r>
      <w:r>
        <w:rPr>
          <w:rFonts w:hint="eastAsia" w:ascii="宋体" w:hAnsi="宋体" w:eastAsia="宋体" w:cs="宋体"/>
          <w:color w:val="auto"/>
          <w:sz w:val="24"/>
          <w:szCs w:val="24"/>
          <w:highlight w:val="none"/>
          <w:lang w:val="en-US" w:eastAsia="zh-CN"/>
        </w:rPr>
        <w:t>中。</w:t>
      </w:r>
    </w:p>
    <w:p w14:paraId="48344F87">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i w:val="0"/>
          <w:iCs w:val="0"/>
          <w:caps w:val="0"/>
          <w:spacing w:val="0"/>
          <w:sz w:val="24"/>
          <w:szCs w:val="24"/>
          <w:highlight w:val="none"/>
          <w:shd w:val="clear" w:color="auto" w:fill="FFFFFF"/>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因管护面积、数量、内容等减少的，按单价计算相应核减总费用。</w:t>
      </w:r>
    </w:p>
    <w:p w14:paraId="56F4DB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3.2 支付方式</w:t>
      </w:r>
    </w:p>
    <w:p w14:paraId="0C65F6B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3.2.1服务费用按月支付，每月____日前支付上月服务费用。</w:t>
      </w:r>
    </w:p>
    <w:p w14:paraId="04CA6A4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default" w:ascii="宋体" w:hAnsi="宋体" w:eastAsia="宋体" w:cs="宋体"/>
          <w:i w:val="0"/>
          <w:iCs w:val="0"/>
          <w:caps w:val="0"/>
          <w:spacing w:val="0"/>
          <w:sz w:val="24"/>
          <w:szCs w:val="24"/>
          <w:highlight w:val="none"/>
          <w:shd w:val="clear" w:color="auto" w:fill="FFFFFF"/>
          <w:lang w:val="en-US" w:eastAsia="zh-CN"/>
        </w:rPr>
      </w:pPr>
      <w:r>
        <w:rPr>
          <w:rFonts w:hint="eastAsia" w:ascii="宋体" w:hAnsi="宋体" w:eastAsia="宋体" w:cs="宋体"/>
          <w:i w:val="0"/>
          <w:iCs w:val="0"/>
          <w:caps w:val="0"/>
          <w:spacing w:val="0"/>
          <w:sz w:val="24"/>
          <w:szCs w:val="24"/>
          <w:highlight w:val="none"/>
          <w:shd w:val="clear" w:color="auto" w:fill="FFFFFF"/>
        </w:rPr>
        <w:t>3.2.2</w:t>
      </w:r>
      <w:r>
        <w:rPr>
          <w:rFonts w:hint="eastAsia" w:cs="宋体"/>
          <w:i w:val="0"/>
          <w:iCs w:val="0"/>
          <w:caps w:val="0"/>
          <w:spacing w:val="0"/>
          <w:sz w:val="24"/>
          <w:szCs w:val="24"/>
          <w:highlight w:val="none"/>
          <w:shd w:val="clear" w:color="auto" w:fill="FFFFFF"/>
          <w:lang w:val="en-US" w:eastAsia="zh-CN"/>
        </w:rPr>
        <w:t>月应拨付服务费：</w:t>
      </w:r>
    </w:p>
    <w:p w14:paraId="61ED791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shd w:val="clear" w:color="auto" w:fill="FFFFFF"/>
        </w:rPr>
      </w:pPr>
      <w:r>
        <w:rPr>
          <w:rFonts w:hint="eastAsia" w:ascii="宋体" w:hAnsi="宋体" w:eastAsia="宋体" w:cs="宋体"/>
          <w:i w:val="0"/>
          <w:iCs w:val="0"/>
          <w:caps w:val="0"/>
          <w:spacing w:val="0"/>
          <w:sz w:val="24"/>
          <w:szCs w:val="24"/>
          <w:highlight w:val="none"/>
          <w:shd w:val="clear" w:color="auto" w:fill="FFFFFF"/>
        </w:rPr>
        <w:t>①</w:t>
      </w:r>
      <w:r>
        <w:rPr>
          <w:rFonts w:hint="eastAsia" w:cs="宋体"/>
          <w:i w:val="0"/>
          <w:iCs w:val="0"/>
          <w:caps w:val="0"/>
          <w:spacing w:val="0"/>
          <w:sz w:val="24"/>
          <w:szCs w:val="24"/>
          <w:highlight w:val="none"/>
          <w:shd w:val="clear" w:color="auto" w:fill="FFFFFF"/>
          <w:lang w:val="en-US" w:eastAsia="zh-CN"/>
        </w:rPr>
        <w:t>考核合格及以上（≥80分）：</w:t>
      </w:r>
      <w:r>
        <w:rPr>
          <w:rFonts w:hint="eastAsia" w:ascii="宋体" w:hAnsi="宋体" w:eastAsia="宋体" w:cs="宋体"/>
          <w:i w:val="0"/>
          <w:iCs w:val="0"/>
          <w:caps w:val="0"/>
          <w:spacing w:val="0"/>
          <w:sz w:val="24"/>
          <w:szCs w:val="24"/>
          <w:highlight w:val="none"/>
          <w:shd w:val="clear" w:color="auto" w:fill="FFFFFF"/>
        </w:rPr>
        <w:t>月应拨付服务费=年服务费总额÷12</w:t>
      </w:r>
    </w:p>
    <w:p w14:paraId="6D80D11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cs="宋体"/>
          <w:i w:val="0"/>
          <w:iCs w:val="0"/>
          <w:caps w:val="0"/>
          <w:spacing w:val="0"/>
          <w:sz w:val="24"/>
          <w:szCs w:val="24"/>
          <w:highlight w:val="none"/>
          <w:shd w:val="clear" w:color="auto" w:fill="FFFFFF"/>
          <w:lang w:val="en-US" w:eastAsia="zh-CN"/>
        </w:rPr>
      </w:pPr>
      <w:r>
        <w:rPr>
          <w:rFonts w:hint="eastAsia" w:cs="宋体"/>
          <w:i w:val="0"/>
          <w:iCs w:val="0"/>
          <w:caps w:val="0"/>
          <w:spacing w:val="0"/>
          <w:sz w:val="24"/>
          <w:szCs w:val="24"/>
          <w:highlight w:val="none"/>
          <w:shd w:val="clear" w:color="auto" w:fill="FFFFFF"/>
          <w:lang w:val="en-US" w:eastAsia="zh-CN"/>
        </w:rPr>
        <w:t>②考核基本合格（70分—79分）：</w:t>
      </w:r>
      <w:r>
        <w:rPr>
          <w:rFonts w:hint="eastAsia" w:ascii="宋体" w:hAnsi="宋体" w:eastAsia="宋体" w:cs="宋体"/>
          <w:i w:val="0"/>
          <w:iCs w:val="0"/>
          <w:caps w:val="0"/>
          <w:spacing w:val="0"/>
          <w:sz w:val="24"/>
          <w:szCs w:val="24"/>
          <w:highlight w:val="none"/>
          <w:shd w:val="clear" w:color="auto" w:fill="FFFFFF"/>
        </w:rPr>
        <w:t>月应拨付服务费=年服务费总额÷12</w:t>
      </w:r>
      <w:r>
        <w:rPr>
          <w:rFonts w:hint="eastAsia" w:cs="宋体"/>
          <w:i w:val="0"/>
          <w:iCs w:val="0"/>
          <w:caps w:val="0"/>
          <w:spacing w:val="0"/>
          <w:sz w:val="24"/>
          <w:szCs w:val="24"/>
          <w:highlight w:val="none"/>
          <w:shd w:val="clear" w:color="auto" w:fill="FFFFFF"/>
          <w:lang w:val="en-US" w:eastAsia="zh-CN"/>
        </w:rPr>
        <w:t>-扣减费用（1%-10%）</w:t>
      </w:r>
    </w:p>
    <w:p w14:paraId="2E37DE6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default" w:cs="宋体"/>
          <w:i w:val="0"/>
          <w:iCs w:val="0"/>
          <w:caps w:val="0"/>
          <w:spacing w:val="0"/>
          <w:sz w:val="24"/>
          <w:szCs w:val="24"/>
          <w:highlight w:val="none"/>
          <w:shd w:val="clear" w:color="auto" w:fill="FFFFFF"/>
          <w:lang w:val="en-US" w:eastAsia="zh-CN"/>
        </w:rPr>
      </w:pPr>
      <w:r>
        <w:rPr>
          <w:rFonts w:hint="eastAsia" w:cs="宋体"/>
          <w:i w:val="0"/>
          <w:iCs w:val="0"/>
          <w:caps w:val="0"/>
          <w:spacing w:val="0"/>
          <w:sz w:val="24"/>
          <w:szCs w:val="24"/>
          <w:highlight w:val="none"/>
          <w:shd w:val="clear" w:color="auto" w:fill="FFFFFF"/>
          <w:lang w:val="en-US" w:eastAsia="zh-CN"/>
        </w:rPr>
        <w:t>③考核不合格（＜70分）：</w:t>
      </w:r>
      <w:r>
        <w:rPr>
          <w:rFonts w:hint="eastAsia" w:ascii="宋体" w:hAnsi="宋体" w:eastAsia="宋体" w:cs="宋体"/>
          <w:i w:val="0"/>
          <w:iCs w:val="0"/>
          <w:caps w:val="0"/>
          <w:spacing w:val="0"/>
          <w:sz w:val="24"/>
          <w:szCs w:val="24"/>
          <w:highlight w:val="none"/>
          <w:shd w:val="clear" w:color="auto" w:fill="FFFFFF"/>
        </w:rPr>
        <w:t>月应拨付服务费=年服务费总额÷12</w:t>
      </w:r>
      <w:r>
        <w:rPr>
          <w:rFonts w:hint="eastAsia" w:cs="宋体"/>
          <w:i w:val="0"/>
          <w:iCs w:val="0"/>
          <w:caps w:val="0"/>
          <w:spacing w:val="0"/>
          <w:sz w:val="24"/>
          <w:szCs w:val="24"/>
          <w:highlight w:val="none"/>
          <w:shd w:val="clear" w:color="auto" w:fill="FFFFFF"/>
          <w:lang w:val="en-US" w:eastAsia="zh-CN"/>
        </w:rPr>
        <w:t>-扣减费用（10%-20%）</w:t>
      </w:r>
    </w:p>
    <w:p w14:paraId="484EF81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3.2.3甲方根据每月考核结果核定应支付金额，乙方应在每月____日前向甲方提交等额有效的增值税发票，甲方在收到发票后____个工作日内支付。</w:t>
      </w:r>
    </w:p>
    <w:p w14:paraId="1D307EB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3.2.4如遇法定节假日或特殊情况，支付时间可顺延至下一个工作日。</w:t>
      </w:r>
    </w:p>
    <w:p w14:paraId="7CC79DEA">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0" w:firstLineChars="200"/>
        <w:rPr>
          <w:rFonts w:hint="eastAsia" w:hAnsi="宋体" w:cs="宋体"/>
          <w:b w:val="0"/>
          <w:bCs/>
          <w:i w:val="0"/>
          <w:iCs w:val="0"/>
          <w:caps w:val="0"/>
          <w:color w:val="auto"/>
          <w:spacing w:val="0"/>
          <w:sz w:val="24"/>
          <w:szCs w:val="24"/>
          <w:highlight w:val="none"/>
          <w:shd w:val="clear" w:color="auto" w:fill="FFFFFF"/>
          <w:lang w:val="en-US" w:eastAsia="zh-CN"/>
        </w:rPr>
      </w:pPr>
      <w:r>
        <w:rPr>
          <w:rFonts w:hint="eastAsia" w:hAnsi="宋体" w:cs="宋体"/>
          <w:b w:val="0"/>
          <w:bCs/>
          <w:i w:val="0"/>
          <w:iCs w:val="0"/>
          <w:caps w:val="0"/>
          <w:color w:val="auto"/>
          <w:spacing w:val="0"/>
          <w:sz w:val="24"/>
          <w:szCs w:val="24"/>
          <w:highlight w:val="none"/>
          <w:shd w:val="clear" w:color="auto" w:fill="FFFFFF"/>
          <w:lang w:val="en-US" w:eastAsia="zh-CN"/>
        </w:rPr>
        <w:t>3.2.5 若因财政预算拨付流程、国库审批等不可归责于甲方的原因导致付款顺延的，不视为甲方违约，甲方无需承担逾期付款违约金。</w:t>
      </w:r>
    </w:p>
    <w:p w14:paraId="14C5810A">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第四条 履约保证金</w:t>
      </w:r>
    </w:p>
    <w:p w14:paraId="655FB56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4.1 乙方应在本合同签订之日</w:t>
      </w:r>
      <w:r>
        <w:rPr>
          <w:rFonts w:hint="eastAsia" w:cs="宋体"/>
          <w:i w:val="0"/>
          <w:iCs w:val="0"/>
          <w:caps w:val="0"/>
          <w:spacing w:val="0"/>
          <w:sz w:val="24"/>
          <w:szCs w:val="24"/>
          <w:highlight w:val="none"/>
          <w:shd w:val="clear" w:color="auto" w:fill="FFFFFF"/>
          <w:lang w:val="en-US" w:eastAsia="zh-CN"/>
        </w:rPr>
        <w:t>前</w:t>
      </w:r>
      <w:r>
        <w:rPr>
          <w:rFonts w:hint="eastAsia" w:ascii="宋体" w:hAnsi="宋体" w:eastAsia="宋体" w:cs="宋体"/>
          <w:i w:val="0"/>
          <w:iCs w:val="0"/>
          <w:caps w:val="0"/>
          <w:spacing w:val="0"/>
          <w:sz w:val="24"/>
          <w:szCs w:val="24"/>
          <w:highlight w:val="none"/>
          <w:shd w:val="clear" w:color="auto" w:fill="FFFFFF"/>
        </w:rPr>
        <w:t>，向甲方提交履约保证金人民币______元（大写：________________元整）。</w:t>
      </w:r>
    </w:p>
    <w:p w14:paraId="2A38987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4.2 履约保证金用于担保乙方履行本合同义务，包括但不限于：</w:t>
      </w:r>
    </w:p>
    <w:p w14:paraId="3FBB8EF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（1）乙方违约时承担违约责任；</w:t>
      </w:r>
    </w:p>
    <w:p w14:paraId="0CE9917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（2）乙方造成甲方或第三方损失时承担赔偿责任；</w:t>
      </w:r>
    </w:p>
    <w:p w14:paraId="65E4E60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（3）乙方未按要求整改或整改不到位时的扣款。</w:t>
      </w:r>
    </w:p>
    <w:p w14:paraId="288327B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4.3 合同期满且乙方无违约行为、无未处理纠纷的，甲方在合同期满后____个工作日内无息退还履约保证金。</w:t>
      </w:r>
    </w:p>
    <w:p w14:paraId="45F7604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4.4 合同期内因乙方违约导致履约保证金被扣除的，乙方应在扣除后____个工作日内补足至原金额。</w:t>
      </w:r>
    </w:p>
    <w:p w14:paraId="14980E18">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0" w:firstLineChars="200"/>
        <w:rPr>
          <w:rFonts w:hint="eastAsia" w:hAnsi="宋体" w:cs="宋体"/>
          <w:b w:val="0"/>
          <w:bCs/>
          <w:i w:val="0"/>
          <w:iCs w:val="0"/>
          <w:caps w:val="0"/>
          <w:color w:val="0000FF"/>
          <w:spacing w:val="0"/>
          <w:sz w:val="24"/>
          <w:szCs w:val="24"/>
          <w:highlight w:val="none"/>
          <w:shd w:val="clear" w:color="auto" w:fill="FFFFFF"/>
          <w:lang w:eastAsia="zh-CN"/>
        </w:rPr>
      </w:pPr>
      <w:r>
        <w:rPr>
          <w:rFonts w:hint="eastAsia" w:hAnsi="宋体" w:cs="宋体"/>
          <w:b w:val="0"/>
          <w:bCs/>
          <w:i w:val="0"/>
          <w:iCs w:val="0"/>
          <w:caps w:val="0"/>
          <w:color w:val="0000FF"/>
          <w:spacing w:val="0"/>
          <w:sz w:val="24"/>
          <w:szCs w:val="24"/>
          <w:highlight w:val="none"/>
          <w:shd w:val="clear" w:color="auto" w:fill="FFFFFF"/>
          <w:lang w:eastAsia="zh-CN"/>
        </w:rPr>
        <w:t>4.5乙方逾期未足额缴纳（</w:t>
      </w:r>
      <w:r>
        <w:rPr>
          <w:rFonts w:hint="eastAsia" w:hAnsi="宋体" w:cs="宋体"/>
          <w:b w:val="0"/>
          <w:bCs/>
          <w:i w:val="0"/>
          <w:iCs w:val="0"/>
          <w:caps w:val="0"/>
          <w:color w:val="0000FF"/>
          <w:spacing w:val="0"/>
          <w:sz w:val="24"/>
          <w:szCs w:val="24"/>
          <w:highlight w:val="none"/>
          <w:shd w:val="clear" w:color="auto" w:fill="FFFFFF"/>
          <w:lang w:val="en-US" w:eastAsia="zh-CN"/>
        </w:rPr>
        <w:t>或补足</w:t>
      </w:r>
      <w:r>
        <w:rPr>
          <w:rFonts w:hint="eastAsia" w:hAnsi="宋体" w:cs="宋体"/>
          <w:b w:val="0"/>
          <w:bCs/>
          <w:i w:val="0"/>
          <w:iCs w:val="0"/>
          <w:caps w:val="0"/>
          <w:color w:val="0000FF"/>
          <w:spacing w:val="0"/>
          <w:sz w:val="24"/>
          <w:szCs w:val="24"/>
          <w:highlight w:val="none"/>
          <w:shd w:val="clear" w:color="auto" w:fill="FFFFFF"/>
          <w:lang w:eastAsia="zh-CN"/>
        </w:rPr>
        <w:t>）履约保证金的，每逾期一日按应缴金额万分之五支付违约金；逾期超过5日，甲方有权单方解除合同，取消中标资格并上报政府采购监管部门。</w:t>
      </w:r>
    </w:p>
    <w:p w14:paraId="1FFA1357">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第五条 考核办法</w:t>
      </w:r>
    </w:p>
    <w:p w14:paraId="029CC49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5.1甲方依据《易门县环卫站购买县城环卫市政服务综合考核表》对乙方服务质量进行考核</w:t>
      </w:r>
      <w:r>
        <w:rPr>
          <w:rFonts w:hint="eastAsia" w:cs="宋体"/>
          <w:i w:val="0"/>
          <w:iCs w:val="0"/>
          <w:caps w:val="0"/>
          <w:spacing w:val="0"/>
          <w:sz w:val="24"/>
          <w:szCs w:val="24"/>
          <w:highlight w:val="none"/>
          <w:shd w:val="clear" w:color="auto" w:fill="FFFFFF"/>
          <w:lang w:eastAsia="zh-CN"/>
        </w:rPr>
        <w:t>，</w:t>
      </w:r>
      <w:r>
        <w:rPr>
          <w:rFonts w:hint="eastAsia" w:cs="宋体"/>
          <w:i w:val="0"/>
          <w:iCs w:val="0"/>
          <w:caps w:val="0"/>
          <w:spacing w:val="0"/>
          <w:sz w:val="24"/>
          <w:szCs w:val="24"/>
          <w:highlight w:val="none"/>
          <w:shd w:val="clear" w:color="auto" w:fill="FFFFFF"/>
          <w:lang w:val="en-US" w:eastAsia="zh-CN"/>
        </w:rPr>
        <w:t>具体考核方式详见附件</w:t>
      </w:r>
      <w:r>
        <w:rPr>
          <w:rFonts w:hint="eastAsia" w:ascii="宋体" w:hAnsi="宋体" w:eastAsia="宋体" w:cs="宋体"/>
          <w:i w:val="0"/>
          <w:iCs w:val="0"/>
          <w:caps w:val="0"/>
          <w:spacing w:val="0"/>
          <w:sz w:val="24"/>
          <w:szCs w:val="24"/>
          <w:highlight w:val="none"/>
          <w:shd w:val="clear" w:color="auto" w:fill="FFFFFF"/>
        </w:rPr>
        <w:t>。</w:t>
      </w:r>
    </w:p>
    <w:p w14:paraId="0C1B34A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shd w:val="clear" w:color="auto" w:fill="FFFFFF"/>
        </w:rPr>
      </w:pPr>
      <w:r>
        <w:rPr>
          <w:rFonts w:hint="eastAsia" w:ascii="宋体" w:hAnsi="宋体" w:eastAsia="宋体" w:cs="宋体"/>
          <w:i w:val="0"/>
          <w:iCs w:val="0"/>
          <w:caps w:val="0"/>
          <w:spacing w:val="0"/>
          <w:sz w:val="24"/>
          <w:szCs w:val="24"/>
          <w:highlight w:val="none"/>
          <w:shd w:val="clear" w:color="auto" w:fill="FFFFFF"/>
        </w:rPr>
        <w:t>5.</w:t>
      </w:r>
      <w:r>
        <w:rPr>
          <w:rFonts w:hint="eastAsia" w:cs="宋体"/>
          <w:i w:val="0"/>
          <w:iCs w:val="0"/>
          <w:caps w:val="0"/>
          <w:spacing w:val="0"/>
          <w:sz w:val="24"/>
          <w:szCs w:val="24"/>
          <w:highlight w:val="none"/>
          <w:shd w:val="clear" w:color="auto" w:fill="FFFFFF"/>
          <w:lang w:val="en-US" w:eastAsia="zh-CN"/>
        </w:rPr>
        <w:t>2</w:t>
      </w:r>
      <w:r>
        <w:rPr>
          <w:rFonts w:hint="eastAsia" w:ascii="宋体" w:hAnsi="宋体" w:eastAsia="宋体" w:cs="宋体"/>
          <w:i w:val="0"/>
          <w:iCs w:val="0"/>
          <w:caps w:val="0"/>
          <w:spacing w:val="0"/>
          <w:sz w:val="24"/>
          <w:szCs w:val="24"/>
          <w:highlight w:val="none"/>
          <w:shd w:val="clear" w:color="auto" w:fill="FFFFFF"/>
        </w:rPr>
        <w:t>月考核得分80分及以上为合格。得分低于80分的，按以下标准扣拨服务费：</w:t>
      </w:r>
    </w:p>
    <w:p w14:paraId="5A852FEC">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①</w:t>
      </w:r>
      <w:r>
        <w:rPr>
          <w:rFonts w:hint="eastAsia" w:ascii="宋体" w:hAnsi="宋体" w:eastAsia="宋体" w:cs="宋体"/>
          <w:b w:val="0"/>
          <w:bCs w:val="0"/>
          <w:highlight w:val="none"/>
          <w:lang w:val="en-US" w:eastAsia="zh-CN"/>
        </w:rPr>
        <w:t>优秀（≥90分）：全额拨付当月服务费，纳入年度优质服务商名录，后续新增项目、年度续约优先考虑；</w:t>
      </w:r>
    </w:p>
    <w:p w14:paraId="62031FFB">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②</w:t>
      </w:r>
      <w:r>
        <w:rPr>
          <w:rFonts w:hint="eastAsia" w:ascii="宋体" w:hAnsi="宋体" w:eastAsia="宋体" w:cs="宋体"/>
          <w:b w:val="0"/>
          <w:bCs w:val="0"/>
          <w:highlight w:val="none"/>
          <w:lang w:val="en-US" w:eastAsia="zh-CN"/>
        </w:rPr>
        <w:t>合格（80—89分）：全额拨付，无扣款，正常履约；</w:t>
      </w:r>
    </w:p>
    <w:p w14:paraId="2743689C">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③</w:t>
      </w:r>
      <w:r>
        <w:rPr>
          <w:rFonts w:hint="eastAsia" w:ascii="宋体" w:hAnsi="宋体" w:eastAsia="宋体" w:cs="宋体"/>
          <w:b w:val="0"/>
          <w:bCs w:val="0"/>
          <w:highlight w:val="none"/>
          <w:lang w:val="en-US" w:eastAsia="zh-CN"/>
        </w:rPr>
        <w:t>基本合格（70—79分）：当月扣减服务费</w:t>
      </w:r>
      <w:r>
        <w:rPr>
          <w:rFonts w:hint="eastAsia" w:cs="宋体"/>
          <w:b w:val="0"/>
          <w:bCs w:val="0"/>
          <w:highlight w:val="none"/>
          <w:lang w:val="en-US" w:eastAsia="zh-CN"/>
        </w:rPr>
        <w:t>1%—10%</w:t>
      </w:r>
      <w:r>
        <w:rPr>
          <w:rFonts w:hint="eastAsia" w:ascii="宋体" w:hAnsi="宋体" w:eastAsia="宋体" w:cs="宋体"/>
          <w:b w:val="0"/>
          <w:bCs w:val="0"/>
          <w:highlight w:val="none"/>
          <w:lang w:val="en-US" w:eastAsia="zh-CN"/>
        </w:rPr>
        <w:t>，企业提交专项整改方案；连续两月基本合格按不合格处理；</w:t>
      </w:r>
    </w:p>
    <w:p w14:paraId="7525ACDE">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④</w:t>
      </w:r>
      <w:r>
        <w:rPr>
          <w:rFonts w:hint="eastAsia" w:ascii="宋体" w:hAnsi="宋体" w:eastAsia="宋体" w:cs="宋体"/>
          <w:b w:val="0"/>
          <w:bCs w:val="0"/>
          <w:highlight w:val="none"/>
          <w:lang w:val="en-US" w:eastAsia="zh-CN"/>
        </w:rPr>
        <w:t>不合格（＜70分/一票否决）：当月扣减服务费</w:t>
      </w:r>
      <w:r>
        <w:rPr>
          <w:rFonts w:hint="eastAsia" w:cs="宋体"/>
          <w:b w:val="0"/>
          <w:bCs w:val="0"/>
          <w:highlight w:val="none"/>
          <w:lang w:val="en-US" w:eastAsia="zh-CN"/>
        </w:rPr>
        <w:t>10%—20%</w:t>
      </w:r>
      <w:r>
        <w:rPr>
          <w:rFonts w:hint="eastAsia" w:ascii="宋体" w:hAnsi="宋体" w:eastAsia="宋体" w:cs="宋体"/>
          <w:b w:val="0"/>
          <w:bCs w:val="0"/>
          <w:highlight w:val="none"/>
          <w:lang w:val="en-US" w:eastAsia="zh-CN"/>
        </w:rPr>
        <w:t>，约谈企业主要负责人、全县行业内通报批评。</w:t>
      </w:r>
    </w:p>
    <w:p w14:paraId="0C8CEEED">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2" w:firstLineChars="200"/>
        <w:textAlignment w:val="auto"/>
        <w:rPr>
          <w:rFonts w:hint="eastAsia" w:ascii="宋体" w:hAnsi="宋体" w:eastAsia="宋体" w:cs="宋体"/>
          <w:b w:val="0"/>
          <w:bCs w:val="0"/>
          <w:highlight w:val="none"/>
          <w:lang w:val="en-US" w:eastAsia="zh-CN"/>
        </w:rPr>
      </w:pPr>
      <w:r>
        <w:rPr>
          <w:rFonts w:hint="eastAsia" w:cs="宋体"/>
          <w:b/>
          <w:bCs/>
          <w:highlight w:val="none"/>
          <w:lang w:val="en-US" w:eastAsia="zh-CN"/>
        </w:rPr>
        <w:t>5.3</w:t>
      </w:r>
      <w:r>
        <w:rPr>
          <w:rFonts w:hint="eastAsia" w:ascii="宋体" w:hAnsi="宋体" w:eastAsia="宋体" w:cs="宋体"/>
          <w:b/>
          <w:bCs/>
          <w:highlight w:val="none"/>
          <w:lang w:val="en-US" w:eastAsia="zh-CN"/>
        </w:rPr>
        <w:t>中长期违约处置措施</w:t>
      </w:r>
    </w:p>
    <w:p w14:paraId="01638650">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①</w:t>
      </w:r>
      <w:r>
        <w:rPr>
          <w:rFonts w:hint="eastAsia" w:ascii="宋体" w:hAnsi="宋体" w:eastAsia="宋体" w:cs="宋体"/>
          <w:b w:val="0"/>
          <w:bCs w:val="0"/>
          <w:highlight w:val="none"/>
          <w:lang w:val="en-US" w:eastAsia="zh-CN"/>
        </w:rPr>
        <w:t>连续两个月月度考核不合格：暂停支付服务款项，启动合同违约追责，限期全面整改；</w:t>
      </w:r>
    </w:p>
    <w:p w14:paraId="13FFFB2A">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②</w:t>
      </w:r>
      <w:r>
        <w:rPr>
          <w:rFonts w:hint="eastAsia" w:ascii="宋体" w:hAnsi="宋体" w:eastAsia="宋体" w:cs="宋体"/>
          <w:b w:val="0"/>
          <w:bCs w:val="0"/>
          <w:highlight w:val="none"/>
          <w:lang w:val="en-US" w:eastAsia="zh-CN"/>
        </w:rPr>
        <w:t>年度累计3个月及以上不合格：</w:t>
      </w:r>
      <w:r>
        <w:rPr>
          <w:rFonts w:hint="eastAsia" w:cs="宋体"/>
          <w:b w:val="0"/>
          <w:bCs w:val="0"/>
          <w:highlight w:val="none"/>
          <w:lang w:val="en-US" w:eastAsia="zh-CN"/>
        </w:rPr>
        <w:t>甲方</w:t>
      </w:r>
      <w:r>
        <w:rPr>
          <w:rFonts w:hint="eastAsia" w:ascii="宋体" w:hAnsi="宋体" w:eastAsia="宋体" w:cs="宋体"/>
          <w:b w:val="0"/>
          <w:bCs w:val="0"/>
          <w:highlight w:val="none"/>
          <w:lang w:val="en-US" w:eastAsia="zh-CN"/>
        </w:rPr>
        <w:t>将服务商纳入政府采购不良信用名单，取消次年续约资格，</w:t>
      </w:r>
      <w:r>
        <w:rPr>
          <w:rFonts w:hint="eastAsia" w:cs="宋体"/>
          <w:b w:val="0"/>
          <w:bCs w:val="0"/>
          <w:highlight w:val="none"/>
          <w:lang w:val="en-US" w:eastAsia="zh-CN"/>
        </w:rPr>
        <w:t>甲方</w:t>
      </w:r>
      <w:r>
        <w:rPr>
          <w:rFonts w:hint="eastAsia" w:ascii="宋体" w:hAnsi="宋体" w:eastAsia="宋体" w:cs="宋体"/>
          <w:b w:val="0"/>
          <w:bCs w:val="0"/>
          <w:highlight w:val="none"/>
          <w:lang w:val="en-US" w:eastAsia="zh-CN"/>
        </w:rPr>
        <w:t>有权单方面终止服务合同；</w:t>
      </w:r>
    </w:p>
    <w:p w14:paraId="192BA6E9">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③</w:t>
      </w:r>
      <w:r>
        <w:rPr>
          <w:rFonts w:hint="eastAsia" w:ascii="宋体" w:hAnsi="宋体" w:eastAsia="宋体" w:cs="宋体"/>
          <w:b w:val="0"/>
          <w:bCs w:val="0"/>
          <w:highlight w:val="none"/>
          <w:lang w:val="en-US" w:eastAsia="zh-CN"/>
        </w:rPr>
        <w:t>专项重大处罚：被省级通报单次扣款5000.00元、市级1000.00元；发生重伤及以上安全事故、重大环保事故直接终止合同，扣除全部履约保证金。</w:t>
      </w:r>
    </w:p>
    <w:p w14:paraId="0132C658">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2" w:firstLineChars="200"/>
        <w:textAlignment w:val="auto"/>
        <w:rPr>
          <w:rFonts w:hint="eastAsia" w:ascii="宋体" w:hAnsi="宋体" w:eastAsia="宋体" w:cs="宋体"/>
          <w:b/>
          <w:bCs/>
          <w:highlight w:val="none"/>
          <w:lang w:val="en-US" w:eastAsia="zh-CN"/>
        </w:rPr>
      </w:pPr>
      <w:r>
        <w:rPr>
          <w:rFonts w:hint="eastAsia" w:cs="宋体"/>
          <w:b/>
          <w:bCs/>
          <w:highlight w:val="none"/>
          <w:lang w:val="en-US" w:eastAsia="zh-CN"/>
        </w:rPr>
        <w:t>5.4</w:t>
      </w:r>
      <w:r>
        <w:rPr>
          <w:rFonts w:hint="eastAsia" w:ascii="宋体" w:hAnsi="宋体" w:eastAsia="宋体" w:cs="宋体"/>
          <w:b/>
          <w:bCs/>
          <w:highlight w:val="none"/>
          <w:lang w:val="en-US" w:eastAsia="zh-CN"/>
        </w:rPr>
        <w:t>续约评判标准</w:t>
      </w:r>
    </w:p>
    <w:p w14:paraId="741BA732">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 w:val="0"/>
          <w:bCs w:val="0"/>
          <w:highlight w:val="none"/>
          <w:lang w:val="en-US" w:eastAsia="zh-CN"/>
        </w:rPr>
        <w:t>年度综合考核80分及以上，且全年无不合格月份、无重大投诉、无安全环保事故，方可续签下一年度服务合同；年度得分低于70分直接不予续约。</w:t>
      </w:r>
    </w:p>
    <w:p w14:paraId="090DD60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5.</w:t>
      </w:r>
      <w:r>
        <w:rPr>
          <w:rFonts w:hint="eastAsia" w:cs="宋体"/>
          <w:i w:val="0"/>
          <w:iCs w:val="0"/>
          <w:caps w:val="0"/>
          <w:spacing w:val="0"/>
          <w:sz w:val="24"/>
          <w:szCs w:val="24"/>
          <w:highlight w:val="none"/>
          <w:shd w:val="clear" w:color="auto" w:fill="FFFFFF"/>
          <w:lang w:val="en-US" w:eastAsia="zh-CN"/>
        </w:rPr>
        <w:t>5</w:t>
      </w:r>
      <w:r>
        <w:rPr>
          <w:rFonts w:hint="eastAsia" w:ascii="宋体" w:hAnsi="宋体" w:eastAsia="宋体" w:cs="宋体"/>
          <w:i w:val="0"/>
          <w:iCs w:val="0"/>
          <w:caps w:val="0"/>
          <w:spacing w:val="0"/>
          <w:sz w:val="24"/>
          <w:szCs w:val="24"/>
          <w:highlight w:val="none"/>
          <w:shd w:val="clear" w:color="auto" w:fill="FFFFFF"/>
        </w:rPr>
        <w:t>乙方对考核结果有异议的，可在收到考核结果之日起____个工作日内向甲方提出书面复核申请，甲方应在收到申请后____个工作日内组织复核并书面答复。</w:t>
      </w:r>
    </w:p>
    <w:p w14:paraId="6A4EFB1D">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第六条 双方权利与义务</w:t>
      </w:r>
    </w:p>
    <w:p w14:paraId="20E6F7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 甲方权利与义务</w:t>
      </w:r>
    </w:p>
    <w:p w14:paraId="41198A1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6.1.1 甲方有权对乙方的服务质量、作业规范、安全生产等进行监督检查和考核。</w:t>
      </w:r>
    </w:p>
    <w:p w14:paraId="73E397A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6.1.2 甲方有权要求乙方对存在的问题进行整改，并对整改情况进行验收。</w:t>
      </w:r>
    </w:p>
    <w:p w14:paraId="7772A93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6.1.3 甲方有权对乙方违反合同约定的行为进行扣款或处罚。</w:t>
      </w:r>
    </w:p>
    <w:p w14:paraId="27052E8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6.1.4 甲方应按时向乙方支付服务费用。</w:t>
      </w:r>
    </w:p>
    <w:p w14:paraId="4AD865B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6.1.5 甲方应为乙方提供必要的作业条件，包括但不限于提供作业所需的水源、电源接入点等。</w:t>
      </w:r>
    </w:p>
    <w:p w14:paraId="1E3AEBF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6.1.6 甲方应在职责范围内协助乙方处理作业过程中遇到的困难和纠纷。</w:t>
      </w:r>
    </w:p>
    <w:p w14:paraId="5B81F17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6.1.7 甲方应建立考核档案，妥善保管考核记录。</w:t>
      </w:r>
    </w:p>
    <w:p w14:paraId="677655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 乙方权利与义务</w:t>
      </w:r>
    </w:p>
    <w:p w14:paraId="07C0E5C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6.2.1 乙方有权要求甲方按时支付服务费用。</w:t>
      </w:r>
    </w:p>
    <w:p w14:paraId="0E329A0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6.2.2 乙方有权对考核结果提出异议并要求复核。</w:t>
      </w:r>
    </w:p>
    <w:p w14:paraId="664306F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6.2.3 乙方应按合同约定的服务内容和标准完成各项服务工作。</w:t>
      </w:r>
    </w:p>
    <w:p w14:paraId="26F069A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6.2.4 乙方应建立健全内部管理制度，配备足够的管理人员和作业人员，所有作业人员应经过培训后上岗。</w:t>
      </w:r>
    </w:p>
    <w:p w14:paraId="2CE3DF2B">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6.2.5 乙方应按照安全生产相关法律法规和行业规范进行作业，配备必要的安全防护装备，确保作业人员人身安全。</w:t>
      </w:r>
    </w:p>
    <w:p w14:paraId="121D7A8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6.2.6 乙方应自行承担作业人员的工资、社会保险、福利待遇、工伤等一切费用和责任。</w:t>
      </w:r>
    </w:p>
    <w:p w14:paraId="1495194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6.2.7 乙方应遵守国家法律法规和甲方的管理规定，文明作业，不得扰民，不得损坏市政设施和绿化。</w:t>
      </w:r>
    </w:p>
    <w:p w14:paraId="3E49DBE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6.2.8 乙方应建立服务台账，按时向甲方报送相关数据和资料。</w:t>
      </w:r>
    </w:p>
    <w:p w14:paraId="39CDB3C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6.2.9 乙方应接受甲方的监督检查和考核，按要求进行整改。</w:t>
      </w:r>
    </w:p>
    <w:p w14:paraId="34C6DC3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6.2.10 乙方应自行负责作业车辆、工具的采购、维护和保养。</w:t>
      </w:r>
    </w:p>
    <w:p w14:paraId="2A13C5D8">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0" w:firstLineChars="200"/>
        <w:rPr>
          <w:rFonts w:hint="eastAsia" w:cs="宋体"/>
          <w:b w:val="0"/>
          <w:bCs/>
          <w:i w:val="0"/>
          <w:iCs w:val="0"/>
          <w:caps w:val="0"/>
          <w:color w:val="0000FF"/>
          <w:spacing w:val="0"/>
          <w:sz w:val="24"/>
          <w:szCs w:val="24"/>
          <w:highlight w:val="none"/>
          <w:shd w:val="clear" w:color="auto" w:fill="FFFFFF"/>
          <w:lang w:eastAsia="zh-CN"/>
        </w:rPr>
      </w:pPr>
      <w:r>
        <w:rPr>
          <w:rFonts w:hint="eastAsia" w:cs="宋体"/>
          <w:b w:val="0"/>
          <w:bCs/>
          <w:i w:val="0"/>
          <w:iCs w:val="0"/>
          <w:caps w:val="0"/>
          <w:color w:val="0000FF"/>
          <w:spacing w:val="0"/>
          <w:sz w:val="24"/>
          <w:szCs w:val="24"/>
          <w:highlight w:val="none"/>
          <w:shd w:val="clear" w:color="auto" w:fill="FFFFFF"/>
          <w:lang w:eastAsia="zh-CN"/>
        </w:rPr>
        <w:t>6.2.11 乙方严禁整体转包本项目，未经甲方书面同意不得</w:t>
      </w:r>
      <w:r>
        <w:rPr>
          <w:rFonts w:hint="eastAsia" w:cs="宋体"/>
          <w:b w:val="0"/>
          <w:bCs/>
          <w:i w:val="0"/>
          <w:iCs w:val="0"/>
          <w:caps w:val="0"/>
          <w:color w:val="0000FF"/>
          <w:spacing w:val="0"/>
          <w:sz w:val="24"/>
          <w:szCs w:val="24"/>
          <w:highlight w:val="none"/>
          <w:shd w:val="clear" w:color="auto" w:fill="FFFFFF"/>
          <w:lang w:val="en-US" w:eastAsia="zh-CN"/>
        </w:rPr>
        <w:t>将</w:t>
      </w:r>
      <w:r>
        <w:rPr>
          <w:rFonts w:hint="eastAsia" w:cs="宋体"/>
          <w:b w:val="0"/>
          <w:bCs/>
          <w:i w:val="0"/>
          <w:iCs w:val="0"/>
          <w:caps w:val="0"/>
          <w:color w:val="0000FF"/>
          <w:spacing w:val="0"/>
          <w:sz w:val="24"/>
          <w:szCs w:val="24"/>
          <w:highlight w:val="none"/>
          <w:shd w:val="clear" w:color="auto" w:fill="FFFFFF"/>
          <w:lang w:eastAsia="zh-CN"/>
        </w:rPr>
        <w:t>任何核心服务（清扫</w:t>
      </w:r>
      <w:r>
        <w:rPr>
          <w:rFonts w:hint="eastAsia" w:cs="宋体"/>
          <w:b w:val="0"/>
          <w:bCs/>
          <w:i w:val="0"/>
          <w:iCs w:val="0"/>
          <w:caps w:val="0"/>
          <w:color w:val="0000FF"/>
          <w:spacing w:val="0"/>
          <w:sz w:val="24"/>
          <w:szCs w:val="24"/>
          <w:highlight w:val="none"/>
          <w:shd w:val="clear" w:color="auto" w:fill="FFFFFF"/>
          <w:lang w:val="en-US" w:eastAsia="zh-CN"/>
        </w:rPr>
        <w:t>保洁、生</w:t>
      </w:r>
      <w:r>
        <w:rPr>
          <w:rFonts w:hint="eastAsia" w:cs="宋体"/>
          <w:b w:val="0"/>
          <w:bCs/>
          <w:i w:val="0"/>
          <w:iCs w:val="0"/>
          <w:caps w:val="0"/>
          <w:color w:val="0000FF"/>
          <w:spacing w:val="0"/>
          <w:sz w:val="24"/>
          <w:szCs w:val="24"/>
          <w:highlight w:val="none"/>
          <w:shd w:val="clear" w:color="auto" w:fill="FFFFFF"/>
          <w:lang w:eastAsia="zh-CN"/>
        </w:rPr>
        <w:t>活垃圾收集压缩转运、2个垃圾填埋场管护、渗滤液处理站运行、垃圾填埋场环境监测、环境在线监测运行、公厕管护及配件更新、</w:t>
      </w:r>
      <w:r>
        <w:rPr>
          <w:rFonts w:hint="eastAsia" w:cs="宋体"/>
          <w:b w:val="0"/>
          <w:bCs/>
          <w:i w:val="0"/>
          <w:iCs w:val="0"/>
          <w:caps w:val="0"/>
          <w:color w:val="0000FF"/>
          <w:spacing w:val="0"/>
          <w:sz w:val="24"/>
          <w:szCs w:val="24"/>
          <w:highlight w:val="none"/>
          <w:shd w:val="clear" w:color="auto" w:fill="FFFFFF"/>
          <w:lang w:val="en-US" w:eastAsia="zh-CN"/>
        </w:rPr>
        <w:t>洗手台管护及配件更新、市政路灯管护更新、餐厨垃圾年度收运服务，环卫设施设备维护更新等</w:t>
      </w:r>
      <w:r>
        <w:rPr>
          <w:rFonts w:hint="eastAsia" w:cs="宋体"/>
          <w:b w:val="0"/>
          <w:bCs/>
          <w:i w:val="0"/>
          <w:iCs w:val="0"/>
          <w:caps w:val="0"/>
          <w:color w:val="0000FF"/>
          <w:spacing w:val="0"/>
          <w:sz w:val="24"/>
          <w:szCs w:val="24"/>
          <w:highlight w:val="none"/>
          <w:shd w:val="clear" w:color="auto" w:fill="FFFFFF"/>
          <w:lang w:eastAsia="zh-CN"/>
        </w:rPr>
        <w:t>）</w:t>
      </w:r>
      <w:r>
        <w:rPr>
          <w:rFonts w:hint="eastAsia" w:cs="宋体"/>
          <w:b w:val="0"/>
          <w:bCs/>
          <w:i w:val="0"/>
          <w:iCs w:val="0"/>
          <w:caps w:val="0"/>
          <w:color w:val="0000FF"/>
          <w:spacing w:val="0"/>
          <w:sz w:val="24"/>
          <w:szCs w:val="24"/>
          <w:highlight w:val="none"/>
          <w:shd w:val="clear" w:color="auto" w:fill="FFFFFF"/>
          <w:lang w:val="en-US" w:eastAsia="zh-CN"/>
        </w:rPr>
        <w:t>进行</w:t>
      </w:r>
      <w:r>
        <w:rPr>
          <w:rFonts w:hint="eastAsia" w:cs="宋体"/>
          <w:b w:val="0"/>
          <w:bCs/>
          <w:i w:val="0"/>
          <w:iCs w:val="0"/>
          <w:caps w:val="0"/>
          <w:color w:val="0000FF"/>
          <w:spacing w:val="0"/>
          <w:sz w:val="24"/>
          <w:szCs w:val="24"/>
          <w:highlight w:val="none"/>
          <w:shd w:val="clear" w:color="auto" w:fill="FFFFFF"/>
          <w:lang w:eastAsia="zh-CN"/>
        </w:rPr>
        <w:t>转包、分包，擅自转包、分包的，按本合同第八条严重违约处理。</w:t>
      </w:r>
    </w:p>
    <w:p w14:paraId="713102E3">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第七条 安全生产责任</w:t>
      </w:r>
    </w:p>
    <w:p w14:paraId="1F9C19D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7.1 乙方是服务项目的安全生产责任主体，对服务过程中的安全生产全面负责。</w:t>
      </w:r>
    </w:p>
    <w:p w14:paraId="10367C2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7.2 乙方应建立健全安全生产管理制度，制定安全操作规程，定期开展安全培训教育和应急演练。</w:t>
      </w:r>
    </w:p>
    <w:p w14:paraId="098EB6B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7.3 乙方应为其作业人员购买工伤保险，并购买意外伤害保险。</w:t>
      </w:r>
    </w:p>
    <w:p w14:paraId="763AD58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7.4 乙方在作业过程中发生安全事故的，应第一时间组织救援并及时报告甲方。因乙方原因造成人员伤亡或财产损失的，由乙方承担全部法律责任和经济责任。</w:t>
      </w:r>
    </w:p>
    <w:p w14:paraId="7E71F7D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7.5 乙方应配备符合国家标准的劳动防护用品，并监督作业人员正确使用。</w:t>
      </w:r>
    </w:p>
    <w:p w14:paraId="5D1015E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7.6 乙方应定期对作业车辆、设备进行维护保养，确保其处于良好技术状态，严禁带病作业。</w:t>
      </w:r>
    </w:p>
    <w:p w14:paraId="5173310D">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第八条 违约责任</w:t>
      </w:r>
    </w:p>
    <w:p w14:paraId="350EA4B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8.1 财政资金拨付到位后，甲方逾期支付服务费用的，每逾期一日，按应付未付款项的0.05%向乙方支付违约金，违约金累计总额最高不超过应付未付款项的10%。因财政资金调度、国库审批等非甲方主观原因造成付款延迟的，甲方不承担逾期付款违约责任。</w:t>
      </w:r>
    </w:p>
    <w:p w14:paraId="2AD0DA2B">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8.2 乙方有下列情形之一的，视为严重违约，甲方有权单方面解除合同，履约保证金不予退还：</w:t>
      </w:r>
    </w:p>
    <w:p w14:paraId="52D5268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（1）月考核得分连续____个月低于</w:t>
      </w:r>
      <w:r>
        <w:rPr>
          <w:rFonts w:hint="eastAsia" w:cs="宋体"/>
          <w:i w:val="0"/>
          <w:iCs w:val="0"/>
          <w:caps w:val="0"/>
          <w:spacing w:val="0"/>
          <w:sz w:val="24"/>
          <w:szCs w:val="24"/>
          <w:highlight w:val="none"/>
          <w:shd w:val="clear" w:color="auto" w:fill="FFFFFF"/>
          <w:lang w:val="en-US" w:eastAsia="zh-CN"/>
        </w:rPr>
        <w:t>80</w:t>
      </w:r>
      <w:r>
        <w:rPr>
          <w:rFonts w:hint="eastAsia" w:ascii="宋体" w:hAnsi="宋体" w:eastAsia="宋体" w:cs="宋体"/>
          <w:i w:val="0"/>
          <w:iCs w:val="0"/>
          <w:caps w:val="0"/>
          <w:spacing w:val="0"/>
          <w:sz w:val="24"/>
          <w:szCs w:val="24"/>
          <w:highlight w:val="none"/>
          <w:shd w:val="clear" w:color="auto" w:fill="FFFFFF"/>
        </w:rPr>
        <w:t>分的；</w:t>
      </w:r>
    </w:p>
    <w:p w14:paraId="63A4A1B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（2）发生重大安全事故（重伤及以上）且乙方负主要责任的；</w:t>
      </w:r>
    </w:p>
    <w:p w14:paraId="1EA9056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（3）擅自将服务项目转包或分包的；</w:t>
      </w:r>
    </w:p>
    <w:p w14:paraId="0E5617E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（4）受到省级及以上通报批评的；</w:t>
      </w:r>
    </w:p>
    <w:p w14:paraId="65420EBB">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（5）其他严重违反合同约定，经甲方书面催告后____日内仍未改正的。</w:t>
      </w:r>
    </w:p>
    <w:p w14:paraId="0A11443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8.3 乙方违约造成甲方或第三方损失的，乙方应承担全部赔偿责任。</w:t>
      </w:r>
    </w:p>
    <w:p w14:paraId="52491D5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8.4 因不可抗力导致合同无法继续履行的，双方互不承担违约责任，但应及时通知对方并提供相关证明。</w:t>
      </w:r>
    </w:p>
    <w:p w14:paraId="17ACD781">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第九条 合同的变更与解除</w:t>
      </w:r>
    </w:p>
    <w:p w14:paraId="50D47E0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9.1 经甲乙双方协商一致，可以变更或解除本合同。变更或解除合同的协议应采用书面形式。</w:t>
      </w:r>
    </w:p>
    <w:p w14:paraId="38DDBB2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9.2 甲方根据考核结果解除合同的，应提前____</w:t>
      </w:r>
      <w:r>
        <w:rPr>
          <w:rFonts w:hint="eastAsia" w:ascii="宋体" w:hAnsi="宋体" w:eastAsia="宋体" w:cs="宋体"/>
          <w:i w:val="0"/>
          <w:iCs w:val="0"/>
          <w:caps w:val="0"/>
          <w:spacing w:val="0"/>
          <w:sz w:val="24"/>
          <w:szCs w:val="24"/>
          <w:highlight w:val="none"/>
          <w:shd w:val="clear" w:color="auto" w:fill="FFFFFF"/>
          <w:lang w:eastAsia="zh-CN"/>
        </w:rPr>
        <w:t>日内书面通知</w:t>
      </w:r>
      <w:r>
        <w:rPr>
          <w:rFonts w:hint="eastAsia" w:ascii="宋体" w:hAnsi="宋体" w:eastAsia="宋体" w:cs="宋体"/>
          <w:i w:val="0"/>
          <w:iCs w:val="0"/>
          <w:caps w:val="0"/>
          <w:spacing w:val="0"/>
          <w:sz w:val="24"/>
          <w:szCs w:val="24"/>
          <w:highlight w:val="none"/>
          <w:shd w:val="clear" w:color="auto" w:fill="FFFFFF"/>
        </w:rPr>
        <w:t>乙方。</w:t>
      </w:r>
    </w:p>
    <w:p w14:paraId="1CB126D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9.3 乙方要求提前解除合同的，应提前____</w:t>
      </w:r>
      <w:r>
        <w:rPr>
          <w:rFonts w:hint="eastAsia" w:ascii="宋体" w:hAnsi="宋体" w:eastAsia="宋体" w:cs="宋体"/>
          <w:i w:val="0"/>
          <w:iCs w:val="0"/>
          <w:caps w:val="0"/>
          <w:spacing w:val="0"/>
          <w:sz w:val="24"/>
          <w:szCs w:val="24"/>
          <w:highlight w:val="none"/>
          <w:shd w:val="clear" w:color="auto" w:fill="FFFFFF"/>
          <w:lang w:eastAsia="zh-CN"/>
        </w:rPr>
        <w:t>日内书面通知</w:t>
      </w:r>
      <w:r>
        <w:rPr>
          <w:rFonts w:hint="eastAsia" w:ascii="宋体" w:hAnsi="宋体" w:eastAsia="宋体" w:cs="宋体"/>
          <w:i w:val="0"/>
          <w:iCs w:val="0"/>
          <w:caps w:val="0"/>
          <w:spacing w:val="0"/>
          <w:sz w:val="24"/>
          <w:szCs w:val="24"/>
          <w:highlight w:val="none"/>
          <w:shd w:val="clear" w:color="auto" w:fill="FFFFFF"/>
        </w:rPr>
        <w:t>甲方，并退还已收到的未服务期间的服务费用，履约保证金不予退还。</w:t>
      </w:r>
    </w:p>
    <w:p w14:paraId="26FC6FC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shd w:val="clear" w:color="auto" w:fill="FFFFFF"/>
        </w:rPr>
      </w:pPr>
      <w:r>
        <w:rPr>
          <w:rFonts w:hint="eastAsia" w:ascii="宋体" w:hAnsi="宋体" w:eastAsia="宋体" w:cs="宋体"/>
          <w:i w:val="0"/>
          <w:iCs w:val="0"/>
          <w:caps w:val="0"/>
          <w:spacing w:val="0"/>
          <w:sz w:val="24"/>
          <w:szCs w:val="24"/>
          <w:highlight w:val="none"/>
          <w:shd w:val="clear" w:color="auto" w:fill="FFFFFF"/>
        </w:rPr>
        <w:t>9.4 合同解除后，乙方应在____日内完成工作交接并撤离现场，甲方应配合进行验收和清算。</w:t>
      </w:r>
    </w:p>
    <w:p w14:paraId="63AEE9D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cs="宋体"/>
          <w:i w:val="0"/>
          <w:iCs w:val="0"/>
          <w:caps w:val="0"/>
          <w:color w:val="0000FF"/>
          <w:spacing w:val="0"/>
          <w:sz w:val="24"/>
          <w:szCs w:val="24"/>
          <w:highlight w:val="none"/>
          <w:shd w:val="clear" w:color="auto" w:fill="FFFFFF"/>
          <w:lang w:val="en-US" w:eastAsia="zh-CN"/>
        </w:rPr>
      </w:pPr>
      <w:r>
        <w:rPr>
          <w:rFonts w:hint="eastAsia" w:cs="宋体"/>
          <w:i w:val="0"/>
          <w:iCs w:val="0"/>
          <w:caps w:val="0"/>
          <w:color w:val="0000FF"/>
          <w:spacing w:val="0"/>
          <w:sz w:val="24"/>
          <w:szCs w:val="24"/>
          <w:highlight w:val="none"/>
          <w:shd w:val="clear" w:color="auto" w:fill="FFFFFF"/>
          <w:lang w:val="en-US" w:eastAsia="zh-CN"/>
        </w:rPr>
        <w:t>9.5 甲方享有单方临时终止</w:t>
      </w:r>
      <w:r>
        <w:rPr>
          <w:rStyle w:val="68"/>
          <w:rFonts w:hint="eastAsia" w:ascii="宋体" w:hAnsi="宋体" w:eastAsia="宋体" w:cs="宋体"/>
          <w:color w:val="0000FF"/>
          <w:sz w:val="24"/>
          <w:szCs w:val="24"/>
          <w:highlight w:val="none"/>
          <w:lang w:val="en-US" w:eastAsia="zh-CN" w:bidi="ar"/>
        </w:rPr>
        <w:t>路灯管护更新</w:t>
      </w:r>
      <w:r>
        <w:rPr>
          <w:rFonts w:hint="eastAsia" w:cs="宋体"/>
          <w:i w:val="0"/>
          <w:iCs w:val="0"/>
          <w:caps w:val="0"/>
          <w:color w:val="0000FF"/>
          <w:spacing w:val="0"/>
          <w:sz w:val="24"/>
          <w:szCs w:val="24"/>
          <w:highlight w:val="none"/>
          <w:shd w:val="clear" w:color="auto" w:fill="FFFFFF"/>
          <w:lang w:val="en-US" w:eastAsia="zh-CN"/>
        </w:rPr>
        <w:t>服务的权利，甲方可因园区路灯设施升级改造、项目整合、管护模式调整、财政资金统筹等任一原因，向乙方出具书面终止通知，通知载明终止生效日期后，路灯管护更新服务立即停止执行。</w:t>
      </w:r>
    </w:p>
    <w:p w14:paraId="5990034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cs="宋体"/>
          <w:i w:val="0"/>
          <w:iCs w:val="0"/>
          <w:caps w:val="0"/>
          <w:color w:val="0000FF"/>
          <w:spacing w:val="0"/>
          <w:sz w:val="24"/>
          <w:szCs w:val="24"/>
          <w:highlight w:val="none"/>
          <w:shd w:val="clear" w:color="auto" w:fill="FFFFFF"/>
          <w:lang w:val="en-US" w:eastAsia="zh-CN"/>
        </w:rPr>
      </w:pPr>
      <w:r>
        <w:rPr>
          <w:rFonts w:hint="eastAsia" w:cs="宋体"/>
          <w:i w:val="0"/>
          <w:iCs w:val="0"/>
          <w:caps w:val="0"/>
          <w:color w:val="0000FF"/>
          <w:spacing w:val="0"/>
          <w:sz w:val="24"/>
          <w:szCs w:val="24"/>
          <w:highlight w:val="none"/>
          <w:shd w:val="clear" w:color="auto" w:fill="FFFFFF"/>
          <w:lang w:val="en-US" w:eastAsia="zh-CN"/>
        </w:rPr>
        <w:t>9.6费用结算：路灯管护更新服务终止后，甲乙双方以实际履约日历天数为依据核算路灯管护更新服务费，仅结算已完成且验收合格的服务内容，未发生的管护工作不予计费。</w:t>
      </w:r>
    </w:p>
    <w:p w14:paraId="4E73721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cs="宋体"/>
          <w:i w:val="0"/>
          <w:iCs w:val="0"/>
          <w:caps w:val="0"/>
          <w:color w:val="0000FF"/>
          <w:spacing w:val="0"/>
          <w:sz w:val="24"/>
          <w:szCs w:val="24"/>
          <w:highlight w:val="none"/>
          <w:shd w:val="clear" w:color="auto" w:fill="FFFFFF"/>
          <w:lang w:val="en-US" w:eastAsia="zh-CN"/>
        </w:rPr>
      </w:pPr>
      <w:r>
        <w:rPr>
          <w:rFonts w:hint="eastAsia" w:cs="宋体"/>
          <w:i w:val="0"/>
          <w:iCs w:val="0"/>
          <w:caps w:val="0"/>
          <w:color w:val="0000FF"/>
          <w:spacing w:val="0"/>
          <w:sz w:val="24"/>
          <w:szCs w:val="24"/>
          <w:highlight w:val="none"/>
          <w:shd w:val="clear" w:color="auto" w:fill="FFFFFF"/>
          <w:lang w:val="en-US" w:eastAsia="zh-CN"/>
        </w:rPr>
        <w:t>9.7索赔限制：承包人充分预见本条款约定，承诺不因甲方单方提前终止路灯管护更新服务，向甲方提出工期违约赔偿、经营损失、人员设备闲置损失、备货损失、预期收益等任何形式补偿、索赔要求。</w:t>
      </w:r>
    </w:p>
    <w:p w14:paraId="50E1829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default" w:ascii="宋体" w:hAnsi="宋体" w:eastAsia="宋体" w:cs="宋体"/>
          <w:i w:val="0"/>
          <w:iCs w:val="0"/>
          <w:caps w:val="0"/>
          <w:color w:val="0000FF"/>
          <w:spacing w:val="0"/>
          <w:sz w:val="24"/>
          <w:szCs w:val="24"/>
          <w:highlight w:val="none"/>
          <w:shd w:val="clear" w:color="auto" w:fill="FFFFFF"/>
          <w:lang w:val="en-US" w:eastAsia="zh-CN"/>
        </w:rPr>
      </w:pPr>
      <w:r>
        <w:rPr>
          <w:rFonts w:hint="eastAsia" w:cs="宋体"/>
          <w:i w:val="0"/>
          <w:iCs w:val="0"/>
          <w:caps w:val="0"/>
          <w:color w:val="0000FF"/>
          <w:spacing w:val="0"/>
          <w:sz w:val="24"/>
          <w:szCs w:val="24"/>
          <w:highlight w:val="none"/>
          <w:shd w:val="clear" w:color="auto" w:fill="FFFFFF"/>
          <w:lang w:val="en-US" w:eastAsia="zh-CN"/>
        </w:rPr>
        <w:t>9.8 移交要求：接到终止通知后3个工作日内，承包人完成路灯备品备件台账、设备现状资料、故障未销项台账、钥匙工具等全部资料及物资移交，配合甲方或后续接管单位完成现场交接，移交产生费用已综合包含在投标报价中，甲方不再另行支付费用。</w:t>
      </w:r>
    </w:p>
    <w:p w14:paraId="624336A7">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第十条 争议解决</w:t>
      </w:r>
    </w:p>
    <w:p w14:paraId="75545A0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10.1 因履行本合同发生的争议，甲乙双方应通过友好协商解决。</w:t>
      </w:r>
    </w:p>
    <w:p w14:paraId="781637B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10.2 协商不成的，任何一方可向甲方所在地人民法院提起诉讼。</w:t>
      </w:r>
    </w:p>
    <w:p w14:paraId="02B8CE7D">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第十一条 通知与送达</w:t>
      </w:r>
    </w:p>
    <w:p w14:paraId="3264178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11.1 甲乙双方因履行本合同而相互发送的通知、文件等，应以书面形式通过以下方式送达：</w:t>
      </w:r>
    </w:p>
    <w:p w14:paraId="704CFDD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（1）专人送达：以对方签收时间为送达时间；</w:t>
      </w:r>
    </w:p>
    <w:p w14:paraId="18EDB15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（2）邮寄送达：以挂号信或特快专递方式寄至对方注册地址，以邮戳日期视为送达时间；</w:t>
      </w:r>
    </w:p>
    <w:p w14:paraId="592AEC5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（3）电子邮件送达：以邮件进入对方指定邮箱的时间视为送达时间。</w:t>
      </w:r>
    </w:p>
    <w:p w14:paraId="468EC8B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11.2 一方变更联系地址或联系方式的，应在变更后____日内书面通知对方，未通知的，原地址仍视为有效送达地址。</w:t>
      </w:r>
    </w:p>
    <w:p w14:paraId="2706E114">
      <w:pPr>
        <w:pStyle w:val="3"/>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Autospacing="0" w:line="480" w:lineRule="exact"/>
        <w:ind w:left="0" w:firstLine="482" w:firstLineChars="200"/>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第十二条 其他约定</w:t>
      </w:r>
    </w:p>
    <w:p w14:paraId="0CFC48C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shd w:val="clear" w:color="auto" w:fill="FFFFFF"/>
        </w:rPr>
      </w:pPr>
      <w:r>
        <w:rPr>
          <w:rFonts w:hint="eastAsia" w:ascii="宋体" w:hAnsi="宋体" w:eastAsia="宋体" w:cs="宋体"/>
          <w:i w:val="0"/>
          <w:iCs w:val="0"/>
          <w:caps w:val="0"/>
          <w:spacing w:val="0"/>
          <w:sz w:val="24"/>
          <w:szCs w:val="24"/>
          <w:highlight w:val="none"/>
          <w:shd w:val="clear" w:color="auto" w:fill="FFFFFF"/>
        </w:rPr>
        <w:t>12.1 本合同附件为本合同不可分割的组成部分，与本合同具有同等法律效力。</w:t>
      </w:r>
    </w:p>
    <w:p w14:paraId="3CC652E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附件清单如下：</w:t>
      </w:r>
    </w:p>
    <w:p w14:paraId="5EF6DF0C">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val="0"/>
        <w:snapToGrid w:val="0"/>
        <w:spacing w:beforeAutospacing="0" w:afterAutospacing="0" w:line="480" w:lineRule="exact"/>
        <w:ind w:left="0" w:right="0" w:firstLine="480" w:firstLineChars="200"/>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color="auto" w:fill="FFFFFF"/>
        </w:rPr>
        <w:t>附件一：公厕管护点位清单</w:t>
      </w:r>
      <w:r>
        <w:rPr>
          <w:rFonts w:hint="eastAsia" w:ascii="宋体" w:hAnsi="宋体" w:cs="宋体"/>
          <w:i w:val="0"/>
          <w:iCs w:val="0"/>
          <w:caps w:val="0"/>
          <w:spacing w:val="0"/>
          <w:sz w:val="24"/>
          <w:szCs w:val="24"/>
          <w:highlight w:val="none"/>
          <w:shd w:val="clear" w:color="auto" w:fill="FFFFFF"/>
          <w:lang w:eastAsia="zh-CN"/>
        </w:rPr>
        <w:t>（</w:t>
      </w:r>
      <w:r>
        <w:rPr>
          <w:rFonts w:hint="eastAsia" w:ascii="宋体" w:hAnsi="宋体" w:cs="宋体"/>
          <w:i w:val="0"/>
          <w:iCs w:val="0"/>
          <w:caps w:val="0"/>
          <w:spacing w:val="0"/>
          <w:sz w:val="24"/>
          <w:szCs w:val="24"/>
          <w:highlight w:val="none"/>
          <w:shd w:val="clear" w:color="auto" w:fill="FFFFFF"/>
          <w:lang w:val="en-US" w:eastAsia="zh-CN"/>
        </w:rPr>
        <w:t>如有</w:t>
      </w:r>
      <w:r>
        <w:rPr>
          <w:rFonts w:hint="eastAsia" w:ascii="宋体" w:hAnsi="宋体" w:cs="宋体"/>
          <w:i w:val="0"/>
          <w:iCs w:val="0"/>
          <w:caps w:val="0"/>
          <w:spacing w:val="0"/>
          <w:sz w:val="24"/>
          <w:szCs w:val="24"/>
          <w:highlight w:val="none"/>
          <w:shd w:val="clear" w:color="auto" w:fill="FFFFFF"/>
          <w:lang w:eastAsia="zh-CN"/>
        </w:rPr>
        <w:t>）</w:t>
      </w:r>
    </w:p>
    <w:p w14:paraId="36307685">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val="0"/>
        <w:snapToGrid w:val="0"/>
        <w:spacing w:beforeAutospacing="0" w:afterAutospacing="0" w:line="480" w:lineRule="exact"/>
        <w:ind w:left="0" w:right="0" w:firstLine="480" w:firstLineChars="200"/>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color="auto" w:fill="FFFFFF"/>
        </w:rPr>
        <w:t>附件二：公共洗手设施管护点位清单</w:t>
      </w:r>
      <w:r>
        <w:rPr>
          <w:rFonts w:hint="eastAsia" w:ascii="宋体" w:hAnsi="宋体" w:cs="宋体"/>
          <w:i w:val="0"/>
          <w:iCs w:val="0"/>
          <w:caps w:val="0"/>
          <w:spacing w:val="0"/>
          <w:sz w:val="24"/>
          <w:szCs w:val="24"/>
          <w:highlight w:val="none"/>
          <w:shd w:val="clear" w:color="auto" w:fill="FFFFFF"/>
          <w:lang w:eastAsia="zh-CN"/>
        </w:rPr>
        <w:t>（</w:t>
      </w:r>
      <w:r>
        <w:rPr>
          <w:rFonts w:hint="eastAsia" w:ascii="宋体" w:hAnsi="宋体" w:cs="宋体"/>
          <w:i w:val="0"/>
          <w:iCs w:val="0"/>
          <w:caps w:val="0"/>
          <w:spacing w:val="0"/>
          <w:sz w:val="24"/>
          <w:szCs w:val="24"/>
          <w:highlight w:val="none"/>
          <w:shd w:val="clear" w:color="auto" w:fill="FFFFFF"/>
          <w:lang w:val="en-US" w:eastAsia="zh-CN"/>
        </w:rPr>
        <w:t>如有</w:t>
      </w:r>
      <w:r>
        <w:rPr>
          <w:rFonts w:hint="eastAsia" w:ascii="宋体" w:hAnsi="宋体" w:cs="宋体"/>
          <w:i w:val="0"/>
          <w:iCs w:val="0"/>
          <w:caps w:val="0"/>
          <w:spacing w:val="0"/>
          <w:sz w:val="24"/>
          <w:szCs w:val="24"/>
          <w:highlight w:val="none"/>
          <w:shd w:val="clear" w:color="auto" w:fill="FFFFFF"/>
          <w:lang w:eastAsia="zh-CN"/>
        </w:rPr>
        <w:t>）</w:t>
      </w:r>
    </w:p>
    <w:p w14:paraId="16DD5931">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val="0"/>
        <w:snapToGrid w:val="0"/>
        <w:spacing w:beforeAutospacing="0" w:afterAutospacing="0" w:line="480" w:lineRule="exact"/>
        <w:ind w:left="0" w:right="0" w:firstLine="480" w:firstLineChars="200"/>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color="auto" w:fill="FFFFFF"/>
        </w:rPr>
        <w:t>附件三：市政路灯管护清单</w:t>
      </w:r>
      <w:r>
        <w:rPr>
          <w:rFonts w:hint="eastAsia" w:ascii="宋体" w:hAnsi="宋体" w:cs="宋体"/>
          <w:i w:val="0"/>
          <w:iCs w:val="0"/>
          <w:caps w:val="0"/>
          <w:spacing w:val="0"/>
          <w:sz w:val="24"/>
          <w:szCs w:val="24"/>
          <w:highlight w:val="none"/>
          <w:shd w:val="clear" w:color="auto" w:fill="FFFFFF"/>
          <w:lang w:eastAsia="zh-CN"/>
        </w:rPr>
        <w:t>（</w:t>
      </w:r>
      <w:r>
        <w:rPr>
          <w:rFonts w:hint="eastAsia" w:ascii="宋体" w:hAnsi="宋体" w:cs="宋体"/>
          <w:i w:val="0"/>
          <w:iCs w:val="0"/>
          <w:caps w:val="0"/>
          <w:spacing w:val="0"/>
          <w:sz w:val="24"/>
          <w:szCs w:val="24"/>
          <w:highlight w:val="none"/>
          <w:shd w:val="clear" w:color="auto" w:fill="FFFFFF"/>
          <w:lang w:val="en-US" w:eastAsia="zh-CN"/>
        </w:rPr>
        <w:t>如有</w:t>
      </w:r>
      <w:r>
        <w:rPr>
          <w:rFonts w:hint="eastAsia" w:ascii="宋体" w:hAnsi="宋体" w:cs="宋体"/>
          <w:i w:val="0"/>
          <w:iCs w:val="0"/>
          <w:caps w:val="0"/>
          <w:spacing w:val="0"/>
          <w:sz w:val="24"/>
          <w:szCs w:val="24"/>
          <w:highlight w:val="none"/>
          <w:shd w:val="clear" w:color="auto" w:fill="FFFFFF"/>
          <w:lang w:eastAsia="zh-CN"/>
        </w:rPr>
        <w:t>）</w:t>
      </w:r>
    </w:p>
    <w:p w14:paraId="08CCA092">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val="0"/>
        <w:snapToGrid w:val="0"/>
        <w:spacing w:beforeAutospacing="0" w:afterAutospacing="0" w:line="480" w:lineRule="exact"/>
        <w:ind w:left="0" w:right="0" w:firstLine="480" w:firstLineChars="200"/>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color="auto" w:fill="FFFFFF"/>
        </w:rPr>
        <w:t>附件四：市政设施维护管理清单</w:t>
      </w:r>
      <w:r>
        <w:rPr>
          <w:rFonts w:hint="eastAsia" w:ascii="宋体" w:hAnsi="宋体" w:cs="宋体"/>
          <w:i w:val="0"/>
          <w:iCs w:val="0"/>
          <w:caps w:val="0"/>
          <w:spacing w:val="0"/>
          <w:sz w:val="24"/>
          <w:szCs w:val="24"/>
          <w:highlight w:val="none"/>
          <w:shd w:val="clear" w:color="auto" w:fill="FFFFFF"/>
          <w:lang w:eastAsia="zh-CN"/>
        </w:rPr>
        <w:t>（</w:t>
      </w:r>
      <w:r>
        <w:rPr>
          <w:rFonts w:hint="eastAsia" w:ascii="宋体" w:hAnsi="宋体" w:cs="宋体"/>
          <w:i w:val="0"/>
          <w:iCs w:val="0"/>
          <w:caps w:val="0"/>
          <w:spacing w:val="0"/>
          <w:sz w:val="24"/>
          <w:szCs w:val="24"/>
          <w:highlight w:val="none"/>
          <w:shd w:val="clear" w:color="auto" w:fill="FFFFFF"/>
          <w:lang w:val="en-US" w:eastAsia="zh-CN"/>
        </w:rPr>
        <w:t>如有</w:t>
      </w:r>
      <w:r>
        <w:rPr>
          <w:rFonts w:hint="eastAsia" w:ascii="宋体" w:hAnsi="宋体" w:cs="宋体"/>
          <w:i w:val="0"/>
          <w:iCs w:val="0"/>
          <w:caps w:val="0"/>
          <w:spacing w:val="0"/>
          <w:sz w:val="24"/>
          <w:szCs w:val="24"/>
          <w:highlight w:val="none"/>
          <w:shd w:val="clear" w:color="auto" w:fill="FFFFFF"/>
          <w:lang w:eastAsia="zh-CN"/>
        </w:rPr>
        <w:t>）</w:t>
      </w:r>
    </w:p>
    <w:p w14:paraId="5AE991B7">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val="0"/>
        <w:snapToGrid w:val="0"/>
        <w:spacing w:beforeAutospacing="0" w:afterAutospacing="0" w:line="480" w:lineRule="exact"/>
        <w:ind w:left="0" w:right="0" w:firstLine="480" w:firstLineChars="200"/>
        <w:rPr>
          <w:rFonts w:hint="default" w:ascii="宋体" w:hAnsi="宋体" w:eastAsia="宋体" w:cs="宋体"/>
          <w:i w:val="0"/>
          <w:iCs w:val="0"/>
          <w:caps w:val="0"/>
          <w:spacing w:val="0"/>
          <w:sz w:val="24"/>
          <w:szCs w:val="24"/>
          <w:highlight w:val="none"/>
          <w:shd w:val="clear" w:color="auto" w:fill="FFFFFF"/>
          <w:lang w:val="en-US" w:eastAsia="zh-CN"/>
        </w:rPr>
      </w:pPr>
      <w:r>
        <w:rPr>
          <w:rFonts w:hint="eastAsia" w:ascii="宋体" w:hAnsi="宋体" w:eastAsia="宋体" w:cs="宋体"/>
          <w:i w:val="0"/>
          <w:iCs w:val="0"/>
          <w:caps w:val="0"/>
          <w:spacing w:val="0"/>
          <w:sz w:val="24"/>
          <w:szCs w:val="24"/>
          <w:highlight w:val="none"/>
          <w:shd w:val="clear" w:color="auto" w:fill="FFFFFF"/>
        </w:rPr>
        <w:t>附件五：易门县环卫站购买县城环卫市政服务综合考核表</w:t>
      </w:r>
    </w:p>
    <w:p w14:paraId="650E3D0C">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val="0"/>
        <w:snapToGrid w:val="0"/>
        <w:spacing w:beforeAutospacing="0" w:afterAutospacing="0" w:line="480" w:lineRule="exact"/>
        <w:ind w:left="0" w:right="0" w:firstLine="480" w:firstLineChars="200"/>
        <w:rPr>
          <w:rFonts w:hint="default" w:ascii="宋体" w:hAnsi="宋体" w:eastAsia="宋体" w:cs="宋体"/>
          <w:i w:val="0"/>
          <w:iCs w:val="0"/>
          <w:caps w:val="0"/>
          <w:spacing w:val="0"/>
          <w:sz w:val="24"/>
          <w:szCs w:val="24"/>
          <w:highlight w:val="none"/>
          <w:shd w:val="clear" w:color="auto" w:fill="FFFFFF"/>
          <w:lang w:val="en-US" w:eastAsia="zh-CN"/>
        </w:rPr>
      </w:pPr>
      <w:r>
        <w:rPr>
          <w:rFonts w:hint="eastAsia" w:cs="宋体"/>
          <w:i w:val="0"/>
          <w:iCs w:val="0"/>
          <w:caps w:val="0"/>
          <w:spacing w:val="0"/>
          <w:sz w:val="24"/>
          <w:szCs w:val="24"/>
          <w:highlight w:val="none"/>
          <w:shd w:val="clear" w:color="auto" w:fill="FFFFFF"/>
          <w:lang w:val="en-US" w:eastAsia="zh-CN"/>
        </w:rPr>
        <w:t>附件六：联合体协议（如有）</w:t>
      </w:r>
    </w:p>
    <w:p w14:paraId="5A3A136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12.2 本合同未尽事宜，由甲乙双方另行签订补充协议。补充协议与本合同具有同等法律效力。</w:t>
      </w:r>
    </w:p>
    <w:p w14:paraId="4563A6A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80" w:lineRule="exact"/>
        <w:ind w:left="0" w:right="0" w:firstLine="480" w:firstLineChars="200"/>
        <w:jc w:val="both"/>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shd w:val="clear" w:color="auto" w:fill="FFFFFF"/>
        </w:rPr>
        <w:t>12.3 本合同一式____份，甲方持____份，乙方持____份，每份具有同等法律效力。</w:t>
      </w:r>
    </w:p>
    <w:p w14:paraId="0E0AE23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spacing w:val="0"/>
          <w:sz w:val="24"/>
          <w:szCs w:val="24"/>
          <w:highlight w:val="none"/>
          <w:shd w:val="clear" w:color="auto" w:fill="FFFFFF"/>
        </w:rPr>
        <w:t>12.4 本合同自甲乙双方法定代表人或授权代表签字并加盖单位公章之日起生效。</w:t>
      </w:r>
    </w:p>
    <w:bookmarkEnd w:id="216"/>
    <w:p w14:paraId="5C480FFF">
      <w:pPr>
        <w:rPr>
          <w:rFonts w:hint="eastAsia" w:ascii="宋体" w:hAnsi="宋体" w:eastAsia="宋体" w:cs="宋体"/>
          <w:color w:val="auto"/>
          <w:highlight w:val="none"/>
        </w:rPr>
      </w:pPr>
      <w:bookmarkStart w:id="217" w:name="_Toc16422"/>
      <w:bookmarkStart w:id="218" w:name="_Toc340933732"/>
      <w:bookmarkStart w:id="219" w:name="_Toc22138"/>
      <w:r>
        <w:rPr>
          <w:rFonts w:hint="eastAsia" w:ascii="宋体" w:hAnsi="宋体" w:eastAsia="宋体" w:cs="宋体"/>
          <w:color w:val="auto"/>
          <w:highlight w:val="none"/>
        </w:rPr>
        <w:br w:type="page"/>
      </w:r>
    </w:p>
    <w:p w14:paraId="7B12CAB6">
      <w:pPr>
        <w:pStyle w:val="2"/>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cs="宋体"/>
          <w:color w:val="auto"/>
          <w:szCs w:val="30"/>
          <w:highlight w:val="none"/>
          <w:lang w:val="en-US" w:eastAsia="zh-CN"/>
        </w:rPr>
        <w:t>四</w:t>
      </w:r>
      <w:r>
        <w:rPr>
          <w:rFonts w:hint="eastAsia" w:ascii="宋体" w:hAnsi="宋体" w:eastAsia="宋体" w:cs="宋体"/>
          <w:color w:val="auto"/>
          <w:szCs w:val="30"/>
          <w:highlight w:val="none"/>
        </w:rPr>
        <w:t xml:space="preserve">章 </w:t>
      </w:r>
      <w:bookmarkEnd w:id="217"/>
      <w:bookmarkEnd w:id="218"/>
      <w:bookmarkStart w:id="220" w:name="_Toc340933733"/>
      <w:r>
        <w:rPr>
          <w:rFonts w:hint="eastAsia" w:ascii="宋体" w:hAnsi="宋体" w:eastAsia="宋体" w:cs="宋体"/>
          <w:color w:val="auto"/>
          <w:szCs w:val="30"/>
          <w:highlight w:val="none"/>
        </w:rPr>
        <w:t xml:space="preserve"> </w:t>
      </w:r>
      <w:r>
        <w:rPr>
          <w:rFonts w:hint="eastAsia" w:ascii="宋体" w:hAnsi="宋体" w:eastAsia="宋体" w:cs="宋体"/>
          <w:color w:val="auto"/>
          <w:highlight w:val="none"/>
        </w:rPr>
        <w:t>资格审查</w:t>
      </w:r>
      <w:bookmarkEnd w:id="219"/>
    </w:p>
    <w:p w14:paraId="01B8AB3B">
      <w:pPr>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公开招标采购项目开标结束后，</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依法对投标人的资格进行审查。</w:t>
      </w:r>
    </w:p>
    <w:p w14:paraId="0221DD16">
      <w:pPr>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投标文件出现不满足下列各项评审内容及标准要求之一的，则资格评审为不合格。合格投标人不足 3 家的，不得评标。</w:t>
      </w:r>
    </w:p>
    <w:p w14:paraId="32A350ED">
      <w:pPr>
        <w:spacing w:line="480" w:lineRule="exact"/>
        <w:ind w:firstLine="480" w:firstLineChars="20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资格</w:t>
      </w:r>
      <w:r>
        <w:rPr>
          <w:rFonts w:hint="eastAsia" w:ascii="宋体" w:hAnsi="宋体" w:eastAsia="宋体" w:cs="宋体"/>
          <w:color w:val="auto"/>
          <w:sz w:val="24"/>
          <w:highlight w:val="none"/>
        </w:rPr>
        <w:t>审查条件：</w:t>
      </w:r>
    </w:p>
    <w:p w14:paraId="2C43DE0A">
      <w:pPr>
        <w:spacing w:line="480" w:lineRule="exact"/>
        <w:jc w:val="left"/>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 xml:space="preserve">依据法律法规和招标文件的规定，对投标文件中“证明投标人的资格文件”进行审查，以确定投标人是否具备投标资格。只有通过资格审查的投标文件才能进入评标。 </w:t>
      </w:r>
    </w:p>
    <w:tbl>
      <w:tblPr>
        <w:tblStyle w:val="28"/>
        <w:tblW w:w="916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92"/>
        <w:gridCol w:w="1915"/>
        <w:gridCol w:w="6062"/>
      </w:tblGrid>
      <w:tr w14:paraId="1DEE1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0" w:hRule="atLeast"/>
          <w:jc w:val="center"/>
        </w:trPr>
        <w:tc>
          <w:tcPr>
            <w:tcW w:w="1192" w:type="dxa"/>
            <w:vAlign w:val="center"/>
          </w:tcPr>
          <w:p w14:paraId="40FBE24B">
            <w:pPr>
              <w:spacing w:line="4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条款号</w:t>
            </w:r>
          </w:p>
        </w:tc>
        <w:tc>
          <w:tcPr>
            <w:tcW w:w="1915" w:type="dxa"/>
            <w:vAlign w:val="center"/>
          </w:tcPr>
          <w:p w14:paraId="762CCE8D">
            <w:pPr>
              <w:spacing w:line="4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 审 因 素</w:t>
            </w:r>
          </w:p>
        </w:tc>
        <w:tc>
          <w:tcPr>
            <w:tcW w:w="6062" w:type="dxa"/>
            <w:vAlign w:val="center"/>
          </w:tcPr>
          <w:p w14:paraId="3B3A4F9B">
            <w:pPr>
              <w:spacing w:line="4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 审 标 准</w:t>
            </w:r>
          </w:p>
        </w:tc>
      </w:tr>
      <w:tr w14:paraId="0EA69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95" w:hRule="atLeast"/>
          <w:jc w:val="center"/>
        </w:trPr>
        <w:tc>
          <w:tcPr>
            <w:tcW w:w="1192" w:type="dxa"/>
            <w:vMerge w:val="restart"/>
            <w:vAlign w:val="center"/>
          </w:tcPr>
          <w:p w14:paraId="48D81E78">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资格评审标准</w:t>
            </w:r>
          </w:p>
        </w:tc>
        <w:tc>
          <w:tcPr>
            <w:tcW w:w="1915" w:type="dxa"/>
            <w:vAlign w:val="center"/>
          </w:tcPr>
          <w:p w14:paraId="4C90341C">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具有独立承担民事责任的能力</w:t>
            </w:r>
          </w:p>
        </w:tc>
        <w:tc>
          <w:tcPr>
            <w:tcW w:w="6062" w:type="dxa"/>
            <w:vAlign w:val="center"/>
          </w:tcPr>
          <w:p w14:paraId="08DFB7DC">
            <w:pPr>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经国家工商行政管理部门登记注册的独立企业（事业）法人或</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组织，</w:t>
            </w:r>
            <w:r>
              <w:rPr>
                <w:rFonts w:hint="eastAsia" w:ascii="宋体" w:hAnsi="宋体" w:eastAsia="宋体" w:cs="宋体"/>
                <w:color w:val="auto"/>
                <w:kern w:val="0"/>
                <w:sz w:val="24"/>
                <w:highlight w:val="none"/>
              </w:rPr>
              <w:t>能合法提供采购内容及相应的服务能力，具备有效的营业执照（事业单位法人证书）或</w:t>
            </w:r>
            <w:r>
              <w:rPr>
                <w:rFonts w:hint="eastAsia" w:ascii="宋体" w:hAnsi="宋体" w:cs="宋体"/>
                <w:color w:val="auto"/>
                <w:kern w:val="0"/>
                <w:sz w:val="24"/>
                <w:highlight w:val="none"/>
                <w:lang w:eastAsia="zh-CN"/>
              </w:rPr>
              <w:t>其他</w:t>
            </w:r>
            <w:r>
              <w:rPr>
                <w:rFonts w:hint="eastAsia" w:ascii="宋体" w:hAnsi="宋体" w:eastAsia="宋体" w:cs="宋体"/>
                <w:color w:val="auto"/>
                <w:kern w:val="0"/>
                <w:sz w:val="24"/>
                <w:highlight w:val="none"/>
              </w:rPr>
              <w:t>主体资格证明文件。</w:t>
            </w:r>
          </w:p>
          <w:p w14:paraId="5805AC41">
            <w:pPr>
              <w:spacing w:line="480" w:lineRule="exact"/>
              <w:ind w:firstLine="482" w:firstLineChars="200"/>
              <w:jc w:val="left"/>
              <w:rPr>
                <w:rFonts w:hint="eastAsia" w:ascii="宋体" w:hAnsi="宋体"/>
                <w:b/>
                <w:bCs/>
                <w:sz w:val="24"/>
                <w:szCs w:val="24"/>
                <w:highlight w:val="none"/>
                <w:lang w:val="en-US" w:eastAsia="zh-CN"/>
              </w:rPr>
            </w:pPr>
            <w:r>
              <w:rPr>
                <w:rFonts w:hint="eastAsia" w:ascii="宋体" w:hAnsi="宋体" w:cs="宋体"/>
                <w:b/>
                <w:bCs/>
                <w:color w:val="auto"/>
                <w:kern w:val="0"/>
                <w:sz w:val="24"/>
                <w:highlight w:val="none"/>
                <w:lang w:val="en-US" w:eastAsia="zh-CN"/>
              </w:rPr>
              <w:t>注：</w:t>
            </w:r>
            <w:r>
              <w:rPr>
                <w:rFonts w:hint="eastAsia" w:ascii="宋体" w:hAnsi="宋体"/>
                <w:b/>
                <w:bCs/>
                <w:sz w:val="24"/>
                <w:szCs w:val="24"/>
                <w:highlight w:val="none"/>
              </w:rPr>
              <w:t>若为联合体投标的，</w:t>
            </w:r>
            <w:r>
              <w:rPr>
                <w:rFonts w:hint="eastAsia" w:ascii="宋体" w:hAnsi="宋体"/>
                <w:b/>
                <w:bCs/>
                <w:sz w:val="24"/>
                <w:szCs w:val="24"/>
                <w:highlight w:val="none"/>
                <w:lang w:val="en-US" w:eastAsia="zh-CN"/>
              </w:rPr>
              <w:t>联合体双方均需提供。</w:t>
            </w:r>
          </w:p>
          <w:p w14:paraId="08B5C4A5">
            <w:pPr>
              <w:spacing w:line="48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审核材料：</w:t>
            </w:r>
            <w:r>
              <w:rPr>
                <w:rFonts w:hint="eastAsia" w:ascii="宋体" w:hAnsi="宋体" w:eastAsia="宋体" w:cs="宋体"/>
                <w:color w:val="auto"/>
                <w:sz w:val="24"/>
                <w:highlight w:val="none"/>
              </w:rPr>
              <w:t>营业执照</w:t>
            </w:r>
            <w:r>
              <w:rPr>
                <w:rFonts w:hint="eastAsia" w:ascii="宋体" w:hAnsi="宋体" w:eastAsia="宋体" w:cs="宋体"/>
                <w:color w:val="auto"/>
                <w:kern w:val="0"/>
                <w:sz w:val="24"/>
                <w:highlight w:val="none"/>
              </w:rPr>
              <w:t>（事业单位法人证书）或</w:t>
            </w:r>
            <w:r>
              <w:rPr>
                <w:rFonts w:hint="eastAsia" w:ascii="宋体" w:hAnsi="宋体" w:cs="宋体"/>
                <w:color w:val="auto"/>
                <w:kern w:val="0"/>
                <w:sz w:val="24"/>
                <w:highlight w:val="none"/>
                <w:lang w:eastAsia="zh-CN"/>
              </w:rPr>
              <w:t>其他</w:t>
            </w:r>
            <w:r>
              <w:rPr>
                <w:rFonts w:hint="eastAsia" w:ascii="宋体" w:hAnsi="宋体" w:eastAsia="宋体" w:cs="宋体"/>
                <w:color w:val="auto"/>
                <w:kern w:val="0"/>
                <w:sz w:val="24"/>
                <w:highlight w:val="none"/>
              </w:rPr>
              <w:t>主体资格证明文件</w:t>
            </w:r>
            <w:r>
              <w:rPr>
                <w:rFonts w:hint="eastAsia" w:ascii="宋体" w:hAnsi="宋体" w:eastAsia="宋体" w:cs="宋体"/>
                <w:color w:val="auto"/>
                <w:sz w:val="24"/>
                <w:highlight w:val="none"/>
              </w:rPr>
              <w:t>复印件（扫描件）加盖公章。</w:t>
            </w:r>
          </w:p>
          <w:p w14:paraId="5966946C">
            <w:pPr>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是否需要核验原件：</w:t>
            </w:r>
            <w:r>
              <w:rPr>
                <w:rFonts w:hint="eastAsia" w:ascii="宋体" w:hAnsi="宋体" w:eastAsia="宋体" w:cs="宋体"/>
                <w:b w:val="0"/>
                <w:bCs/>
                <w:color w:val="auto"/>
                <w:sz w:val="24"/>
                <w:highlight w:val="none"/>
              </w:rPr>
              <w:t>否。</w:t>
            </w:r>
          </w:p>
        </w:tc>
      </w:tr>
      <w:tr w14:paraId="3C6F6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27" w:hRule="atLeast"/>
          <w:jc w:val="center"/>
        </w:trPr>
        <w:tc>
          <w:tcPr>
            <w:tcW w:w="1192" w:type="dxa"/>
            <w:vMerge w:val="continue"/>
            <w:vAlign w:val="center"/>
          </w:tcPr>
          <w:p w14:paraId="0184246A">
            <w:pPr>
              <w:spacing w:line="480" w:lineRule="exact"/>
              <w:jc w:val="center"/>
              <w:rPr>
                <w:rFonts w:hint="eastAsia" w:ascii="宋体" w:hAnsi="宋体" w:eastAsia="宋体" w:cs="宋体"/>
                <w:color w:val="auto"/>
                <w:sz w:val="24"/>
                <w:highlight w:val="none"/>
              </w:rPr>
            </w:pPr>
          </w:p>
        </w:tc>
        <w:tc>
          <w:tcPr>
            <w:tcW w:w="1915" w:type="dxa"/>
            <w:vAlign w:val="center"/>
          </w:tcPr>
          <w:p w14:paraId="0D6520C5">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具有履行合同所必需的设备和专业技术能力</w:t>
            </w:r>
          </w:p>
        </w:tc>
        <w:tc>
          <w:tcPr>
            <w:tcW w:w="6062" w:type="dxa"/>
            <w:vAlign w:val="center"/>
          </w:tcPr>
          <w:p w14:paraId="1CB8F680">
            <w:pPr>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具有履行合同所必</w:t>
            </w:r>
            <w:r>
              <w:rPr>
                <w:rFonts w:hint="eastAsia" w:ascii="宋体" w:hAnsi="宋体" w:cs="宋体"/>
                <w:color w:val="auto"/>
                <w:sz w:val="24"/>
                <w:highlight w:val="none"/>
                <w:lang w:eastAsia="zh-CN"/>
              </w:rPr>
              <w:t>需</w:t>
            </w:r>
            <w:r>
              <w:rPr>
                <w:rFonts w:hint="eastAsia" w:ascii="宋体" w:hAnsi="宋体" w:eastAsia="宋体" w:cs="宋体"/>
                <w:color w:val="auto"/>
                <w:sz w:val="24"/>
                <w:highlight w:val="none"/>
              </w:rPr>
              <w:t>的设备和专业技术能力。</w:t>
            </w:r>
          </w:p>
          <w:p w14:paraId="3D2DFE64">
            <w:pPr>
              <w:spacing w:line="480" w:lineRule="exact"/>
              <w:ind w:firstLine="482" w:firstLineChars="200"/>
              <w:jc w:val="left"/>
              <w:rPr>
                <w:rFonts w:hint="eastAsia" w:ascii="宋体" w:hAnsi="宋体" w:eastAsia="宋体" w:cs="宋体"/>
                <w:b/>
                <w:bCs/>
                <w:color w:val="auto"/>
                <w:sz w:val="24"/>
                <w:highlight w:val="none"/>
              </w:rPr>
            </w:pPr>
            <w:r>
              <w:rPr>
                <w:rFonts w:hint="eastAsia" w:ascii="宋体" w:hAnsi="宋体"/>
                <w:b/>
                <w:bCs/>
                <w:sz w:val="24"/>
                <w:szCs w:val="24"/>
                <w:highlight w:val="none"/>
                <w:lang w:val="en-US" w:eastAsia="zh-CN"/>
              </w:rPr>
              <w:t>注：</w:t>
            </w:r>
            <w:r>
              <w:rPr>
                <w:rFonts w:hint="eastAsia" w:ascii="宋体" w:hAnsi="宋体"/>
                <w:b/>
                <w:bCs/>
                <w:sz w:val="24"/>
                <w:szCs w:val="24"/>
                <w:highlight w:val="none"/>
              </w:rPr>
              <w:t>若为联合体投标的，仅需联合体牵头人提供</w:t>
            </w:r>
            <w:r>
              <w:rPr>
                <w:rFonts w:hint="eastAsia" w:ascii="宋体" w:hAnsi="宋体"/>
                <w:b/>
                <w:bCs/>
                <w:sz w:val="24"/>
                <w:szCs w:val="24"/>
                <w:highlight w:val="none"/>
                <w:lang w:eastAsia="zh-CN"/>
              </w:rPr>
              <w:t>。</w:t>
            </w:r>
          </w:p>
          <w:p w14:paraId="718108A8">
            <w:pPr>
              <w:spacing w:line="48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审核材料：</w:t>
            </w:r>
            <w:r>
              <w:rPr>
                <w:rFonts w:hint="eastAsia" w:ascii="宋体" w:hAnsi="宋体" w:eastAsia="宋体" w:cs="宋体"/>
                <w:color w:val="auto"/>
                <w:sz w:val="24"/>
                <w:highlight w:val="none"/>
              </w:rPr>
              <w:t>书面声明或相关证明材料扫描件（复印件）加盖公章。</w:t>
            </w:r>
          </w:p>
          <w:p w14:paraId="552C1B81">
            <w:pPr>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是否需要核验原件：</w:t>
            </w:r>
            <w:r>
              <w:rPr>
                <w:rFonts w:hint="eastAsia" w:ascii="宋体" w:hAnsi="宋体" w:eastAsia="宋体" w:cs="宋体"/>
                <w:b w:val="0"/>
                <w:bCs/>
                <w:color w:val="auto"/>
                <w:sz w:val="24"/>
                <w:highlight w:val="none"/>
              </w:rPr>
              <w:t>否。</w:t>
            </w:r>
          </w:p>
        </w:tc>
      </w:tr>
      <w:tr w14:paraId="7AE9A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92" w:type="dxa"/>
            <w:vMerge w:val="continue"/>
            <w:vAlign w:val="center"/>
          </w:tcPr>
          <w:p w14:paraId="15FDAB40">
            <w:pPr>
              <w:spacing w:line="480" w:lineRule="exact"/>
              <w:jc w:val="center"/>
              <w:rPr>
                <w:rFonts w:hint="eastAsia" w:ascii="宋体" w:hAnsi="宋体" w:eastAsia="宋体" w:cs="宋体"/>
                <w:color w:val="auto"/>
                <w:sz w:val="24"/>
                <w:highlight w:val="none"/>
              </w:rPr>
            </w:pPr>
          </w:p>
        </w:tc>
        <w:tc>
          <w:tcPr>
            <w:tcW w:w="1915" w:type="dxa"/>
            <w:vAlign w:val="center"/>
          </w:tcPr>
          <w:p w14:paraId="45DA2F5E">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信誉良好</w:t>
            </w:r>
          </w:p>
        </w:tc>
        <w:tc>
          <w:tcPr>
            <w:tcW w:w="6062" w:type="dxa"/>
            <w:vAlign w:val="center"/>
          </w:tcPr>
          <w:p w14:paraId="3AD2EC75">
            <w:pPr>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cs="宋体"/>
                <w:color w:val="auto"/>
                <w:sz w:val="24"/>
                <w:highlight w:val="none"/>
                <w:lang w:val="en-US" w:eastAsia="zh-CN"/>
              </w:rPr>
              <w:t>.没有</w:t>
            </w:r>
            <w:r>
              <w:rPr>
                <w:rFonts w:hint="eastAsia" w:ascii="宋体" w:hAnsi="宋体" w:eastAsia="宋体" w:cs="宋体"/>
                <w:color w:val="auto"/>
                <w:sz w:val="24"/>
                <w:highlight w:val="none"/>
              </w:rPr>
              <w:t>被责令停产，财产被冻结、接管、破产状态，近三年在经营活动中没有重大违法记录；</w:t>
            </w:r>
          </w:p>
          <w:p w14:paraId="10DC1400">
            <w:pPr>
              <w:spacing w:line="48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投标人未被列入“信用中国”网站</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失信被执行人、重大税收违法失信主体及中国政府采购网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“政府采购严重违法失信行为信息记录”。</w:t>
            </w:r>
          </w:p>
          <w:p w14:paraId="648B0C78">
            <w:pPr>
              <w:spacing w:line="480" w:lineRule="exact"/>
              <w:ind w:firstLine="482" w:firstLineChars="200"/>
              <w:jc w:val="left"/>
              <w:rPr>
                <w:rFonts w:hint="eastAsia" w:ascii="宋体" w:hAnsi="宋体"/>
                <w:b/>
                <w:bCs/>
                <w:sz w:val="24"/>
                <w:szCs w:val="24"/>
                <w:highlight w:val="none"/>
                <w:lang w:val="en-US" w:eastAsia="zh-CN"/>
              </w:rPr>
            </w:pPr>
            <w:r>
              <w:rPr>
                <w:rFonts w:hint="eastAsia" w:ascii="宋体" w:hAnsi="宋体" w:cs="宋体"/>
                <w:b/>
                <w:bCs/>
                <w:color w:val="auto"/>
                <w:kern w:val="0"/>
                <w:sz w:val="24"/>
                <w:highlight w:val="none"/>
                <w:lang w:val="en-US" w:eastAsia="zh-CN"/>
              </w:rPr>
              <w:t>注：</w:t>
            </w:r>
            <w:r>
              <w:rPr>
                <w:rFonts w:hint="eastAsia" w:ascii="宋体" w:hAnsi="宋体"/>
                <w:b/>
                <w:bCs/>
                <w:sz w:val="24"/>
                <w:szCs w:val="24"/>
                <w:highlight w:val="none"/>
              </w:rPr>
              <w:t>若为联合体投标的，</w:t>
            </w:r>
            <w:r>
              <w:rPr>
                <w:rFonts w:hint="eastAsia" w:ascii="宋体" w:hAnsi="宋体"/>
                <w:b/>
                <w:bCs/>
                <w:sz w:val="24"/>
                <w:szCs w:val="24"/>
                <w:highlight w:val="none"/>
                <w:lang w:val="en-US" w:eastAsia="zh-CN"/>
              </w:rPr>
              <w:t>联合体双方均需提供。</w:t>
            </w:r>
          </w:p>
          <w:p w14:paraId="51CC49D9">
            <w:pPr>
              <w:spacing w:line="48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审核材料：</w:t>
            </w:r>
            <w:r>
              <w:rPr>
                <w:rFonts w:hint="eastAsia" w:ascii="宋体" w:hAnsi="宋体" w:eastAsia="宋体" w:cs="宋体"/>
                <w:color w:val="auto"/>
                <w:sz w:val="24"/>
                <w:highlight w:val="none"/>
              </w:rPr>
              <w:t>书面声明。</w:t>
            </w:r>
          </w:p>
          <w:p w14:paraId="476FBA67">
            <w:pPr>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是否需要核验原件：</w:t>
            </w:r>
            <w:r>
              <w:rPr>
                <w:rFonts w:hint="eastAsia" w:ascii="宋体" w:hAnsi="宋体" w:eastAsia="宋体" w:cs="宋体"/>
                <w:b w:val="0"/>
                <w:bCs w:val="0"/>
                <w:color w:val="auto"/>
                <w:sz w:val="24"/>
                <w:highlight w:val="none"/>
              </w:rPr>
              <w:t>否。</w:t>
            </w:r>
          </w:p>
        </w:tc>
      </w:tr>
      <w:tr w14:paraId="458FE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8" w:hRule="atLeast"/>
          <w:jc w:val="center"/>
        </w:trPr>
        <w:tc>
          <w:tcPr>
            <w:tcW w:w="1192" w:type="dxa"/>
            <w:vMerge w:val="continue"/>
            <w:vAlign w:val="center"/>
          </w:tcPr>
          <w:p w14:paraId="224526AA">
            <w:pPr>
              <w:spacing w:line="480" w:lineRule="exact"/>
              <w:jc w:val="center"/>
              <w:rPr>
                <w:rFonts w:hint="eastAsia" w:ascii="宋体" w:hAnsi="宋体" w:eastAsia="宋体" w:cs="宋体"/>
                <w:color w:val="auto"/>
                <w:sz w:val="24"/>
                <w:highlight w:val="none"/>
              </w:rPr>
            </w:pPr>
          </w:p>
        </w:tc>
        <w:tc>
          <w:tcPr>
            <w:tcW w:w="1915" w:type="dxa"/>
            <w:vAlign w:val="center"/>
          </w:tcPr>
          <w:p w14:paraId="2902B5BA">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具有良好的商业信誉和健全的财务会计制度</w:t>
            </w:r>
          </w:p>
        </w:tc>
        <w:tc>
          <w:tcPr>
            <w:tcW w:w="6062" w:type="dxa"/>
            <w:vAlign w:val="center"/>
          </w:tcPr>
          <w:p w14:paraId="25F9A01F">
            <w:pPr>
              <w:spacing w:line="480" w:lineRule="exact"/>
              <w:ind w:firstLine="480" w:firstLineChars="200"/>
              <w:jc w:val="left"/>
              <w:rPr>
                <w:rFonts w:hint="eastAsia" w:ascii="宋体" w:hAnsi="宋体" w:cs="宋体"/>
                <w:color w:val="auto"/>
                <w:sz w:val="24"/>
                <w:highlight w:val="none"/>
                <w:lang w:eastAsia="zh-CN"/>
              </w:rPr>
            </w:pPr>
            <w:r>
              <w:rPr>
                <w:rFonts w:hint="eastAsia" w:ascii="宋体" w:hAnsi="宋体" w:eastAsia="宋体" w:cs="宋体"/>
                <w:color w:val="auto"/>
                <w:sz w:val="24"/>
                <w:highlight w:val="none"/>
              </w:rPr>
              <w:t>根据《关于加强审计报告查验工作的通知》（财会〔2023〕15号）规定，投标人提供</w:t>
            </w:r>
            <w:r>
              <w:rPr>
                <w:rFonts w:hint="eastAsia" w:ascii="宋体" w:hAnsi="宋体" w:cs="宋体"/>
                <w:color w:val="auto"/>
                <w:sz w:val="24"/>
                <w:highlight w:val="none"/>
                <w:lang w:val="en-US" w:eastAsia="zh-CN"/>
              </w:rPr>
              <w:t>2023年至今任意一年</w:t>
            </w:r>
            <w:r>
              <w:rPr>
                <w:rFonts w:hint="eastAsia" w:ascii="宋体" w:hAnsi="宋体" w:eastAsia="宋体" w:cs="宋体"/>
                <w:color w:val="auto"/>
                <w:sz w:val="24"/>
                <w:highlight w:val="none"/>
              </w:rPr>
              <w:t>经第三方机构审计的年度财务审计报告及相应的财务报表【含资产负债表、利润表（或损益表）、现金流量表】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审计报告</w:t>
            </w:r>
            <w:r>
              <w:rPr>
                <w:rFonts w:hint="eastAsia" w:ascii="宋体" w:hAnsi="宋体" w:eastAsia="宋体" w:cs="宋体"/>
                <w:color w:val="auto"/>
                <w:sz w:val="24"/>
                <w:highlight w:val="none"/>
              </w:rPr>
              <w:t>应赋予全国统一的审计报告验证码</w:t>
            </w:r>
            <w:r>
              <w:rPr>
                <w:rFonts w:hint="eastAsia" w:ascii="宋体" w:hAnsi="宋体" w:cs="宋体"/>
                <w:color w:val="auto"/>
                <w:sz w:val="24"/>
                <w:highlight w:val="none"/>
                <w:lang w:eastAsia="zh-CN"/>
              </w:rPr>
              <w:t>（成立未满1年的，提供自成立至今的财务报表【含资产负债表、利润表（或损益表）、现金流量表】）或提供自投标文件递交截止时间前3个月内基本开户银行出具的资信证明。</w:t>
            </w:r>
          </w:p>
          <w:p w14:paraId="713696BE">
            <w:pPr>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b/>
                <w:bCs/>
                <w:sz w:val="24"/>
                <w:szCs w:val="24"/>
                <w:highlight w:val="none"/>
                <w:lang w:val="en-US" w:eastAsia="zh-CN"/>
              </w:rPr>
              <w:t>注：</w:t>
            </w:r>
            <w:r>
              <w:rPr>
                <w:rFonts w:hint="eastAsia" w:ascii="宋体" w:hAnsi="宋体"/>
                <w:b/>
                <w:bCs/>
                <w:sz w:val="24"/>
                <w:szCs w:val="24"/>
                <w:highlight w:val="none"/>
              </w:rPr>
              <w:t>若为联合体投标的，仅需联合体牵头人提供</w:t>
            </w:r>
            <w:r>
              <w:rPr>
                <w:rFonts w:hint="eastAsia" w:ascii="宋体" w:hAnsi="宋体"/>
                <w:b/>
                <w:bCs/>
                <w:sz w:val="24"/>
                <w:szCs w:val="24"/>
                <w:highlight w:val="none"/>
                <w:lang w:eastAsia="zh-CN"/>
              </w:rPr>
              <w:t>。</w:t>
            </w:r>
          </w:p>
          <w:p w14:paraId="4804D91A">
            <w:pPr>
              <w:spacing w:line="48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审核材料：</w:t>
            </w:r>
            <w:r>
              <w:rPr>
                <w:rFonts w:hint="eastAsia" w:ascii="宋体" w:hAnsi="宋体" w:eastAsia="宋体" w:cs="宋体"/>
                <w:bCs/>
                <w:color w:val="auto"/>
                <w:sz w:val="24"/>
                <w:highlight w:val="none"/>
              </w:rPr>
              <w:t>经审计的财务报告或</w:t>
            </w:r>
            <w:r>
              <w:rPr>
                <w:rFonts w:hint="eastAsia" w:ascii="宋体" w:hAnsi="宋体" w:cs="宋体"/>
                <w:bCs/>
                <w:color w:val="auto"/>
                <w:sz w:val="24"/>
                <w:highlight w:val="none"/>
                <w:lang w:val="en-US" w:eastAsia="zh-CN"/>
              </w:rPr>
              <w:t>财务报表或资信证明</w:t>
            </w:r>
            <w:r>
              <w:rPr>
                <w:rFonts w:hint="eastAsia" w:ascii="宋体" w:hAnsi="宋体" w:eastAsia="宋体" w:cs="宋体"/>
                <w:bCs/>
                <w:color w:val="auto"/>
                <w:sz w:val="24"/>
                <w:highlight w:val="none"/>
              </w:rPr>
              <w:t>扫</w:t>
            </w:r>
            <w:r>
              <w:rPr>
                <w:rFonts w:hint="eastAsia" w:ascii="宋体" w:hAnsi="宋体" w:eastAsia="宋体" w:cs="宋体"/>
                <w:color w:val="auto"/>
                <w:sz w:val="24"/>
                <w:highlight w:val="none"/>
              </w:rPr>
              <w:t>描件（复印件）加盖公章。</w:t>
            </w:r>
          </w:p>
          <w:p w14:paraId="41C1BAE2">
            <w:pPr>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是否需要核验原件：</w:t>
            </w:r>
            <w:r>
              <w:rPr>
                <w:rFonts w:hint="eastAsia" w:ascii="宋体" w:hAnsi="宋体" w:eastAsia="宋体" w:cs="宋体"/>
                <w:b w:val="0"/>
                <w:bCs w:val="0"/>
                <w:color w:val="auto"/>
                <w:sz w:val="24"/>
                <w:highlight w:val="none"/>
              </w:rPr>
              <w:t>否。</w:t>
            </w:r>
          </w:p>
        </w:tc>
      </w:tr>
      <w:tr w14:paraId="36A4D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52" w:hRule="atLeast"/>
          <w:jc w:val="center"/>
        </w:trPr>
        <w:tc>
          <w:tcPr>
            <w:tcW w:w="1192" w:type="dxa"/>
            <w:vMerge w:val="continue"/>
            <w:vAlign w:val="center"/>
          </w:tcPr>
          <w:p w14:paraId="591451C2">
            <w:pPr>
              <w:spacing w:line="480" w:lineRule="exact"/>
              <w:jc w:val="center"/>
              <w:rPr>
                <w:rFonts w:hint="eastAsia" w:ascii="宋体" w:hAnsi="宋体" w:eastAsia="宋体" w:cs="宋体"/>
                <w:color w:val="auto"/>
                <w:sz w:val="24"/>
                <w:highlight w:val="none"/>
              </w:rPr>
            </w:pPr>
          </w:p>
        </w:tc>
        <w:tc>
          <w:tcPr>
            <w:tcW w:w="1915" w:type="dxa"/>
            <w:vAlign w:val="center"/>
          </w:tcPr>
          <w:p w14:paraId="2A53A3BB">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有依法缴纳税收和社会保障资金的良好记录</w:t>
            </w:r>
          </w:p>
        </w:tc>
        <w:tc>
          <w:tcPr>
            <w:tcW w:w="6062" w:type="dxa"/>
            <w:vAlign w:val="center"/>
          </w:tcPr>
          <w:p w14:paraId="04C24AFD">
            <w:pPr>
              <w:spacing w:line="48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提供</w:t>
            </w:r>
            <w:r>
              <w:rPr>
                <w:rFonts w:hint="eastAsia" w:ascii="宋体" w:hAnsi="宋体" w:cs="宋体"/>
                <w:color w:val="auto"/>
                <w:sz w:val="24"/>
                <w:highlight w:val="none"/>
                <w:lang w:eastAsia="zh-CN"/>
              </w:rPr>
              <w:t>2026年1月</w:t>
            </w:r>
            <w:r>
              <w:rPr>
                <w:rFonts w:hint="eastAsia" w:ascii="宋体" w:hAnsi="宋体" w:eastAsia="宋体" w:cs="宋体"/>
                <w:color w:val="auto"/>
                <w:sz w:val="24"/>
                <w:highlight w:val="none"/>
              </w:rPr>
              <w:t>至今任意</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个月依法缴纳税收和缴纳社会保障资金的证明（依法免税或不需要缴纳社会保障资金的投标人，提供相关证明材料或相关情况说明；新成立的公司提供成立以来的税收和社保资金缴纳凭证或相关情况说明）</w:t>
            </w:r>
            <w:r>
              <w:rPr>
                <w:rFonts w:hint="eastAsia" w:ascii="宋体" w:hAnsi="宋体" w:eastAsia="宋体" w:cs="宋体"/>
                <w:color w:val="auto"/>
                <w:sz w:val="24"/>
                <w:highlight w:val="none"/>
                <w:lang w:eastAsia="zh-CN"/>
              </w:rPr>
              <w:t>。</w:t>
            </w:r>
          </w:p>
          <w:p w14:paraId="5456352B">
            <w:pPr>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b/>
                <w:bCs/>
                <w:sz w:val="24"/>
                <w:szCs w:val="24"/>
                <w:highlight w:val="none"/>
                <w:lang w:val="en-US" w:eastAsia="zh-CN"/>
              </w:rPr>
              <w:t>注：</w:t>
            </w:r>
            <w:r>
              <w:rPr>
                <w:rFonts w:hint="eastAsia" w:ascii="宋体" w:hAnsi="宋体"/>
                <w:b/>
                <w:bCs/>
                <w:sz w:val="24"/>
                <w:szCs w:val="24"/>
                <w:highlight w:val="none"/>
              </w:rPr>
              <w:t>若为联合体投标的，仅需联合体牵头人提供</w:t>
            </w:r>
            <w:r>
              <w:rPr>
                <w:rFonts w:hint="eastAsia" w:ascii="宋体" w:hAnsi="宋体"/>
                <w:b/>
                <w:bCs/>
                <w:sz w:val="24"/>
                <w:szCs w:val="24"/>
                <w:highlight w:val="none"/>
                <w:lang w:eastAsia="zh-CN"/>
              </w:rPr>
              <w:t>。</w:t>
            </w:r>
          </w:p>
          <w:p w14:paraId="2C71F8DF">
            <w:pPr>
              <w:spacing w:line="48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审核材料：</w:t>
            </w:r>
            <w:r>
              <w:rPr>
                <w:rFonts w:hint="eastAsia" w:ascii="宋体" w:hAnsi="宋体" w:eastAsia="宋体" w:cs="宋体"/>
                <w:color w:val="auto"/>
                <w:sz w:val="24"/>
                <w:highlight w:val="none"/>
              </w:rPr>
              <w:t>依法缴纳税收和社会保障资金的缴纳凭证或相关证明材料或相关情况说明扫描件（复印件）加盖公章。</w:t>
            </w:r>
          </w:p>
          <w:p w14:paraId="039E2C71">
            <w:pPr>
              <w:spacing w:line="48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bCs w:val="0"/>
                <w:color w:val="auto"/>
                <w:sz w:val="24"/>
                <w:highlight w:val="none"/>
              </w:rPr>
              <w:t>是否需要核验原件：</w:t>
            </w:r>
            <w:r>
              <w:rPr>
                <w:rFonts w:hint="eastAsia" w:ascii="宋体" w:hAnsi="宋体" w:eastAsia="宋体" w:cs="宋体"/>
                <w:b w:val="0"/>
                <w:bCs/>
                <w:color w:val="auto"/>
                <w:sz w:val="24"/>
                <w:highlight w:val="none"/>
              </w:rPr>
              <w:t>否。</w:t>
            </w:r>
          </w:p>
        </w:tc>
      </w:tr>
      <w:tr w14:paraId="7F69B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92" w:type="dxa"/>
            <w:vMerge w:val="continue"/>
            <w:vAlign w:val="center"/>
          </w:tcPr>
          <w:p w14:paraId="659AEDBA">
            <w:pPr>
              <w:spacing w:line="480" w:lineRule="exact"/>
              <w:jc w:val="center"/>
              <w:rPr>
                <w:rFonts w:hint="eastAsia" w:ascii="宋体" w:hAnsi="宋体" w:eastAsia="宋体" w:cs="宋体"/>
                <w:color w:val="auto"/>
                <w:sz w:val="24"/>
                <w:highlight w:val="none"/>
              </w:rPr>
            </w:pPr>
          </w:p>
        </w:tc>
        <w:tc>
          <w:tcPr>
            <w:tcW w:w="1915" w:type="dxa"/>
            <w:vAlign w:val="center"/>
          </w:tcPr>
          <w:p w14:paraId="101FFE8B">
            <w:pPr>
              <w:keepLines w:val="0"/>
              <w:pageBreakBefore w:val="0"/>
              <w:widowControl/>
              <w:kinsoku/>
              <w:wordWrap/>
              <w:overflowPunct/>
              <w:topLinePunct w:val="0"/>
              <w:bidi w:val="0"/>
              <w:adjustRightInd w:val="0"/>
              <w:snapToGrid w:val="0"/>
              <w:spacing w:after="0" w:line="480" w:lineRule="exact"/>
              <w:jc w:val="center"/>
              <w:textAlignment w:val="auto"/>
              <w:rPr>
                <w:rFonts w:hint="eastAsia" w:ascii="宋体" w:hAnsi="宋体" w:cs="宋体"/>
                <w:color w:val="auto"/>
                <w:sz w:val="24"/>
                <w:highlight w:val="none"/>
                <w:lang w:val="en-US" w:eastAsia="zh-CN"/>
              </w:rPr>
            </w:pPr>
            <w:r>
              <w:rPr>
                <w:rFonts w:hint="eastAsia" w:ascii="宋体" w:hAnsi="宋体"/>
                <w:sz w:val="24"/>
                <w:szCs w:val="24"/>
                <w:highlight w:val="none"/>
              </w:rPr>
              <w:t>联合体协议书</w:t>
            </w:r>
          </w:p>
        </w:tc>
        <w:tc>
          <w:tcPr>
            <w:tcW w:w="6062" w:type="dxa"/>
            <w:vAlign w:val="center"/>
          </w:tcPr>
          <w:p w14:paraId="55819EE3">
            <w:pPr>
              <w:keepLines w:val="0"/>
              <w:pageBreakBefore w:val="0"/>
              <w:widowControl/>
              <w:kinsoku/>
              <w:wordWrap/>
              <w:overflowPunct/>
              <w:topLinePunct w:val="0"/>
              <w:autoSpaceDE w:val="0"/>
              <w:autoSpaceDN w:val="0"/>
              <w:bidi w:val="0"/>
              <w:adjustRightInd w:val="0"/>
              <w:snapToGrid w:val="0"/>
              <w:spacing w:after="0" w:line="480" w:lineRule="exact"/>
              <w:ind w:firstLine="480" w:firstLineChars="200"/>
              <w:textAlignment w:val="auto"/>
              <w:rPr>
                <w:rFonts w:ascii="宋体" w:hAnsi="宋体"/>
                <w:b w:val="0"/>
                <w:bCs w:val="0"/>
                <w:sz w:val="24"/>
                <w:szCs w:val="24"/>
                <w:highlight w:val="none"/>
              </w:rPr>
            </w:pPr>
            <w:r>
              <w:rPr>
                <w:rFonts w:hint="eastAsia" w:ascii="宋体" w:hAnsi="宋体" w:cs="宋体"/>
                <w:b w:val="0"/>
                <w:bCs w:val="0"/>
                <w:color w:val="auto"/>
                <w:kern w:val="0"/>
                <w:sz w:val="24"/>
                <w:szCs w:val="24"/>
                <w:highlight w:val="none"/>
                <w:lang w:val="en-US" w:eastAsia="zh-CN" w:bidi="ar"/>
              </w:rPr>
              <w:t>不能同时具有</w:t>
            </w:r>
            <w:r>
              <w:rPr>
                <w:rFonts w:hint="eastAsia" w:ascii="宋体" w:hAnsi="宋体" w:eastAsia="宋体" w:cs="宋体"/>
                <w:b w:val="0"/>
                <w:bCs w:val="0"/>
                <w:color w:val="auto"/>
                <w:kern w:val="0"/>
                <w:sz w:val="24"/>
                <w:szCs w:val="24"/>
                <w:highlight w:val="none"/>
                <w:lang w:val="en-US" w:eastAsia="zh-CN" w:bidi="ar-SA"/>
              </w:rPr>
              <w:t>承装类承装（修、试）电力设施许可证</w:t>
            </w:r>
            <w:r>
              <w:rPr>
                <w:rFonts w:hint="eastAsia" w:hAnsi="宋体" w:cs="宋体"/>
                <w:b w:val="0"/>
                <w:bCs w:val="0"/>
                <w:color w:val="auto"/>
                <w:kern w:val="0"/>
                <w:sz w:val="24"/>
                <w:szCs w:val="24"/>
                <w:highlight w:val="none"/>
                <w:lang w:val="en-US" w:eastAsia="zh-CN" w:bidi="ar-SA"/>
              </w:rPr>
              <w:t>三</w:t>
            </w:r>
            <w:r>
              <w:rPr>
                <w:rFonts w:hint="eastAsia" w:ascii="宋体" w:hAnsi="宋体" w:eastAsia="宋体" w:cs="宋体"/>
                <w:b w:val="0"/>
                <w:bCs w:val="0"/>
                <w:color w:val="auto"/>
                <w:kern w:val="0"/>
                <w:sz w:val="24"/>
                <w:szCs w:val="24"/>
                <w:highlight w:val="none"/>
                <w:lang w:val="en-US" w:eastAsia="zh-CN" w:bidi="ar-SA"/>
              </w:rPr>
              <w:t>级及以上</w:t>
            </w:r>
            <w:r>
              <w:rPr>
                <w:rFonts w:hint="eastAsia" w:hAnsi="宋体" w:cs="宋体"/>
                <w:b w:val="0"/>
                <w:bCs w:val="0"/>
                <w:color w:val="auto"/>
                <w:kern w:val="0"/>
                <w:sz w:val="24"/>
                <w:szCs w:val="24"/>
                <w:highlight w:val="none"/>
                <w:lang w:val="en-US" w:eastAsia="zh-CN" w:bidi="ar-SA"/>
              </w:rPr>
              <w:t>资质</w:t>
            </w:r>
            <w:r>
              <w:rPr>
                <w:rFonts w:hint="eastAsia" w:ascii="宋体" w:hAnsi="宋体" w:cs="宋体"/>
                <w:b w:val="0"/>
                <w:bCs w:val="0"/>
                <w:color w:val="auto"/>
                <w:kern w:val="0"/>
                <w:sz w:val="24"/>
                <w:szCs w:val="24"/>
                <w:highlight w:val="none"/>
                <w:lang w:val="en-US" w:eastAsia="zh-CN" w:bidi="ar"/>
              </w:rPr>
              <w:t>的投标人，可组成联合体投标，但联合体所有成员数量（含联合体牵头人）不得超过2家，联合体牵头人必须由环卫作业服务单位担任；联合体必须签订联合体协议书，明确联合体成员各方的分工，联合体各方不得再以自己名义单独或参加其他联合体对本项目的投标</w:t>
            </w:r>
            <w:r>
              <w:rPr>
                <w:rFonts w:hint="eastAsia" w:ascii="宋体" w:hAnsi="宋体"/>
                <w:b w:val="0"/>
                <w:bCs w:val="0"/>
                <w:sz w:val="24"/>
                <w:szCs w:val="24"/>
                <w:highlight w:val="none"/>
              </w:rPr>
              <w:t>。</w:t>
            </w:r>
          </w:p>
          <w:p w14:paraId="5BECB52A">
            <w:pPr>
              <w:keepLines w:val="0"/>
              <w:pageBreakBefore w:val="0"/>
              <w:widowControl/>
              <w:kinsoku/>
              <w:wordWrap/>
              <w:overflowPunct/>
              <w:topLinePunct w:val="0"/>
              <w:autoSpaceDE w:val="0"/>
              <w:autoSpaceDN w:val="0"/>
              <w:bidi w:val="0"/>
              <w:adjustRightInd w:val="0"/>
              <w:snapToGrid w:val="0"/>
              <w:spacing w:after="0" w:line="480" w:lineRule="exact"/>
              <w:ind w:firstLine="482" w:firstLineChars="200"/>
              <w:textAlignment w:val="auto"/>
              <w:rPr>
                <w:rFonts w:ascii="宋体" w:hAnsi="宋体"/>
                <w:sz w:val="24"/>
                <w:szCs w:val="24"/>
                <w:highlight w:val="none"/>
              </w:rPr>
            </w:pPr>
            <w:r>
              <w:rPr>
                <w:rFonts w:hint="eastAsia" w:ascii="宋体" w:hAnsi="宋体"/>
                <w:b/>
                <w:bCs/>
                <w:sz w:val="24"/>
                <w:szCs w:val="24"/>
                <w:highlight w:val="none"/>
              </w:rPr>
              <w:t>审核材料：</w:t>
            </w:r>
            <w:r>
              <w:rPr>
                <w:rFonts w:hint="eastAsia" w:ascii="宋体" w:hAnsi="宋体"/>
                <w:sz w:val="24"/>
                <w:szCs w:val="24"/>
                <w:highlight w:val="none"/>
              </w:rPr>
              <w:t>联合体协议书。</w:t>
            </w:r>
          </w:p>
          <w:p w14:paraId="77D7AA21">
            <w:pPr>
              <w:keepLines w:val="0"/>
              <w:pageBreakBefore w:val="0"/>
              <w:widowControl/>
              <w:kinsoku/>
              <w:wordWrap/>
              <w:overflowPunct/>
              <w:topLinePunct w:val="0"/>
              <w:autoSpaceDE w:val="0"/>
              <w:autoSpaceDN w:val="0"/>
              <w:bidi w:val="0"/>
              <w:adjustRightInd w:val="0"/>
              <w:snapToGrid w:val="0"/>
              <w:spacing w:after="0" w:line="480" w:lineRule="exact"/>
              <w:ind w:firstLine="482" w:firstLineChars="200"/>
              <w:textAlignment w:val="auto"/>
              <w:rPr>
                <w:rFonts w:hint="eastAsia" w:ascii="宋体" w:hAnsi="宋体" w:eastAsia="宋体" w:cs="宋体"/>
                <w:b/>
                <w:bCs w:val="0"/>
                <w:color w:val="auto"/>
                <w:sz w:val="24"/>
                <w:highlight w:val="none"/>
              </w:rPr>
            </w:pPr>
            <w:r>
              <w:rPr>
                <w:rFonts w:hint="eastAsia" w:ascii="宋体" w:hAnsi="宋体"/>
                <w:b/>
                <w:bCs/>
                <w:sz w:val="24"/>
                <w:szCs w:val="24"/>
                <w:highlight w:val="none"/>
              </w:rPr>
              <w:t>是否需要核验原件：</w:t>
            </w:r>
            <w:r>
              <w:rPr>
                <w:rFonts w:hint="eastAsia" w:ascii="宋体" w:hAnsi="宋体"/>
                <w:sz w:val="24"/>
                <w:szCs w:val="24"/>
                <w:highlight w:val="none"/>
              </w:rPr>
              <w:t>否。</w:t>
            </w:r>
          </w:p>
        </w:tc>
      </w:tr>
      <w:tr w14:paraId="06A3A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52" w:hRule="atLeast"/>
          <w:jc w:val="center"/>
        </w:trPr>
        <w:tc>
          <w:tcPr>
            <w:tcW w:w="1192" w:type="dxa"/>
            <w:vMerge w:val="continue"/>
            <w:vAlign w:val="center"/>
          </w:tcPr>
          <w:p w14:paraId="7B5CED20">
            <w:pPr>
              <w:spacing w:line="480" w:lineRule="exact"/>
              <w:jc w:val="center"/>
              <w:rPr>
                <w:rFonts w:hint="eastAsia" w:ascii="宋体" w:hAnsi="宋体" w:eastAsia="宋体" w:cs="宋体"/>
                <w:color w:val="auto"/>
                <w:sz w:val="24"/>
                <w:highlight w:val="none"/>
              </w:rPr>
            </w:pPr>
          </w:p>
        </w:tc>
        <w:tc>
          <w:tcPr>
            <w:tcW w:w="1915" w:type="dxa"/>
            <w:vAlign w:val="center"/>
          </w:tcPr>
          <w:p w14:paraId="08979984">
            <w:pPr>
              <w:spacing w:line="48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其他</w:t>
            </w:r>
          </w:p>
        </w:tc>
        <w:tc>
          <w:tcPr>
            <w:tcW w:w="6062" w:type="dxa"/>
            <w:vAlign w:val="center"/>
          </w:tcPr>
          <w:p w14:paraId="7EEE89C5">
            <w:pPr>
              <w:numPr>
                <w:ilvl w:val="0"/>
                <w:numId w:val="5"/>
              </w:numPr>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存在利害关系可能影响招标公正性的法人、</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组织或者个人，不得参加投标；</w:t>
            </w:r>
          </w:p>
          <w:p w14:paraId="01FA8F38">
            <w:pPr>
              <w:numPr>
                <w:ilvl w:val="0"/>
                <w:numId w:val="5"/>
              </w:numPr>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单位负责人为同一人或者存在控股、管理关系的不同单位，不得参加同一招标项目（或同一标段）投标</w:t>
            </w:r>
            <w:r>
              <w:rPr>
                <w:rFonts w:hint="eastAsia" w:ascii="宋体" w:hAnsi="宋体" w:eastAsia="宋体" w:cs="宋体"/>
                <w:color w:val="auto"/>
                <w:sz w:val="24"/>
                <w:highlight w:val="none"/>
                <w:lang w:eastAsia="zh-CN"/>
              </w:rPr>
              <w:t>；</w:t>
            </w:r>
          </w:p>
          <w:p w14:paraId="5EA16776">
            <w:pPr>
              <w:numPr>
                <w:ilvl w:val="0"/>
                <w:numId w:val="0"/>
              </w:numPr>
              <w:spacing w:line="480" w:lineRule="exact"/>
              <w:ind w:firstLine="482" w:firstLineChars="200"/>
              <w:jc w:val="left"/>
              <w:rPr>
                <w:rFonts w:hint="eastAsia" w:ascii="宋体" w:hAnsi="宋体" w:eastAsia="宋体" w:cs="宋体"/>
                <w:b/>
                <w:bCs/>
                <w:color w:val="auto"/>
                <w:sz w:val="24"/>
                <w:highlight w:val="none"/>
              </w:rPr>
            </w:pPr>
            <w:r>
              <w:rPr>
                <w:rFonts w:hint="eastAsia" w:ascii="宋体" w:hAnsi="宋体" w:cs="宋体"/>
                <w:b/>
                <w:bCs/>
                <w:color w:val="auto"/>
                <w:kern w:val="0"/>
                <w:sz w:val="24"/>
                <w:highlight w:val="none"/>
                <w:lang w:val="en-US" w:eastAsia="zh-CN"/>
              </w:rPr>
              <w:t>注：</w:t>
            </w:r>
            <w:r>
              <w:rPr>
                <w:rFonts w:hint="eastAsia" w:ascii="宋体" w:hAnsi="宋体"/>
                <w:b/>
                <w:bCs/>
                <w:sz w:val="24"/>
                <w:szCs w:val="24"/>
                <w:highlight w:val="none"/>
              </w:rPr>
              <w:t>若为联合体投标的，</w:t>
            </w:r>
            <w:r>
              <w:rPr>
                <w:rFonts w:hint="eastAsia" w:ascii="宋体" w:hAnsi="宋体"/>
                <w:b/>
                <w:bCs/>
                <w:sz w:val="24"/>
                <w:szCs w:val="24"/>
                <w:highlight w:val="none"/>
                <w:lang w:val="en-US" w:eastAsia="zh-CN"/>
              </w:rPr>
              <w:t>联合体双方均需提供。</w:t>
            </w:r>
          </w:p>
          <w:p w14:paraId="0E52C924">
            <w:pPr>
              <w:numPr>
                <w:ilvl w:val="0"/>
                <w:numId w:val="0"/>
              </w:numPr>
              <w:spacing w:line="480" w:lineRule="exact"/>
              <w:ind w:firstLine="482" w:firstLineChars="200"/>
              <w:jc w:val="left"/>
              <w:rPr>
                <w:rFonts w:hint="default" w:ascii="宋体" w:hAnsi="宋体" w:eastAsia="宋体" w:cs="宋体"/>
                <w:color w:val="auto"/>
                <w:sz w:val="24"/>
                <w:highlight w:val="none"/>
                <w:lang w:val="en-US"/>
              </w:rPr>
            </w:pPr>
            <w:r>
              <w:rPr>
                <w:rFonts w:hint="eastAsia" w:ascii="宋体" w:hAnsi="宋体" w:eastAsia="宋体" w:cs="宋体"/>
                <w:b/>
                <w:bCs/>
                <w:color w:val="auto"/>
                <w:sz w:val="24"/>
                <w:highlight w:val="none"/>
              </w:rPr>
              <w:t>审核材料：</w:t>
            </w:r>
            <w:r>
              <w:rPr>
                <w:rFonts w:hint="eastAsia" w:ascii="宋体" w:hAnsi="宋体" w:eastAsia="宋体" w:cs="宋体"/>
                <w:color w:val="auto"/>
                <w:sz w:val="24"/>
                <w:highlight w:val="none"/>
                <w:lang w:val="en-US" w:eastAsia="zh-CN"/>
              </w:rPr>
              <w:t>书面声明或相关承诺等证明材料。</w:t>
            </w:r>
          </w:p>
          <w:p w14:paraId="520CFDE0">
            <w:pPr>
              <w:spacing w:line="480" w:lineRule="exact"/>
              <w:ind w:firstLine="482" w:firstLineChars="200"/>
              <w:jc w:val="lef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是否需要核验原件：</w:t>
            </w:r>
            <w:r>
              <w:rPr>
                <w:rFonts w:hint="eastAsia" w:ascii="宋体" w:hAnsi="宋体" w:eastAsia="宋体" w:cs="宋体"/>
                <w:b w:val="0"/>
                <w:bCs/>
                <w:color w:val="auto"/>
                <w:sz w:val="24"/>
                <w:highlight w:val="none"/>
              </w:rPr>
              <w:t>否。</w:t>
            </w:r>
          </w:p>
        </w:tc>
      </w:tr>
      <w:tr w14:paraId="33B1E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52" w:hRule="atLeast"/>
          <w:jc w:val="center"/>
        </w:trPr>
        <w:tc>
          <w:tcPr>
            <w:tcW w:w="1192" w:type="dxa"/>
            <w:vMerge w:val="continue"/>
            <w:vAlign w:val="center"/>
          </w:tcPr>
          <w:p w14:paraId="6A524C32">
            <w:pPr>
              <w:spacing w:line="480" w:lineRule="exact"/>
              <w:jc w:val="center"/>
              <w:rPr>
                <w:rFonts w:hint="eastAsia" w:ascii="宋体" w:hAnsi="宋体" w:eastAsia="宋体" w:cs="宋体"/>
                <w:color w:val="auto"/>
                <w:sz w:val="24"/>
                <w:highlight w:val="none"/>
              </w:rPr>
            </w:pPr>
          </w:p>
        </w:tc>
        <w:tc>
          <w:tcPr>
            <w:tcW w:w="1915" w:type="dxa"/>
            <w:vAlign w:val="center"/>
          </w:tcPr>
          <w:p w14:paraId="164F837E">
            <w:pPr>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特定资格要求</w:t>
            </w:r>
          </w:p>
        </w:tc>
        <w:tc>
          <w:tcPr>
            <w:tcW w:w="6062" w:type="dxa"/>
            <w:vAlign w:val="center"/>
          </w:tcPr>
          <w:p w14:paraId="0F5B717B">
            <w:pPr>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hint="eastAsia" w:hAnsi="宋体" w:cs="宋体"/>
                <w:b/>
                <w:bCs/>
                <w:color w:val="auto"/>
                <w:kern w:val="0"/>
                <w:sz w:val="24"/>
                <w:highlight w:val="none"/>
                <w:lang w:val="en-US" w:eastAsia="zh-CN"/>
              </w:rPr>
            </w:pPr>
            <w:r>
              <w:rPr>
                <w:rFonts w:hint="eastAsia" w:ascii="宋体" w:hAnsi="宋体" w:eastAsia="宋体" w:cs="宋体"/>
                <w:b/>
                <w:bCs/>
                <w:color w:val="auto"/>
                <w:sz w:val="24"/>
                <w:highlight w:val="none"/>
                <w:lang w:eastAsia="zh-CN"/>
              </w:rPr>
              <w:t>市政路灯管护</w:t>
            </w:r>
            <w:r>
              <w:rPr>
                <w:rFonts w:hint="eastAsia" w:ascii="宋体" w:hAnsi="宋体" w:cs="宋体"/>
                <w:b/>
                <w:bCs/>
                <w:color w:val="auto"/>
                <w:sz w:val="24"/>
                <w:highlight w:val="none"/>
                <w:lang w:val="en-US" w:eastAsia="zh-CN"/>
              </w:rPr>
              <w:t>更新</w:t>
            </w:r>
            <w:r>
              <w:rPr>
                <w:rFonts w:hint="eastAsia" w:hAnsi="宋体" w:cs="宋体"/>
                <w:b/>
                <w:bCs/>
                <w:color w:val="auto"/>
                <w:sz w:val="24"/>
                <w:highlight w:val="none"/>
                <w:lang w:val="en-US" w:eastAsia="zh-CN"/>
              </w:rPr>
              <w:t>项</w:t>
            </w:r>
            <w:r>
              <w:rPr>
                <w:rFonts w:hint="eastAsia" w:ascii="宋体" w:hAnsi="宋体" w:eastAsia="宋体" w:cs="宋体"/>
                <w:b/>
                <w:bCs/>
                <w:color w:val="auto"/>
                <w:kern w:val="0"/>
                <w:sz w:val="24"/>
                <w:szCs w:val="24"/>
                <w:highlight w:val="none"/>
                <w:lang w:val="en-US" w:eastAsia="zh-CN" w:bidi="ar-SA"/>
              </w:rPr>
              <w:t>须具备国家能源局或相关主管部门颁发的有效的承装类承装（修、试）电力设施许可证</w:t>
            </w:r>
            <w:r>
              <w:rPr>
                <w:rFonts w:hint="eastAsia" w:hAnsi="宋体" w:cs="宋体"/>
                <w:b/>
                <w:bCs/>
                <w:color w:val="auto"/>
                <w:kern w:val="0"/>
                <w:sz w:val="24"/>
                <w:szCs w:val="24"/>
                <w:highlight w:val="none"/>
                <w:lang w:val="en-US" w:eastAsia="zh-CN" w:bidi="ar-SA"/>
              </w:rPr>
              <w:t>三</w:t>
            </w:r>
            <w:r>
              <w:rPr>
                <w:rFonts w:hint="eastAsia" w:ascii="宋体" w:hAnsi="宋体" w:eastAsia="宋体" w:cs="宋体"/>
                <w:b/>
                <w:bCs/>
                <w:color w:val="auto"/>
                <w:kern w:val="0"/>
                <w:sz w:val="24"/>
                <w:szCs w:val="24"/>
                <w:highlight w:val="none"/>
                <w:lang w:val="en-US" w:eastAsia="zh-CN" w:bidi="ar-SA"/>
              </w:rPr>
              <w:t>级及以上</w:t>
            </w:r>
            <w:r>
              <w:rPr>
                <w:rFonts w:hint="eastAsia" w:hAnsi="宋体" w:cs="宋体"/>
                <w:b/>
                <w:bCs/>
                <w:color w:val="auto"/>
                <w:kern w:val="0"/>
                <w:sz w:val="24"/>
                <w:szCs w:val="24"/>
                <w:highlight w:val="none"/>
                <w:lang w:val="en-US" w:eastAsia="zh-CN" w:bidi="ar-SA"/>
              </w:rPr>
              <w:t>资质</w:t>
            </w:r>
            <w:r>
              <w:rPr>
                <w:rFonts w:hint="eastAsia" w:hAnsi="宋体" w:cs="宋体"/>
                <w:b/>
                <w:bCs/>
                <w:color w:val="auto"/>
                <w:kern w:val="0"/>
                <w:sz w:val="24"/>
                <w:highlight w:val="none"/>
                <w:lang w:val="en-US" w:eastAsia="zh-CN"/>
              </w:rPr>
              <w:t>。</w:t>
            </w:r>
          </w:p>
          <w:p w14:paraId="47CE24C1">
            <w:pPr>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color w:val="auto"/>
                <w:sz w:val="24"/>
                <w:highlight w:val="none"/>
                <w:lang w:val="en-US"/>
              </w:rPr>
            </w:pPr>
            <w:r>
              <w:rPr>
                <w:rFonts w:hint="eastAsia" w:ascii="宋体" w:hAnsi="宋体" w:eastAsia="宋体" w:cs="宋体"/>
                <w:b/>
                <w:bCs/>
                <w:color w:val="auto"/>
                <w:sz w:val="24"/>
                <w:highlight w:val="none"/>
              </w:rPr>
              <w:t>审核材料：</w:t>
            </w:r>
            <w:r>
              <w:rPr>
                <w:rFonts w:hint="eastAsia" w:ascii="宋体" w:hAnsi="宋体" w:cs="宋体"/>
                <w:color w:val="auto"/>
                <w:sz w:val="24"/>
                <w:highlight w:val="none"/>
                <w:lang w:val="en-US" w:eastAsia="zh-CN"/>
              </w:rPr>
              <w:t>相关资质证书</w:t>
            </w:r>
            <w:r>
              <w:rPr>
                <w:rFonts w:hint="eastAsia" w:ascii="宋体" w:hAnsi="宋体" w:eastAsia="宋体" w:cs="宋体"/>
                <w:color w:val="auto"/>
                <w:sz w:val="24"/>
                <w:highlight w:val="none"/>
              </w:rPr>
              <w:t>扫描件（复印件）加盖公章</w:t>
            </w:r>
            <w:r>
              <w:rPr>
                <w:rFonts w:hint="eastAsia" w:ascii="宋体" w:hAnsi="宋体" w:eastAsia="宋体" w:cs="宋体"/>
                <w:color w:val="auto"/>
                <w:sz w:val="24"/>
                <w:highlight w:val="none"/>
                <w:lang w:val="en-US" w:eastAsia="zh-CN"/>
              </w:rPr>
              <w:t>。</w:t>
            </w:r>
          </w:p>
          <w:p w14:paraId="6D9ECD44">
            <w:pPr>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是否需要核验原件：</w:t>
            </w:r>
            <w:r>
              <w:rPr>
                <w:rFonts w:hint="eastAsia" w:ascii="宋体" w:hAnsi="宋体" w:eastAsia="宋体" w:cs="宋体"/>
                <w:b w:val="0"/>
                <w:bCs/>
                <w:color w:val="auto"/>
                <w:sz w:val="24"/>
                <w:highlight w:val="none"/>
              </w:rPr>
              <w:t>否。</w:t>
            </w:r>
          </w:p>
        </w:tc>
      </w:tr>
    </w:tbl>
    <w:p w14:paraId="67C63CD5">
      <w:pPr>
        <w:pStyle w:val="2"/>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highlight w:val="none"/>
        </w:rPr>
        <w:sectPr>
          <w:footerReference r:id="rId11" w:type="first"/>
          <w:footerReference r:id="rId10" w:type="default"/>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bookmarkStart w:id="221" w:name="_Toc25269"/>
      <w:bookmarkStart w:id="222" w:name="_Toc36327304"/>
      <w:bookmarkStart w:id="223" w:name="_Toc10183"/>
      <w:bookmarkStart w:id="224" w:name="_Toc1569"/>
    </w:p>
    <w:p w14:paraId="79ADE0EF">
      <w:pPr>
        <w:pStyle w:val="2"/>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highlight w:val="none"/>
        </w:rPr>
        <w:t>第</w:t>
      </w:r>
      <w:r>
        <w:rPr>
          <w:rFonts w:hint="eastAsia" w:cs="宋体"/>
          <w:color w:val="auto"/>
          <w:highlight w:val="none"/>
          <w:lang w:val="en-US" w:eastAsia="zh-CN"/>
        </w:rPr>
        <w:t>五</w:t>
      </w:r>
      <w:r>
        <w:rPr>
          <w:rFonts w:hint="eastAsia" w:ascii="宋体" w:hAnsi="宋体" w:eastAsia="宋体" w:cs="宋体"/>
          <w:color w:val="auto"/>
          <w:highlight w:val="none"/>
        </w:rPr>
        <w:t>章 评标办法</w:t>
      </w:r>
      <w:r>
        <w:rPr>
          <w:rFonts w:hint="eastAsia" w:cs="宋体"/>
          <w:color w:val="auto"/>
          <w:highlight w:val="none"/>
          <w:lang w:eastAsia="zh-CN"/>
        </w:rPr>
        <w:t>（</w:t>
      </w:r>
      <w:r>
        <w:rPr>
          <w:rFonts w:hint="eastAsia" w:ascii="宋体" w:hAnsi="宋体" w:eastAsia="宋体" w:cs="宋体"/>
          <w:color w:val="auto"/>
          <w:highlight w:val="none"/>
        </w:rPr>
        <w:t>综合评分法</w:t>
      </w:r>
      <w:r>
        <w:rPr>
          <w:rFonts w:hint="eastAsia" w:cs="宋体"/>
          <w:color w:val="auto"/>
          <w:highlight w:val="none"/>
          <w:lang w:eastAsia="zh-CN"/>
        </w:rPr>
        <w:t>）</w:t>
      </w:r>
      <w:bookmarkEnd w:id="221"/>
      <w:bookmarkEnd w:id="222"/>
      <w:bookmarkEnd w:id="223"/>
      <w:bookmarkEnd w:id="224"/>
    </w:p>
    <w:p w14:paraId="1AC80FAB">
      <w:pPr>
        <w:pStyle w:val="3"/>
        <w:keepLines w:val="0"/>
        <w:pageBreakBefore w:val="0"/>
        <w:widowControl w:val="0"/>
        <w:tabs>
          <w:tab w:val="left" w:pos="1021"/>
        </w:tabs>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highlight w:val="none"/>
        </w:rPr>
      </w:pPr>
      <w:bookmarkStart w:id="225" w:name="_Toc36327305"/>
      <w:bookmarkStart w:id="226" w:name="_Toc26350399"/>
      <w:bookmarkStart w:id="227" w:name="_Toc10112"/>
      <w:bookmarkStart w:id="228" w:name="_Toc66976536"/>
      <w:bookmarkStart w:id="229" w:name="_Toc95915210"/>
      <w:bookmarkStart w:id="230" w:name="_Toc88350311"/>
      <w:bookmarkStart w:id="231" w:name="_Toc24955"/>
      <w:bookmarkStart w:id="232" w:name="_Toc83683780"/>
      <w:bookmarkStart w:id="233" w:name="_Toc21437"/>
      <w:bookmarkStart w:id="234" w:name="_Toc78140818"/>
      <w:bookmarkStart w:id="235" w:name="_Toc83539043"/>
      <w:bookmarkStart w:id="236" w:name="_Toc20622"/>
      <w:bookmarkStart w:id="237" w:name="_Toc16669"/>
      <w:bookmarkStart w:id="238" w:name="_Toc13011"/>
      <w:bookmarkStart w:id="239" w:name="_Toc133"/>
      <w:r>
        <w:rPr>
          <w:rFonts w:hint="eastAsia" w:ascii="宋体" w:hAnsi="宋体" w:eastAsia="宋体" w:cs="宋体"/>
          <w:color w:val="auto"/>
          <w:highlight w:val="none"/>
        </w:rPr>
        <w:t>符合性审查</w:t>
      </w:r>
      <w:bookmarkEnd w:id="225"/>
      <w:bookmarkEnd w:id="226"/>
      <w:r>
        <w:rPr>
          <w:rFonts w:hint="eastAsia" w:ascii="宋体" w:hAnsi="宋体" w:eastAsia="宋体" w:cs="宋体"/>
          <w:color w:val="auto"/>
          <w:highlight w:val="none"/>
        </w:rPr>
        <w:t>前附表</w:t>
      </w:r>
      <w:bookmarkEnd w:id="227"/>
      <w:bookmarkEnd w:id="228"/>
      <w:bookmarkEnd w:id="229"/>
      <w:bookmarkEnd w:id="230"/>
      <w:bookmarkEnd w:id="231"/>
      <w:bookmarkEnd w:id="232"/>
      <w:bookmarkEnd w:id="233"/>
      <w:bookmarkEnd w:id="234"/>
      <w:bookmarkEnd w:id="235"/>
      <w:bookmarkEnd w:id="236"/>
      <w:bookmarkEnd w:id="237"/>
      <w:bookmarkEnd w:id="238"/>
      <w:bookmarkEnd w:id="239"/>
    </w:p>
    <w:tbl>
      <w:tblPr>
        <w:tblStyle w:val="28"/>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2493"/>
        <w:gridCol w:w="5752"/>
      </w:tblGrid>
      <w:tr w14:paraId="3BEE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335" w:type="dxa"/>
            <w:vAlign w:val="center"/>
          </w:tcPr>
          <w:p w14:paraId="79DDFC22">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条款号</w:t>
            </w:r>
          </w:p>
        </w:tc>
        <w:tc>
          <w:tcPr>
            <w:tcW w:w="2493" w:type="dxa"/>
            <w:vAlign w:val="center"/>
          </w:tcPr>
          <w:p w14:paraId="0E31A542">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5752" w:type="dxa"/>
            <w:vAlign w:val="center"/>
          </w:tcPr>
          <w:p w14:paraId="60138032">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5454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restart"/>
            <w:vAlign w:val="center"/>
          </w:tcPr>
          <w:p w14:paraId="2B6D001D">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szCs w:val="20"/>
                <w:highlight w:val="none"/>
              </w:rPr>
              <w:t>符合性审查</w:t>
            </w:r>
            <w:r>
              <w:rPr>
                <w:rFonts w:hint="eastAsia" w:ascii="宋体" w:hAnsi="宋体" w:eastAsia="宋体" w:cs="宋体"/>
                <w:color w:val="auto"/>
                <w:sz w:val="24"/>
                <w:highlight w:val="none"/>
              </w:rPr>
              <w:t>标准</w:t>
            </w:r>
          </w:p>
        </w:tc>
        <w:tc>
          <w:tcPr>
            <w:tcW w:w="2493" w:type="dxa"/>
            <w:vAlign w:val="center"/>
          </w:tcPr>
          <w:p w14:paraId="375A1872">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5752" w:type="dxa"/>
            <w:vAlign w:val="center"/>
          </w:tcPr>
          <w:p w14:paraId="3D0D79A7">
            <w:pPr>
              <w:keepLines w:val="0"/>
              <w:pageBreakBefore w:val="0"/>
              <w:widowControl w:val="0"/>
              <w:kinsoku/>
              <w:wordWrap/>
              <w:overflowPunct/>
              <w:topLinePunct w:val="0"/>
              <w:autoSpaceDE/>
              <w:autoSpaceDN/>
              <w:bidi w:val="0"/>
              <w:adjustRightInd w:val="0"/>
              <w:snapToGrid w:val="0"/>
              <w:spacing w:line="480" w:lineRule="exact"/>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未按</w:t>
            </w:r>
            <w:r>
              <w:rPr>
                <w:rFonts w:hint="eastAsia" w:ascii="宋体" w:hAnsi="宋体" w:eastAsia="宋体" w:cs="宋体"/>
                <w:color w:val="auto"/>
                <w:sz w:val="24"/>
                <w:highlight w:val="none"/>
              </w:rPr>
              <w:t>照招标文件的规定提交投标保证金的，符合性审查不予通过。</w:t>
            </w:r>
          </w:p>
        </w:tc>
      </w:tr>
      <w:tr w14:paraId="3A480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continue"/>
            <w:vAlign w:val="center"/>
          </w:tcPr>
          <w:p w14:paraId="1C2D63DC">
            <w:pPr>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 w:val="24"/>
                <w:highlight w:val="none"/>
              </w:rPr>
            </w:pPr>
          </w:p>
        </w:tc>
        <w:tc>
          <w:tcPr>
            <w:tcW w:w="2493" w:type="dxa"/>
            <w:vAlign w:val="center"/>
          </w:tcPr>
          <w:p w14:paraId="2B61E8A5">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签署、盖章</w:t>
            </w:r>
          </w:p>
        </w:tc>
        <w:tc>
          <w:tcPr>
            <w:tcW w:w="5752" w:type="dxa"/>
            <w:vAlign w:val="center"/>
          </w:tcPr>
          <w:p w14:paraId="2DBDD00B">
            <w:pPr>
              <w:keepLines w:val="0"/>
              <w:pageBreakBefore w:val="0"/>
              <w:widowControl w:val="0"/>
              <w:kinsoku/>
              <w:wordWrap/>
              <w:overflowPunct/>
              <w:topLinePunct w:val="0"/>
              <w:autoSpaceDE/>
              <w:autoSpaceDN/>
              <w:bidi w:val="0"/>
              <w:adjustRightInd w:val="0"/>
              <w:snapToGrid w:val="0"/>
              <w:spacing w:line="480" w:lineRule="exact"/>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未</w:t>
            </w:r>
            <w:r>
              <w:rPr>
                <w:rFonts w:hint="eastAsia" w:ascii="宋体" w:hAnsi="宋体" w:eastAsia="宋体" w:cs="宋体"/>
                <w:color w:val="auto"/>
                <w:sz w:val="24"/>
                <w:highlight w:val="none"/>
              </w:rPr>
              <w:t>按照招标文件要求签署、盖章的，符合性审查不予通过。</w:t>
            </w:r>
          </w:p>
        </w:tc>
      </w:tr>
      <w:tr w14:paraId="391C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continue"/>
            <w:vAlign w:val="center"/>
          </w:tcPr>
          <w:p w14:paraId="6FEC77C5">
            <w:pPr>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 w:val="24"/>
                <w:highlight w:val="none"/>
              </w:rPr>
            </w:pPr>
          </w:p>
        </w:tc>
        <w:tc>
          <w:tcPr>
            <w:tcW w:w="2493" w:type="dxa"/>
            <w:vAlign w:val="center"/>
          </w:tcPr>
          <w:p w14:paraId="2E59F4DE">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5752" w:type="dxa"/>
            <w:vAlign w:val="center"/>
          </w:tcPr>
          <w:p w14:paraId="24EB6E6C">
            <w:pPr>
              <w:keepLines w:val="0"/>
              <w:pageBreakBefore w:val="0"/>
              <w:widowControl w:val="0"/>
              <w:kinsoku/>
              <w:wordWrap/>
              <w:overflowPunct/>
              <w:topLinePunct w:val="0"/>
              <w:autoSpaceDE/>
              <w:autoSpaceDN/>
              <w:bidi w:val="0"/>
              <w:adjustRightInd w:val="0"/>
              <w:snapToGrid w:val="0"/>
              <w:spacing w:line="480" w:lineRule="exact"/>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未</w:t>
            </w:r>
            <w:r>
              <w:rPr>
                <w:rFonts w:hint="eastAsia" w:ascii="宋体" w:hAnsi="宋体" w:eastAsia="宋体" w:cs="宋体"/>
                <w:color w:val="auto"/>
                <w:sz w:val="24"/>
                <w:highlight w:val="none"/>
              </w:rPr>
              <w:t>按照招标文件要求报价的，符合性审查不予通过。</w:t>
            </w:r>
          </w:p>
        </w:tc>
      </w:tr>
      <w:tr w14:paraId="2B75C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335" w:type="dxa"/>
            <w:vMerge w:val="continue"/>
            <w:vAlign w:val="center"/>
          </w:tcPr>
          <w:p w14:paraId="4FB8F9C4">
            <w:pPr>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 w:val="24"/>
                <w:highlight w:val="none"/>
              </w:rPr>
            </w:pPr>
          </w:p>
        </w:tc>
        <w:tc>
          <w:tcPr>
            <w:tcW w:w="2493" w:type="dxa"/>
            <w:vAlign w:val="center"/>
          </w:tcPr>
          <w:p w14:paraId="2AA6A7D2">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投标文件内容</w:t>
            </w:r>
          </w:p>
        </w:tc>
        <w:tc>
          <w:tcPr>
            <w:tcW w:w="5752" w:type="dxa"/>
            <w:vAlign w:val="center"/>
          </w:tcPr>
          <w:p w14:paraId="645BAAD7">
            <w:pPr>
              <w:keepLines w:val="0"/>
              <w:pageBreakBefore w:val="0"/>
              <w:widowControl w:val="0"/>
              <w:kinsoku/>
              <w:wordWrap/>
              <w:overflowPunct/>
              <w:topLinePunct w:val="0"/>
              <w:autoSpaceDE/>
              <w:autoSpaceDN/>
              <w:bidi w:val="0"/>
              <w:adjustRightInd w:val="0"/>
              <w:snapToGrid w:val="0"/>
              <w:spacing w:line="480" w:lineRule="exact"/>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未</w:t>
            </w:r>
            <w:r>
              <w:rPr>
                <w:rFonts w:hint="eastAsia" w:ascii="宋体" w:hAnsi="宋体" w:eastAsia="宋体" w:cs="宋体"/>
                <w:color w:val="auto"/>
                <w:sz w:val="24"/>
                <w:highlight w:val="none"/>
              </w:rPr>
              <w:t>按照第</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章“</w:t>
            </w:r>
            <w:r>
              <w:rPr>
                <w:rFonts w:hint="eastAsia" w:ascii="宋体" w:hAnsi="宋体" w:cs="宋体"/>
                <w:color w:val="auto"/>
                <w:sz w:val="24"/>
                <w:highlight w:val="none"/>
                <w:lang w:eastAsia="zh-CN"/>
              </w:rPr>
              <w:t>投标</w:t>
            </w:r>
            <w:r>
              <w:rPr>
                <w:rFonts w:hint="eastAsia" w:ascii="宋体" w:hAnsi="宋体" w:eastAsia="宋体" w:cs="宋体"/>
                <w:color w:val="auto"/>
                <w:sz w:val="24"/>
                <w:highlight w:val="none"/>
              </w:rPr>
              <w:t>文件格式”的要求填写</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存在内容不全，或关键字迹模糊、</w:t>
            </w:r>
            <w:r>
              <w:rPr>
                <w:rFonts w:hint="eastAsia" w:ascii="宋体" w:hAnsi="宋体" w:cs="宋体"/>
                <w:color w:val="auto"/>
                <w:sz w:val="24"/>
                <w:highlight w:val="none"/>
                <w:lang w:eastAsia="zh-CN"/>
              </w:rPr>
              <w:t>无法</w:t>
            </w:r>
            <w:r>
              <w:rPr>
                <w:rFonts w:hint="eastAsia" w:ascii="宋体" w:hAnsi="宋体" w:cs="宋体"/>
                <w:color w:val="auto"/>
                <w:sz w:val="24"/>
                <w:highlight w:val="none"/>
                <w:lang w:val="en-US" w:eastAsia="zh-CN"/>
              </w:rPr>
              <w:t>辨</w:t>
            </w:r>
            <w:r>
              <w:rPr>
                <w:rFonts w:hint="eastAsia" w:ascii="宋体" w:hAnsi="宋体" w:cs="宋体"/>
                <w:color w:val="auto"/>
                <w:sz w:val="24"/>
                <w:highlight w:val="none"/>
                <w:lang w:eastAsia="zh-CN"/>
              </w:rPr>
              <w:t>认</w:t>
            </w:r>
            <w:r>
              <w:rPr>
                <w:rFonts w:hint="eastAsia" w:ascii="宋体" w:hAnsi="宋体" w:eastAsia="宋体" w:cs="宋体"/>
                <w:color w:val="auto"/>
                <w:sz w:val="24"/>
                <w:highlight w:val="none"/>
              </w:rPr>
              <w:t>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投标文件内容书写潦草、字迹模糊不清难以辨认的，符合性审查不予通过。</w:t>
            </w:r>
          </w:p>
        </w:tc>
      </w:tr>
      <w:tr w14:paraId="2A253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335" w:type="dxa"/>
            <w:vMerge w:val="continue"/>
            <w:vAlign w:val="center"/>
          </w:tcPr>
          <w:p w14:paraId="21FA6229">
            <w:pPr>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 w:val="24"/>
                <w:highlight w:val="none"/>
              </w:rPr>
            </w:pPr>
          </w:p>
        </w:tc>
        <w:tc>
          <w:tcPr>
            <w:tcW w:w="2493" w:type="dxa"/>
            <w:vAlign w:val="center"/>
          </w:tcPr>
          <w:p w14:paraId="315E1F51">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串通投标、弄虚作假行为</w:t>
            </w:r>
          </w:p>
        </w:tc>
        <w:tc>
          <w:tcPr>
            <w:tcW w:w="5752" w:type="dxa"/>
            <w:vAlign w:val="center"/>
          </w:tcPr>
          <w:p w14:paraId="0A145C24">
            <w:pPr>
              <w:keepLines w:val="0"/>
              <w:pageBreakBefore w:val="0"/>
              <w:widowControl w:val="0"/>
              <w:kinsoku/>
              <w:wordWrap/>
              <w:overflowPunct/>
              <w:topLinePunct w:val="0"/>
              <w:autoSpaceDE/>
              <w:autoSpaceDN/>
              <w:bidi w:val="0"/>
              <w:adjustRightInd w:val="0"/>
              <w:snapToGrid w:val="0"/>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投标人存在以他人的名义投标、串通投标、以行贿手段谋取中标或者以</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弄虚作假方式投标的行为的（串通投标的行为认定以87号令第三十七条规定为准）。</w:t>
            </w:r>
          </w:p>
        </w:tc>
      </w:tr>
      <w:tr w14:paraId="1A04D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1335" w:type="dxa"/>
            <w:vMerge w:val="continue"/>
            <w:vAlign w:val="center"/>
          </w:tcPr>
          <w:p w14:paraId="1261E8C3">
            <w:pPr>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 w:val="24"/>
                <w:highlight w:val="none"/>
              </w:rPr>
            </w:pPr>
          </w:p>
        </w:tc>
        <w:tc>
          <w:tcPr>
            <w:tcW w:w="2493" w:type="dxa"/>
            <w:vAlign w:val="center"/>
          </w:tcPr>
          <w:p w14:paraId="60E32429">
            <w:pPr>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实质性条件</w:t>
            </w:r>
          </w:p>
        </w:tc>
        <w:tc>
          <w:tcPr>
            <w:tcW w:w="5752" w:type="dxa"/>
            <w:vAlign w:val="center"/>
          </w:tcPr>
          <w:p w14:paraId="6A0524EF">
            <w:pPr>
              <w:keepLines w:val="0"/>
              <w:pageBreakBefore w:val="0"/>
              <w:widowControl w:val="0"/>
              <w:numPr>
                <w:ilvl w:val="0"/>
                <w:numId w:val="0"/>
              </w:numPr>
              <w:kinsoku/>
              <w:wordWrap/>
              <w:overflowPunct/>
              <w:topLinePunct w:val="0"/>
              <w:autoSpaceDE/>
              <w:autoSpaceDN/>
              <w:bidi w:val="0"/>
              <w:adjustRightInd w:val="0"/>
              <w:snapToGrid w:val="0"/>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sz w:val="24"/>
                <w:highlight w:val="none"/>
              </w:rPr>
              <w:t>法律、法规和招标文件规定的实质性条件；符合性审查不予通过。</w:t>
            </w:r>
          </w:p>
          <w:p w14:paraId="7F3065C2">
            <w:pPr>
              <w:keepLines w:val="0"/>
              <w:pageBreakBefore w:val="0"/>
              <w:widowControl w:val="0"/>
              <w:numPr>
                <w:ilvl w:val="0"/>
                <w:numId w:val="0"/>
              </w:numPr>
              <w:kinsoku/>
              <w:wordWrap/>
              <w:overflowPunct/>
              <w:topLinePunct w:val="0"/>
              <w:autoSpaceDE/>
              <w:autoSpaceDN/>
              <w:bidi w:val="0"/>
              <w:adjustRightInd w:val="0"/>
              <w:snapToGrid w:val="0"/>
              <w:spacing w:line="48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sz w:val="24"/>
                <w:highlight w:val="none"/>
              </w:rPr>
              <w:t>投标文件含有</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不能接受的附加条件的；符合性审查不予通过。</w:t>
            </w:r>
          </w:p>
        </w:tc>
      </w:tr>
    </w:tbl>
    <w:p w14:paraId="1620862B">
      <w:pPr>
        <w:pStyle w:val="13"/>
        <w:ind w:left="0" w:leftChars="0" w:firstLine="0" w:firstLineChars="0"/>
        <w:rPr>
          <w:rFonts w:hint="eastAsia" w:ascii="宋体" w:hAnsi="宋体" w:eastAsia="宋体" w:cs="宋体"/>
          <w:b/>
          <w:color w:val="auto"/>
          <w:sz w:val="24"/>
          <w:szCs w:val="24"/>
          <w:highlight w:val="none"/>
        </w:rPr>
      </w:pPr>
    </w:p>
    <w:p w14:paraId="1979F8A1">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bookmarkEnd w:id="220"/>
    <w:p w14:paraId="79712C92">
      <w:pPr>
        <w:pStyle w:val="3"/>
        <w:keepLines w:val="0"/>
        <w:pageBreakBefore w:val="0"/>
        <w:tabs>
          <w:tab w:val="left" w:pos="1021"/>
        </w:tabs>
        <w:kinsoku/>
        <w:wordWrap/>
        <w:overflowPunct/>
        <w:topLinePunct w:val="0"/>
        <w:autoSpaceDE/>
        <w:autoSpaceDN/>
        <w:bidi w:val="0"/>
        <w:spacing w:line="480" w:lineRule="exact"/>
        <w:jc w:val="center"/>
        <w:textAlignment w:val="auto"/>
        <w:rPr>
          <w:rFonts w:hint="eastAsia" w:ascii="宋体" w:hAnsi="宋体" w:eastAsia="宋体" w:cs="宋体"/>
          <w:color w:val="auto"/>
          <w:highlight w:val="none"/>
          <w:lang w:eastAsia="zh-CN"/>
        </w:rPr>
      </w:pPr>
      <w:bookmarkStart w:id="240" w:name="_Toc29160"/>
      <w:bookmarkStart w:id="241" w:name="_Toc19905"/>
      <w:bookmarkStart w:id="242" w:name="_Toc17524"/>
      <w:bookmarkStart w:id="243" w:name="_Toc26350402"/>
      <w:bookmarkStart w:id="244" w:name="_Toc88350313"/>
      <w:bookmarkStart w:id="245" w:name="_Toc10572"/>
      <w:bookmarkStart w:id="246" w:name="_Toc83683782"/>
      <w:bookmarkStart w:id="247" w:name="_Toc6588"/>
      <w:bookmarkStart w:id="248" w:name="_Toc78140820"/>
      <w:bookmarkStart w:id="249" w:name="_Toc66976538"/>
      <w:bookmarkStart w:id="250" w:name="_Toc36327308"/>
      <w:bookmarkStart w:id="251" w:name="_Toc95915212"/>
      <w:bookmarkStart w:id="252" w:name="_Toc83539045"/>
      <w:bookmarkStart w:id="253" w:name="_Toc31902"/>
      <w:r>
        <w:rPr>
          <w:rFonts w:hint="eastAsia" w:ascii="宋体" w:hAnsi="宋体" w:eastAsia="宋体" w:cs="宋体"/>
          <w:color w:val="auto"/>
          <w:highlight w:val="none"/>
        </w:rPr>
        <w:t>评分细则表</w:t>
      </w:r>
      <w:r>
        <w:rPr>
          <w:rFonts w:hint="eastAsia" w:ascii="宋体" w:hAnsi="宋体" w:eastAsia="宋体" w:cs="宋体"/>
          <w:color w:val="auto"/>
          <w:highlight w:val="none"/>
          <w:lang w:eastAsia="zh-CN"/>
        </w:rPr>
        <w:t>（评标办法前附表）</w:t>
      </w:r>
      <w:bookmarkEnd w:id="240"/>
      <w:bookmarkEnd w:id="241"/>
      <w:bookmarkEnd w:id="242"/>
    </w:p>
    <w:tbl>
      <w:tblPr>
        <w:tblStyle w:val="28"/>
        <w:tblW w:w="9583" w:type="dxa"/>
        <w:tblInd w:w="109" w:type="dxa"/>
        <w:tblLayout w:type="fixed"/>
        <w:tblCellMar>
          <w:top w:w="0" w:type="dxa"/>
          <w:left w:w="108" w:type="dxa"/>
          <w:bottom w:w="0" w:type="dxa"/>
          <w:right w:w="108" w:type="dxa"/>
        </w:tblCellMar>
      </w:tblPr>
      <w:tblGrid>
        <w:gridCol w:w="476"/>
        <w:gridCol w:w="294"/>
        <w:gridCol w:w="827"/>
        <w:gridCol w:w="975"/>
        <w:gridCol w:w="727"/>
        <w:gridCol w:w="6284"/>
      </w:tblGrid>
      <w:tr w14:paraId="731DE396">
        <w:tblPrEx>
          <w:tblCellMar>
            <w:top w:w="0" w:type="dxa"/>
            <w:left w:w="108" w:type="dxa"/>
            <w:bottom w:w="0" w:type="dxa"/>
            <w:right w:w="108" w:type="dxa"/>
          </w:tblCellMar>
        </w:tblPrEx>
        <w:trPr>
          <w:trHeight w:val="95" w:hRule="atLeast"/>
        </w:trPr>
        <w:tc>
          <w:tcPr>
            <w:tcW w:w="770" w:type="dxa"/>
            <w:gridSpan w:val="2"/>
            <w:vMerge w:val="restart"/>
            <w:tcBorders>
              <w:top w:val="single" w:color="auto" w:sz="4" w:space="0"/>
              <w:left w:val="single" w:color="auto" w:sz="4" w:space="0"/>
              <w:right w:val="single" w:color="auto" w:sz="4" w:space="0"/>
            </w:tcBorders>
            <w:vAlign w:val="center"/>
          </w:tcPr>
          <w:p w14:paraId="53B44ECB">
            <w:pPr>
              <w:keepNext w:val="0"/>
              <w:keepLines w:val="0"/>
              <w:pageBreakBefore w:val="0"/>
              <w:kinsoku/>
              <w:wordWrap/>
              <w:overflowPunct/>
              <w:topLinePunct w:val="0"/>
              <w:autoSpaceDE/>
              <w:autoSpaceDN/>
              <w:bidi w:val="0"/>
              <w:adjustRightInd/>
              <w:snapToGrid/>
              <w:spacing w:line="480" w:lineRule="exact"/>
              <w:textAlignment w:val="auto"/>
              <w:rPr>
                <w:rFonts w:ascii="宋体" w:hAnsi="宋体"/>
                <w:b/>
                <w:bCs/>
                <w:iCs/>
                <w:color w:val="auto"/>
                <w:sz w:val="24"/>
                <w:highlight w:val="none"/>
              </w:rPr>
            </w:pPr>
            <w:r>
              <w:rPr>
                <w:rFonts w:hint="eastAsia" w:ascii="宋体" w:hAnsi="宋体"/>
                <w:b/>
                <w:bCs/>
                <w:iCs/>
                <w:color w:val="auto"/>
                <w:sz w:val="24"/>
                <w:highlight w:val="none"/>
              </w:rPr>
              <w:t>序号</w:t>
            </w:r>
          </w:p>
        </w:tc>
        <w:tc>
          <w:tcPr>
            <w:tcW w:w="2529" w:type="dxa"/>
            <w:gridSpan w:val="3"/>
            <w:vMerge w:val="restart"/>
            <w:tcBorders>
              <w:top w:val="single" w:color="auto" w:sz="4" w:space="0"/>
              <w:left w:val="nil"/>
              <w:right w:val="single" w:color="auto" w:sz="4" w:space="0"/>
            </w:tcBorders>
            <w:vAlign w:val="center"/>
          </w:tcPr>
          <w:p w14:paraId="7E8061D6">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b/>
                <w:bCs/>
                <w:iCs/>
                <w:color w:val="auto"/>
                <w:sz w:val="24"/>
                <w:highlight w:val="none"/>
              </w:rPr>
            </w:pPr>
            <w:r>
              <w:rPr>
                <w:rFonts w:hint="eastAsia" w:ascii="宋体" w:hAnsi="宋体"/>
                <w:b/>
                <w:bCs/>
                <w:iCs/>
                <w:color w:val="auto"/>
                <w:sz w:val="24"/>
                <w:highlight w:val="none"/>
              </w:rPr>
              <w:t>评标项目</w:t>
            </w:r>
          </w:p>
        </w:tc>
        <w:tc>
          <w:tcPr>
            <w:tcW w:w="6284" w:type="dxa"/>
            <w:tcBorders>
              <w:top w:val="single" w:color="auto" w:sz="4" w:space="0"/>
              <w:left w:val="single" w:color="auto" w:sz="4" w:space="0"/>
              <w:bottom w:val="single" w:color="auto" w:sz="4" w:space="0"/>
              <w:right w:val="single" w:color="auto" w:sz="4" w:space="0"/>
            </w:tcBorders>
            <w:vAlign w:val="center"/>
          </w:tcPr>
          <w:p w14:paraId="15B0ECB3">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bCs/>
                <w:iCs/>
                <w:color w:val="auto"/>
                <w:sz w:val="24"/>
                <w:highlight w:val="none"/>
              </w:rPr>
            </w:pPr>
            <w:r>
              <w:rPr>
                <w:rFonts w:hint="eastAsia" w:ascii="宋体" w:hAnsi="宋体"/>
                <w:b/>
                <w:color w:val="auto"/>
                <w:sz w:val="24"/>
                <w:highlight w:val="none"/>
              </w:rPr>
              <w:t>评分标准</w:t>
            </w:r>
          </w:p>
        </w:tc>
      </w:tr>
      <w:tr w14:paraId="20961A5F">
        <w:tblPrEx>
          <w:tblCellMar>
            <w:top w:w="0" w:type="dxa"/>
            <w:left w:w="108" w:type="dxa"/>
            <w:bottom w:w="0" w:type="dxa"/>
            <w:right w:w="108" w:type="dxa"/>
          </w:tblCellMar>
        </w:tblPrEx>
        <w:trPr>
          <w:trHeight w:val="90" w:hRule="atLeast"/>
        </w:trPr>
        <w:tc>
          <w:tcPr>
            <w:tcW w:w="770" w:type="dxa"/>
            <w:gridSpan w:val="2"/>
            <w:vMerge w:val="continue"/>
            <w:tcBorders>
              <w:left w:val="single" w:color="auto" w:sz="4" w:space="0"/>
              <w:right w:val="single" w:color="auto" w:sz="4" w:space="0"/>
            </w:tcBorders>
            <w:vAlign w:val="center"/>
          </w:tcPr>
          <w:p w14:paraId="785D19F6">
            <w:pPr>
              <w:keepNext w:val="0"/>
              <w:keepLines w:val="0"/>
              <w:pageBreakBefore w:val="0"/>
              <w:kinsoku/>
              <w:wordWrap/>
              <w:overflowPunct/>
              <w:topLinePunct w:val="0"/>
              <w:autoSpaceDE/>
              <w:autoSpaceDN/>
              <w:bidi w:val="0"/>
              <w:adjustRightInd/>
              <w:snapToGrid/>
              <w:spacing w:line="480" w:lineRule="exact"/>
              <w:textAlignment w:val="auto"/>
              <w:rPr>
                <w:rFonts w:ascii="宋体" w:hAnsi="宋体"/>
                <w:bCs/>
                <w:iCs/>
                <w:color w:val="auto"/>
                <w:sz w:val="24"/>
                <w:highlight w:val="none"/>
              </w:rPr>
            </w:pPr>
          </w:p>
        </w:tc>
        <w:tc>
          <w:tcPr>
            <w:tcW w:w="2529" w:type="dxa"/>
            <w:gridSpan w:val="3"/>
            <w:vMerge w:val="continue"/>
            <w:tcBorders>
              <w:left w:val="nil"/>
              <w:right w:val="single" w:color="auto" w:sz="4" w:space="0"/>
            </w:tcBorders>
          </w:tcPr>
          <w:p w14:paraId="78835585">
            <w:pPr>
              <w:keepNext w:val="0"/>
              <w:keepLines w:val="0"/>
              <w:pageBreakBefore w:val="0"/>
              <w:kinsoku/>
              <w:wordWrap/>
              <w:overflowPunct/>
              <w:topLinePunct w:val="0"/>
              <w:autoSpaceDE/>
              <w:autoSpaceDN/>
              <w:bidi w:val="0"/>
              <w:adjustRightInd/>
              <w:snapToGrid/>
              <w:spacing w:line="480" w:lineRule="exact"/>
              <w:textAlignment w:val="auto"/>
              <w:rPr>
                <w:rFonts w:ascii="宋体" w:hAnsi="宋体"/>
                <w:bCs/>
                <w:iCs/>
                <w:color w:val="auto"/>
                <w:sz w:val="24"/>
                <w:highlight w:val="none"/>
              </w:rPr>
            </w:pPr>
          </w:p>
        </w:tc>
        <w:tc>
          <w:tcPr>
            <w:tcW w:w="6284" w:type="dxa"/>
            <w:tcBorders>
              <w:top w:val="single" w:color="auto" w:sz="4" w:space="0"/>
              <w:left w:val="single" w:color="auto" w:sz="4" w:space="0"/>
              <w:bottom w:val="single" w:color="auto" w:sz="4" w:space="0"/>
              <w:right w:val="single" w:color="auto" w:sz="4" w:space="0"/>
            </w:tcBorders>
            <w:vAlign w:val="center"/>
          </w:tcPr>
          <w:p w14:paraId="4C291744">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olor w:val="auto"/>
                <w:sz w:val="24"/>
                <w:highlight w:val="none"/>
              </w:rPr>
            </w:pPr>
            <w:r>
              <w:rPr>
                <w:rFonts w:hint="eastAsia" w:ascii="宋体" w:hAnsi="宋体"/>
                <w:color w:val="auto"/>
                <w:spacing w:val="50"/>
                <w:sz w:val="24"/>
                <w:highlight w:val="none"/>
              </w:rPr>
              <w:t>商务部分F1</w:t>
            </w:r>
          </w:p>
        </w:tc>
      </w:tr>
      <w:tr w14:paraId="56E7C869">
        <w:tblPrEx>
          <w:tblCellMar>
            <w:top w:w="0" w:type="dxa"/>
            <w:left w:w="108" w:type="dxa"/>
            <w:bottom w:w="0" w:type="dxa"/>
            <w:right w:w="108" w:type="dxa"/>
          </w:tblCellMar>
        </w:tblPrEx>
        <w:trPr>
          <w:trHeight w:val="90" w:hRule="atLeast"/>
        </w:trPr>
        <w:tc>
          <w:tcPr>
            <w:tcW w:w="770" w:type="dxa"/>
            <w:gridSpan w:val="2"/>
            <w:vMerge w:val="continue"/>
            <w:tcBorders>
              <w:left w:val="single" w:color="auto" w:sz="4" w:space="0"/>
              <w:bottom w:val="single" w:color="auto" w:sz="4" w:space="0"/>
              <w:right w:val="single" w:color="auto" w:sz="4" w:space="0"/>
            </w:tcBorders>
            <w:vAlign w:val="center"/>
          </w:tcPr>
          <w:p w14:paraId="19C07653">
            <w:pPr>
              <w:keepNext w:val="0"/>
              <w:keepLines w:val="0"/>
              <w:pageBreakBefore w:val="0"/>
              <w:kinsoku/>
              <w:wordWrap/>
              <w:overflowPunct/>
              <w:topLinePunct w:val="0"/>
              <w:autoSpaceDE/>
              <w:autoSpaceDN/>
              <w:bidi w:val="0"/>
              <w:adjustRightInd/>
              <w:snapToGrid/>
              <w:spacing w:line="480" w:lineRule="exact"/>
              <w:textAlignment w:val="auto"/>
              <w:rPr>
                <w:rFonts w:ascii="宋体" w:hAnsi="宋体"/>
                <w:bCs/>
                <w:iCs/>
                <w:color w:val="auto"/>
                <w:sz w:val="24"/>
                <w:highlight w:val="none"/>
              </w:rPr>
            </w:pPr>
          </w:p>
        </w:tc>
        <w:tc>
          <w:tcPr>
            <w:tcW w:w="2529" w:type="dxa"/>
            <w:gridSpan w:val="3"/>
            <w:vMerge w:val="continue"/>
            <w:tcBorders>
              <w:left w:val="nil"/>
              <w:bottom w:val="single" w:color="auto" w:sz="4" w:space="0"/>
              <w:right w:val="single" w:color="auto" w:sz="4" w:space="0"/>
            </w:tcBorders>
          </w:tcPr>
          <w:p w14:paraId="4213F95C">
            <w:pPr>
              <w:keepNext w:val="0"/>
              <w:keepLines w:val="0"/>
              <w:pageBreakBefore w:val="0"/>
              <w:kinsoku/>
              <w:wordWrap/>
              <w:overflowPunct/>
              <w:topLinePunct w:val="0"/>
              <w:autoSpaceDE/>
              <w:autoSpaceDN/>
              <w:bidi w:val="0"/>
              <w:adjustRightInd/>
              <w:snapToGrid/>
              <w:spacing w:line="480" w:lineRule="exact"/>
              <w:textAlignment w:val="auto"/>
              <w:rPr>
                <w:rFonts w:ascii="宋体" w:hAnsi="宋体"/>
                <w:bCs/>
                <w:iCs/>
                <w:color w:val="auto"/>
                <w:sz w:val="24"/>
                <w:highlight w:val="none"/>
              </w:rPr>
            </w:pPr>
          </w:p>
        </w:tc>
        <w:tc>
          <w:tcPr>
            <w:tcW w:w="6284" w:type="dxa"/>
            <w:tcBorders>
              <w:top w:val="single" w:color="auto" w:sz="4" w:space="0"/>
              <w:left w:val="single" w:color="auto" w:sz="4" w:space="0"/>
              <w:bottom w:val="single" w:color="auto" w:sz="4" w:space="0"/>
              <w:right w:val="single" w:color="auto" w:sz="4" w:space="0"/>
            </w:tcBorders>
            <w:vAlign w:val="center"/>
          </w:tcPr>
          <w:p w14:paraId="7D662D0C">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color w:val="auto"/>
                <w:spacing w:val="50"/>
                <w:sz w:val="24"/>
                <w:highlight w:val="none"/>
              </w:rPr>
            </w:pPr>
            <w:r>
              <w:rPr>
                <w:rFonts w:hint="eastAsia" w:ascii="宋体" w:hAnsi="宋体"/>
                <w:color w:val="auto"/>
                <w:spacing w:val="50"/>
                <w:sz w:val="24"/>
                <w:highlight w:val="none"/>
              </w:rPr>
              <w:t>技术部分F2</w:t>
            </w:r>
          </w:p>
        </w:tc>
      </w:tr>
      <w:tr w14:paraId="4F52F15B">
        <w:tblPrEx>
          <w:tblCellMar>
            <w:top w:w="0" w:type="dxa"/>
            <w:left w:w="108" w:type="dxa"/>
            <w:bottom w:w="0" w:type="dxa"/>
            <w:right w:w="108" w:type="dxa"/>
          </w:tblCellMar>
        </w:tblPrEx>
        <w:trPr>
          <w:trHeight w:val="420" w:hRule="atLeast"/>
        </w:trPr>
        <w:tc>
          <w:tcPr>
            <w:tcW w:w="3299" w:type="dxa"/>
            <w:gridSpan w:val="5"/>
            <w:tcBorders>
              <w:top w:val="single" w:color="auto" w:sz="4" w:space="0"/>
              <w:left w:val="single" w:color="auto" w:sz="4" w:space="0"/>
              <w:bottom w:val="single" w:color="auto" w:sz="4" w:space="0"/>
              <w:right w:val="single" w:color="auto" w:sz="4" w:space="0"/>
            </w:tcBorders>
            <w:vAlign w:val="center"/>
          </w:tcPr>
          <w:p w14:paraId="68774742">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b/>
                <w:bCs/>
                <w:iCs/>
                <w:color w:val="auto"/>
                <w:sz w:val="24"/>
                <w:highlight w:val="none"/>
              </w:rPr>
            </w:pPr>
            <w:r>
              <w:rPr>
                <w:rFonts w:hint="eastAsia" w:ascii="宋体" w:hAnsi="宋体"/>
                <w:b/>
                <w:bCs/>
                <w:iCs/>
                <w:color w:val="auto"/>
                <w:sz w:val="24"/>
                <w:highlight w:val="none"/>
              </w:rPr>
              <w:t>总得分</w:t>
            </w:r>
          </w:p>
        </w:tc>
        <w:tc>
          <w:tcPr>
            <w:tcW w:w="6284" w:type="dxa"/>
            <w:tcBorders>
              <w:top w:val="single" w:color="auto" w:sz="4" w:space="0"/>
              <w:left w:val="single" w:color="auto" w:sz="4" w:space="0"/>
              <w:bottom w:val="single" w:color="auto" w:sz="4" w:space="0"/>
              <w:right w:val="single" w:color="auto" w:sz="4" w:space="0"/>
            </w:tcBorders>
            <w:vAlign w:val="center"/>
          </w:tcPr>
          <w:p w14:paraId="6EC38CB6">
            <w:pPr>
              <w:keepNext w:val="0"/>
              <w:keepLines w:val="0"/>
              <w:pageBreakBefore w:val="0"/>
              <w:kinsoku/>
              <w:wordWrap/>
              <w:overflowPunct/>
              <w:topLinePunct w:val="0"/>
              <w:autoSpaceDE/>
              <w:autoSpaceDN/>
              <w:bidi w:val="0"/>
              <w:adjustRightInd/>
              <w:snapToGrid/>
              <w:spacing w:line="480" w:lineRule="exact"/>
              <w:jc w:val="center"/>
              <w:textAlignment w:val="auto"/>
              <w:rPr>
                <w:rFonts w:ascii="宋体" w:hAnsi="宋体"/>
                <w:bCs/>
                <w:iCs/>
                <w:color w:val="auto"/>
                <w:sz w:val="24"/>
                <w:highlight w:val="none"/>
              </w:rPr>
            </w:pPr>
            <w:r>
              <w:rPr>
                <w:rFonts w:hint="eastAsia" w:ascii="宋体" w:hAnsi="宋体"/>
                <w:color w:val="auto"/>
                <w:spacing w:val="50"/>
                <w:sz w:val="24"/>
                <w:highlight w:val="none"/>
              </w:rPr>
              <w:t>总得分＝</w:t>
            </w:r>
            <w:r>
              <w:rPr>
                <w:rFonts w:ascii="宋体" w:hAnsi="宋体"/>
                <w:color w:val="auto"/>
                <w:spacing w:val="50"/>
                <w:sz w:val="24"/>
                <w:highlight w:val="none"/>
              </w:rPr>
              <w:t>F1</w:t>
            </w:r>
            <w:r>
              <w:rPr>
                <w:rFonts w:hint="eastAsia" w:ascii="宋体" w:hAnsi="宋体"/>
                <w:color w:val="auto"/>
                <w:spacing w:val="50"/>
                <w:sz w:val="24"/>
                <w:highlight w:val="none"/>
              </w:rPr>
              <w:t>＋</w:t>
            </w:r>
            <w:r>
              <w:rPr>
                <w:rFonts w:ascii="宋体" w:hAnsi="宋体"/>
                <w:color w:val="auto"/>
                <w:spacing w:val="50"/>
                <w:sz w:val="24"/>
                <w:highlight w:val="none"/>
              </w:rPr>
              <w:t>F2</w:t>
            </w:r>
            <w:r>
              <w:rPr>
                <w:rFonts w:hint="eastAsia" w:ascii="宋体" w:hAnsi="宋体"/>
                <w:color w:val="auto"/>
                <w:spacing w:val="50"/>
                <w:sz w:val="24"/>
                <w:highlight w:val="none"/>
              </w:rPr>
              <w:t>=100分</w:t>
            </w:r>
          </w:p>
        </w:tc>
      </w:tr>
      <w:tr w14:paraId="2549C35A">
        <w:tblPrEx>
          <w:tblCellMar>
            <w:top w:w="0" w:type="dxa"/>
            <w:left w:w="108" w:type="dxa"/>
            <w:bottom w:w="0" w:type="dxa"/>
            <w:right w:w="108" w:type="dxa"/>
          </w:tblCellMar>
        </w:tblPrEx>
        <w:trPr>
          <w:trHeight w:val="287" w:hRule="atLeast"/>
        </w:trPr>
        <w:tc>
          <w:tcPr>
            <w:tcW w:w="9583" w:type="dxa"/>
            <w:gridSpan w:val="6"/>
            <w:tcBorders>
              <w:top w:val="single" w:color="auto" w:sz="4" w:space="0"/>
              <w:left w:val="single" w:color="auto" w:sz="4" w:space="0"/>
              <w:bottom w:val="single" w:color="auto" w:sz="4" w:space="0"/>
              <w:right w:val="single" w:color="auto" w:sz="4" w:space="0"/>
            </w:tcBorders>
            <w:vAlign w:val="center"/>
          </w:tcPr>
          <w:p w14:paraId="16F1ADFA">
            <w:pPr>
              <w:keepNext w:val="0"/>
              <w:keepLines w:val="0"/>
              <w:pageBreakBefore w:val="0"/>
              <w:kinsoku/>
              <w:wordWrap/>
              <w:overflowPunct/>
              <w:topLinePunct w:val="0"/>
              <w:autoSpaceDE/>
              <w:autoSpaceDN/>
              <w:bidi w:val="0"/>
              <w:adjustRightInd/>
              <w:snapToGrid/>
              <w:spacing w:line="480" w:lineRule="exact"/>
              <w:textAlignment w:val="auto"/>
              <w:rPr>
                <w:rFonts w:ascii="宋体" w:hAnsi="宋体"/>
                <w:bCs/>
                <w:iCs/>
                <w:color w:val="auto"/>
                <w:sz w:val="24"/>
                <w:highlight w:val="none"/>
              </w:rPr>
            </w:pPr>
            <w:r>
              <w:rPr>
                <w:rFonts w:hint="eastAsia" w:ascii="宋体" w:hAnsi="宋体"/>
                <w:b/>
                <w:bCs/>
                <w:color w:val="auto"/>
                <w:sz w:val="24"/>
                <w:highlight w:val="none"/>
              </w:rPr>
              <w:t>（一）</w:t>
            </w:r>
            <w:r>
              <w:rPr>
                <w:rFonts w:hint="eastAsia" w:ascii="宋体" w:hAnsi="宋体"/>
                <w:b/>
                <w:color w:val="auto"/>
                <w:sz w:val="24"/>
                <w:highlight w:val="none"/>
              </w:rPr>
              <w:t>商务部分F1（</w:t>
            </w:r>
            <w:r>
              <w:rPr>
                <w:rFonts w:hint="eastAsia" w:ascii="宋体" w:hAnsi="宋体"/>
                <w:b/>
                <w:color w:val="auto"/>
                <w:sz w:val="24"/>
                <w:highlight w:val="none"/>
                <w:lang w:val="en-US" w:eastAsia="zh-CN"/>
              </w:rPr>
              <w:t>10</w:t>
            </w:r>
            <w:r>
              <w:rPr>
                <w:rFonts w:hint="eastAsia" w:ascii="宋体" w:hAnsi="宋体"/>
                <w:b/>
                <w:color w:val="auto"/>
                <w:sz w:val="24"/>
                <w:highlight w:val="none"/>
              </w:rPr>
              <w:t>分）</w:t>
            </w:r>
          </w:p>
        </w:tc>
      </w:tr>
      <w:tr w14:paraId="234CB559">
        <w:tblPrEx>
          <w:tblCellMar>
            <w:top w:w="0" w:type="dxa"/>
            <w:left w:w="108" w:type="dxa"/>
            <w:bottom w:w="0" w:type="dxa"/>
            <w:right w:w="108" w:type="dxa"/>
          </w:tblCellMar>
        </w:tblPrEx>
        <w:trPr>
          <w:trHeight w:val="3402" w:hRule="atLeast"/>
        </w:trPr>
        <w:tc>
          <w:tcPr>
            <w:tcW w:w="9583" w:type="dxa"/>
            <w:gridSpan w:val="6"/>
            <w:tcBorders>
              <w:top w:val="single" w:color="auto" w:sz="4" w:space="0"/>
              <w:left w:val="single" w:color="auto" w:sz="4" w:space="0"/>
              <w:bottom w:val="single" w:color="auto" w:sz="4" w:space="0"/>
              <w:right w:val="single" w:color="auto" w:sz="4" w:space="0"/>
            </w:tcBorders>
            <w:vAlign w:val="center"/>
          </w:tcPr>
          <w:p w14:paraId="1FD34F7C">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综合评分法中的价格分采用低价优先法计算，即满足招标文件要求且投标价格最低的投标报价为评标基准价，其报价得分为满分。</w:t>
            </w:r>
          </w:p>
          <w:p w14:paraId="1DA70CAC">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lang w:eastAsia="zh-CN"/>
              </w:rPr>
              <w:t>其他</w:t>
            </w:r>
            <w:r>
              <w:rPr>
                <w:rFonts w:hint="eastAsia" w:ascii="宋体" w:hAnsi="宋体"/>
                <w:color w:val="auto"/>
                <w:sz w:val="24"/>
                <w:highlight w:val="none"/>
              </w:rPr>
              <w:t>投标人的价格分统一按照下列公式计算：</w:t>
            </w:r>
          </w:p>
          <w:p w14:paraId="4CE32107">
            <w:pPr>
              <w:keepNext w:val="0"/>
              <w:keepLines w:val="0"/>
              <w:pageBreakBefore w:val="0"/>
              <w:widowControl w:val="0"/>
              <w:kinsoku/>
              <w:wordWrap/>
              <w:overflowPunct/>
              <w:topLinePunct w:val="0"/>
              <w:autoSpaceDE/>
              <w:autoSpaceDN/>
              <w:bidi w:val="0"/>
              <w:adjustRightInd/>
              <w:snapToGrid w:val="0"/>
              <w:spacing w:line="480" w:lineRule="exact"/>
              <w:ind w:firstLine="482" w:firstLineChars="200"/>
              <w:jc w:val="left"/>
              <w:textAlignment w:val="auto"/>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报价得分=</w:t>
            </w:r>
            <w:r>
              <w:rPr>
                <w:rFonts w:hint="eastAsia" w:ascii="宋体" w:hAnsi="宋体"/>
                <w:b/>
                <w:bCs/>
                <w:color w:val="auto"/>
                <w:sz w:val="24"/>
                <w:highlight w:val="none"/>
                <w:lang w:eastAsia="zh-CN"/>
              </w:rPr>
              <w:t>（</w:t>
            </w:r>
            <w:r>
              <w:rPr>
                <w:rFonts w:hint="eastAsia" w:ascii="宋体" w:hAnsi="宋体"/>
                <w:b/>
                <w:bCs/>
                <w:color w:val="auto"/>
                <w:sz w:val="24"/>
                <w:highlight w:val="none"/>
              </w:rPr>
              <w:t>评标基准价／</w:t>
            </w:r>
            <w:r>
              <w:rPr>
                <w:rFonts w:hint="eastAsia" w:ascii="宋体" w:hAnsi="宋体"/>
                <w:b/>
                <w:bCs/>
                <w:color w:val="auto"/>
                <w:sz w:val="24"/>
                <w:highlight w:val="none"/>
                <w:lang w:val="en-US" w:eastAsia="zh-CN"/>
              </w:rPr>
              <w:t>有效</w:t>
            </w:r>
            <w:r>
              <w:rPr>
                <w:rFonts w:hint="eastAsia" w:ascii="宋体" w:hAnsi="宋体"/>
                <w:b/>
                <w:bCs/>
                <w:color w:val="auto"/>
                <w:sz w:val="24"/>
                <w:highlight w:val="none"/>
              </w:rPr>
              <w:t>投标</w:t>
            </w:r>
            <w:r>
              <w:rPr>
                <w:rFonts w:hint="eastAsia" w:ascii="宋体" w:hAnsi="宋体"/>
                <w:b/>
                <w:bCs/>
                <w:color w:val="auto"/>
                <w:sz w:val="24"/>
                <w:highlight w:val="none"/>
                <w:lang w:val="en-US" w:eastAsia="zh-CN"/>
              </w:rPr>
              <w:t>报价</w:t>
            </w:r>
            <w:r>
              <w:rPr>
                <w:rFonts w:hint="eastAsia" w:ascii="宋体" w:hAnsi="宋体"/>
                <w:b/>
                <w:bCs/>
                <w:color w:val="auto"/>
                <w:sz w:val="24"/>
                <w:highlight w:val="none"/>
                <w:lang w:eastAsia="zh-CN"/>
              </w:rPr>
              <w:t>）</w:t>
            </w:r>
            <w:r>
              <w:rPr>
                <w:rFonts w:hint="eastAsia" w:ascii="宋体" w:hAnsi="宋体"/>
                <w:b/>
                <w:bCs/>
                <w:color w:val="auto"/>
                <w:sz w:val="24"/>
                <w:highlight w:val="none"/>
              </w:rPr>
              <w:t>×</w:t>
            </w:r>
            <w:r>
              <w:rPr>
                <w:rFonts w:hint="eastAsia" w:ascii="宋体" w:hAnsi="宋体"/>
                <w:b/>
                <w:bCs/>
                <w:color w:val="auto"/>
                <w:sz w:val="24"/>
                <w:highlight w:val="none"/>
                <w:lang w:val="en-US" w:eastAsia="zh-CN"/>
              </w:rPr>
              <w:t>10</w:t>
            </w:r>
          </w:p>
          <w:p w14:paraId="31B32FD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注：</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1</w:t>
            </w:r>
            <w:r>
              <w:rPr>
                <w:rFonts w:hint="eastAsia" w:ascii="宋体" w:hAnsi="宋体"/>
                <w:b/>
                <w:bCs/>
                <w:color w:val="auto"/>
                <w:sz w:val="24"/>
                <w:highlight w:val="none"/>
                <w:lang w:eastAsia="zh-CN"/>
              </w:rPr>
              <w:t>）</w:t>
            </w:r>
            <w:r>
              <w:rPr>
                <w:rFonts w:hint="eastAsia" w:ascii="宋体" w:hAnsi="宋体"/>
                <w:b/>
                <w:bCs/>
                <w:color w:val="auto"/>
                <w:sz w:val="24"/>
                <w:highlight w:val="none"/>
              </w:rPr>
              <w:t>根据关于推动解决政府采购异常低价问题的通知（财库〔2026〕2号），评审中出现下列情形之一的，评审委员会应当启动异常低价投标（响应）审查程序</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审查详细要求见本章7.3.1异常低价审查</w:t>
            </w:r>
            <w:r>
              <w:rPr>
                <w:rFonts w:hint="eastAsia" w:ascii="宋体" w:hAnsi="宋体"/>
                <w:b/>
                <w:bCs/>
                <w:color w:val="auto"/>
                <w:sz w:val="24"/>
                <w:highlight w:val="none"/>
                <w:lang w:eastAsia="zh-CN"/>
              </w:rPr>
              <w:t>）</w:t>
            </w:r>
            <w:r>
              <w:rPr>
                <w:rFonts w:hint="eastAsia" w:ascii="宋体" w:hAnsi="宋体"/>
                <w:b/>
                <w:bCs/>
                <w:color w:val="auto"/>
                <w:sz w:val="24"/>
                <w:highlight w:val="none"/>
              </w:rPr>
              <w:t>：</w:t>
            </w:r>
          </w:p>
          <w:p w14:paraId="38DEE8D5">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1.投标（响应）报价低于全部通过符合性审查</w:t>
            </w:r>
            <w:r>
              <w:rPr>
                <w:rFonts w:hint="eastAsia" w:ascii="宋体" w:hAnsi="宋体"/>
                <w:b/>
                <w:bCs/>
                <w:color w:val="auto"/>
                <w:sz w:val="24"/>
                <w:highlight w:val="none"/>
                <w:lang w:val="en-US" w:eastAsia="zh-CN"/>
              </w:rPr>
              <w:t>投标单位</w:t>
            </w:r>
            <w:r>
              <w:rPr>
                <w:rFonts w:hint="eastAsia" w:ascii="宋体" w:hAnsi="宋体"/>
                <w:b/>
                <w:bCs/>
                <w:color w:val="auto"/>
                <w:sz w:val="24"/>
                <w:highlight w:val="none"/>
              </w:rPr>
              <w:t>投标（响应）报价平均值</w:t>
            </w:r>
            <w:r>
              <w:rPr>
                <w:rFonts w:hint="eastAsia" w:ascii="宋体" w:hAnsi="宋体"/>
                <w:b/>
                <w:bCs/>
                <w:color w:val="auto"/>
                <w:sz w:val="24"/>
                <w:highlight w:val="none"/>
                <w:lang w:val="en-US" w:eastAsia="zh-CN"/>
              </w:rPr>
              <w:t>50</w:t>
            </w:r>
            <w:r>
              <w:rPr>
                <w:rFonts w:hint="eastAsia" w:ascii="宋体" w:hAnsi="宋体"/>
                <w:b/>
                <w:bCs/>
                <w:color w:val="auto"/>
                <w:sz w:val="24"/>
                <w:highlight w:val="none"/>
              </w:rPr>
              <w:t>%的，即投标（响应）报价</w:t>
            </w:r>
            <w:r>
              <w:rPr>
                <w:rFonts w:hint="eastAsia" w:ascii="宋体" w:hAnsi="宋体"/>
                <w:b/>
                <w:bCs/>
                <w:color w:val="auto"/>
                <w:sz w:val="24"/>
                <w:highlight w:val="none"/>
                <w:lang w:eastAsia="zh-CN"/>
              </w:rPr>
              <w:t>＜</w:t>
            </w:r>
            <w:r>
              <w:rPr>
                <w:rFonts w:hint="eastAsia" w:ascii="宋体" w:hAnsi="宋体"/>
                <w:b/>
                <w:bCs/>
                <w:color w:val="auto"/>
                <w:sz w:val="24"/>
                <w:highlight w:val="none"/>
              </w:rPr>
              <w:t>全部通过符合性审查</w:t>
            </w:r>
            <w:r>
              <w:rPr>
                <w:rFonts w:hint="eastAsia" w:ascii="宋体" w:hAnsi="宋体"/>
                <w:b/>
                <w:bCs/>
                <w:color w:val="auto"/>
                <w:sz w:val="24"/>
                <w:highlight w:val="none"/>
                <w:lang w:val="en-US" w:eastAsia="zh-CN"/>
              </w:rPr>
              <w:t>投标单位</w:t>
            </w:r>
            <w:r>
              <w:rPr>
                <w:rFonts w:hint="eastAsia" w:ascii="宋体" w:hAnsi="宋体"/>
                <w:b/>
                <w:bCs/>
                <w:color w:val="auto"/>
                <w:sz w:val="24"/>
                <w:highlight w:val="none"/>
              </w:rPr>
              <w:t>投标（响应）报价平均值×</w:t>
            </w:r>
            <w:r>
              <w:rPr>
                <w:rFonts w:hint="eastAsia" w:ascii="宋体" w:hAnsi="宋体"/>
                <w:b/>
                <w:bCs/>
                <w:color w:val="auto"/>
                <w:sz w:val="24"/>
                <w:highlight w:val="none"/>
                <w:lang w:val="en-US" w:eastAsia="zh-CN"/>
              </w:rPr>
              <w:t>50</w:t>
            </w:r>
            <w:r>
              <w:rPr>
                <w:rFonts w:hint="eastAsia" w:ascii="宋体" w:hAnsi="宋体"/>
                <w:b/>
                <w:bCs/>
                <w:color w:val="auto"/>
                <w:sz w:val="24"/>
                <w:highlight w:val="none"/>
              </w:rPr>
              <w:t xml:space="preserve">%； </w:t>
            </w:r>
          </w:p>
          <w:p w14:paraId="31371A0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2.投标（响应）报价低于通过符合性审查的次低报价</w:t>
            </w:r>
            <w:r>
              <w:rPr>
                <w:rFonts w:hint="eastAsia" w:ascii="宋体" w:hAnsi="宋体"/>
                <w:b/>
                <w:bCs/>
                <w:color w:val="auto"/>
                <w:sz w:val="24"/>
                <w:highlight w:val="none"/>
                <w:lang w:val="en-US" w:eastAsia="zh-CN"/>
              </w:rPr>
              <w:t>投标单位</w:t>
            </w:r>
            <w:r>
              <w:rPr>
                <w:rFonts w:hint="eastAsia" w:ascii="宋体" w:hAnsi="宋体"/>
                <w:b/>
                <w:bCs/>
                <w:color w:val="auto"/>
                <w:sz w:val="24"/>
                <w:highlight w:val="none"/>
              </w:rPr>
              <w:t>投标（响应）报价</w:t>
            </w:r>
            <w:r>
              <w:rPr>
                <w:rFonts w:hint="eastAsia" w:ascii="宋体" w:hAnsi="宋体"/>
                <w:b/>
                <w:bCs/>
                <w:color w:val="auto"/>
                <w:sz w:val="24"/>
                <w:highlight w:val="none"/>
                <w:lang w:val="en-US" w:eastAsia="zh-CN"/>
              </w:rPr>
              <w:t>50</w:t>
            </w:r>
            <w:r>
              <w:rPr>
                <w:rFonts w:hint="eastAsia" w:ascii="宋体" w:hAnsi="宋体"/>
                <w:b/>
                <w:bCs/>
                <w:color w:val="auto"/>
                <w:sz w:val="24"/>
                <w:highlight w:val="none"/>
              </w:rPr>
              <w:t>%的，即投标（响应）报价</w:t>
            </w:r>
            <w:r>
              <w:rPr>
                <w:rFonts w:hint="eastAsia" w:ascii="宋体" w:hAnsi="宋体"/>
                <w:b/>
                <w:bCs/>
                <w:color w:val="auto"/>
                <w:sz w:val="24"/>
                <w:highlight w:val="none"/>
                <w:lang w:eastAsia="zh-CN"/>
              </w:rPr>
              <w:t>＜</w:t>
            </w:r>
            <w:r>
              <w:rPr>
                <w:rFonts w:hint="eastAsia" w:ascii="宋体" w:hAnsi="宋体"/>
                <w:b/>
                <w:bCs/>
                <w:color w:val="auto"/>
                <w:sz w:val="24"/>
                <w:highlight w:val="none"/>
              </w:rPr>
              <w:t>通过符合性审查的次低报价</w:t>
            </w:r>
            <w:r>
              <w:rPr>
                <w:rFonts w:hint="eastAsia" w:ascii="宋体" w:hAnsi="宋体"/>
                <w:b/>
                <w:bCs/>
                <w:color w:val="auto"/>
                <w:sz w:val="24"/>
                <w:highlight w:val="none"/>
                <w:lang w:val="en-US" w:eastAsia="zh-CN"/>
              </w:rPr>
              <w:t>投标单位</w:t>
            </w:r>
            <w:r>
              <w:rPr>
                <w:rFonts w:hint="eastAsia" w:ascii="宋体" w:hAnsi="宋体"/>
                <w:b/>
                <w:bCs/>
                <w:color w:val="auto"/>
                <w:sz w:val="24"/>
                <w:highlight w:val="none"/>
              </w:rPr>
              <w:t>投标（响应）报价×</w:t>
            </w:r>
            <w:r>
              <w:rPr>
                <w:rFonts w:hint="eastAsia" w:ascii="宋体" w:hAnsi="宋体"/>
                <w:b/>
                <w:bCs/>
                <w:color w:val="auto"/>
                <w:sz w:val="24"/>
                <w:highlight w:val="none"/>
                <w:lang w:val="en-US" w:eastAsia="zh-CN"/>
              </w:rPr>
              <w:t>50</w:t>
            </w:r>
            <w:r>
              <w:rPr>
                <w:rFonts w:hint="eastAsia" w:ascii="宋体" w:hAnsi="宋体"/>
                <w:b/>
                <w:bCs/>
                <w:color w:val="auto"/>
                <w:sz w:val="24"/>
                <w:highlight w:val="none"/>
              </w:rPr>
              <w:t xml:space="preserve">%； </w:t>
            </w:r>
          </w:p>
          <w:p w14:paraId="3A6DE9F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3.投标（响应）报价低于采购项目最高限价</w:t>
            </w:r>
            <w:r>
              <w:rPr>
                <w:rFonts w:hint="eastAsia" w:ascii="宋体" w:hAnsi="宋体"/>
                <w:b/>
                <w:bCs/>
                <w:color w:val="auto"/>
                <w:sz w:val="24"/>
                <w:highlight w:val="none"/>
                <w:lang w:val="en-US" w:eastAsia="zh-CN"/>
              </w:rPr>
              <w:t>45</w:t>
            </w:r>
            <w:r>
              <w:rPr>
                <w:rFonts w:hint="eastAsia" w:ascii="宋体" w:hAnsi="宋体"/>
                <w:b/>
                <w:bCs/>
                <w:color w:val="auto"/>
                <w:sz w:val="24"/>
                <w:highlight w:val="none"/>
              </w:rPr>
              <w:t>%的，即投标（响应）报价</w:t>
            </w:r>
            <w:r>
              <w:rPr>
                <w:rFonts w:hint="eastAsia" w:ascii="宋体" w:hAnsi="宋体"/>
                <w:b/>
                <w:bCs/>
                <w:color w:val="auto"/>
                <w:sz w:val="24"/>
                <w:highlight w:val="none"/>
                <w:lang w:eastAsia="zh-CN"/>
              </w:rPr>
              <w:t>＜</w:t>
            </w:r>
            <w:r>
              <w:rPr>
                <w:rFonts w:hint="eastAsia" w:ascii="宋体" w:hAnsi="宋体"/>
                <w:b/>
                <w:bCs/>
                <w:color w:val="auto"/>
                <w:sz w:val="24"/>
                <w:highlight w:val="none"/>
              </w:rPr>
              <w:t>采购项目最高限价×</w:t>
            </w:r>
            <w:r>
              <w:rPr>
                <w:rFonts w:hint="eastAsia" w:ascii="宋体" w:hAnsi="宋体"/>
                <w:b/>
                <w:bCs/>
                <w:color w:val="auto"/>
                <w:sz w:val="24"/>
                <w:highlight w:val="none"/>
                <w:lang w:val="en-US" w:eastAsia="zh-CN"/>
              </w:rPr>
              <w:t>45</w:t>
            </w:r>
            <w:r>
              <w:rPr>
                <w:rFonts w:hint="eastAsia" w:ascii="宋体" w:hAnsi="宋体"/>
                <w:b/>
                <w:bCs/>
                <w:color w:val="auto"/>
                <w:sz w:val="24"/>
                <w:highlight w:val="none"/>
              </w:rPr>
              <w:t>%；</w:t>
            </w:r>
          </w:p>
          <w:p w14:paraId="071535B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4.评审委员会基于专业判断，认为</w:t>
            </w:r>
            <w:r>
              <w:rPr>
                <w:rFonts w:hint="eastAsia" w:ascii="宋体" w:hAnsi="宋体"/>
                <w:b/>
                <w:bCs/>
                <w:color w:val="auto"/>
                <w:sz w:val="24"/>
                <w:highlight w:val="none"/>
                <w:lang w:val="en-US" w:eastAsia="zh-CN"/>
              </w:rPr>
              <w:t>投标单位</w:t>
            </w:r>
            <w:r>
              <w:rPr>
                <w:rFonts w:hint="eastAsia" w:ascii="宋体" w:hAnsi="宋体"/>
                <w:b/>
                <w:bCs/>
                <w:color w:val="auto"/>
                <w:sz w:val="24"/>
                <w:highlight w:val="none"/>
              </w:rPr>
              <w:t>报价过低，有可能影响产品质量或者不能诚信履约的</w:t>
            </w:r>
            <w:r>
              <w:rPr>
                <w:rFonts w:hint="eastAsia" w:ascii="宋体" w:hAnsi="宋体"/>
                <w:b/>
                <w:bCs/>
                <w:color w:val="auto"/>
                <w:sz w:val="24"/>
                <w:highlight w:val="none"/>
                <w:lang w:eastAsia="zh-CN"/>
              </w:rPr>
              <w:t>其他</w:t>
            </w:r>
            <w:r>
              <w:rPr>
                <w:rFonts w:hint="eastAsia" w:ascii="宋体" w:hAnsi="宋体"/>
                <w:b/>
                <w:bCs/>
                <w:color w:val="auto"/>
                <w:sz w:val="24"/>
                <w:highlight w:val="none"/>
              </w:rPr>
              <w:t>情形。</w:t>
            </w:r>
          </w:p>
          <w:p w14:paraId="72FDCDF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根据工信部等部委发布的《关于印发中小企业划型标准规定的通知》（工信部联企业</w:t>
            </w:r>
            <w:r>
              <w:rPr>
                <w:rFonts w:hint="eastAsia" w:ascii="宋体" w:hAnsi="宋体"/>
                <w:color w:val="auto"/>
                <w:sz w:val="24"/>
                <w:highlight w:val="none"/>
                <w:lang w:eastAsia="zh-CN"/>
              </w:rPr>
              <w:t>〔2011〕300号</w:t>
            </w:r>
            <w:r>
              <w:rPr>
                <w:rFonts w:hint="eastAsia" w:ascii="宋体" w:hAnsi="宋体"/>
                <w:color w:val="auto"/>
                <w:sz w:val="24"/>
                <w:highlight w:val="none"/>
              </w:rPr>
              <w:t>）规定执行；</w:t>
            </w:r>
          </w:p>
          <w:p w14:paraId="14D2530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按照《财政部</w:t>
            </w:r>
            <w:r>
              <w:rPr>
                <w:rFonts w:hint="eastAsia" w:ascii="宋体" w:hAnsi="宋体"/>
                <w:color w:val="auto"/>
                <w:sz w:val="24"/>
                <w:highlight w:val="none"/>
                <w:lang w:eastAsia="zh-CN"/>
              </w:rPr>
              <w:t xml:space="preserve"> 司法部</w:t>
            </w:r>
            <w:r>
              <w:rPr>
                <w:rFonts w:hint="eastAsia" w:ascii="宋体" w:hAnsi="宋体"/>
                <w:color w:val="auto"/>
                <w:sz w:val="24"/>
                <w:highlight w:val="none"/>
              </w:rPr>
              <w:t>关于政府采购支持监狱企业发展有关问题的通知》（财库</w:t>
            </w:r>
            <w:r>
              <w:rPr>
                <w:rFonts w:hint="eastAsia" w:ascii="宋体" w:hAnsi="宋体"/>
                <w:color w:val="auto"/>
                <w:sz w:val="24"/>
                <w:highlight w:val="none"/>
                <w:lang w:eastAsia="zh-CN"/>
              </w:rPr>
              <w:t>〔2014〕</w:t>
            </w:r>
            <w:r>
              <w:rPr>
                <w:rFonts w:hint="eastAsia" w:ascii="宋体" w:hAnsi="宋体"/>
                <w:color w:val="auto"/>
                <w:sz w:val="24"/>
                <w:highlight w:val="none"/>
              </w:rPr>
              <w:t>68号</w:t>
            </w:r>
            <w:r>
              <w:rPr>
                <w:rFonts w:hint="eastAsia" w:ascii="宋体" w:hAnsi="宋体"/>
                <w:color w:val="auto"/>
                <w:sz w:val="24"/>
                <w:highlight w:val="none"/>
                <w:lang w:eastAsia="zh-CN"/>
              </w:rPr>
              <w:t>）</w:t>
            </w:r>
            <w:r>
              <w:rPr>
                <w:rFonts w:hint="eastAsia" w:ascii="宋体" w:hAnsi="宋体"/>
                <w:color w:val="auto"/>
                <w:sz w:val="24"/>
                <w:highlight w:val="none"/>
              </w:rPr>
              <w:t>规定，在政府采购活动中，监狱企业视同小型、微型企业，享受评审中价格扣除的政府采购政策。</w:t>
            </w:r>
          </w:p>
          <w:p w14:paraId="2CA8F830">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color w:val="auto"/>
                <w:sz w:val="24"/>
                <w:highlight w:val="none"/>
              </w:rPr>
            </w:pPr>
            <w:r>
              <w:rPr>
                <w:rFonts w:hint="eastAsia" w:ascii="宋体" w:hAnsi="宋体" w:eastAsia="宋体" w:cs="Times New Roman"/>
                <w:b/>
                <w:bCs/>
                <w:color w:val="auto"/>
                <w:sz w:val="24"/>
                <w:highlight w:val="none"/>
              </w:rPr>
              <w:t>本项目对小型、微型企业产品（</w:t>
            </w:r>
            <w:r>
              <w:rPr>
                <w:rFonts w:hint="eastAsia" w:ascii="宋体" w:hAnsi="宋体" w:eastAsia="宋体" w:cs="Times New Roman"/>
                <w:b/>
                <w:bCs/>
                <w:color w:val="auto"/>
                <w:sz w:val="24"/>
                <w:highlight w:val="none"/>
                <w:lang w:val="en-US" w:eastAsia="zh-CN"/>
              </w:rPr>
              <w:t>服务</w:t>
            </w:r>
            <w:r>
              <w:rPr>
                <w:rFonts w:hint="eastAsia" w:ascii="宋体" w:hAnsi="宋体" w:eastAsia="宋体" w:cs="Times New Roman"/>
                <w:b/>
                <w:bCs/>
                <w:color w:val="auto"/>
                <w:sz w:val="24"/>
                <w:highlight w:val="none"/>
              </w:rPr>
              <w:t>）享受10%</w:t>
            </w:r>
            <w:r>
              <w:rPr>
                <w:rFonts w:hint="eastAsia" w:ascii="宋体" w:hAnsi="宋体" w:eastAsia="宋体" w:cs="Times New Roman"/>
                <w:b/>
                <w:bCs/>
                <w:color w:val="auto"/>
                <w:sz w:val="24"/>
                <w:highlight w:val="none"/>
                <w:lang w:val="en-US" w:eastAsia="zh-CN"/>
              </w:rPr>
              <w:t>的扣除</w:t>
            </w:r>
            <w:r>
              <w:rPr>
                <w:rFonts w:hint="eastAsia" w:ascii="宋体" w:hAnsi="宋体" w:eastAsia="宋体" w:cs="Times New Roman"/>
                <w:b/>
                <w:bCs/>
                <w:color w:val="auto"/>
                <w:sz w:val="24"/>
                <w:highlight w:val="none"/>
              </w:rPr>
              <w:t>，用扣除后的</w:t>
            </w:r>
            <w:r>
              <w:rPr>
                <w:rFonts w:hint="eastAsia" w:ascii="宋体" w:hAnsi="宋体" w:eastAsia="宋体" w:cs="Times New Roman"/>
                <w:b/>
                <w:bCs/>
                <w:color w:val="auto"/>
                <w:sz w:val="24"/>
                <w:highlight w:val="none"/>
                <w:lang w:val="en-US" w:eastAsia="zh-CN"/>
              </w:rPr>
              <w:t>投标</w:t>
            </w:r>
            <w:r>
              <w:rPr>
                <w:rFonts w:hint="eastAsia" w:ascii="宋体" w:hAnsi="宋体" w:eastAsia="宋体" w:cs="Times New Roman"/>
                <w:b/>
                <w:bCs/>
                <w:color w:val="auto"/>
                <w:sz w:val="24"/>
                <w:highlight w:val="none"/>
              </w:rPr>
              <w:t>报价参与评审。</w:t>
            </w:r>
          </w:p>
        </w:tc>
      </w:tr>
      <w:tr w14:paraId="1B69E7CC">
        <w:tblPrEx>
          <w:tblCellMar>
            <w:top w:w="0" w:type="dxa"/>
            <w:left w:w="108" w:type="dxa"/>
            <w:bottom w:w="0" w:type="dxa"/>
            <w:right w:w="108" w:type="dxa"/>
          </w:tblCellMar>
        </w:tblPrEx>
        <w:trPr>
          <w:trHeight w:val="90" w:hRule="atLeast"/>
        </w:trPr>
        <w:tc>
          <w:tcPr>
            <w:tcW w:w="9583" w:type="dxa"/>
            <w:gridSpan w:val="6"/>
            <w:tcBorders>
              <w:top w:val="single" w:color="auto" w:sz="4" w:space="0"/>
              <w:left w:val="single" w:color="auto" w:sz="4" w:space="0"/>
              <w:bottom w:val="single" w:color="auto" w:sz="4" w:space="0"/>
              <w:right w:val="single" w:color="auto" w:sz="4" w:space="0"/>
            </w:tcBorders>
            <w:vAlign w:val="center"/>
          </w:tcPr>
          <w:p w14:paraId="6A0D1315">
            <w:pPr>
              <w:keepNext w:val="0"/>
              <w:keepLines w:val="0"/>
              <w:pageBreakBefore w:val="0"/>
              <w:kinsoku/>
              <w:wordWrap/>
              <w:overflowPunct/>
              <w:topLinePunct w:val="0"/>
              <w:autoSpaceDE/>
              <w:autoSpaceDN/>
              <w:bidi w:val="0"/>
              <w:adjustRightInd/>
              <w:snapToGrid/>
              <w:spacing w:line="480" w:lineRule="exact"/>
              <w:textAlignment w:val="auto"/>
              <w:rPr>
                <w:rFonts w:ascii="宋体" w:hAnsi="宋体"/>
                <w:bCs/>
                <w:iCs/>
                <w:color w:val="auto"/>
                <w:sz w:val="24"/>
                <w:highlight w:val="none"/>
              </w:rPr>
            </w:pPr>
            <w:r>
              <w:rPr>
                <w:rFonts w:hint="eastAsia" w:ascii="宋体" w:hAnsi="宋体"/>
                <w:b/>
                <w:bCs/>
                <w:color w:val="auto"/>
                <w:sz w:val="24"/>
                <w:highlight w:val="none"/>
              </w:rPr>
              <w:t>（二）</w:t>
            </w:r>
            <w:r>
              <w:rPr>
                <w:rFonts w:hint="eastAsia" w:ascii="宋体" w:hAnsi="宋体"/>
                <w:b/>
                <w:color w:val="auto"/>
                <w:sz w:val="24"/>
                <w:highlight w:val="none"/>
              </w:rPr>
              <w:t>技术部分F2</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90</w:t>
            </w:r>
            <w:r>
              <w:rPr>
                <w:rFonts w:hint="eastAsia" w:ascii="宋体" w:hAnsi="宋体"/>
                <w:b/>
                <w:color w:val="auto"/>
                <w:sz w:val="24"/>
                <w:highlight w:val="none"/>
              </w:rPr>
              <w:t>分</w:t>
            </w:r>
            <w:r>
              <w:rPr>
                <w:rFonts w:hint="eastAsia" w:ascii="宋体" w:hAnsi="宋体"/>
                <w:b/>
                <w:color w:val="auto"/>
                <w:sz w:val="24"/>
                <w:highlight w:val="none"/>
                <w:lang w:eastAsia="zh-CN"/>
              </w:rPr>
              <w:t>）</w:t>
            </w:r>
          </w:p>
        </w:tc>
      </w:tr>
      <w:tr w14:paraId="6046913C">
        <w:tblPrEx>
          <w:tblCellMar>
            <w:top w:w="0" w:type="dxa"/>
            <w:left w:w="108" w:type="dxa"/>
            <w:bottom w:w="0" w:type="dxa"/>
            <w:right w:w="108" w:type="dxa"/>
          </w:tblCellMar>
        </w:tblPrEx>
        <w:trPr>
          <w:trHeight w:val="858" w:hRule="atLeast"/>
        </w:trPr>
        <w:tc>
          <w:tcPr>
            <w:tcW w:w="476" w:type="dxa"/>
            <w:tcBorders>
              <w:top w:val="single" w:color="auto" w:sz="4" w:space="0"/>
              <w:left w:val="single" w:color="auto" w:sz="4" w:space="0"/>
              <w:bottom w:val="single" w:color="auto" w:sz="4" w:space="0"/>
              <w:right w:val="single" w:color="auto" w:sz="4" w:space="0"/>
            </w:tcBorders>
            <w:vAlign w:val="center"/>
          </w:tcPr>
          <w:p w14:paraId="78AF7CF7">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bCs/>
                <w:iCs/>
                <w:color w:val="auto"/>
                <w:sz w:val="24"/>
                <w:highlight w:val="none"/>
                <w:lang w:val="en-US" w:eastAsia="zh-CN"/>
              </w:rPr>
            </w:pPr>
            <w:r>
              <w:rPr>
                <w:rFonts w:hint="eastAsia" w:ascii="宋体" w:hAnsi="宋体"/>
                <w:bCs/>
                <w:iCs/>
                <w:color w:val="auto"/>
                <w:sz w:val="24"/>
                <w:highlight w:val="none"/>
                <w:lang w:val="en-US" w:eastAsia="zh-CN"/>
              </w:rPr>
              <w:t>1</w:t>
            </w:r>
          </w:p>
        </w:tc>
        <w:tc>
          <w:tcPr>
            <w:tcW w:w="1121" w:type="dxa"/>
            <w:gridSpan w:val="2"/>
            <w:tcBorders>
              <w:top w:val="single" w:color="auto" w:sz="4" w:space="0"/>
              <w:left w:val="nil"/>
              <w:bottom w:val="single" w:color="auto" w:sz="4" w:space="0"/>
              <w:right w:val="single" w:color="auto" w:sz="4" w:space="0"/>
            </w:tcBorders>
            <w:vAlign w:val="center"/>
          </w:tcPr>
          <w:p w14:paraId="0F2F6DE0">
            <w:pPr>
              <w:keepNext w:val="0"/>
              <w:keepLines w:val="0"/>
              <w:pageBreakBefore w:val="0"/>
              <w:kinsoku/>
              <w:wordWrap/>
              <w:overflowPunct/>
              <w:topLinePunct w:val="0"/>
              <w:autoSpaceDE/>
              <w:autoSpaceDN/>
              <w:bidi w:val="0"/>
              <w:adjustRightInd/>
              <w:snapToGrid/>
              <w:spacing w:line="480" w:lineRule="exact"/>
              <w:ind w:left="0" w:leftChars="0"/>
              <w:jc w:val="center"/>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服务</w:t>
            </w:r>
          </w:p>
          <w:p w14:paraId="7A4452E7">
            <w:pPr>
              <w:keepNext w:val="0"/>
              <w:keepLines w:val="0"/>
              <w:pageBreakBefore w:val="0"/>
              <w:kinsoku/>
              <w:wordWrap/>
              <w:overflowPunct/>
              <w:topLinePunct w:val="0"/>
              <w:autoSpaceDE/>
              <w:autoSpaceDN/>
              <w:bidi w:val="0"/>
              <w:adjustRightInd/>
              <w:snapToGrid/>
              <w:spacing w:line="480" w:lineRule="exact"/>
              <w:ind w:left="0" w:leftChars="0"/>
              <w:jc w:val="center"/>
              <w:textAlignment w:val="auto"/>
              <w:rPr>
                <w:rFonts w:hint="default" w:ascii="宋体" w:hAnsi="宋体" w:eastAsia="宋体" w:cs="宋体"/>
                <w:color w:val="auto"/>
                <w:sz w:val="24"/>
                <w:highlight w:val="none"/>
                <w:lang w:val="en-US" w:eastAsia="zh-CN"/>
              </w:rPr>
            </w:pPr>
            <w:r>
              <w:rPr>
                <w:rFonts w:hint="eastAsia" w:ascii="宋体" w:hAnsi="宋体" w:cs="宋体"/>
                <w:b w:val="0"/>
                <w:bCs w:val="0"/>
                <w:color w:val="auto"/>
                <w:sz w:val="24"/>
                <w:szCs w:val="24"/>
                <w:highlight w:val="none"/>
                <w:lang w:val="en-US" w:eastAsia="zh-CN"/>
              </w:rPr>
              <w:t>方案</w:t>
            </w:r>
          </w:p>
        </w:tc>
        <w:tc>
          <w:tcPr>
            <w:tcW w:w="975" w:type="dxa"/>
            <w:tcBorders>
              <w:top w:val="single" w:color="auto" w:sz="4" w:space="0"/>
              <w:left w:val="single" w:color="auto" w:sz="4" w:space="0"/>
              <w:bottom w:val="single" w:color="auto" w:sz="4" w:space="0"/>
              <w:right w:val="single" w:color="auto" w:sz="4" w:space="0"/>
            </w:tcBorders>
            <w:vAlign w:val="center"/>
          </w:tcPr>
          <w:p w14:paraId="642CD50F">
            <w:pPr>
              <w:keepNext w:val="0"/>
              <w:keepLines w:val="0"/>
              <w:pageBreakBefore w:val="0"/>
              <w:kinsoku/>
              <w:wordWrap/>
              <w:overflowPunct/>
              <w:topLinePunct w:val="0"/>
              <w:autoSpaceDE/>
              <w:autoSpaceDN/>
              <w:bidi w:val="0"/>
              <w:adjustRightInd/>
              <w:snapToGrid/>
              <w:spacing w:line="480" w:lineRule="exact"/>
              <w:ind w:left="0" w:leftChars="0"/>
              <w:jc w:val="center"/>
              <w:textAlignment w:val="auto"/>
              <w:rPr>
                <w:rFonts w:hint="eastAsia" w:ascii="宋体" w:hAnsi="宋体" w:cs="宋体"/>
                <w:color w:val="auto"/>
                <w:sz w:val="24"/>
                <w:highlight w:val="none"/>
              </w:rPr>
            </w:pPr>
            <w:r>
              <w:rPr>
                <w:rFonts w:hint="eastAsia" w:ascii="宋体" w:hAnsi="宋体" w:cs="Times New Roman"/>
                <w:color w:val="auto"/>
                <w:sz w:val="24"/>
                <w:highlight w:val="none"/>
                <w:lang w:val="en-US" w:eastAsia="zh-CN"/>
              </w:rPr>
              <w:t>30分</w:t>
            </w:r>
          </w:p>
        </w:tc>
        <w:tc>
          <w:tcPr>
            <w:tcW w:w="7011" w:type="dxa"/>
            <w:gridSpan w:val="2"/>
            <w:tcBorders>
              <w:top w:val="single" w:color="auto" w:sz="4" w:space="0"/>
              <w:left w:val="nil"/>
              <w:bottom w:val="single" w:color="auto" w:sz="4" w:space="0"/>
              <w:right w:val="single" w:color="auto" w:sz="4" w:space="0"/>
            </w:tcBorders>
            <w:vAlign w:val="center"/>
          </w:tcPr>
          <w:p w14:paraId="6AD905C7">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b w:val="0"/>
                <w:bCs w:val="0"/>
                <w:color w:val="auto"/>
                <w:sz w:val="24"/>
                <w:szCs w:val="24"/>
                <w:highlight w:val="none"/>
                <w:lang w:val="en-US" w:eastAsia="zh-CN"/>
              </w:rPr>
              <w:t>服务方案包括但不限于：①清扫保洁方案；②生活垃圾压缩转运、2个垃圾填埋场管护、渗滤液处理站运管、环境在线监测运行方案；③公共洗手台及公厕保洁、管理、维护方案；④市政路灯管护（含变压器、控制箱、灯杆、路灯）方案；⑤餐厨垃圾收集清运方案；⑥环卫设施维护方案；⑦城区公共排水管网、市政道路及附属设施等维护管理（含县城道路、雨污管网、市政消火栓、雨水井、雨水篦子、污水井）方案；⑧依据《易门县城镇生活垃圾处理费收费管理办法》（试行）制定的收费运营方案，共8项内容。</w:t>
            </w:r>
          </w:p>
          <w:p w14:paraId="08B879F8">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一档（2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30分）：完整覆盖上述全部8项服务内容，充分结合易门县项目现场实际工况；各板块服务目标清晰、作业流程完整、人员配置合理、作业频次明确；垃圾处理费收费方案流程清晰、收缴措施可行、风险预判及处置措施针对性强，整套方案可落地执行，完全响应招标文件全部采购需求。</w:t>
            </w:r>
          </w:p>
          <w:p w14:paraId="03671934">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二档（1</w:t>
            </w:r>
            <w:r>
              <w:rPr>
                <w:rFonts w:hint="eastAsia" w:ascii="宋体" w:hAnsi="宋体" w:cs="宋体"/>
                <w:color w:val="auto"/>
                <w:sz w:val="24"/>
                <w:szCs w:val="24"/>
                <w:highlight w:val="none"/>
                <w:lang w:val="en-US" w:eastAsia="zh-CN"/>
              </w:rPr>
              <w:t>0-19</w:t>
            </w:r>
            <w:r>
              <w:rPr>
                <w:rFonts w:hint="eastAsia" w:ascii="宋体" w:hAnsi="宋体" w:eastAsia="宋体" w:cs="宋体"/>
                <w:color w:val="auto"/>
                <w:sz w:val="24"/>
                <w:szCs w:val="24"/>
                <w:highlight w:val="none"/>
                <w:lang w:val="en-US" w:eastAsia="zh-CN"/>
              </w:rPr>
              <w:t>分）：覆盖8项主要服务内容，个别子项内容深度不足；具备完整作业思路、基本管控措施，收费方案框架完整，但部分内容针对性一般，细节阐述不够充分，无重大缺项漏项，可满足项目正常服务需求。</w:t>
            </w:r>
          </w:p>
          <w:p w14:paraId="4F5C446E">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lang w:val="en-US" w:eastAsia="zh-CN"/>
              </w:rPr>
              <w:t>三档（</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分）：仅覆盖大部分服务内容，存在部分模块缺项、内容简单笼统；收费方案内容简略，未结合本地收费管理办法细化；未充分结合本项目现场实际，作业流程、管控措施较为空泛，针对性和可实施性一般，仅能部分满足采购需求。</w:t>
            </w:r>
          </w:p>
        </w:tc>
      </w:tr>
      <w:tr w14:paraId="6760C223">
        <w:tblPrEx>
          <w:tblCellMar>
            <w:top w:w="0" w:type="dxa"/>
            <w:left w:w="108" w:type="dxa"/>
            <w:bottom w:w="0" w:type="dxa"/>
            <w:right w:w="108" w:type="dxa"/>
          </w:tblCellMar>
        </w:tblPrEx>
        <w:trPr>
          <w:trHeight w:val="858" w:hRule="atLeast"/>
        </w:trPr>
        <w:tc>
          <w:tcPr>
            <w:tcW w:w="476" w:type="dxa"/>
            <w:tcBorders>
              <w:top w:val="single" w:color="auto" w:sz="4" w:space="0"/>
              <w:left w:val="single" w:color="auto" w:sz="4" w:space="0"/>
              <w:bottom w:val="single" w:color="auto" w:sz="4" w:space="0"/>
              <w:right w:val="single" w:color="auto" w:sz="4" w:space="0"/>
            </w:tcBorders>
            <w:vAlign w:val="center"/>
          </w:tcPr>
          <w:p w14:paraId="7100334D">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2</w:t>
            </w:r>
          </w:p>
        </w:tc>
        <w:tc>
          <w:tcPr>
            <w:tcW w:w="1121" w:type="dxa"/>
            <w:gridSpan w:val="2"/>
            <w:tcBorders>
              <w:top w:val="single" w:color="auto" w:sz="4" w:space="0"/>
              <w:left w:val="nil"/>
              <w:bottom w:val="single" w:color="auto" w:sz="4" w:space="0"/>
              <w:right w:val="single" w:color="auto" w:sz="4" w:space="0"/>
            </w:tcBorders>
            <w:vAlign w:val="center"/>
          </w:tcPr>
          <w:p w14:paraId="63C11EFB">
            <w:pPr>
              <w:keepLines w:val="0"/>
              <w:pageBreakBefore w:val="0"/>
              <w:widowControl w:val="0"/>
              <w:kinsoku/>
              <w:wordWrap/>
              <w:overflowPunct/>
              <w:topLinePunct w:val="0"/>
              <w:autoSpaceDE/>
              <w:autoSpaceDN/>
              <w:bidi w:val="0"/>
              <w:adjustRightInd/>
              <w:spacing w:line="480" w:lineRule="exact"/>
              <w:jc w:val="center"/>
              <w:textAlignment w:val="auto"/>
              <w:rPr>
                <w:rFonts w:hint="eastAsia" w:ascii="宋体" w:hAnsi="宋体" w:cs="宋体"/>
                <w:b w:val="0"/>
                <w:bCs w:val="0"/>
                <w:color w:val="auto"/>
                <w:sz w:val="24"/>
                <w:szCs w:val="24"/>
                <w:highlight w:val="none"/>
                <w:lang w:val="en-US" w:eastAsia="zh-CN"/>
              </w:rPr>
            </w:pPr>
            <w:r>
              <w:rPr>
                <w:rFonts w:hint="eastAsia" w:ascii="宋体" w:hAnsi="宋体"/>
                <w:color w:val="auto"/>
                <w:sz w:val="24"/>
                <w:highlight w:val="none"/>
                <w:lang w:val="en-US" w:eastAsia="zh-CN"/>
              </w:rPr>
              <w:t>项目组织机构及人员配置</w:t>
            </w:r>
          </w:p>
        </w:tc>
        <w:tc>
          <w:tcPr>
            <w:tcW w:w="975" w:type="dxa"/>
            <w:tcBorders>
              <w:top w:val="single" w:color="auto" w:sz="4" w:space="0"/>
              <w:left w:val="single" w:color="auto" w:sz="4" w:space="0"/>
              <w:bottom w:val="single" w:color="auto" w:sz="4" w:space="0"/>
              <w:right w:val="single" w:color="auto" w:sz="4" w:space="0"/>
            </w:tcBorders>
            <w:vAlign w:val="center"/>
          </w:tcPr>
          <w:p w14:paraId="2227B833">
            <w:pPr>
              <w:keepLines w:val="0"/>
              <w:pageBreakBefore w:val="0"/>
              <w:widowControl w:val="0"/>
              <w:kinsoku/>
              <w:wordWrap/>
              <w:overflowPunct/>
              <w:topLinePunct w:val="0"/>
              <w:autoSpaceDE/>
              <w:autoSpaceDN/>
              <w:bidi w:val="0"/>
              <w:adjustRightInd/>
              <w:spacing w:line="480" w:lineRule="exact"/>
              <w:jc w:val="center"/>
              <w:textAlignment w:val="auto"/>
              <w:rPr>
                <w:rFonts w:hint="eastAsia" w:ascii="宋体" w:hAnsi="宋体" w:cs="Times New Roman"/>
                <w:color w:val="auto"/>
                <w:sz w:val="24"/>
                <w:highlight w:val="none"/>
                <w:lang w:val="en-US" w:eastAsia="zh-CN"/>
              </w:rPr>
            </w:pPr>
            <w:r>
              <w:rPr>
                <w:rFonts w:hint="eastAsia" w:ascii="宋体" w:hAnsi="宋体"/>
                <w:color w:val="auto"/>
                <w:sz w:val="24"/>
                <w:highlight w:val="none"/>
                <w:lang w:val="en-US" w:eastAsia="zh-CN"/>
              </w:rPr>
              <w:t>12分</w:t>
            </w:r>
          </w:p>
        </w:tc>
        <w:tc>
          <w:tcPr>
            <w:tcW w:w="7011" w:type="dxa"/>
            <w:gridSpan w:val="2"/>
            <w:tcBorders>
              <w:top w:val="single" w:color="auto" w:sz="4" w:space="0"/>
              <w:left w:val="nil"/>
              <w:bottom w:val="single" w:color="auto" w:sz="4" w:space="0"/>
              <w:right w:val="single" w:color="auto" w:sz="4" w:space="0"/>
            </w:tcBorders>
            <w:vAlign w:val="center"/>
          </w:tcPr>
          <w:p w14:paraId="1153CF9D">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拟派项目负责人（4分）：</w:t>
            </w:r>
          </w:p>
          <w:p w14:paraId="4BCB188B">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①具有5年及以上环卫项目管理岗位经验，得2分；</w:t>
            </w:r>
          </w:p>
          <w:p w14:paraId="22BA1CBB">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②具有人社部门颁发的环境类或环保类职称证书，高级职称的得1分，高级职称以下的不得分；</w:t>
            </w:r>
          </w:p>
          <w:p w14:paraId="7D492D02">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③获得县（区、市）级及以上政府或行业行政主管部门颁发个人荣誉的，得1分。</w:t>
            </w:r>
          </w:p>
          <w:p w14:paraId="2ED740F8">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须提供有效的身份证、职称证书、荣誉证书、环卫项目管理经验证明（提供项目合同或者中标通知书扫描件，无法体现项目负责人姓名的还需提供项目甲方盖章的业主证明）加盖投标人签章，同时提供近三个月中任意1个月投标人为其缴纳社保证明资料，未提供或提供有误的不得分。</w:t>
            </w:r>
          </w:p>
          <w:p w14:paraId="12C36A1B">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2.拟派安全负责人（3分）：</w:t>
            </w:r>
          </w:p>
          <w:p w14:paraId="0ECC3AB5">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①具有应急救援员职业资格证书，得2分；</w:t>
            </w:r>
          </w:p>
          <w:p w14:paraId="43932E2F">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②具有中级注册安全工程师资格证书且在应急管理部官方网站注册审核通过并获得执业证书（提供应急管理部官方网站查询截图，注册单位必须与投标人一致），得1分。</w:t>
            </w:r>
          </w:p>
          <w:p w14:paraId="2AA7591F">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bidi="ar"/>
              </w:rPr>
            </w:pPr>
            <w:r>
              <w:rPr>
                <w:rFonts w:hint="eastAsia" w:asciiTheme="minorEastAsia" w:hAnsiTheme="minorEastAsia" w:eastAsiaTheme="minorEastAsia" w:cstheme="minorEastAsia"/>
                <w:b w:val="0"/>
                <w:bCs w:val="0"/>
                <w:color w:val="auto"/>
                <w:sz w:val="24"/>
                <w:szCs w:val="24"/>
                <w:highlight w:val="none"/>
                <w:vertAlign w:val="baseline"/>
                <w:lang w:val="en-US" w:eastAsia="zh-CN" w:bidi="ar"/>
              </w:rPr>
              <w:t>须提供有效的证书扫描件加盖投标签章，同时提供近三个月中任意1个月投标人为其缴纳社保证明资料，未提供或提供有误的不得分。</w:t>
            </w:r>
          </w:p>
          <w:p w14:paraId="5A4A0D7A">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.人员配置方案（满分</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45D3AFD1">
            <w:pPr>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配备人员需满180人，否则此项不得分。配备人员需提供岗位设置配备表。</w:t>
            </w:r>
          </w:p>
          <w:p w14:paraId="689DDEF5">
            <w:pPr>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80" w:firstLineChars="200"/>
              <w:jc w:val="both"/>
              <w:textAlignment w:val="auto"/>
              <w:outlineLvl w:val="9"/>
              <w:rPr>
                <w:rFonts w:hint="eastAsia" w:asciiTheme="minorEastAsia" w:hAnsiTheme="minorEastAsia" w:eastAsiaTheme="minorEastAsia" w:cstheme="minorEastAsia"/>
                <w:b w:val="0"/>
                <w:bCs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4"/>
                <w:szCs w:val="24"/>
                <w:highlight w:val="none"/>
                <w:lang w:val="en-US" w:eastAsia="zh-CN" w:bidi="ar-SA"/>
                <w14:textFill>
                  <w14:solidFill>
                    <w14:schemeClr w14:val="tx1"/>
                  </w14:solidFill>
                </w14:textFill>
              </w:rPr>
              <w:t>一档（4-5分）：严格响应驻点人员不少于180人要求</w:t>
            </w:r>
            <w:r>
              <w:rPr>
                <w:rFonts w:hint="eastAsia" w:ascii="宋体" w:hAnsi="宋体" w:eastAsia="宋体" w:cs="宋体"/>
                <w:b w:val="0"/>
                <w:bCs w:val="0"/>
                <w:color w:val="auto"/>
                <w:sz w:val="24"/>
                <w:highlight w:val="none"/>
                <w:lang w:val="en-US" w:eastAsia="zh-CN"/>
              </w:rPr>
              <w:t>，其中</w:t>
            </w:r>
            <w:r>
              <w:rPr>
                <w:rFonts w:hint="eastAsia" w:hAnsi="宋体" w:cs="宋体"/>
                <w:b w:val="0"/>
                <w:bCs w:val="0"/>
                <w:color w:val="auto"/>
                <w:sz w:val="24"/>
                <w:highlight w:val="none"/>
                <w:lang w:val="en-US" w:eastAsia="zh-CN"/>
              </w:rPr>
              <w:t>环卫服务人员171人（包含公厕管护人员）</w:t>
            </w:r>
            <w:r>
              <w:rPr>
                <w:rFonts w:hint="eastAsia" w:ascii="宋体" w:hAnsi="宋体" w:eastAsia="宋体" w:cs="宋体"/>
                <w:b w:val="0"/>
                <w:bCs w:val="0"/>
                <w:color w:val="auto"/>
                <w:sz w:val="24"/>
                <w:highlight w:val="none"/>
                <w:lang w:val="en-US" w:eastAsia="zh-CN"/>
              </w:rPr>
              <w:t>、</w:t>
            </w:r>
            <w:r>
              <w:rPr>
                <w:rFonts w:hint="eastAsia" w:hAnsi="宋体" w:cs="宋体"/>
                <w:b w:val="0"/>
                <w:bCs w:val="0"/>
                <w:color w:val="auto"/>
                <w:sz w:val="24"/>
                <w:highlight w:val="none"/>
                <w:lang w:val="en-US" w:eastAsia="zh-CN"/>
              </w:rPr>
              <w:t>路灯管护人员4人、市政</w:t>
            </w:r>
            <w:r>
              <w:rPr>
                <w:rFonts w:hint="eastAsia" w:ascii="宋体" w:hAnsi="宋体" w:eastAsia="宋体" w:cs="宋体"/>
                <w:b w:val="0"/>
                <w:bCs w:val="0"/>
                <w:color w:val="auto"/>
                <w:sz w:val="24"/>
                <w:highlight w:val="none"/>
                <w:lang w:val="en-US" w:eastAsia="zh-CN"/>
              </w:rPr>
              <w:t>公共设施维修人员</w:t>
            </w:r>
            <w:r>
              <w:rPr>
                <w:rFonts w:hint="eastAsia" w:hAnsi="宋体" w:cs="宋体"/>
                <w:b w:val="0"/>
                <w:bCs w:val="0"/>
                <w:color w:val="auto"/>
                <w:sz w:val="24"/>
                <w:highlight w:val="none"/>
                <w:lang w:val="en-US" w:eastAsia="zh-CN"/>
              </w:rPr>
              <w:t>5人</w:t>
            </w:r>
            <w:r>
              <w:rPr>
                <w:rFonts w:hint="eastAsia" w:asciiTheme="minorEastAsia" w:hAnsiTheme="minorEastAsia" w:eastAsiaTheme="minorEastAsia" w:cstheme="minorEastAsia"/>
                <w:b w:val="0"/>
                <w:bCs w:val="0"/>
                <w:color w:val="000000" w:themeColor="text1"/>
                <w:kern w:val="2"/>
                <w:sz w:val="24"/>
                <w:szCs w:val="24"/>
                <w:highlight w:val="none"/>
                <w:lang w:val="en-US" w:eastAsia="zh-CN" w:bidi="ar-SA"/>
                <w14:textFill>
                  <w14:solidFill>
                    <w14:schemeClr w14:val="tx1"/>
                  </w14:solidFill>
                </w14:textFill>
              </w:rPr>
              <w:t>；人员就近驻点、严禁外调的管控机制完善；清扫车、洒水车、绿化机械、专用设备型号、数量、维保计划足额匹配项目需求。</w:t>
            </w:r>
          </w:p>
          <w:p w14:paraId="63CE3479">
            <w:pPr>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80" w:firstLineChars="200"/>
              <w:jc w:val="both"/>
              <w:textAlignment w:val="auto"/>
              <w:outlineLvl w:val="9"/>
              <w:rPr>
                <w:rFonts w:hint="eastAsia" w:asciiTheme="minorEastAsia" w:hAnsiTheme="minorEastAsia" w:eastAsiaTheme="minorEastAsia" w:cstheme="minorEastAsia"/>
                <w:b w:val="0"/>
                <w:bCs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4"/>
                <w:szCs w:val="24"/>
                <w:highlight w:val="none"/>
                <w:lang w:val="en-US" w:eastAsia="zh-CN" w:bidi="ar-SA"/>
                <w14:textFill>
                  <w14:solidFill>
                    <w14:schemeClr w14:val="tx1"/>
                  </w14:solidFill>
                </w14:textFill>
              </w:rPr>
              <w:t>二档（2-3分）：人员数量满足要求，岗位划分基本清晰，设备配置基本满足作业需求，但驻点管控、设备维保机制不完善。</w:t>
            </w:r>
          </w:p>
          <w:p w14:paraId="29B7B719">
            <w:pPr>
              <w:keepLines w:val="0"/>
              <w:pageBreakBefore w:val="0"/>
              <w:numPr>
                <w:ilvl w:val="0"/>
                <w:numId w:val="0"/>
              </w:numPr>
              <w:kinsoku/>
              <w:wordWrap/>
              <w:overflowPunct/>
              <w:topLinePunct w:val="0"/>
              <w:autoSpaceDE/>
              <w:autoSpaceDN/>
              <w:bidi w:val="0"/>
              <w:adjustRightInd w:val="0"/>
              <w:snapToGrid w:val="0"/>
              <w:spacing w:line="48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val="0"/>
                <w:bCs w:val="0"/>
                <w:color w:val="000000" w:themeColor="text1"/>
                <w:kern w:val="2"/>
                <w:sz w:val="24"/>
                <w:szCs w:val="24"/>
                <w:highlight w:val="none"/>
                <w:lang w:val="en-US" w:eastAsia="zh-CN" w:bidi="ar-SA"/>
                <w14:textFill>
                  <w14:solidFill>
                    <w14:schemeClr w14:val="tx1"/>
                  </w14:solidFill>
                </w14:textFill>
              </w:rPr>
              <w:t>三档（0-1分）：人员配置未达到招标文件要求，设备配置缺项，无人员在岗管控措施。</w:t>
            </w:r>
          </w:p>
        </w:tc>
      </w:tr>
      <w:tr w14:paraId="78E598AF">
        <w:tblPrEx>
          <w:tblCellMar>
            <w:top w:w="0" w:type="dxa"/>
            <w:left w:w="108" w:type="dxa"/>
            <w:bottom w:w="0" w:type="dxa"/>
            <w:right w:w="108" w:type="dxa"/>
          </w:tblCellMar>
        </w:tblPrEx>
        <w:trPr>
          <w:trHeight w:val="858" w:hRule="atLeast"/>
        </w:trPr>
        <w:tc>
          <w:tcPr>
            <w:tcW w:w="476" w:type="dxa"/>
            <w:tcBorders>
              <w:top w:val="single" w:color="auto" w:sz="4" w:space="0"/>
              <w:left w:val="single" w:color="auto" w:sz="4" w:space="0"/>
              <w:bottom w:val="single" w:color="auto" w:sz="4" w:space="0"/>
              <w:right w:val="single" w:color="auto" w:sz="4" w:space="0"/>
            </w:tcBorders>
            <w:vAlign w:val="center"/>
          </w:tcPr>
          <w:p w14:paraId="6BDDF79F">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3</w:t>
            </w:r>
          </w:p>
        </w:tc>
        <w:tc>
          <w:tcPr>
            <w:tcW w:w="1121" w:type="dxa"/>
            <w:gridSpan w:val="2"/>
            <w:tcBorders>
              <w:top w:val="single" w:color="auto" w:sz="4" w:space="0"/>
              <w:left w:val="nil"/>
              <w:bottom w:val="single" w:color="auto" w:sz="4" w:space="0"/>
              <w:right w:val="single" w:color="auto" w:sz="4" w:space="0"/>
            </w:tcBorders>
            <w:vAlign w:val="center"/>
          </w:tcPr>
          <w:p w14:paraId="5474C54D">
            <w:pPr>
              <w:keepNext w:val="0"/>
              <w:keepLines w:val="0"/>
              <w:pageBreakBefore w:val="0"/>
              <w:kinsoku/>
              <w:wordWrap/>
              <w:overflowPunct/>
              <w:topLinePunct w:val="0"/>
              <w:autoSpaceDE/>
              <w:autoSpaceDN/>
              <w:bidi w:val="0"/>
              <w:adjustRightInd/>
              <w:snapToGrid/>
              <w:spacing w:line="480" w:lineRule="exact"/>
              <w:ind w:left="0" w:leftChars="0"/>
              <w:jc w:val="center"/>
              <w:textAlignment w:val="auto"/>
              <w:rPr>
                <w:rFonts w:hint="default" w:ascii="宋体" w:hAnsi="宋体" w:eastAsia="宋体"/>
                <w:color w:val="auto"/>
                <w:sz w:val="24"/>
                <w:highlight w:val="none"/>
                <w:lang w:val="en-US" w:eastAsia="zh-CN"/>
              </w:rPr>
            </w:pPr>
            <w:r>
              <w:rPr>
                <w:rFonts w:hint="eastAsia" w:ascii="宋体" w:hAnsi="宋体"/>
                <w:sz w:val="24"/>
                <w:szCs w:val="21"/>
                <w:highlight w:val="none"/>
                <w:lang w:eastAsia="zh-CN"/>
              </w:rPr>
              <w:t>应急保障方案</w:t>
            </w:r>
          </w:p>
        </w:tc>
        <w:tc>
          <w:tcPr>
            <w:tcW w:w="975" w:type="dxa"/>
            <w:tcBorders>
              <w:top w:val="single" w:color="auto" w:sz="4" w:space="0"/>
              <w:left w:val="single" w:color="auto" w:sz="4" w:space="0"/>
              <w:bottom w:val="single" w:color="auto" w:sz="4" w:space="0"/>
              <w:right w:val="single" w:color="auto" w:sz="4" w:space="0"/>
            </w:tcBorders>
            <w:vAlign w:val="center"/>
          </w:tcPr>
          <w:p w14:paraId="30AAA206">
            <w:pPr>
              <w:keepLines w:val="0"/>
              <w:pageBreakBefore w:val="0"/>
              <w:kinsoku/>
              <w:wordWrap/>
              <w:overflowPunct/>
              <w:topLinePunct w:val="0"/>
              <w:bidi w:val="0"/>
              <w:spacing w:line="480" w:lineRule="exact"/>
              <w:jc w:val="center"/>
              <w:textAlignment w:val="auto"/>
              <w:rPr>
                <w:rFonts w:hint="eastAsia" w:ascii="宋体" w:hAnsi="宋体"/>
                <w:color w:val="auto"/>
                <w:sz w:val="24"/>
                <w:highlight w:val="none"/>
                <w:lang w:val="en-US" w:eastAsia="zh-CN"/>
              </w:rPr>
            </w:pPr>
            <w:r>
              <w:rPr>
                <w:rFonts w:hint="eastAsia" w:ascii="宋体" w:hAnsi="宋体"/>
                <w:sz w:val="24"/>
                <w:szCs w:val="21"/>
                <w:highlight w:val="none"/>
                <w:lang w:val="en-US" w:eastAsia="zh-CN"/>
              </w:rPr>
              <w:t>12</w:t>
            </w:r>
            <w:r>
              <w:rPr>
                <w:rFonts w:hint="eastAsia" w:ascii="宋体" w:hAnsi="宋体"/>
                <w:sz w:val="24"/>
                <w:szCs w:val="21"/>
                <w:highlight w:val="none"/>
              </w:rPr>
              <w:t>分</w:t>
            </w:r>
          </w:p>
        </w:tc>
        <w:tc>
          <w:tcPr>
            <w:tcW w:w="7011" w:type="dxa"/>
            <w:gridSpan w:val="2"/>
            <w:tcBorders>
              <w:top w:val="single" w:color="auto" w:sz="4" w:space="0"/>
              <w:left w:val="nil"/>
              <w:bottom w:val="single" w:color="auto" w:sz="4" w:space="0"/>
              <w:right w:val="single" w:color="auto" w:sz="4" w:space="0"/>
            </w:tcBorders>
            <w:vAlign w:val="center"/>
          </w:tcPr>
          <w:p w14:paraId="7C183224">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应急保障方案包括但不限于：①</w:t>
            </w:r>
            <w:r>
              <w:rPr>
                <w:rFonts w:hint="eastAsia" w:ascii="宋体" w:hAnsi="宋体" w:eastAsia="宋体" w:cs="宋体"/>
                <w:bCs/>
                <w:color w:val="auto"/>
                <w:sz w:val="24"/>
                <w:szCs w:val="24"/>
                <w:highlight w:val="none"/>
                <w:lang w:val="en-US" w:eastAsia="zh-CN"/>
              </w:rPr>
              <w:t>应急保障组织机构及应急响应时间</w:t>
            </w:r>
            <w:r>
              <w:rPr>
                <w:rFonts w:hint="eastAsia" w:ascii="宋体" w:hAnsi="宋体" w:eastAsia="宋体" w:cs="宋体"/>
                <w:color w:val="auto"/>
                <w:sz w:val="24"/>
                <w:szCs w:val="24"/>
                <w:highlight w:val="none"/>
                <w:lang w:val="en-US" w:eastAsia="zh-CN"/>
              </w:rPr>
              <w:t>；②</w:t>
            </w:r>
            <w:r>
              <w:rPr>
                <w:rFonts w:hint="eastAsia" w:ascii="宋体" w:hAnsi="宋体" w:eastAsia="宋体" w:cs="宋体"/>
                <w:bCs/>
                <w:color w:val="auto"/>
                <w:sz w:val="24"/>
                <w:szCs w:val="24"/>
                <w:highlight w:val="none"/>
                <w:lang w:val="en-US" w:eastAsia="zh-CN"/>
              </w:rPr>
              <w:t>暴雨、极端气候等特殊天气应急处置方案</w:t>
            </w:r>
            <w:r>
              <w:rPr>
                <w:rFonts w:hint="eastAsia" w:ascii="宋体" w:hAnsi="宋体" w:eastAsia="宋体" w:cs="宋体"/>
                <w:color w:val="auto"/>
                <w:sz w:val="24"/>
                <w:szCs w:val="24"/>
                <w:highlight w:val="none"/>
                <w:lang w:val="en-US" w:eastAsia="zh-CN"/>
              </w:rPr>
              <w:t>；③</w:t>
            </w:r>
            <w:r>
              <w:rPr>
                <w:rFonts w:hint="eastAsia" w:ascii="宋体" w:hAnsi="宋体" w:eastAsia="宋体" w:cs="宋体"/>
                <w:bCs/>
                <w:color w:val="auto"/>
                <w:sz w:val="24"/>
                <w:szCs w:val="24"/>
                <w:highlight w:val="none"/>
                <w:lang w:val="en-US" w:eastAsia="zh-CN"/>
              </w:rPr>
              <w:t>重大接待任务、重大节假日</w:t>
            </w:r>
            <w:r>
              <w:rPr>
                <w:rFonts w:hint="eastAsia" w:ascii="宋体" w:hAnsi="宋体" w:cs="宋体"/>
                <w:bCs/>
                <w:color w:val="auto"/>
                <w:sz w:val="24"/>
                <w:szCs w:val="24"/>
                <w:highlight w:val="none"/>
                <w:lang w:val="en-US" w:eastAsia="zh-CN"/>
              </w:rPr>
              <w:t>、市容环境卫生上级明查暗访复审</w:t>
            </w:r>
            <w:r>
              <w:rPr>
                <w:rFonts w:hint="eastAsia" w:ascii="宋体" w:hAnsi="宋体" w:eastAsia="宋体" w:cs="宋体"/>
                <w:bCs/>
                <w:color w:val="auto"/>
                <w:sz w:val="24"/>
                <w:szCs w:val="24"/>
                <w:highlight w:val="none"/>
                <w:lang w:val="en-US" w:eastAsia="zh-CN"/>
              </w:rPr>
              <w:t>及重大活动等应急保障方案</w:t>
            </w:r>
            <w:r>
              <w:rPr>
                <w:rFonts w:hint="eastAsia" w:ascii="宋体" w:hAnsi="宋体" w:eastAsia="宋体" w:cs="宋体"/>
                <w:color w:val="auto"/>
                <w:sz w:val="24"/>
                <w:szCs w:val="24"/>
                <w:highlight w:val="none"/>
                <w:lang w:val="en-US" w:eastAsia="zh-CN"/>
              </w:rPr>
              <w:t>；④</w:t>
            </w:r>
            <w:r>
              <w:rPr>
                <w:rFonts w:hint="eastAsia" w:ascii="宋体" w:hAnsi="宋体" w:eastAsia="宋体" w:cs="宋体"/>
                <w:bCs/>
                <w:color w:val="auto"/>
                <w:sz w:val="24"/>
                <w:szCs w:val="24"/>
                <w:highlight w:val="none"/>
                <w:lang w:val="en-US" w:eastAsia="zh-CN"/>
              </w:rPr>
              <w:t>交通事故、道路洒漏应急清扫</w:t>
            </w:r>
            <w:r>
              <w:rPr>
                <w:rFonts w:hint="eastAsia" w:ascii="宋体" w:hAnsi="宋体" w:eastAsia="宋体" w:cs="宋体"/>
                <w:color w:val="auto"/>
                <w:sz w:val="24"/>
                <w:szCs w:val="24"/>
                <w:highlight w:val="none"/>
                <w:lang w:val="en-US" w:eastAsia="zh-CN"/>
              </w:rPr>
              <w:t>；⑤安全隐患发现排除措施；</w:t>
            </w:r>
            <w:r>
              <w:rPr>
                <w:rFonts w:hint="eastAsia" w:ascii="宋体" w:hAnsi="宋体" w:cs="宋体"/>
                <w:color w:val="auto"/>
                <w:sz w:val="24"/>
                <w:szCs w:val="24"/>
                <w:highlight w:val="none"/>
                <w:lang w:val="en-US" w:eastAsia="zh-CN"/>
              </w:rPr>
              <w:t>⑥</w:t>
            </w:r>
            <w:r>
              <w:rPr>
                <w:rFonts w:hint="eastAsia" w:ascii="宋体" w:hAnsi="宋体" w:eastAsia="宋体" w:cs="宋体"/>
                <w:color w:val="auto"/>
                <w:sz w:val="24"/>
                <w:szCs w:val="24"/>
                <w:highlight w:val="none"/>
                <w:lang w:val="en-US" w:eastAsia="zh-CN"/>
              </w:rPr>
              <w:t>风险分析（安全事故、突发事件、劳动纠纷等方面）及防范处理措施等</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项内容。</w:t>
            </w:r>
          </w:p>
          <w:p w14:paraId="280F9FD5">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一档（</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12分）：完整覆盖全部6项内容，应急组织架构清晰，响应时限明确；极端天气、重大活动、道路洒漏、安全隐患、风险防范各项处置措施科学完备，贴合本项目实际，预案具备可操作性，完全满足采购需求。</w:t>
            </w:r>
          </w:p>
          <w:p w14:paraId="74BD1421">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二档（</w:t>
            </w:r>
            <w:r>
              <w:rPr>
                <w:rFonts w:hint="eastAsia" w:ascii="宋体" w:hAnsi="宋体" w:cs="宋体"/>
                <w:color w:val="auto"/>
                <w:sz w:val="24"/>
                <w:szCs w:val="24"/>
                <w:highlight w:val="none"/>
                <w:lang w:val="en-US" w:eastAsia="zh-CN"/>
              </w:rPr>
              <w:t>4-7</w:t>
            </w:r>
            <w:r>
              <w:rPr>
                <w:rFonts w:hint="eastAsia" w:ascii="宋体" w:hAnsi="宋体" w:eastAsia="宋体" w:cs="宋体"/>
                <w:color w:val="auto"/>
                <w:sz w:val="24"/>
                <w:szCs w:val="24"/>
                <w:highlight w:val="none"/>
                <w:lang w:val="en-US" w:eastAsia="zh-CN"/>
              </w:rPr>
              <w:t>分）：包含大部分应急模块，少数内容深度不足；具备应急组织与处置基本框架，应急流程基本可行，个别预案内容简略，能够满足项目基本应急保障需求。</w:t>
            </w:r>
          </w:p>
          <w:p w14:paraId="33443A4B">
            <w:pPr>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三档（</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分）：方案阐述简略，存在较多缺漏；组织机构、处置流程、风险防范措施笼统空洞，针对性不足，仅可部分满足采购需求。</w:t>
            </w:r>
          </w:p>
        </w:tc>
      </w:tr>
      <w:tr w14:paraId="3503D04B">
        <w:tblPrEx>
          <w:tblCellMar>
            <w:top w:w="0" w:type="dxa"/>
            <w:left w:w="108" w:type="dxa"/>
            <w:bottom w:w="0" w:type="dxa"/>
            <w:right w:w="108" w:type="dxa"/>
          </w:tblCellMar>
        </w:tblPrEx>
        <w:trPr>
          <w:trHeight w:val="90" w:hRule="atLeast"/>
        </w:trPr>
        <w:tc>
          <w:tcPr>
            <w:tcW w:w="476" w:type="dxa"/>
            <w:tcBorders>
              <w:top w:val="single" w:color="auto" w:sz="4" w:space="0"/>
              <w:left w:val="single" w:color="auto" w:sz="4" w:space="0"/>
              <w:bottom w:val="single" w:color="auto" w:sz="4" w:space="0"/>
              <w:right w:val="single" w:color="auto" w:sz="4" w:space="0"/>
            </w:tcBorders>
            <w:vAlign w:val="center"/>
          </w:tcPr>
          <w:p w14:paraId="08B147E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bCs/>
                <w:iCs/>
                <w:color w:val="auto"/>
                <w:sz w:val="24"/>
                <w:highlight w:val="none"/>
                <w:lang w:val="en-US" w:eastAsia="zh-CN"/>
              </w:rPr>
            </w:pPr>
            <w:r>
              <w:rPr>
                <w:rFonts w:hint="eastAsia" w:ascii="宋体" w:hAnsi="宋体"/>
                <w:bCs/>
                <w:iCs/>
                <w:color w:val="auto"/>
                <w:sz w:val="24"/>
                <w:highlight w:val="none"/>
                <w:lang w:val="en-US" w:eastAsia="zh-CN"/>
              </w:rPr>
              <w:t>4</w:t>
            </w:r>
          </w:p>
        </w:tc>
        <w:tc>
          <w:tcPr>
            <w:tcW w:w="1121" w:type="dxa"/>
            <w:gridSpan w:val="2"/>
            <w:tcBorders>
              <w:top w:val="single" w:color="auto" w:sz="4" w:space="0"/>
              <w:left w:val="nil"/>
              <w:bottom w:val="single" w:color="auto" w:sz="4" w:space="0"/>
              <w:right w:val="single" w:color="auto" w:sz="4" w:space="0"/>
            </w:tcBorders>
            <w:vAlign w:val="center"/>
          </w:tcPr>
          <w:p w14:paraId="3F2F7C1C">
            <w:pPr>
              <w:keepLines w:val="0"/>
              <w:pageBreakBefore w:val="0"/>
              <w:widowControl w:val="0"/>
              <w:kinsoku/>
              <w:wordWrap/>
              <w:overflowPunct/>
              <w:topLinePunct w:val="0"/>
              <w:autoSpaceDE/>
              <w:autoSpaceDN/>
              <w:bidi w:val="0"/>
              <w:adjustRightInd/>
              <w:spacing w:line="480" w:lineRule="exact"/>
              <w:jc w:val="center"/>
              <w:textAlignment w:val="auto"/>
              <w:rPr>
                <w:rFonts w:hint="eastAsia" w:ascii="宋体" w:hAnsi="宋体"/>
                <w:sz w:val="24"/>
                <w:szCs w:val="21"/>
                <w:highlight w:val="none"/>
                <w:lang w:eastAsia="zh-CN"/>
              </w:rPr>
            </w:pPr>
            <w:r>
              <w:rPr>
                <w:rFonts w:hint="default" w:ascii="宋体" w:hAnsi="宋体" w:eastAsia="宋体"/>
                <w:color w:val="auto"/>
                <w:sz w:val="24"/>
                <w:highlight w:val="none"/>
                <w:lang w:val="en-US" w:eastAsia="zh-CN"/>
              </w:rPr>
              <w:t>服务承诺</w:t>
            </w:r>
            <w:r>
              <w:rPr>
                <w:rFonts w:hint="eastAsia" w:ascii="宋体" w:hAnsi="宋体"/>
                <w:color w:val="auto"/>
                <w:sz w:val="24"/>
                <w:highlight w:val="none"/>
                <w:lang w:val="en-US" w:eastAsia="zh-CN"/>
              </w:rPr>
              <w:t>及保障措施</w:t>
            </w:r>
          </w:p>
        </w:tc>
        <w:tc>
          <w:tcPr>
            <w:tcW w:w="975" w:type="dxa"/>
            <w:tcBorders>
              <w:top w:val="single" w:color="auto" w:sz="4" w:space="0"/>
              <w:left w:val="single" w:color="auto" w:sz="4" w:space="0"/>
              <w:bottom w:val="single" w:color="auto" w:sz="4" w:space="0"/>
              <w:right w:val="single" w:color="auto" w:sz="4" w:space="0"/>
            </w:tcBorders>
            <w:vAlign w:val="center"/>
          </w:tcPr>
          <w:p w14:paraId="763E2485">
            <w:pPr>
              <w:keepLines w:val="0"/>
              <w:pageBreakBefore w:val="0"/>
              <w:widowControl w:val="0"/>
              <w:kinsoku/>
              <w:wordWrap/>
              <w:overflowPunct/>
              <w:topLinePunct w:val="0"/>
              <w:autoSpaceDE/>
              <w:autoSpaceDN/>
              <w:bidi w:val="0"/>
              <w:adjustRightInd/>
              <w:spacing w:line="480" w:lineRule="exact"/>
              <w:jc w:val="center"/>
              <w:textAlignment w:val="auto"/>
              <w:rPr>
                <w:rFonts w:hint="eastAsia" w:ascii="宋体" w:hAnsi="宋体"/>
                <w:sz w:val="24"/>
                <w:szCs w:val="21"/>
                <w:highlight w:val="none"/>
                <w:lang w:val="en-US" w:eastAsia="zh-CN"/>
              </w:rPr>
            </w:pPr>
            <w:r>
              <w:rPr>
                <w:rFonts w:hint="eastAsia" w:ascii="宋体" w:hAnsi="宋体"/>
                <w:color w:val="auto"/>
                <w:sz w:val="24"/>
                <w:highlight w:val="none"/>
                <w:lang w:val="en-US" w:eastAsia="zh-CN"/>
              </w:rPr>
              <w:t>15分</w:t>
            </w:r>
          </w:p>
        </w:tc>
        <w:tc>
          <w:tcPr>
            <w:tcW w:w="7011" w:type="dxa"/>
            <w:gridSpan w:val="2"/>
            <w:tcBorders>
              <w:top w:val="single" w:color="auto" w:sz="4" w:space="0"/>
              <w:left w:val="nil"/>
              <w:bottom w:val="single" w:color="auto" w:sz="4" w:space="0"/>
              <w:right w:val="single" w:color="auto" w:sz="4" w:space="0"/>
            </w:tcBorders>
            <w:vAlign w:val="center"/>
          </w:tcPr>
          <w:p w14:paraId="212E2B2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olor w:val="auto"/>
                <w:sz w:val="24"/>
                <w:highlight w:val="none"/>
                <w:lang w:val="en-US" w:eastAsia="zh-CN"/>
              </w:rPr>
              <w:t>服务承诺</w:t>
            </w:r>
            <w:r>
              <w:rPr>
                <w:rFonts w:hint="eastAsia" w:ascii="宋体" w:hAnsi="宋体"/>
                <w:color w:val="auto"/>
                <w:sz w:val="24"/>
                <w:highlight w:val="none"/>
                <w:lang w:val="en-US" w:eastAsia="zh-CN"/>
              </w:rPr>
              <w:t>及保障措施</w:t>
            </w:r>
            <w:r>
              <w:rPr>
                <w:rFonts w:hint="eastAsia" w:ascii="宋体" w:hAnsi="宋体" w:eastAsia="宋体" w:cs="宋体"/>
                <w:color w:val="auto"/>
                <w:sz w:val="24"/>
                <w:szCs w:val="24"/>
                <w:highlight w:val="none"/>
                <w:lang w:val="en-US" w:eastAsia="zh-CN"/>
              </w:rPr>
              <w:t>包括但不限于：①</w:t>
            </w:r>
            <w:r>
              <w:rPr>
                <w:rFonts w:hint="default" w:ascii="宋体" w:hAnsi="宋体" w:eastAsia="宋体"/>
                <w:color w:val="auto"/>
                <w:sz w:val="24"/>
                <w:highlight w:val="none"/>
                <w:lang w:val="en-US" w:eastAsia="zh-CN"/>
              </w:rPr>
              <w:t>服务</w:t>
            </w:r>
            <w:r>
              <w:rPr>
                <w:rFonts w:hint="eastAsia" w:ascii="宋体" w:hAnsi="宋体" w:eastAsia="宋体" w:cs="宋体"/>
                <w:color w:val="auto"/>
                <w:sz w:val="24"/>
                <w:szCs w:val="24"/>
                <w:highlight w:val="none"/>
                <w:lang w:val="en-US" w:eastAsia="zh-CN"/>
              </w:rPr>
              <w:t>质量目标承诺；②</w:t>
            </w:r>
            <w:r>
              <w:rPr>
                <w:rFonts w:hint="default" w:ascii="宋体" w:hAnsi="宋体" w:eastAsia="宋体"/>
                <w:color w:val="auto"/>
                <w:sz w:val="24"/>
                <w:highlight w:val="none"/>
                <w:lang w:val="en-US" w:eastAsia="zh-CN"/>
              </w:rPr>
              <w:t>服务</w:t>
            </w:r>
            <w:r>
              <w:rPr>
                <w:rFonts w:hint="eastAsia" w:ascii="宋体" w:hAnsi="宋体" w:eastAsia="宋体" w:cs="宋体"/>
                <w:color w:val="auto"/>
                <w:sz w:val="24"/>
                <w:szCs w:val="24"/>
                <w:highlight w:val="none"/>
                <w:lang w:val="en-US" w:eastAsia="zh-CN"/>
              </w:rPr>
              <w:t>质量管理保障措施；③</w:t>
            </w:r>
            <w:r>
              <w:rPr>
                <w:rFonts w:hint="default" w:ascii="宋体" w:hAnsi="宋体" w:eastAsia="宋体"/>
                <w:color w:val="auto"/>
                <w:sz w:val="24"/>
                <w:highlight w:val="none"/>
                <w:lang w:val="en-US" w:eastAsia="zh-CN"/>
              </w:rPr>
              <w:t>服务</w:t>
            </w:r>
            <w:r>
              <w:rPr>
                <w:rFonts w:hint="eastAsia" w:ascii="宋体" w:hAnsi="宋体" w:eastAsia="宋体" w:cs="宋体"/>
                <w:color w:val="auto"/>
                <w:sz w:val="24"/>
                <w:szCs w:val="24"/>
                <w:highlight w:val="none"/>
                <w:lang w:val="en-US" w:eastAsia="zh-CN"/>
              </w:rPr>
              <w:t>质量违约责任承诺及处罚措施</w:t>
            </w:r>
            <w:r>
              <w:rPr>
                <w:rFonts w:hint="eastAsia" w:ascii="宋体" w:hAnsi="宋体" w:cs="宋体"/>
                <w:color w:val="auto"/>
                <w:sz w:val="24"/>
                <w:szCs w:val="24"/>
                <w:highlight w:val="none"/>
                <w:lang w:val="en-US" w:eastAsia="zh-CN"/>
              </w:rPr>
              <w:t>；④服务时效</w:t>
            </w:r>
            <w:r>
              <w:rPr>
                <w:rFonts w:hint="eastAsia" w:ascii="宋体" w:hAnsi="宋体" w:eastAsia="宋体" w:cs="宋体"/>
                <w:color w:val="auto"/>
                <w:sz w:val="24"/>
                <w:szCs w:val="24"/>
                <w:highlight w:val="none"/>
                <w:lang w:val="en-US" w:eastAsia="zh-CN"/>
              </w:rPr>
              <w:t>性；⑤收费</w:t>
            </w:r>
            <w:r>
              <w:rPr>
                <w:rFonts w:hint="eastAsia" w:ascii="宋体" w:hAnsi="宋体" w:cs="宋体"/>
                <w:color w:val="auto"/>
                <w:sz w:val="24"/>
                <w:szCs w:val="24"/>
                <w:highlight w:val="none"/>
                <w:lang w:val="en-US" w:eastAsia="zh-CN"/>
              </w:rPr>
              <w:t>方案科学合理性、可实施、易执行内容</w:t>
            </w:r>
          </w:p>
          <w:p w14:paraId="02513159">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一档（1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15分）：完整包含全部5项内容，内容清晰明确、完整合理、切实可行；项目服务质量管控体系完善，处置响应机制高效，收费方案科学合理、落地可执行，完全满足或优于本项目采购需求</w:t>
            </w:r>
            <w:r>
              <w:rPr>
                <w:rFonts w:hint="eastAsia" w:ascii="宋体" w:hAnsi="宋体" w:eastAsia="宋体" w:cs="宋体"/>
                <w:sz w:val="24"/>
                <w:szCs w:val="24"/>
                <w:highlight w:val="none"/>
                <w:lang w:val="en-US" w:eastAsia="zh-CN"/>
              </w:rPr>
              <w:t>。</w:t>
            </w:r>
          </w:p>
          <w:p w14:paraId="636E3355">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二档（</w:t>
            </w:r>
            <w:r>
              <w:rPr>
                <w:rFonts w:hint="eastAsia" w:ascii="宋体" w:hAnsi="宋体" w:cs="宋体"/>
                <w:color w:val="auto"/>
                <w:sz w:val="24"/>
                <w:szCs w:val="24"/>
                <w:highlight w:val="none"/>
                <w:lang w:val="en-US" w:eastAsia="zh-CN"/>
              </w:rPr>
              <w:t>5-9</w:t>
            </w:r>
            <w:r>
              <w:rPr>
                <w:rFonts w:hint="eastAsia" w:ascii="宋体" w:hAnsi="宋体" w:eastAsia="宋体" w:cs="宋体"/>
                <w:color w:val="auto"/>
                <w:sz w:val="24"/>
                <w:szCs w:val="24"/>
                <w:highlight w:val="none"/>
                <w:lang w:val="en-US" w:eastAsia="zh-CN"/>
              </w:rPr>
              <w:t>分）：包含大部分内容，个别模块深度不足；具备质量管控及违约处置思路，服务响应机制基本可行，收费方案基本合理，整体满足采购需求，但针对性一般。</w:t>
            </w:r>
          </w:p>
          <w:p w14:paraId="53D7F0BD">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三档（</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分）：内容阐述粗略，存在较多漏项缺失；质量管控、违约处置、时效保障、收费方案存在明显缺陷，管控能力不足，仅能部分满足采购需求。</w:t>
            </w:r>
          </w:p>
        </w:tc>
      </w:tr>
      <w:tr w14:paraId="01AA9B5D">
        <w:tblPrEx>
          <w:tblCellMar>
            <w:top w:w="0" w:type="dxa"/>
            <w:left w:w="108" w:type="dxa"/>
            <w:bottom w:w="0" w:type="dxa"/>
            <w:right w:w="108" w:type="dxa"/>
          </w:tblCellMar>
        </w:tblPrEx>
        <w:trPr>
          <w:trHeight w:val="975" w:hRule="atLeast"/>
        </w:trPr>
        <w:tc>
          <w:tcPr>
            <w:tcW w:w="476" w:type="dxa"/>
            <w:tcBorders>
              <w:top w:val="single" w:color="auto" w:sz="4" w:space="0"/>
              <w:left w:val="single" w:color="auto" w:sz="4" w:space="0"/>
              <w:bottom w:val="single" w:color="auto" w:sz="4" w:space="0"/>
              <w:right w:val="single" w:color="auto" w:sz="4" w:space="0"/>
            </w:tcBorders>
            <w:vAlign w:val="center"/>
          </w:tcPr>
          <w:p w14:paraId="1A070F7B">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5</w:t>
            </w:r>
          </w:p>
        </w:tc>
        <w:tc>
          <w:tcPr>
            <w:tcW w:w="1121" w:type="dxa"/>
            <w:gridSpan w:val="2"/>
            <w:tcBorders>
              <w:top w:val="single" w:color="auto" w:sz="4" w:space="0"/>
              <w:left w:val="single" w:color="auto" w:sz="4" w:space="0"/>
              <w:bottom w:val="single" w:color="auto" w:sz="4" w:space="0"/>
              <w:right w:val="single" w:color="auto" w:sz="4" w:space="0"/>
            </w:tcBorders>
            <w:vAlign w:val="center"/>
          </w:tcPr>
          <w:p w14:paraId="79AFC2E8">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企业荣誉</w:t>
            </w:r>
          </w:p>
        </w:tc>
        <w:tc>
          <w:tcPr>
            <w:tcW w:w="975" w:type="dxa"/>
            <w:tcBorders>
              <w:top w:val="single" w:color="auto" w:sz="4" w:space="0"/>
              <w:left w:val="single" w:color="auto" w:sz="4" w:space="0"/>
              <w:bottom w:val="single" w:color="auto" w:sz="4" w:space="0"/>
              <w:right w:val="single" w:color="auto" w:sz="4" w:space="0"/>
            </w:tcBorders>
            <w:vAlign w:val="center"/>
          </w:tcPr>
          <w:p w14:paraId="3E41D8CD">
            <w:pPr>
              <w:keepLines w:val="0"/>
              <w:pageBreakBefore w:val="0"/>
              <w:widowControl w:val="0"/>
              <w:kinsoku/>
              <w:wordWrap/>
              <w:overflowPunct/>
              <w:topLinePunct w:val="0"/>
              <w:autoSpaceDE/>
              <w:autoSpaceDN/>
              <w:bidi w:val="0"/>
              <w:adjustRightInd/>
              <w:spacing w:line="480" w:lineRule="exact"/>
              <w:jc w:val="center"/>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2分</w:t>
            </w:r>
          </w:p>
        </w:tc>
        <w:tc>
          <w:tcPr>
            <w:tcW w:w="7011" w:type="dxa"/>
            <w:gridSpan w:val="2"/>
            <w:tcBorders>
              <w:top w:val="single" w:color="auto" w:sz="4" w:space="0"/>
              <w:left w:val="single" w:color="auto" w:sz="4" w:space="0"/>
              <w:bottom w:val="single" w:color="auto" w:sz="4" w:space="0"/>
              <w:right w:val="single" w:color="auto" w:sz="4" w:space="0"/>
            </w:tcBorders>
            <w:vAlign w:val="center"/>
          </w:tcPr>
          <w:p w14:paraId="14C1D944">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仿宋" w:hAnsi="仿宋" w:eastAsia="仿宋" w:cs="仿宋"/>
                <w:b w:val="0"/>
                <w:bCs w:val="0"/>
                <w:color w:val="auto"/>
                <w:sz w:val="24"/>
                <w:szCs w:val="24"/>
                <w:highlight w:val="none"/>
                <w:vertAlign w:val="baseline"/>
                <w:lang w:val="en-US" w:eastAsia="zh-CN" w:bidi="ar"/>
              </w:rPr>
              <w:t>1</w:t>
            </w:r>
            <w:r>
              <w:rPr>
                <w:rFonts w:hint="eastAsia" w:ascii="宋体" w:hAnsi="宋体" w:eastAsia="宋体" w:cs="宋体"/>
                <w:color w:val="auto"/>
                <w:sz w:val="24"/>
                <w:szCs w:val="24"/>
                <w:highlight w:val="none"/>
                <w:lang w:val="en-US" w:eastAsia="zh-CN"/>
              </w:rPr>
              <w:t>.根据投标人2020年1月1日以来</w:t>
            </w:r>
            <w:r>
              <w:rPr>
                <w:rFonts w:hint="eastAsia" w:ascii="宋体" w:hAnsi="宋体" w:cs="宋体"/>
                <w:color w:val="auto"/>
                <w:sz w:val="24"/>
                <w:szCs w:val="24"/>
                <w:highlight w:val="none"/>
                <w:lang w:val="en-US" w:eastAsia="zh-CN"/>
              </w:rPr>
              <w:t>在环卫市政服务领域中</w:t>
            </w:r>
            <w:r>
              <w:rPr>
                <w:rFonts w:hint="eastAsia" w:ascii="宋体" w:hAnsi="宋体" w:eastAsia="宋体" w:cs="宋体"/>
                <w:color w:val="auto"/>
                <w:sz w:val="24"/>
                <w:szCs w:val="24"/>
                <w:highlight w:val="none"/>
                <w:lang w:val="en-US" w:eastAsia="zh-CN"/>
              </w:rPr>
              <w:t>获得</w:t>
            </w:r>
            <w:r>
              <w:rPr>
                <w:rFonts w:hint="eastAsia" w:ascii="宋体" w:hAnsi="宋体" w:cs="宋体"/>
                <w:color w:val="auto"/>
                <w:sz w:val="24"/>
                <w:szCs w:val="24"/>
                <w:highlight w:val="none"/>
                <w:lang w:val="en-US" w:eastAsia="zh-CN"/>
              </w:rPr>
              <w:t>州、</w:t>
            </w:r>
            <w:r>
              <w:rPr>
                <w:rFonts w:hint="eastAsia" w:ascii="宋体" w:hAnsi="宋体" w:eastAsia="宋体" w:cs="宋体"/>
                <w:color w:val="auto"/>
                <w:sz w:val="24"/>
                <w:szCs w:val="24"/>
                <w:highlight w:val="none"/>
                <w:lang w:val="en-US" w:eastAsia="zh-CN"/>
              </w:rPr>
              <w:t>市级及以上政府或行业行政主管部门颁发环卫相关的荣誉，每提供1个得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分，本项满分</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4E1EED1F">
            <w:pPr>
              <w:keepLines w:val="0"/>
              <w:pageBreakBefore w:val="0"/>
              <w:numPr>
                <w:ilvl w:val="0"/>
                <w:numId w:val="0"/>
              </w:numPr>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2.根据投标人2020年1月1日以来</w:t>
            </w:r>
            <w:r>
              <w:rPr>
                <w:rFonts w:hint="eastAsia" w:ascii="宋体" w:hAnsi="宋体" w:cs="宋体"/>
                <w:color w:val="auto"/>
                <w:sz w:val="24"/>
                <w:szCs w:val="24"/>
                <w:highlight w:val="none"/>
                <w:lang w:val="en-US" w:eastAsia="zh-CN"/>
              </w:rPr>
              <w:t>在环卫市政服务领域中</w:t>
            </w:r>
            <w:r>
              <w:rPr>
                <w:rFonts w:hint="eastAsia" w:ascii="宋体" w:hAnsi="宋体" w:eastAsia="宋体" w:cs="宋体"/>
                <w:color w:val="auto"/>
                <w:sz w:val="24"/>
                <w:szCs w:val="24"/>
                <w:highlight w:val="none"/>
                <w:lang w:val="en-US" w:eastAsia="zh-CN"/>
              </w:rPr>
              <w:t>获得县（</w:t>
            </w:r>
            <w:r>
              <w:rPr>
                <w:rFonts w:hint="eastAsia" w:ascii="宋体" w:hAnsi="宋体" w:cs="宋体"/>
                <w:color w:val="auto"/>
                <w:sz w:val="24"/>
                <w:szCs w:val="24"/>
                <w:highlight w:val="none"/>
                <w:lang w:val="en-US" w:eastAsia="zh-CN"/>
              </w:rPr>
              <w:t>区</w:t>
            </w:r>
            <w:r>
              <w:rPr>
                <w:rFonts w:hint="eastAsia" w:ascii="宋体" w:hAnsi="宋体" w:eastAsia="宋体" w:cs="宋体"/>
                <w:color w:val="auto"/>
                <w:sz w:val="24"/>
                <w:szCs w:val="24"/>
                <w:highlight w:val="none"/>
                <w:lang w:val="en-US" w:eastAsia="zh-CN"/>
              </w:rPr>
              <w:t>）级政府或行业行政主管部门颁发的环卫相关荣誉，每提供1个得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分，本项满分</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14AD2651">
            <w:pPr>
              <w:keepLines w:val="0"/>
              <w:pageBreakBefore w:val="0"/>
              <w:numPr>
                <w:ilvl w:val="0"/>
                <w:numId w:val="0"/>
              </w:numPr>
              <w:kinsoku/>
              <w:wordWrap/>
              <w:overflowPunct/>
              <w:topLinePunct w:val="0"/>
              <w:autoSpaceDE/>
              <w:autoSpaceDN/>
              <w:bidi w:val="0"/>
              <w:adjustRightInd w:val="0"/>
              <w:snapToGrid w:val="0"/>
              <w:spacing w:line="48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需提供颁发的相关荣誉证书扫描件或行业行政主管部门红头文件扫描件，投标人提供的上述证明材料须体现投标人名称并加盖投标人公章，否则不得分。</w:t>
            </w:r>
          </w:p>
        </w:tc>
      </w:tr>
      <w:tr w14:paraId="2A228664">
        <w:tblPrEx>
          <w:tblCellMar>
            <w:top w:w="0" w:type="dxa"/>
            <w:left w:w="108" w:type="dxa"/>
            <w:bottom w:w="0" w:type="dxa"/>
            <w:right w:w="108" w:type="dxa"/>
          </w:tblCellMar>
        </w:tblPrEx>
        <w:trPr>
          <w:trHeight w:val="1045" w:hRule="atLeast"/>
        </w:trPr>
        <w:tc>
          <w:tcPr>
            <w:tcW w:w="476" w:type="dxa"/>
            <w:tcBorders>
              <w:top w:val="single" w:color="auto" w:sz="4" w:space="0"/>
              <w:left w:val="single" w:color="auto" w:sz="4" w:space="0"/>
              <w:bottom w:val="single" w:color="auto" w:sz="4" w:space="0"/>
              <w:right w:val="single" w:color="auto" w:sz="4" w:space="0"/>
            </w:tcBorders>
            <w:vAlign w:val="center"/>
          </w:tcPr>
          <w:p w14:paraId="42EC4A50">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6</w:t>
            </w:r>
          </w:p>
        </w:tc>
        <w:tc>
          <w:tcPr>
            <w:tcW w:w="1121" w:type="dxa"/>
            <w:gridSpan w:val="2"/>
            <w:tcBorders>
              <w:top w:val="single" w:color="auto" w:sz="4" w:space="0"/>
              <w:left w:val="nil"/>
              <w:bottom w:val="single" w:color="auto" w:sz="4" w:space="0"/>
              <w:right w:val="single" w:color="auto" w:sz="4" w:space="0"/>
            </w:tcBorders>
            <w:vAlign w:val="center"/>
          </w:tcPr>
          <w:p w14:paraId="54D3C525">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color w:val="auto"/>
                <w:sz w:val="24"/>
                <w:highlight w:val="none"/>
              </w:rPr>
            </w:pPr>
            <w:r>
              <w:rPr>
                <w:rFonts w:hint="eastAsia" w:ascii="宋体" w:hAnsi="宋体"/>
                <w:color w:val="auto"/>
                <w:sz w:val="24"/>
                <w:highlight w:val="none"/>
                <w:lang w:val="en-US" w:eastAsia="zh-CN"/>
              </w:rPr>
              <w:t>拟投入设备工具配置</w:t>
            </w:r>
          </w:p>
        </w:tc>
        <w:tc>
          <w:tcPr>
            <w:tcW w:w="975" w:type="dxa"/>
            <w:tcBorders>
              <w:top w:val="single" w:color="auto" w:sz="4" w:space="0"/>
              <w:left w:val="single" w:color="auto" w:sz="4" w:space="0"/>
              <w:bottom w:val="single" w:color="auto" w:sz="4" w:space="0"/>
              <w:right w:val="single" w:color="auto" w:sz="4" w:space="0"/>
            </w:tcBorders>
            <w:vAlign w:val="center"/>
          </w:tcPr>
          <w:p w14:paraId="57C9FE47">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9分</w:t>
            </w:r>
          </w:p>
        </w:tc>
        <w:tc>
          <w:tcPr>
            <w:tcW w:w="7011" w:type="dxa"/>
            <w:gridSpan w:val="2"/>
            <w:tcBorders>
              <w:top w:val="single" w:color="auto" w:sz="4" w:space="0"/>
              <w:left w:val="nil"/>
              <w:bottom w:val="single" w:color="auto" w:sz="4" w:space="0"/>
              <w:right w:val="single" w:color="auto" w:sz="4" w:space="0"/>
            </w:tcBorders>
            <w:vAlign w:val="center"/>
          </w:tcPr>
          <w:p w14:paraId="7B858053">
            <w:pPr>
              <w:pStyle w:val="67"/>
              <w:keepLines w:val="0"/>
              <w:pageBreakBefore w:val="0"/>
              <w:kinsoku/>
              <w:wordWrap/>
              <w:overflowPunct/>
              <w:topLinePunct w:val="0"/>
              <w:bidi w:val="0"/>
              <w:spacing w:line="48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拟投入设备工具配置包括①主要机械设备配置及清扫清运工具及安全防护用品；②设备故障维修应急预案；</w:t>
            </w:r>
            <w:r>
              <w:rPr>
                <w:rFonts w:hint="default"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投入新能源、智能设施设备等内容。</w:t>
            </w:r>
          </w:p>
          <w:p w14:paraId="3B00F834">
            <w:pPr>
              <w:pStyle w:val="67"/>
              <w:keepLines w:val="0"/>
              <w:pageBreakBefore w:val="0"/>
              <w:kinsoku/>
              <w:wordWrap/>
              <w:overflowPunct/>
              <w:topLinePunct w:val="0"/>
              <w:bidi w:val="0"/>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档（6-9分）：完整覆盖全部3项内容，设备工具清单详实，设备配置贴合本项目作业实际；设备故障维修应急预案流程完整闭环；新能源、智能清扫保洁设备配置方案科学合理，落地性强，能够充分保障项目作业实施，完全满足采购需求。</w:t>
            </w:r>
          </w:p>
          <w:p w14:paraId="411D6842">
            <w:pPr>
              <w:pStyle w:val="67"/>
              <w:keepLines w:val="0"/>
              <w:pageBreakBefore w:val="0"/>
              <w:kinsoku/>
              <w:wordWrap/>
              <w:overflowPunct/>
              <w:topLinePunct w:val="0"/>
              <w:bidi w:val="0"/>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二档（3-5分）：包含大部分内容，部分内容深度不足；设备、工具配置基本匹配项目作业需要，故障维修应急预案框架完整，新能源、智能设备有相应规划，能够基本保障项目实施，满足采购需求。</w:t>
            </w:r>
          </w:p>
          <w:p w14:paraId="4CC071C5">
            <w:pPr>
              <w:pStyle w:val="67"/>
              <w:keepLines w:val="0"/>
              <w:pageBreakBefore w:val="0"/>
              <w:kinsoku/>
              <w:wordWrap/>
              <w:overflowPunct/>
              <w:topLinePunct w:val="0"/>
              <w:bidi w:val="0"/>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三档（0-2分）：方案阐述简略，存在缺漏项；设备工具配置、设备故障处置预案针对性不足，新能源、智能设备相关内容空洞，难以充分保障项目实施，仅可部分满足采购需求。</w:t>
            </w:r>
          </w:p>
        </w:tc>
      </w:tr>
      <w:tr w14:paraId="7F71860E">
        <w:tblPrEx>
          <w:tblCellMar>
            <w:top w:w="0" w:type="dxa"/>
            <w:left w:w="108" w:type="dxa"/>
            <w:bottom w:w="0" w:type="dxa"/>
            <w:right w:w="108" w:type="dxa"/>
          </w:tblCellMar>
        </w:tblPrEx>
        <w:trPr>
          <w:trHeight w:val="90" w:hRule="atLeast"/>
        </w:trPr>
        <w:tc>
          <w:tcPr>
            <w:tcW w:w="476" w:type="dxa"/>
            <w:tcBorders>
              <w:top w:val="single" w:color="auto" w:sz="4" w:space="0"/>
              <w:left w:val="single" w:color="auto" w:sz="4" w:space="0"/>
              <w:bottom w:val="single" w:color="auto" w:sz="4" w:space="0"/>
              <w:right w:val="single" w:color="auto" w:sz="4" w:space="0"/>
            </w:tcBorders>
            <w:vAlign w:val="center"/>
          </w:tcPr>
          <w:p w14:paraId="20E79962">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7</w:t>
            </w:r>
          </w:p>
        </w:tc>
        <w:tc>
          <w:tcPr>
            <w:tcW w:w="1121" w:type="dxa"/>
            <w:gridSpan w:val="2"/>
            <w:tcBorders>
              <w:top w:val="single" w:color="auto" w:sz="4" w:space="0"/>
              <w:left w:val="nil"/>
              <w:bottom w:val="single" w:color="auto" w:sz="4" w:space="0"/>
              <w:right w:val="single" w:color="auto" w:sz="4" w:space="0"/>
            </w:tcBorders>
            <w:vAlign w:val="center"/>
          </w:tcPr>
          <w:p w14:paraId="54EAC2EA">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业绩</w:t>
            </w:r>
          </w:p>
        </w:tc>
        <w:tc>
          <w:tcPr>
            <w:tcW w:w="975" w:type="dxa"/>
            <w:tcBorders>
              <w:top w:val="single" w:color="auto" w:sz="4" w:space="0"/>
              <w:left w:val="single" w:color="auto" w:sz="4" w:space="0"/>
              <w:bottom w:val="single" w:color="auto" w:sz="4" w:space="0"/>
              <w:right w:val="single" w:color="auto" w:sz="4" w:space="0"/>
            </w:tcBorders>
            <w:vAlign w:val="center"/>
          </w:tcPr>
          <w:p w14:paraId="56F660C8">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5</w:t>
            </w:r>
            <w:r>
              <w:rPr>
                <w:rFonts w:hint="eastAsia" w:ascii="宋体" w:hAnsi="宋体"/>
                <w:color w:val="auto"/>
                <w:sz w:val="24"/>
                <w:highlight w:val="none"/>
              </w:rPr>
              <w:t>分</w:t>
            </w:r>
          </w:p>
        </w:tc>
        <w:tc>
          <w:tcPr>
            <w:tcW w:w="7011" w:type="dxa"/>
            <w:gridSpan w:val="2"/>
            <w:tcBorders>
              <w:top w:val="single" w:color="auto" w:sz="4" w:space="0"/>
              <w:left w:val="nil"/>
              <w:bottom w:val="single" w:color="auto" w:sz="4" w:space="0"/>
              <w:right w:val="single" w:color="auto" w:sz="4" w:space="0"/>
            </w:tcBorders>
            <w:vAlign w:val="center"/>
          </w:tcPr>
          <w:p w14:paraId="3AF05A4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投标人提供202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年1月1日至今完成过的类似业绩（环卫保洁</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市政运维</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绿化管护一体化服务业绩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且单个合同金额在500万元及以上</w:t>
            </w:r>
            <w:r>
              <w:rPr>
                <w:rFonts w:hint="eastAsia" w:ascii="宋体" w:hAnsi="宋体" w:eastAsia="宋体" w:cs="宋体"/>
                <w:color w:val="auto"/>
                <w:sz w:val="24"/>
                <w:szCs w:val="24"/>
                <w:highlight w:val="none"/>
              </w:rPr>
              <w:t>），提供一个类似业绩得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分，每增加一个类似业绩得1分，满分</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69E5E1A">
            <w:pPr>
              <w:keepNext w:val="0"/>
              <w:keepLines w:val="0"/>
              <w:pageBreakBefore w:val="0"/>
              <w:kinsoku/>
              <w:wordWrap/>
              <w:overflowPunct/>
              <w:topLinePunct w:val="0"/>
              <w:autoSpaceDE/>
              <w:autoSpaceDN/>
              <w:bidi w:val="0"/>
              <w:adjustRightInd/>
              <w:snapToGrid/>
              <w:spacing w:line="480" w:lineRule="exact"/>
              <w:ind w:firstLine="361" w:firstLineChars="150"/>
              <w:textAlignment w:val="auto"/>
              <w:rPr>
                <w:rFonts w:hint="default"/>
                <w:color w:val="auto"/>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注：证明材料（如合同或中标（成交）通知书或其它有效证明）复印件（扫描件）应加盖公章</w:t>
            </w:r>
            <w:r>
              <w:rPr>
                <w:rFonts w:hint="eastAsia" w:ascii="宋体" w:hAnsi="宋体" w:cs="宋体"/>
                <w:b/>
                <w:color w:val="000000" w:themeColor="text1"/>
                <w:sz w:val="24"/>
                <w:szCs w:val="24"/>
                <w:highlight w:val="none"/>
                <w:lang w:eastAsia="zh-CN"/>
                <w14:textFill>
                  <w14:solidFill>
                    <w14:schemeClr w14:val="tx1"/>
                  </w14:solidFill>
                </w14:textFill>
              </w:rPr>
              <w:t>放</w:t>
            </w:r>
            <w:r>
              <w:rPr>
                <w:rFonts w:hint="eastAsia" w:ascii="宋体" w:hAnsi="宋体" w:eastAsia="宋体" w:cs="宋体"/>
                <w:b/>
                <w:color w:val="000000" w:themeColor="text1"/>
                <w:sz w:val="24"/>
                <w:szCs w:val="24"/>
                <w:highlight w:val="none"/>
                <w14:textFill>
                  <w14:solidFill>
                    <w14:schemeClr w14:val="tx1"/>
                  </w14:solidFill>
                </w14:textFill>
              </w:rPr>
              <w:t>在投标文件内，否则评分时不得分</w:t>
            </w:r>
            <w:r>
              <w:rPr>
                <w:rFonts w:hint="eastAsia" w:ascii="宋体" w:hAnsi="宋体" w:eastAsia="宋体" w:cs="Times New Roman"/>
                <w:b/>
                <w:bCs/>
                <w:color w:val="auto"/>
                <w:sz w:val="24"/>
                <w:highlight w:val="none"/>
                <w:lang w:val="en-US" w:eastAsia="zh-CN"/>
              </w:rPr>
              <w:t>。</w:t>
            </w:r>
          </w:p>
        </w:tc>
      </w:tr>
      <w:tr w14:paraId="7F85BEB3">
        <w:tblPrEx>
          <w:tblCellMar>
            <w:top w:w="0" w:type="dxa"/>
            <w:left w:w="108" w:type="dxa"/>
            <w:bottom w:w="0" w:type="dxa"/>
            <w:right w:w="108" w:type="dxa"/>
          </w:tblCellMar>
        </w:tblPrEx>
        <w:trPr>
          <w:trHeight w:val="90" w:hRule="atLeast"/>
        </w:trPr>
        <w:tc>
          <w:tcPr>
            <w:tcW w:w="476" w:type="dxa"/>
            <w:tcBorders>
              <w:top w:val="single" w:color="auto" w:sz="4" w:space="0"/>
              <w:left w:val="single" w:color="auto" w:sz="4" w:space="0"/>
              <w:bottom w:val="single" w:color="auto" w:sz="4" w:space="0"/>
              <w:right w:val="single" w:color="auto" w:sz="4" w:space="0"/>
            </w:tcBorders>
            <w:vAlign w:val="center"/>
          </w:tcPr>
          <w:p w14:paraId="43DEDA13">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bCs/>
                <w:iCs/>
                <w:color w:val="auto"/>
                <w:sz w:val="24"/>
                <w:highlight w:val="none"/>
                <w:lang w:val="en-US" w:eastAsia="zh-CN"/>
              </w:rPr>
            </w:pPr>
            <w:r>
              <w:rPr>
                <w:rFonts w:hint="eastAsia" w:ascii="宋体" w:hAnsi="宋体"/>
                <w:bCs/>
                <w:iCs/>
                <w:color w:val="auto"/>
                <w:sz w:val="24"/>
                <w:highlight w:val="none"/>
                <w:lang w:val="en-US" w:eastAsia="zh-CN"/>
              </w:rPr>
              <w:t>8</w:t>
            </w:r>
          </w:p>
        </w:tc>
        <w:tc>
          <w:tcPr>
            <w:tcW w:w="1121" w:type="dxa"/>
            <w:gridSpan w:val="2"/>
            <w:tcBorders>
              <w:top w:val="single" w:color="auto" w:sz="4" w:space="0"/>
              <w:left w:val="nil"/>
              <w:bottom w:val="single" w:color="auto" w:sz="4" w:space="0"/>
              <w:right w:val="single" w:color="auto" w:sz="4" w:space="0"/>
            </w:tcBorders>
            <w:vAlign w:val="center"/>
          </w:tcPr>
          <w:p w14:paraId="0C665778">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color w:val="auto"/>
                <w:sz w:val="24"/>
                <w:highlight w:val="none"/>
              </w:rPr>
            </w:pPr>
            <w:r>
              <w:rPr>
                <w:rFonts w:hint="eastAsia" w:asciiTheme="minorEastAsia" w:hAnsiTheme="minorEastAsia" w:eastAsiaTheme="minorEastAsia" w:cstheme="minorEastAsia"/>
                <w:b w:val="0"/>
                <w:bCs w:val="0"/>
                <w:color w:val="auto"/>
                <w:sz w:val="24"/>
                <w:szCs w:val="24"/>
                <w:highlight w:val="none"/>
                <w:shd w:val="clear" w:color="auto" w:fill="FFFFFF"/>
                <w:lang w:val="en-US" w:eastAsia="zh-CN" w:bidi="ar"/>
              </w:rPr>
              <w:t>信息化能力</w:t>
            </w:r>
          </w:p>
        </w:tc>
        <w:tc>
          <w:tcPr>
            <w:tcW w:w="975" w:type="dxa"/>
            <w:tcBorders>
              <w:top w:val="single" w:color="auto" w:sz="4" w:space="0"/>
              <w:left w:val="single" w:color="auto" w:sz="4" w:space="0"/>
              <w:bottom w:val="single" w:color="auto" w:sz="4" w:space="0"/>
              <w:right w:val="single" w:color="auto" w:sz="4" w:space="0"/>
            </w:tcBorders>
            <w:vAlign w:val="center"/>
          </w:tcPr>
          <w:p w14:paraId="3A019287">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5分</w:t>
            </w:r>
          </w:p>
        </w:tc>
        <w:tc>
          <w:tcPr>
            <w:tcW w:w="7011" w:type="dxa"/>
            <w:gridSpan w:val="2"/>
            <w:tcBorders>
              <w:top w:val="single" w:color="auto" w:sz="4" w:space="0"/>
              <w:left w:val="nil"/>
              <w:bottom w:val="single" w:color="auto" w:sz="4" w:space="0"/>
              <w:right w:val="single" w:color="auto" w:sz="4" w:space="0"/>
            </w:tcBorders>
            <w:vAlign w:val="center"/>
          </w:tcPr>
          <w:p w14:paraId="13FDD8DD">
            <w:pPr>
              <w:keepNext w:val="0"/>
              <w:keepLines w:val="0"/>
              <w:pageBreakBefore w:val="0"/>
              <w:kinsoku/>
              <w:wordWrap/>
              <w:overflowPunct/>
              <w:topLinePunct w:val="0"/>
              <w:autoSpaceDE/>
              <w:autoSpaceDN/>
              <w:bidi w:val="0"/>
              <w:adjustRightInd/>
              <w:snapToGrid/>
              <w:spacing w:line="480" w:lineRule="exact"/>
              <w:ind w:firstLine="360" w:firstLineChars="15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本项目用于项目运营中提供并投入（清扫保洁、垃圾清运、公厕管理、路灯、市政道路维护等）的智慧环卫管理平台，</w:t>
            </w:r>
            <w:r>
              <w:rPr>
                <w:rFonts w:hint="eastAsia" w:ascii="宋体" w:hAnsi="宋体" w:cs="宋体"/>
                <w:color w:val="auto"/>
                <w:sz w:val="24"/>
                <w:highlight w:val="none"/>
                <w:lang w:val="en-US" w:eastAsia="zh-CN"/>
              </w:rPr>
              <w:t>并</w:t>
            </w:r>
            <w:r>
              <w:rPr>
                <w:rFonts w:hint="eastAsia" w:ascii="宋体" w:hAnsi="宋体" w:eastAsia="宋体" w:cs="宋体"/>
                <w:color w:val="auto"/>
                <w:sz w:val="24"/>
                <w:highlight w:val="none"/>
                <w:lang w:val="en-US" w:eastAsia="zh-CN"/>
              </w:rPr>
              <w:t>与采购人智慧城管平台实现对接兼容。</w:t>
            </w:r>
          </w:p>
          <w:p w14:paraId="4199BCF8">
            <w:pPr>
              <w:keepNext w:val="0"/>
              <w:keepLines w:val="0"/>
              <w:pageBreakBefore w:val="0"/>
              <w:kinsoku/>
              <w:wordWrap/>
              <w:overflowPunct/>
              <w:topLinePunct w:val="0"/>
              <w:autoSpaceDE/>
              <w:autoSpaceDN/>
              <w:bidi w:val="0"/>
              <w:adjustRightInd/>
              <w:snapToGrid/>
              <w:spacing w:line="480" w:lineRule="exact"/>
              <w:ind w:firstLine="360" w:firstLineChars="15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1、投标人具备自主研发智慧环卫管理</w:t>
            </w:r>
            <w:r>
              <w:rPr>
                <w:rFonts w:hint="eastAsia" w:ascii="宋体" w:hAnsi="宋体" w:cs="宋体"/>
                <w:color w:val="auto"/>
                <w:sz w:val="24"/>
                <w:highlight w:val="none"/>
                <w:lang w:val="en-US" w:eastAsia="zh-CN"/>
              </w:rPr>
              <w:t>系统</w:t>
            </w:r>
            <w:r>
              <w:rPr>
                <w:rFonts w:hint="eastAsia" w:ascii="宋体" w:hAnsi="宋体" w:eastAsia="宋体" w:cs="宋体"/>
                <w:color w:val="auto"/>
                <w:sz w:val="24"/>
                <w:highlight w:val="none"/>
                <w:lang w:val="en-US" w:eastAsia="zh-CN"/>
              </w:rPr>
              <w:t>，提供相关</w:t>
            </w:r>
            <w:r>
              <w:rPr>
                <w:rFonts w:hint="eastAsia" w:ascii="宋体" w:hAnsi="宋体" w:cs="宋体"/>
                <w:color w:val="auto"/>
                <w:sz w:val="24"/>
                <w:highlight w:val="none"/>
                <w:lang w:val="en-US" w:eastAsia="zh-CN"/>
              </w:rPr>
              <w:t>系统</w:t>
            </w:r>
            <w:r>
              <w:rPr>
                <w:rFonts w:hint="eastAsia" w:ascii="宋体" w:hAnsi="宋体" w:eastAsia="宋体" w:cs="宋体"/>
                <w:color w:val="auto"/>
                <w:sz w:val="24"/>
                <w:highlight w:val="none"/>
                <w:lang w:val="en-US" w:eastAsia="zh-CN"/>
              </w:rPr>
              <w:t>著作权证书且证书标有投标人名称，每提供1个得1分，最高得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4C9769EB">
            <w:pPr>
              <w:keepNext w:val="0"/>
              <w:keepLines w:val="0"/>
              <w:pageBreakBefore w:val="0"/>
              <w:kinsoku/>
              <w:wordWrap/>
              <w:overflowPunct/>
              <w:topLinePunct w:val="0"/>
              <w:autoSpaceDE/>
              <w:autoSpaceDN/>
              <w:bidi w:val="0"/>
              <w:adjustRightInd/>
              <w:snapToGrid/>
              <w:spacing w:line="480" w:lineRule="exact"/>
              <w:ind w:firstLine="360" w:firstLineChars="15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2、投标人须提供企业已实际投入运行的智慧环卫管理平台</w:t>
            </w:r>
            <w:r>
              <w:rPr>
                <w:rFonts w:hint="eastAsia" w:ascii="宋体" w:hAnsi="宋体" w:cs="宋体"/>
                <w:color w:val="auto"/>
                <w:sz w:val="24"/>
                <w:highlight w:val="none"/>
                <w:lang w:val="en-US" w:eastAsia="zh-CN"/>
              </w:rPr>
              <w:t>相关经验</w:t>
            </w:r>
            <w:r>
              <w:rPr>
                <w:rFonts w:hint="eastAsia" w:ascii="宋体" w:hAnsi="宋体" w:eastAsia="宋体" w:cs="宋体"/>
                <w:color w:val="auto"/>
                <w:sz w:val="24"/>
                <w:highlight w:val="none"/>
                <w:lang w:val="en-US" w:eastAsia="zh-CN"/>
              </w:rPr>
              <w:t>（佐证材料</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平台系统界面截图</w:t>
            </w:r>
            <w:r>
              <w:rPr>
                <w:rFonts w:hint="eastAsia" w:ascii="宋体" w:hAnsi="宋体" w:cs="宋体"/>
                <w:color w:val="auto"/>
                <w:sz w:val="24"/>
                <w:highlight w:val="none"/>
                <w:lang w:val="en-US" w:eastAsia="zh-CN"/>
              </w:rPr>
              <w:t>或</w:t>
            </w:r>
            <w:r>
              <w:rPr>
                <w:rFonts w:hint="eastAsia" w:ascii="宋体" w:hAnsi="宋体" w:eastAsia="宋体" w:cs="宋体"/>
                <w:color w:val="auto"/>
                <w:sz w:val="24"/>
                <w:highlight w:val="none"/>
                <w:lang w:val="en-US" w:eastAsia="zh-CN"/>
              </w:rPr>
              <w:t>正在服务项目合同</w:t>
            </w:r>
            <w:r>
              <w:rPr>
                <w:rFonts w:hint="eastAsia" w:ascii="宋体" w:hAnsi="宋体" w:cs="宋体"/>
                <w:color w:val="auto"/>
                <w:sz w:val="24"/>
                <w:highlight w:val="none"/>
                <w:lang w:val="en-US" w:eastAsia="zh-CN"/>
              </w:rPr>
              <w:t>或业主证明材料</w:t>
            </w:r>
            <w:r>
              <w:rPr>
                <w:rFonts w:hint="eastAsia" w:ascii="宋体" w:hAnsi="宋体" w:eastAsia="宋体" w:cs="宋体"/>
                <w:color w:val="auto"/>
                <w:sz w:val="24"/>
                <w:highlight w:val="none"/>
                <w:lang w:val="en-US" w:eastAsia="zh-CN"/>
              </w:rPr>
              <w:t>等，能够体现平台实际运行状态），</w:t>
            </w:r>
            <w:r>
              <w:rPr>
                <w:rFonts w:hint="eastAsia" w:ascii="宋体" w:hAnsi="宋体" w:cs="宋体"/>
                <w:color w:val="auto"/>
                <w:sz w:val="24"/>
                <w:highlight w:val="none"/>
                <w:lang w:val="en-US" w:eastAsia="zh-CN"/>
              </w:rPr>
              <w:t>有</w:t>
            </w:r>
            <w:r>
              <w:rPr>
                <w:rFonts w:hint="eastAsia" w:ascii="宋体" w:hAnsi="宋体" w:eastAsia="宋体" w:cs="宋体"/>
                <w:color w:val="auto"/>
                <w:sz w:val="24"/>
                <w:highlight w:val="none"/>
                <w:lang w:val="en-US" w:eastAsia="zh-CN"/>
              </w:rPr>
              <w:t>智慧环卫管理平台</w:t>
            </w:r>
            <w:r>
              <w:rPr>
                <w:rFonts w:hint="eastAsia" w:ascii="宋体" w:hAnsi="宋体" w:cs="宋体"/>
                <w:color w:val="auto"/>
                <w:sz w:val="24"/>
                <w:highlight w:val="none"/>
                <w:lang w:val="en-US" w:eastAsia="zh-CN"/>
              </w:rPr>
              <w:t>相关经验的</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未提供运行平台佐证材料本项不得分。</w:t>
            </w:r>
          </w:p>
          <w:p w14:paraId="4882CF71">
            <w:pPr>
              <w:keepNext w:val="0"/>
              <w:keepLines w:val="0"/>
              <w:pageBreakBefore w:val="0"/>
              <w:kinsoku/>
              <w:wordWrap/>
              <w:overflowPunct/>
              <w:topLinePunct w:val="0"/>
              <w:autoSpaceDE/>
              <w:autoSpaceDN/>
              <w:bidi w:val="0"/>
              <w:adjustRightInd/>
              <w:snapToGrid/>
              <w:spacing w:line="480" w:lineRule="exact"/>
              <w:ind w:firstLine="360" w:firstLineChars="150"/>
              <w:textAlignment w:val="auto"/>
              <w:rPr>
                <w:rFonts w:hint="eastAsia" w:ascii="宋体" w:hAnsi="宋体" w:cs="Times New Roman"/>
                <w:b/>
                <w:bCs/>
                <w:color w:val="auto"/>
                <w:sz w:val="24"/>
                <w:highlight w:val="none"/>
                <w:lang w:val="en-US" w:eastAsia="zh-CN"/>
              </w:rPr>
            </w:pPr>
            <w:r>
              <w:rPr>
                <w:rFonts w:hint="eastAsia" w:ascii="宋体" w:hAnsi="宋体" w:eastAsia="宋体" w:cs="宋体"/>
                <w:color w:val="auto"/>
                <w:sz w:val="24"/>
                <w:highlight w:val="none"/>
                <w:lang w:val="en-US" w:eastAsia="zh-CN"/>
              </w:rPr>
              <w:t>注：须提供相关软件著作权证书扫描件、平台运行截图、对应项目合同证明材料</w:t>
            </w:r>
            <w:r>
              <w:rPr>
                <w:rFonts w:hint="eastAsia" w:ascii="宋体" w:hAnsi="宋体" w:cs="宋体"/>
                <w:color w:val="auto"/>
                <w:sz w:val="24"/>
                <w:highlight w:val="none"/>
                <w:lang w:val="en-US" w:eastAsia="zh-CN"/>
              </w:rPr>
              <w:t>、业主证明材料</w:t>
            </w:r>
            <w:r>
              <w:rPr>
                <w:rFonts w:hint="eastAsia" w:ascii="宋体" w:hAnsi="宋体" w:eastAsia="宋体" w:cs="宋体"/>
                <w:color w:val="auto"/>
                <w:sz w:val="24"/>
                <w:highlight w:val="none"/>
                <w:lang w:val="en-US" w:eastAsia="zh-CN"/>
              </w:rPr>
              <w:t>并加盖投标人公章，否则不予计分。</w:t>
            </w:r>
          </w:p>
        </w:tc>
      </w:tr>
      <w:tr w14:paraId="7EB6A9A9">
        <w:tblPrEx>
          <w:tblCellMar>
            <w:top w:w="0" w:type="dxa"/>
            <w:left w:w="108" w:type="dxa"/>
            <w:bottom w:w="0" w:type="dxa"/>
            <w:right w:w="108" w:type="dxa"/>
          </w:tblCellMar>
        </w:tblPrEx>
        <w:trPr>
          <w:trHeight w:val="495" w:hRule="atLeast"/>
        </w:trPr>
        <w:tc>
          <w:tcPr>
            <w:tcW w:w="9583" w:type="dxa"/>
            <w:gridSpan w:val="6"/>
            <w:tcBorders>
              <w:top w:val="single" w:color="auto" w:sz="4" w:space="0"/>
              <w:left w:val="single" w:color="auto" w:sz="4" w:space="0"/>
              <w:bottom w:val="single" w:color="auto" w:sz="4" w:space="0"/>
              <w:right w:val="single" w:color="auto" w:sz="4" w:space="0"/>
            </w:tcBorders>
            <w:vAlign w:val="center"/>
          </w:tcPr>
          <w:p w14:paraId="365B9BA3">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说明：</w:t>
            </w:r>
          </w:p>
          <w:p w14:paraId="77D7730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1.对各投标人的投标文件的综合技术实力部分独立进行评分；</w:t>
            </w:r>
          </w:p>
          <w:p w14:paraId="018724B0">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2.各投标人须根据上述评分因素提供相应证明材料，以便评标小组进行审查及评分。</w:t>
            </w:r>
          </w:p>
          <w:p w14:paraId="3EAEA5B1">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cs="Times New Roman"/>
                <w:b/>
                <w:bCs/>
                <w:color w:val="FF0000"/>
                <w:sz w:val="24"/>
                <w:highlight w:val="none"/>
                <w:lang w:val="en-US" w:eastAsia="zh-CN"/>
              </w:rPr>
            </w:pPr>
            <w:r>
              <w:rPr>
                <w:rFonts w:hint="eastAsia" w:ascii="宋体" w:hAnsi="宋体" w:cs="Times New Roman"/>
                <w:b/>
                <w:bCs/>
                <w:color w:val="auto"/>
                <w:sz w:val="24"/>
                <w:highlight w:val="none"/>
                <w:lang w:val="en-US" w:eastAsia="zh-CN"/>
              </w:rPr>
              <w:t>3.投标人编制技术部分应注重质量、符合项目实际情况，而非着重篇幅。技术实力部分（响应文件技术商务部分）总页数不得超过2000页，否则技术商务部分所有评分均在第二档次赋分。</w:t>
            </w:r>
          </w:p>
        </w:tc>
      </w:tr>
    </w:tbl>
    <w:p w14:paraId="5DB74790">
      <w:pPr>
        <w:rPr>
          <w:rFonts w:hint="eastAsia"/>
          <w:lang w:eastAsia="zh-CN"/>
        </w:rPr>
      </w:pPr>
    </w:p>
    <w:p w14:paraId="23EC0069">
      <w:pPr>
        <w:rPr>
          <w:rFonts w:hint="eastAsia" w:ascii="宋体" w:hAnsi="宋体" w:eastAsia="宋体" w:cs="宋体"/>
          <w:color w:val="auto"/>
          <w:highlight w:val="none"/>
        </w:rPr>
        <w:sectPr>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p>
    <w:p w14:paraId="11870D7E">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254" w:name="_Toc2210"/>
      <w:bookmarkStart w:id="255" w:name="_Toc7426"/>
      <w:bookmarkStart w:id="256" w:name="_Toc4237"/>
      <w:bookmarkStart w:id="257" w:name="_Toc11291"/>
      <w:r>
        <w:rPr>
          <w:rFonts w:hint="eastAsia" w:ascii="宋体" w:hAnsi="宋体" w:eastAsia="宋体" w:cs="宋体"/>
          <w:color w:val="auto"/>
          <w:highlight w:val="none"/>
        </w:rPr>
        <w:t>1.评标机构</w:t>
      </w:r>
      <w:bookmarkEnd w:id="243"/>
      <w:bookmarkEnd w:id="244"/>
      <w:bookmarkEnd w:id="245"/>
      <w:bookmarkEnd w:id="246"/>
      <w:bookmarkEnd w:id="247"/>
      <w:bookmarkEnd w:id="248"/>
      <w:bookmarkEnd w:id="249"/>
      <w:bookmarkEnd w:id="250"/>
      <w:bookmarkEnd w:id="251"/>
      <w:bookmarkEnd w:id="252"/>
      <w:bookmarkEnd w:id="254"/>
      <w:bookmarkEnd w:id="255"/>
      <w:bookmarkEnd w:id="256"/>
      <w:bookmarkEnd w:id="257"/>
    </w:p>
    <w:p w14:paraId="41E3084A">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评标机构为评标委员会，评标委员会由</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代表和评审专家组成，成员人数为5人以上单数，其中技术、经济专家不得少于成员总数的三分之二。</w:t>
      </w:r>
    </w:p>
    <w:p w14:paraId="282B8C73">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258" w:name="_Toc95915213"/>
      <w:bookmarkStart w:id="259" w:name="_Toc6390"/>
      <w:bookmarkStart w:id="260" w:name="_Toc88350314"/>
      <w:bookmarkStart w:id="261" w:name="_Toc36327309"/>
      <w:bookmarkStart w:id="262" w:name="_Toc7677"/>
      <w:bookmarkStart w:id="263" w:name="_Toc10898"/>
      <w:bookmarkStart w:id="264" w:name="_Toc83539046"/>
      <w:bookmarkStart w:id="265" w:name="_Toc83683783"/>
      <w:bookmarkStart w:id="266" w:name="_Toc27160"/>
      <w:bookmarkStart w:id="267" w:name="_Toc26350403"/>
      <w:bookmarkStart w:id="268" w:name="_Toc66976539"/>
      <w:bookmarkStart w:id="269" w:name="_Toc78140821"/>
      <w:bookmarkStart w:id="270" w:name="_Toc17467"/>
      <w:bookmarkStart w:id="271" w:name="_Toc15677"/>
      <w:r>
        <w:rPr>
          <w:rFonts w:hint="eastAsia" w:ascii="宋体" w:hAnsi="宋体" w:eastAsia="宋体" w:cs="宋体"/>
          <w:color w:val="auto"/>
          <w:highlight w:val="none"/>
        </w:rPr>
        <w:t>2.</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或者</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职责</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02A0C5CC">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或者</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负责组织评标工作，并履行下列职责：</w:t>
      </w:r>
    </w:p>
    <w:p w14:paraId="610981E7">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（一）核对评审专家身份和</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代表授权函，对评审专家在政府采购活动中的职责履行情况予以记录，并及时将有关违法违规行为向财政部门报告；</w:t>
      </w:r>
    </w:p>
    <w:p w14:paraId="70CE976B">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（二）宣布评标纪律； </w:t>
      </w:r>
    </w:p>
    <w:p w14:paraId="37521078">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（三）公布投标人名单，告知评审专家应当回避的情形；</w:t>
      </w:r>
    </w:p>
    <w:p w14:paraId="31340842">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（四）组织评标委员会推选评标组长，</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代表不得担任组长；</w:t>
      </w:r>
    </w:p>
    <w:p w14:paraId="42A61CDA">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（五）在评标期间采取必要的</w:t>
      </w:r>
      <w:r>
        <w:rPr>
          <w:rFonts w:hint="eastAsia" w:ascii="宋体" w:hAnsi="宋体" w:cs="宋体"/>
          <w:color w:val="auto"/>
          <w:sz w:val="24"/>
          <w:highlight w:val="none"/>
          <w:lang w:eastAsia="zh-CN"/>
        </w:rPr>
        <w:t>通信管理</w:t>
      </w:r>
      <w:r>
        <w:rPr>
          <w:rFonts w:hint="eastAsia" w:ascii="宋体" w:hAnsi="宋体" w:eastAsia="宋体" w:cs="宋体"/>
          <w:color w:val="auto"/>
          <w:sz w:val="24"/>
          <w:highlight w:val="none"/>
        </w:rPr>
        <w:t>措施，保证评标活动不受外界干扰；</w:t>
      </w:r>
    </w:p>
    <w:p w14:paraId="6E95027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（六）根据评标委员会的要求介绍政府采购相关政策法规、招标文件；</w:t>
      </w:r>
    </w:p>
    <w:p w14:paraId="7AE6EAF7">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（七）维护评标秩序，监督评标委员会依照招标文件规定的评标程序、方法和标准进行独立评审，及时制止和纠正</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代表、评审专家的倾向性言论或者违法违规行为；</w:t>
      </w:r>
    </w:p>
    <w:p w14:paraId="6DD0AF0D">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（八）核对评标结果，有本办法第六十四条规定情形的，要求评标委员会复核或者书面说明理由，评标委员会拒绝的，应予记录并向本级财政部门报告；</w:t>
      </w:r>
    </w:p>
    <w:p w14:paraId="7FD0D1AD">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（九）评审工作完成后，按照规定向评审专家支付劳务报酬和异地评审差旅费，不得向评审专家以外的</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 xml:space="preserve">人员支付评审劳务报酬； </w:t>
      </w:r>
    </w:p>
    <w:p w14:paraId="579C537F">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（十）处理与评标有关的</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事项。</w:t>
      </w:r>
    </w:p>
    <w:p w14:paraId="2A5F5FBD">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可以在评标前说明项目背景和采购需求，说明内容不得含有歧视性、倾向性意见，不得超出招标文件所述范围。</w:t>
      </w:r>
    </w:p>
    <w:p w14:paraId="7323DEE1">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272" w:name="_Toc6243"/>
      <w:bookmarkStart w:id="273" w:name="_Toc25372"/>
      <w:bookmarkStart w:id="274" w:name="_Toc83539047"/>
      <w:bookmarkStart w:id="275" w:name="_Toc83683784"/>
      <w:bookmarkStart w:id="276" w:name="_Toc32312"/>
      <w:bookmarkStart w:id="277" w:name="_Toc88350315"/>
      <w:bookmarkStart w:id="278" w:name="_Toc36327310"/>
      <w:bookmarkStart w:id="279" w:name="_Toc95915214"/>
      <w:bookmarkStart w:id="280" w:name="_Toc78140822"/>
      <w:bookmarkStart w:id="281" w:name="_Toc26350404"/>
      <w:bookmarkStart w:id="282" w:name="_Toc31389"/>
      <w:bookmarkStart w:id="283" w:name="_Toc1758"/>
      <w:bookmarkStart w:id="284" w:name="_Toc18739"/>
      <w:bookmarkStart w:id="285" w:name="_Toc66976540"/>
      <w:r>
        <w:rPr>
          <w:rFonts w:hint="eastAsia" w:ascii="宋体" w:hAnsi="宋体" w:eastAsia="宋体" w:cs="宋体"/>
          <w:color w:val="auto"/>
          <w:highlight w:val="none"/>
        </w:rPr>
        <w:t>3.评标委员会职责</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7348FE64">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评标委员会负责具体评标事务，并独立履行下列职责： </w:t>
      </w:r>
    </w:p>
    <w:p w14:paraId="2879B385">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（一）审查、评价投标文件是否符合招标文件的商务、技术等实质性要求； </w:t>
      </w:r>
    </w:p>
    <w:p w14:paraId="6C5A75A6">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（二）要求投标人对投标文件有关事项作出澄清或者说明； </w:t>
      </w:r>
    </w:p>
    <w:p w14:paraId="1D906A3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（三）对投标文件进行比较和评价； </w:t>
      </w:r>
    </w:p>
    <w:p w14:paraId="7B6FFC8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（四）确定中标候选人名单，以及根据</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 xml:space="preserve">委托直接确定中标人； </w:t>
      </w:r>
    </w:p>
    <w:p w14:paraId="0E4EC97A">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或者有关部门报告评标中发现的违法行为。</w:t>
      </w:r>
    </w:p>
    <w:p w14:paraId="15EF8F9D">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286" w:name="_Toc95915215"/>
      <w:bookmarkStart w:id="287" w:name="_Toc15876"/>
      <w:bookmarkStart w:id="288" w:name="_Toc6581"/>
      <w:bookmarkStart w:id="289" w:name="_Toc88350316"/>
      <w:bookmarkStart w:id="290" w:name="_Toc83539048"/>
      <w:bookmarkStart w:id="291" w:name="_Toc26350405"/>
      <w:bookmarkStart w:id="292" w:name="_Toc66976541"/>
      <w:bookmarkStart w:id="293" w:name="_Toc36327311"/>
      <w:bookmarkStart w:id="294" w:name="_Toc28763"/>
      <w:bookmarkStart w:id="295" w:name="_Toc25198"/>
      <w:bookmarkStart w:id="296" w:name="_Toc23807"/>
      <w:bookmarkStart w:id="297" w:name="_Toc83683785"/>
      <w:bookmarkStart w:id="298" w:name="_Toc26066"/>
      <w:bookmarkStart w:id="299" w:name="_Toc78140823"/>
      <w:r>
        <w:rPr>
          <w:rFonts w:hint="eastAsia" w:ascii="宋体" w:hAnsi="宋体" w:eastAsia="宋体" w:cs="宋体"/>
          <w:color w:val="auto"/>
          <w:highlight w:val="none"/>
        </w:rPr>
        <w:t>4.评标纪律</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417860EE">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（一）对评标内容和评标过程要严格保密，不得向投标人或与该过程无关</w:t>
      </w:r>
      <w:r>
        <w:rPr>
          <w:rFonts w:hint="eastAsia" w:ascii="宋体" w:hAnsi="宋体" w:cs="宋体"/>
          <w:color w:val="auto"/>
          <w:sz w:val="24"/>
          <w:highlight w:val="none"/>
          <w:lang w:eastAsia="zh-CN"/>
        </w:rPr>
        <w:t>的其他</w:t>
      </w:r>
      <w:r>
        <w:rPr>
          <w:rFonts w:hint="eastAsia" w:ascii="宋体" w:hAnsi="宋体" w:eastAsia="宋体" w:cs="宋体"/>
          <w:color w:val="auto"/>
          <w:sz w:val="24"/>
          <w:highlight w:val="none"/>
        </w:rPr>
        <w:t xml:space="preserve">人员泄露。 </w:t>
      </w:r>
    </w:p>
    <w:p w14:paraId="66D213B5">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（二）评标期间的一切资料，包括评标意见、评标记录和评标结论，一律不得向外</w:t>
      </w:r>
      <w:r>
        <w:rPr>
          <w:rFonts w:hint="eastAsia" w:ascii="宋体" w:hAnsi="宋体" w:cs="宋体"/>
          <w:color w:val="auto"/>
          <w:sz w:val="24"/>
          <w:highlight w:val="none"/>
          <w:lang w:eastAsia="zh-CN"/>
        </w:rPr>
        <w:t>传播</w:t>
      </w:r>
      <w:r>
        <w:rPr>
          <w:rFonts w:hint="eastAsia" w:ascii="宋体" w:hAnsi="宋体" w:eastAsia="宋体" w:cs="宋体"/>
          <w:color w:val="auto"/>
          <w:sz w:val="24"/>
          <w:highlight w:val="none"/>
        </w:rPr>
        <w:t>和</w:t>
      </w:r>
      <w:r>
        <w:rPr>
          <w:rFonts w:hint="eastAsia" w:ascii="宋体" w:hAnsi="宋体" w:cs="宋体"/>
          <w:color w:val="auto"/>
          <w:sz w:val="24"/>
          <w:highlight w:val="none"/>
          <w:lang w:eastAsia="zh-CN"/>
        </w:rPr>
        <w:t>泄漏</w:t>
      </w:r>
      <w:r>
        <w:rPr>
          <w:rFonts w:hint="eastAsia" w:ascii="宋体" w:hAnsi="宋体" w:eastAsia="宋体" w:cs="宋体"/>
          <w:color w:val="auto"/>
          <w:sz w:val="24"/>
          <w:highlight w:val="none"/>
        </w:rPr>
        <w:t>。</w:t>
      </w:r>
    </w:p>
    <w:p w14:paraId="4DDC8C69">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（三）任何属于投标文件审查、澄清、评价和比较的资料，不得向投标人或与该过程无关</w:t>
      </w:r>
      <w:r>
        <w:rPr>
          <w:rFonts w:hint="eastAsia" w:ascii="宋体" w:hAnsi="宋体" w:cs="宋体"/>
          <w:color w:val="auto"/>
          <w:sz w:val="24"/>
          <w:highlight w:val="none"/>
          <w:lang w:eastAsia="zh-CN"/>
        </w:rPr>
        <w:t>的其他</w:t>
      </w:r>
      <w:r>
        <w:rPr>
          <w:rFonts w:hint="eastAsia" w:ascii="宋体" w:hAnsi="宋体" w:eastAsia="宋体" w:cs="宋体"/>
          <w:color w:val="auto"/>
          <w:sz w:val="24"/>
          <w:highlight w:val="none"/>
        </w:rPr>
        <w:t xml:space="preserve">人员泄露。 </w:t>
      </w:r>
    </w:p>
    <w:p w14:paraId="52126B3A">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（四）所有资料（包括招标文件、投标文件、评标表格及各种文字记录）在评标结束后均应分别整理、存档备查，任何人不得复制和保留。 </w:t>
      </w:r>
    </w:p>
    <w:p w14:paraId="79B153CC">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（五）评标期间，未经允许评标委员会以外的任何单位或部门不得参加评标和采访评标工作。 </w:t>
      </w:r>
    </w:p>
    <w:p w14:paraId="1EA8CD78">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（六）评标期间，评标人员不得外出，确需外出时应事先请假。 </w:t>
      </w:r>
    </w:p>
    <w:p w14:paraId="361465D4">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（七）评标期间，所有与会人员均不得私自以任何方式和投标人进行联系，</w:t>
      </w:r>
      <w:r>
        <w:rPr>
          <w:rFonts w:hint="eastAsia" w:ascii="宋体" w:hAnsi="宋体" w:cs="宋体"/>
          <w:color w:val="auto"/>
          <w:sz w:val="24"/>
          <w:highlight w:val="none"/>
          <w:lang w:eastAsia="zh-CN"/>
        </w:rPr>
        <w:t>需要</w:t>
      </w:r>
      <w:r>
        <w:rPr>
          <w:rFonts w:hint="eastAsia" w:ascii="宋体" w:hAnsi="宋体" w:eastAsia="宋体" w:cs="宋体"/>
          <w:color w:val="auto"/>
          <w:sz w:val="24"/>
          <w:highlight w:val="none"/>
        </w:rPr>
        <w:t>询问、澄清的问题由评委会统一组织办理。</w:t>
      </w:r>
    </w:p>
    <w:p w14:paraId="70270D7A">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（八）评标结束后，与会人员不得向外界透露评标人员的评标意见，如因此造成的后果由责任者承担。</w:t>
      </w:r>
    </w:p>
    <w:p w14:paraId="7C782286">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300" w:name="_Toc66976542"/>
      <w:bookmarkStart w:id="301" w:name="_Toc1843"/>
      <w:bookmarkStart w:id="302" w:name="_Toc19106"/>
      <w:bookmarkStart w:id="303" w:name="_Toc36327312"/>
      <w:bookmarkStart w:id="304" w:name="_Toc17860"/>
      <w:bookmarkStart w:id="305" w:name="_Toc88350317"/>
      <w:bookmarkStart w:id="306" w:name="_Toc26350406"/>
      <w:bookmarkStart w:id="307" w:name="_Toc14196"/>
      <w:bookmarkStart w:id="308" w:name="_Toc83539049"/>
      <w:bookmarkStart w:id="309" w:name="_Toc83683786"/>
      <w:bookmarkStart w:id="310" w:name="_Toc78140824"/>
      <w:bookmarkStart w:id="311" w:name="_Toc3758"/>
      <w:bookmarkStart w:id="312" w:name="_Toc95915216"/>
      <w:bookmarkStart w:id="313" w:name="_Toc22613"/>
      <w:r>
        <w:rPr>
          <w:rFonts w:hint="eastAsia" w:ascii="宋体" w:hAnsi="宋体" w:eastAsia="宋体" w:cs="宋体"/>
          <w:color w:val="auto"/>
          <w:highlight w:val="none"/>
        </w:rPr>
        <w:t>5.评标原则</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05162AAC">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评标将遵循下列原则：</w:t>
      </w:r>
    </w:p>
    <w:p w14:paraId="765690AD">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（一）坚持公平、公正、科学、择优的原则，本着实事求是的精神，不带有任何主观意愿和偏见，认真负责地做好评标工作，公平、公正地对待每一个投标人。</w:t>
      </w:r>
    </w:p>
    <w:p w14:paraId="1E3801AD">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（二）全面分析，综合评审。 </w:t>
      </w:r>
    </w:p>
    <w:p w14:paraId="314DE6CB">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（三）评标只对投标人的投标文件进行评审，投标文件以外的资料、信息不应作为评标的依据。</w:t>
      </w:r>
    </w:p>
    <w:p w14:paraId="0C4CD7A2">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314" w:name="_Toc83539050"/>
      <w:bookmarkStart w:id="315" w:name="_Toc7519"/>
      <w:bookmarkStart w:id="316" w:name="_Toc15902"/>
      <w:bookmarkStart w:id="317" w:name="_Toc83683787"/>
      <w:bookmarkStart w:id="318" w:name="_Toc11005"/>
      <w:bookmarkStart w:id="319" w:name="_Toc95915217"/>
      <w:bookmarkStart w:id="320" w:name="_Toc32332"/>
      <w:bookmarkStart w:id="321" w:name="_Toc78140825"/>
      <w:bookmarkStart w:id="322" w:name="_Toc25535"/>
      <w:bookmarkStart w:id="323" w:name="_Toc22622"/>
      <w:bookmarkStart w:id="324" w:name="_Toc88350318"/>
      <w:r>
        <w:rPr>
          <w:rFonts w:hint="eastAsia" w:ascii="宋体" w:hAnsi="宋体" w:eastAsia="宋体" w:cs="宋体"/>
          <w:color w:val="auto"/>
          <w:highlight w:val="none"/>
        </w:rPr>
        <w:t>6.评审标准</w:t>
      </w:r>
      <w:bookmarkEnd w:id="314"/>
      <w:bookmarkEnd w:id="315"/>
      <w:bookmarkEnd w:id="316"/>
      <w:bookmarkEnd w:id="317"/>
      <w:bookmarkEnd w:id="318"/>
      <w:bookmarkEnd w:id="319"/>
      <w:bookmarkEnd w:id="320"/>
      <w:bookmarkEnd w:id="321"/>
      <w:bookmarkEnd w:id="322"/>
      <w:bookmarkEnd w:id="323"/>
      <w:bookmarkEnd w:id="324"/>
    </w:p>
    <w:p w14:paraId="3A3AEA04">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6.1符合性评审标准：见符合性审查前附表</w:t>
      </w:r>
    </w:p>
    <w:p w14:paraId="4264EC40">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6.2分值构成与评分标准</w:t>
      </w:r>
    </w:p>
    <w:p w14:paraId="28D424B4">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6.2.1分值构成</w:t>
      </w:r>
    </w:p>
    <w:p w14:paraId="616E4487">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（1）投标报价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商务部分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：见评标办法前附表；</w:t>
      </w:r>
    </w:p>
    <w:p w14:paraId="6D4B11C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（2）技术部分：见评标办法前附表；</w:t>
      </w:r>
    </w:p>
    <w:p w14:paraId="68DB375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6.2.2评分标准</w:t>
      </w:r>
    </w:p>
    <w:p w14:paraId="3FFA5EDF">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按招标文件中规定的评审方法和标准，对资格评审和符合性评审合格的投标文件进行投标报价和技术部分评估，综合比较与评价。</w:t>
      </w:r>
    </w:p>
    <w:p w14:paraId="1EEE8192">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（1）投标报价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商务部分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评分标准：见评标办法前附表；</w:t>
      </w:r>
    </w:p>
    <w:p w14:paraId="227E3D74">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（2）技术部分评分标准：见评标办法前附表；</w:t>
      </w:r>
    </w:p>
    <w:p w14:paraId="5A878232">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325" w:name="_Toc95915218"/>
      <w:bookmarkStart w:id="326" w:name="_Toc66976543"/>
      <w:bookmarkStart w:id="327" w:name="_Toc8721"/>
      <w:bookmarkStart w:id="328" w:name="_Toc26514"/>
      <w:bookmarkStart w:id="329" w:name="_Toc78140826"/>
      <w:bookmarkStart w:id="330" w:name="_Toc26350407"/>
      <w:bookmarkStart w:id="331" w:name="_Toc3541"/>
      <w:bookmarkStart w:id="332" w:name="_Toc19885"/>
      <w:bookmarkStart w:id="333" w:name="_Toc36327313"/>
      <w:bookmarkStart w:id="334" w:name="_Toc15191"/>
      <w:bookmarkStart w:id="335" w:name="_Toc83539051"/>
      <w:bookmarkStart w:id="336" w:name="_Toc16880"/>
      <w:bookmarkStart w:id="337" w:name="_Toc88350319"/>
      <w:bookmarkStart w:id="338" w:name="_Toc83683788"/>
      <w:r>
        <w:rPr>
          <w:rFonts w:hint="eastAsia" w:ascii="宋体" w:hAnsi="宋体" w:eastAsia="宋体" w:cs="宋体"/>
          <w:color w:val="auto"/>
          <w:highlight w:val="none"/>
        </w:rPr>
        <w:t>7.评标程序</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Fonts w:hint="eastAsia" w:ascii="宋体" w:hAnsi="宋体" w:eastAsia="宋体" w:cs="宋体"/>
          <w:color w:val="auto"/>
          <w:highlight w:val="none"/>
        </w:rPr>
        <w:t xml:space="preserve"> </w:t>
      </w:r>
    </w:p>
    <w:p w14:paraId="6A9942DB">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所采用的评标方法为中华人民共和国财政部令第87号《政府采购货物和服务招标投标管理办法》第五十五条规定的“综合评分法”，即：投标文件满足招标文件全部实质性要求，且按照评审因素的量化指标评审得分最高的投标人为中标候选人的评标方法。 </w:t>
      </w:r>
    </w:p>
    <w:p w14:paraId="5E5C408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评标只对通过资格审查的投标文件进行评审。评标按：符合性审查→商务和技术评估、综合比较与评价（详细评审）→得分汇总→评标报告编写的程序进行。</w:t>
      </w:r>
    </w:p>
    <w:p w14:paraId="7B03DC76">
      <w:pPr>
        <w:pStyle w:val="4"/>
        <w:keepLines w:val="0"/>
        <w:pageBreakBefore w:val="0"/>
        <w:tabs>
          <w:tab w:val="left" w:pos="900"/>
        </w:tabs>
        <w:kinsoku/>
        <w:wordWrap/>
        <w:overflowPunct/>
        <w:topLinePunct w:val="0"/>
        <w:autoSpaceDE/>
        <w:autoSpaceDN/>
        <w:bidi w:val="0"/>
        <w:adjustRightInd w:val="0"/>
        <w:snapToGrid w:val="0"/>
        <w:spacing w:line="460" w:lineRule="exact"/>
        <w:ind w:firstLine="241"/>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7.1符合性审查</w:t>
      </w:r>
    </w:p>
    <w:p w14:paraId="52A6AC41">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评标委员会对符合资格的投标人的投标文件进行符合性审查，以确定其是否满足招标文件的实质性要求。</w:t>
      </w:r>
    </w:p>
    <w:p w14:paraId="409FFB1A">
      <w:pPr>
        <w:pStyle w:val="4"/>
        <w:keepLines w:val="0"/>
        <w:pageBreakBefore w:val="0"/>
        <w:tabs>
          <w:tab w:val="left" w:pos="900"/>
        </w:tabs>
        <w:kinsoku/>
        <w:wordWrap/>
        <w:overflowPunct/>
        <w:topLinePunct w:val="0"/>
        <w:autoSpaceDE/>
        <w:autoSpaceDN/>
        <w:bidi w:val="0"/>
        <w:adjustRightInd w:val="0"/>
        <w:snapToGrid w:val="0"/>
        <w:spacing w:line="460" w:lineRule="exact"/>
        <w:ind w:firstLine="241"/>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7.2澄清有关问题</w:t>
      </w:r>
    </w:p>
    <w:p w14:paraId="2AC0588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7.2.1投标文件内容澄清 </w:t>
      </w:r>
    </w:p>
    <w:p w14:paraId="47ED424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14:paraId="0632BF03">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7.2.2报价不一致情形澄清 </w:t>
      </w:r>
    </w:p>
    <w:p w14:paraId="2501C1D7">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投标文件报价出现前后不一致的，除招标文件另有规定外，按照下列规定修正： </w:t>
      </w:r>
    </w:p>
    <w:p w14:paraId="09C30AE8">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14:paraId="691570AF">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 </w:t>
      </w:r>
    </w:p>
    <w:p w14:paraId="023F5405">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 </w:t>
      </w:r>
    </w:p>
    <w:p w14:paraId="163A1DA7">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 </w:t>
      </w:r>
    </w:p>
    <w:p w14:paraId="278D8F08">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同时出现两种以上不一致的，按照前款规定的顺序修正。修正后的报价经投标人确认后产生约束力，投标人不确认的，其投标无效。</w:t>
      </w:r>
    </w:p>
    <w:p w14:paraId="7C841D60">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7.2.3报价过低情形澄清 </w:t>
      </w:r>
    </w:p>
    <w:p w14:paraId="31FC43E1">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评标委员会认为投标人的报价明显低于</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通过符合性审</w:t>
      </w:r>
      <w:r>
        <w:rPr>
          <w:rFonts w:hint="eastAsia" w:ascii="宋体" w:hAnsi="宋体" w:cs="宋体"/>
          <w:color w:val="auto"/>
          <w:sz w:val="24"/>
          <w:highlight w:val="none"/>
          <w:lang w:eastAsia="zh-CN"/>
        </w:rPr>
        <w:t>查的</w:t>
      </w:r>
      <w:r>
        <w:rPr>
          <w:rFonts w:hint="eastAsia" w:ascii="宋体" w:hAnsi="宋体" w:eastAsia="宋体" w:cs="宋体"/>
          <w:color w:val="auto"/>
          <w:sz w:val="24"/>
          <w:highlight w:val="none"/>
        </w:rPr>
        <w:t>投标人的报价，有可能影响</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rPr>
        <w:t>质量或者不能诚信履约的，应当要求其在评标现场合理的时间内提供书面说明，必要时提交相关证明材料；投标人不能证明其报价合理性的，评标委员会应当将其作为无效投标处理。</w:t>
      </w:r>
    </w:p>
    <w:p w14:paraId="5458A135">
      <w:pPr>
        <w:keepLines w:val="0"/>
        <w:pageBreakBefore w:val="0"/>
        <w:tabs>
          <w:tab w:val="left" w:pos="3165"/>
        </w:tabs>
        <w:kinsoku/>
        <w:wordWrap/>
        <w:overflowPunct/>
        <w:topLinePunct w:val="0"/>
        <w:autoSpaceDE/>
        <w:autoSpaceDN/>
        <w:bidi w:val="0"/>
        <w:adjustRightInd w:val="0"/>
        <w:snapToGrid w:val="0"/>
        <w:spacing w:line="460" w:lineRule="exact"/>
        <w:ind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7.3商务和技术评估、综合比较与评价（详细评审）</w:t>
      </w:r>
    </w:p>
    <w:p w14:paraId="47DB6712">
      <w:pPr>
        <w:keepLines w:val="0"/>
        <w:pageBreakBefore w:val="0"/>
        <w:kinsoku/>
        <w:wordWrap/>
        <w:overflowPunct/>
        <w:topLinePunct w:val="0"/>
        <w:autoSpaceDE/>
        <w:autoSpaceDN/>
        <w:bidi w:val="0"/>
        <w:adjustRightInd w:val="0"/>
        <w:snapToGrid w:val="0"/>
        <w:spacing w:after="0" w:line="460" w:lineRule="exact"/>
        <w:ind w:firstLine="482" w:firstLineChars="200"/>
        <w:jc w:val="left"/>
        <w:textAlignment w:val="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7.3.1异常低价审查</w:t>
      </w:r>
    </w:p>
    <w:p w14:paraId="7CDF17F2">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（一）根据关于推动解决政府采购异常低价问题的通知（财库〔2026〕2号），评审中出现下列情形之一的，评审委员会应当启动异常低价投标（响应）审查程序： </w:t>
      </w:r>
    </w:p>
    <w:p w14:paraId="0D19F4CB">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1.投标（响应）报价低于全部通过符合性审查投标单位投标（响应）报价平均值50%的，即投标（响应）报价＜全部通过符合性审查投标单位投标（响应）报价平均值×50%； </w:t>
      </w:r>
    </w:p>
    <w:p w14:paraId="52746CBE">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2.投标（响应）报价低于通过符合性审查的次低报价投标单位投标（响应）报价50%的，即投标（响应）报价＜通过符合性审查的次低报价投标单位投标（响应）报价×50%； </w:t>
      </w:r>
    </w:p>
    <w:p w14:paraId="57491950">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3.投标（响应）报价低于采购项目最高限价45%的，即投标（响应）报价＜采购项目最高限价×45%；</w:t>
      </w:r>
    </w:p>
    <w:p w14:paraId="59F714D9">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4.评审委员会基于专业判断，认为投标单位报价过低，有可能影响产品质量或者不能诚信履约的其他情形。</w:t>
      </w:r>
    </w:p>
    <w:p w14:paraId="041E5734">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二）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 </w:t>
      </w:r>
    </w:p>
    <w:p w14:paraId="30C94AA3">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 </w:t>
      </w:r>
    </w:p>
    <w:p w14:paraId="0A7D152B">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EE0A001">
      <w:pPr>
        <w:keepLines w:val="0"/>
        <w:pageBreakBefore w:val="0"/>
        <w:kinsoku/>
        <w:wordWrap/>
        <w:overflowPunct/>
        <w:topLinePunct w:val="0"/>
        <w:autoSpaceDE/>
        <w:autoSpaceDN/>
        <w:bidi w:val="0"/>
        <w:adjustRightInd w:val="0"/>
        <w:snapToGrid w:val="0"/>
        <w:spacing w:after="0" w:line="460" w:lineRule="exact"/>
        <w:ind w:firstLine="480" w:firstLineChars="200"/>
        <w:jc w:val="left"/>
        <w:textAlignment w:val="auto"/>
        <w:rPr>
          <w:rFonts w:hint="default" w:ascii="宋体" w:hAnsi="宋体"/>
          <w:b/>
          <w:bCs/>
          <w:color w:val="auto"/>
          <w:sz w:val="24"/>
          <w:highlight w:val="none"/>
          <w:lang w:val="en-US" w:eastAsia="zh-CN"/>
        </w:rPr>
      </w:pPr>
      <w:r>
        <w:rPr>
          <w:rFonts w:hint="eastAsia" w:ascii="宋体" w:hAnsi="宋体"/>
          <w:b w:val="0"/>
          <w:bCs w:val="0"/>
          <w:color w:val="auto"/>
          <w:sz w:val="24"/>
          <w:highlight w:val="none"/>
          <w:lang w:val="en-US" w:eastAsia="zh-CN"/>
        </w:rPr>
        <w:t>异常低价投标（响应）审查的启动原因、审查意见和审查结果应当在评审报告中记录，并随投标单位提供的相关书面说明及证明材料，以及评审委员会有关互联网浏览、查询历史一并归档。</w:t>
      </w:r>
    </w:p>
    <w:p w14:paraId="6A3A4554">
      <w:pPr>
        <w:keepLines w:val="0"/>
        <w:pageBreakBefore w:val="0"/>
        <w:tabs>
          <w:tab w:val="left" w:pos="3165"/>
        </w:tabs>
        <w:kinsoku/>
        <w:wordWrap/>
        <w:overflowPunct/>
        <w:topLinePunct w:val="0"/>
        <w:autoSpaceDE/>
        <w:autoSpaceDN/>
        <w:bidi w:val="0"/>
        <w:adjustRightInd w:val="0"/>
        <w:snapToGrid w:val="0"/>
        <w:spacing w:line="460" w:lineRule="exact"/>
        <w:ind w:firstLine="482" w:firstLineChars="200"/>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7.3.2详细评审</w:t>
      </w:r>
    </w:p>
    <w:p w14:paraId="0C236E4B">
      <w:pPr>
        <w:keepLines w:val="0"/>
        <w:pageBreakBefore w:val="0"/>
        <w:tabs>
          <w:tab w:val="left" w:pos="3165"/>
        </w:tabs>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评标委员会按本章第6.2.2款规定的量化因素和分值进行打分，并计算出投标人的评标总得分。</w:t>
      </w:r>
    </w:p>
    <w:p w14:paraId="7C358050">
      <w:pPr>
        <w:keepLines w:val="0"/>
        <w:pageBreakBefore w:val="0"/>
        <w:tabs>
          <w:tab w:val="left" w:pos="3165"/>
        </w:tabs>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（1）按本章第6.2.2（1）目规定的评审因素和分值对投标报价计算出得分F1；</w:t>
      </w:r>
    </w:p>
    <w:p w14:paraId="2419C963">
      <w:pPr>
        <w:keepLines w:val="0"/>
        <w:pageBreakBefore w:val="0"/>
        <w:tabs>
          <w:tab w:val="left" w:pos="3165"/>
        </w:tabs>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（2）按本章第6.2.2（2）目规定的评审因素和分值对技术部分计算出得分F2；</w:t>
      </w:r>
    </w:p>
    <w:p w14:paraId="7455226C">
      <w:pPr>
        <w:keepLines w:val="0"/>
        <w:pageBreakBefore w:val="0"/>
        <w:tabs>
          <w:tab w:val="left" w:pos="3165"/>
        </w:tabs>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（3）按本章第6.2.1项所列公式计算评标总得分。</w:t>
      </w:r>
    </w:p>
    <w:p w14:paraId="565E638E">
      <w:pPr>
        <w:pStyle w:val="4"/>
        <w:keepLines w:val="0"/>
        <w:pageBreakBefore w:val="0"/>
        <w:tabs>
          <w:tab w:val="left" w:pos="900"/>
        </w:tabs>
        <w:kinsoku/>
        <w:wordWrap/>
        <w:overflowPunct/>
        <w:topLinePunct w:val="0"/>
        <w:autoSpaceDE/>
        <w:autoSpaceDN/>
        <w:bidi w:val="0"/>
        <w:adjustRightInd w:val="0"/>
        <w:snapToGrid w:val="0"/>
        <w:spacing w:line="460" w:lineRule="exact"/>
        <w:ind w:firstLine="241"/>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7.4得分汇总</w:t>
      </w:r>
    </w:p>
    <w:p w14:paraId="0EC8F2A0">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7.4.1评委应首先对各投标人投标文件进行评审，写出书面意见并按招标文件规定分值评分，各分档评分中间不得用插入法评分。 </w:t>
      </w:r>
    </w:p>
    <w:p w14:paraId="7604C541">
      <w:pPr>
        <w:keepLines w:val="0"/>
        <w:pageBreakBefore w:val="0"/>
        <w:tabs>
          <w:tab w:val="left" w:pos="3165"/>
        </w:tabs>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7.4.2技术部分（F2）得分由评标委员会成员独立评分，计算各投标人得分的算术平均值计入各投标人总分。评分分值计算保留小数点后两位，小数点后第三位“四舍五入”。</w:t>
      </w:r>
    </w:p>
    <w:p w14:paraId="2D07C501">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7.4.3统分原则：计算评委打分的算术平均值为投标人的该项评分因素的得分，投标报价得分除外（保留小数点后两位）。 </w:t>
      </w:r>
    </w:p>
    <w:p w14:paraId="6149C7C0">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7.4.4得分汇总：按各项评分因素得分乘以相对应的权重系数后的总和即为投标人最后得分。 </w:t>
      </w:r>
    </w:p>
    <w:p w14:paraId="077994F7">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7.4.5经评标委员会认定评分畸高、畸低的，评标委员会应当当场修改评标结果，并在评标报告中记载。</w:t>
      </w:r>
    </w:p>
    <w:p w14:paraId="18530AF3">
      <w:pPr>
        <w:keepLines w:val="0"/>
        <w:pageBreakBefore w:val="0"/>
        <w:tabs>
          <w:tab w:val="left" w:pos="3165"/>
        </w:tabs>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7.4.6评标中若遇特殊问题，由评标委员会根据有关法律、法规研究决定。</w:t>
      </w:r>
    </w:p>
    <w:p w14:paraId="07F5115A">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339" w:name="_Toc95915219"/>
      <w:bookmarkStart w:id="340" w:name="_Toc26350408"/>
      <w:bookmarkStart w:id="341" w:name="_Toc24363"/>
      <w:bookmarkStart w:id="342" w:name="_Toc88350320"/>
      <w:bookmarkStart w:id="343" w:name="_Toc83539052"/>
      <w:bookmarkStart w:id="344" w:name="_Toc36327314"/>
      <w:bookmarkStart w:id="345" w:name="_Toc11868"/>
      <w:bookmarkStart w:id="346" w:name="_Toc22630"/>
      <w:bookmarkStart w:id="347" w:name="_Toc66976544"/>
      <w:bookmarkStart w:id="348" w:name="_Toc78140827"/>
      <w:bookmarkStart w:id="349" w:name="_Toc32155"/>
      <w:bookmarkStart w:id="350" w:name="_Toc1903"/>
      <w:bookmarkStart w:id="351" w:name="_Toc83683789"/>
      <w:bookmarkStart w:id="352" w:name="_Toc31089"/>
      <w:r>
        <w:rPr>
          <w:rFonts w:hint="eastAsia" w:ascii="宋体" w:hAnsi="宋体" w:eastAsia="宋体" w:cs="宋体"/>
          <w:color w:val="auto"/>
          <w:highlight w:val="none"/>
        </w:rPr>
        <w:t>8.推荐</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r>
        <w:rPr>
          <w:rFonts w:hint="eastAsia" w:ascii="宋体" w:hAnsi="宋体" w:eastAsia="宋体" w:cs="宋体"/>
          <w:color w:val="auto"/>
          <w:highlight w:val="none"/>
        </w:rPr>
        <w:t xml:space="preserve"> </w:t>
      </w:r>
    </w:p>
    <w:p w14:paraId="01C6E15E">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计算出各投标人的总得分，评标结果按评审后得分由高到低顺序排列。投标文件满足招标文件全部实质性要求，且按照评审因素的量化指标评审得分最高的投标人为排名第一的中标候选人。得分相同的，按投标报价由低到高顺序排列。得分且投标报价相同的并列。</w:t>
      </w:r>
      <w:r>
        <w:rPr>
          <w:rFonts w:hint="eastAsia" w:ascii="宋体" w:hAnsi="宋体"/>
          <w:color w:val="auto"/>
          <w:sz w:val="24"/>
          <w:highlight w:val="none"/>
        </w:rPr>
        <w:t>在得分和报价均相同时，按照技术部分评审得分最高的投标人为排名第一的中标候选人。</w:t>
      </w:r>
    </w:p>
    <w:p w14:paraId="6C972109">
      <w:pPr>
        <w:pStyle w:val="3"/>
        <w:keepLines w:val="0"/>
        <w:pageBreakBefore w:val="0"/>
        <w:tabs>
          <w:tab w:val="left" w:pos="1021"/>
        </w:tabs>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rPr>
      </w:pPr>
      <w:bookmarkStart w:id="353" w:name="_Toc26350409"/>
      <w:bookmarkStart w:id="354" w:name="_Toc32354"/>
      <w:bookmarkStart w:id="355" w:name="_Toc4136"/>
      <w:bookmarkStart w:id="356" w:name="_Toc20305"/>
      <w:bookmarkStart w:id="357" w:name="_Toc5120"/>
      <w:bookmarkStart w:id="358" w:name="_Toc36327315"/>
      <w:bookmarkStart w:id="359" w:name="_Toc83683790"/>
      <w:bookmarkStart w:id="360" w:name="_Toc31302"/>
      <w:bookmarkStart w:id="361" w:name="_Toc78140828"/>
      <w:bookmarkStart w:id="362" w:name="_Toc66976545"/>
      <w:bookmarkStart w:id="363" w:name="_Toc95915220"/>
      <w:bookmarkStart w:id="364" w:name="_Toc88350321"/>
      <w:bookmarkStart w:id="365" w:name="_Toc14509"/>
      <w:bookmarkStart w:id="366" w:name="_Toc83539053"/>
      <w:r>
        <w:rPr>
          <w:rFonts w:hint="eastAsia" w:ascii="宋体" w:hAnsi="宋体" w:eastAsia="宋体" w:cs="宋体"/>
          <w:color w:val="auto"/>
          <w:highlight w:val="none"/>
        </w:rPr>
        <w:t>9.评标报告编写</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rPr>
          <w:rFonts w:hint="eastAsia" w:ascii="宋体" w:hAnsi="宋体" w:eastAsia="宋体" w:cs="宋体"/>
          <w:color w:val="auto"/>
          <w:highlight w:val="none"/>
        </w:rPr>
        <w:t xml:space="preserve"> </w:t>
      </w:r>
    </w:p>
    <w:p w14:paraId="63471F20">
      <w:pPr>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b/>
          <w:color w:val="auto"/>
          <w:highlight w:val="none"/>
        </w:rPr>
      </w:pPr>
      <w:r>
        <w:rPr>
          <w:rFonts w:hint="eastAsia" w:ascii="宋体" w:hAnsi="宋体" w:eastAsia="宋体" w:cs="宋体"/>
          <w:color w:val="auto"/>
          <w:sz w:val="24"/>
          <w:highlight w:val="none"/>
        </w:rPr>
        <w:t>评标委员会根据全体评标成员签字的原始评标记录和评标结果编写评标报告。</w:t>
      </w:r>
      <w:bookmarkEnd w:id="253"/>
    </w:p>
    <w:p w14:paraId="4C124870">
      <w:pPr>
        <w:keepLines w:val="0"/>
        <w:pageBreakBefore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Cs w:val="30"/>
          <w:highlight w:val="none"/>
        </w:rPr>
      </w:pPr>
      <w:bookmarkStart w:id="367" w:name="_Toc5394"/>
      <w:r>
        <w:rPr>
          <w:rFonts w:hint="eastAsia" w:ascii="宋体" w:hAnsi="宋体" w:eastAsia="宋体" w:cs="宋体"/>
          <w:color w:val="auto"/>
          <w:szCs w:val="30"/>
          <w:highlight w:val="none"/>
        </w:rPr>
        <w:br w:type="page"/>
      </w:r>
    </w:p>
    <w:p w14:paraId="3F5BFA4A">
      <w:pPr>
        <w:pStyle w:val="2"/>
        <w:keepLines w:val="0"/>
        <w:pageBreakBefore w:val="0"/>
        <w:widowControl w:val="0"/>
        <w:kinsoku/>
        <w:wordWrap/>
        <w:overflowPunct/>
        <w:topLinePunct w:val="0"/>
        <w:autoSpaceDE/>
        <w:autoSpaceDN/>
        <w:bidi w:val="0"/>
        <w:adjustRightInd w:val="0"/>
        <w:snapToGrid w:val="0"/>
        <w:spacing w:line="480" w:lineRule="exact"/>
        <w:ind w:left="0" w:right="0"/>
        <w:textAlignment w:val="auto"/>
        <w:rPr>
          <w:rFonts w:hint="eastAsia" w:ascii="宋体" w:hAnsi="宋体" w:eastAsia="宋体" w:cs="宋体"/>
          <w:color w:val="auto"/>
          <w:kern w:val="0"/>
          <w:sz w:val="24"/>
          <w:highlight w:val="none"/>
        </w:rPr>
      </w:pPr>
      <w:bookmarkStart w:id="368" w:name="_Toc12043"/>
      <w:r>
        <w:rPr>
          <w:rFonts w:hint="eastAsia" w:ascii="宋体" w:hAnsi="宋体" w:eastAsia="宋体" w:cs="宋体"/>
          <w:color w:val="auto"/>
          <w:szCs w:val="30"/>
          <w:highlight w:val="none"/>
        </w:rPr>
        <w:t>第</w:t>
      </w:r>
      <w:r>
        <w:rPr>
          <w:rFonts w:hint="eastAsia" w:cs="宋体"/>
          <w:color w:val="auto"/>
          <w:szCs w:val="30"/>
          <w:highlight w:val="none"/>
          <w:lang w:val="en-US" w:eastAsia="zh-CN"/>
        </w:rPr>
        <w:t>六</w:t>
      </w:r>
      <w:r>
        <w:rPr>
          <w:rFonts w:hint="eastAsia" w:ascii="宋体" w:hAnsi="宋体" w:eastAsia="宋体" w:cs="宋体"/>
          <w:color w:val="auto"/>
          <w:szCs w:val="30"/>
          <w:highlight w:val="none"/>
        </w:rPr>
        <w:t>章 采购需求</w:t>
      </w:r>
      <w:bookmarkEnd w:id="367"/>
      <w:bookmarkEnd w:id="368"/>
    </w:p>
    <w:p w14:paraId="3B8F234C">
      <w:pPr>
        <w:pStyle w:val="3"/>
        <w:keepLines w:val="0"/>
        <w:pageBreakBefore w:val="0"/>
        <w:widowControl w:val="0"/>
        <w:kinsoku/>
        <w:wordWrap/>
        <w:overflowPunct/>
        <w:topLinePunct w:val="0"/>
        <w:autoSpaceDE/>
        <w:autoSpaceDN/>
        <w:bidi w:val="0"/>
        <w:adjustRightInd w:val="0"/>
        <w:snapToGrid w:val="0"/>
        <w:spacing w:line="480" w:lineRule="exact"/>
        <w:ind w:left="0" w:right="0"/>
        <w:textAlignment w:val="auto"/>
        <w:rPr>
          <w:rFonts w:hint="eastAsia" w:ascii="宋体" w:hAnsi="宋体" w:eastAsia="宋体" w:cs="宋体"/>
          <w:color w:val="auto"/>
          <w:sz w:val="24"/>
          <w:szCs w:val="24"/>
          <w:highlight w:val="none"/>
        </w:rPr>
      </w:pPr>
      <w:bookmarkStart w:id="369" w:name="_Toc2534"/>
      <w:bookmarkStart w:id="370" w:name="_Toc21490"/>
      <w:r>
        <w:rPr>
          <w:rFonts w:hint="eastAsia" w:ascii="宋体" w:hAnsi="宋体" w:eastAsia="宋体" w:cs="宋体"/>
          <w:color w:val="auto"/>
          <w:sz w:val="24"/>
          <w:szCs w:val="24"/>
          <w:highlight w:val="none"/>
        </w:rPr>
        <w:t>一、项目概况</w:t>
      </w:r>
      <w:bookmarkEnd w:id="369"/>
      <w:bookmarkEnd w:id="370"/>
    </w:p>
    <w:p w14:paraId="7516BB22">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项目名称：易门县环卫站购买县城环卫市政服务项目。</w:t>
      </w:r>
    </w:p>
    <w:p w14:paraId="1A92CF9F">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预算金额</w:t>
      </w:r>
      <w:r>
        <w:rPr>
          <w:rFonts w:hint="eastAsia" w:ascii="宋体" w:hAnsi="宋体" w:cs="宋体"/>
          <w:color w:val="auto"/>
          <w:sz w:val="24"/>
          <w:highlight w:val="none"/>
          <w:lang w:val="en-US" w:eastAsia="zh-CN"/>
        </w:rPr>
        <w:t>及最高限价</w:t>
      </w:r>
      <w:r>
        <w:rPr>
          <w:rFonts w:hint="eastAsia" w:ascii="宋体" w:hAnsi="宋体" w:cs="宋体"/>
          <w:color w:val="auto"/>
          <w:sz w:val="24"/>
          <w:highlight w:val="none"/>
          <w:lang w:eastAsia="zh-CN"/>
        </w:rPr>
        <w:t>：￥12577897.88元（大写：人民币壹仟贰佰伍拾柒万柒仟捌佰玖拾柒元捌角捌分）</w:t>
      </w:r>
      <w:r>
        <w:rPr>
          <w:rFonts w:hint="eastAsia" w:ascii="宋体" w:hAnsi="宋体" w:cs="宋体"/>
          <w:color w:val="auto"/>
          <w:sz w:val="24"/>
          <w:highlight w:val="none"/>
          <w:lang w:val="en-US" w:eastAsia="zh-CN"/>
        </w:rPr>
        <w:t>。</w:t>
      </w:r>
    </w:p>
    <w:p w14:paraId="79FFE158">
      <w:pPr>
        <w:keepNext w:val="0"/>
        <w:keepLines w:val="0"/>
        <w:pageBreakBefore w:val="0"/>
        <w:widowControl w:val="0"/>
        <w:kinsoku/>
        <w:wordWrap/>
        <w:overflowPunct/>
        <w:topLinePunct w:val="0"/>
        <w:autoSpaceDE/>
        <w:autoSpaceDN/>
        <w:bidi w:val="0"/>
        <w:adjustRightInd w:val="0"/>
        <w:snapToGrid w:val="0"/>
        <w:spacing w:line="480" w:lineRule="exact"/>
        <w:ind w:left="0" w:right="0"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期限：三年，合同一年一签（自合同签订之日起至次年对应之日止）；经采购人考核合格后，续签下一年度合同。合同履行期限按《云南省财政厅关于政府采购服务项目合同履行期限相关事宜的通知》（云财采〔2015〕16号）和《云南省财政厅关于合同履行期限不超过三年政府采购服务项目相关事宜的补充通知》（云财采〔2016〕22号）文件执行</w:t>
      </w:r>
      <w:r>
        <w:rPr>
          <w:rFonts w:hint="eastAsia" w:ascii="宋体" w:hAnsi="宋体" w:eastAsia="宋体" w:cs="宋体"/>
          <w:color w:val="auto"/>
          <w:sz w:val="24"/>
          <w:szCs w:val="24"/>
          <w:highlight w:val="none"/>
          <w:shd w:val="clear" w:color="auto" w:fill="auto"/>
          <w:lang w:eastAsia="zh-CN"/>
        </w:rPr>
        <w:t>。</w:t>
      </w:r>
    </w:p>
    <w:p w14:paraId="33FE897C">
      <w:pPr>
        <w:keepNext w:val="0"/>
        <w:keepLines w:val="0"/>
        <w:pageBreakBefore w:val="0"/>
        <w:widowControl w:val="0"/>
        <w:kinsoku/>
        <w:wordWrap/>
        <w:overflowPunct/>
        <w:topLinePunct w:val="0"/>
        <w:autoSpaceDE/>
        <w:autoSpaceDN/>
        <w:bidi w:val="0"/>
        <w:adjustRightInd w:val="0"/>
        <w:snapToGrid w:val="0"/>
        <w:spacing w:line="480" w:lineRule="exact"/>
        <w:ind w:left="0" w:right="0"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kern w:val="0"/>
          <w:sz w:val="24"/>
          <w:szCs w:val="24"/>
          <w:highlight w:val="none"/>
          <w:lang w:val="en-US" w:eastAsia="zh-CN" w:bidi="ar"/>
        </w:rPr>
        <w:t>服务地点：采购人指定地点。</w:t>
      </w:r>
    </w:p>
    <w:p w14:paraId="7BDDD058">
      <w:pPr>
        <w:keepNext w:val="0"/>
        <w:keepLines w:val="0"/>
        <w:pageBreakBefore w:val="0"/>
        <w:widowControl w:val="0"/>
        <w:kinsoku/>
        <w:wordWrap/>
        <w:overflowPunct/>
        <w:topLinePunct w:val="0"/>
        <w:autoSpaceDE/>
        <w:autoSpaceDN/>
        <w:bidi w:val="0"/>
        <w:adjustRightInd w:val="0"/>
        <w:snapToGrid w:val="0"/>
        <w:spacing w:line="480" w:lineRule="exact"/>
        <w:ind w:left="0" w:right="0"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lang w:val="en-US" w:eastAsia="zh-CN" w:bidi="ar"/>
        </w:rPr>
        <w:t>5.</w:t>
      </w:r>
      <w:r>
        <w:rPr>
          <w:rFonts w:hint="eastAsia" w:ascii="宋体" w:hAnsi="宋体" w:eastAsia="宋体" w:cs="宋体"/>
          <w:color w:val="auto"/>
          <w:sz w:val="24"/>
          <w:szCs w:val="24"/>
          <w:highlight w:val="none"/>
        </w:rPr>
        <w:t>质量要求：</w:t>
      </w:r>
      <w:r>
        <w:rPr>
          <w:rFonts w:hint="eastAsia" w:ascii="宋体" w:hAnsi="宋体" w:cs="宋体"/>
          <w:color w:val="auto"/>
          <w:sz w:val="24"/>
          <w:szCs w:val="24"/>
          <w:highlight w:val="none"/>
          <w:shd w:val="clear" w:color="auto" w:fill="auto"/>
          <w:lang w:eastAsia="zh-CN"/>
        </w:rPr>
        <w:t>符合国家、地方及行业现行的相关规定，并满足采购人的实际需求</w:t>
      </w:r>
      <w:r>
        <w:rPr>
          <w:rFonts w:hint="eastAsia" w:ascii="宋体" w:hAnsi="宋体" w:eastAsia="宋体" w:cs="宋体"/>
          <w:color w:val="auto"/>
          <w:sz w:val="24"/>
          <w:szCs w:val="24"/>
          <w:highlight w:val="none"/>
          <w:shd w:val="clear" w:color="auto" w:fill="auto"/>
        </w:rPr>
        <w:t>。</w:t>
      </w:r>
    </w:p>
    <w:p w14:paraId="71740B5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shd w:val="clear" w:color="auto" w:fill="auto"/>
          <w:lang w:val="en-US" w:eastAsia="zh-CN"/>
        </w:rPr>
        <w:t>6.采购需求：</w:t>
      </w:r>
      <w:r>
        <w:rPr>
          <w:rFonts w:hint="eastAsia" w:ascii="宋体" w:hAnsi="宋体" w:cs="宋体"/>
          <w:color w:val="auto"/>
          <w:sz w:val="24"/>
          <w:highlight w:val="none"/>
          <w:lang w:val="en-US" w:eastAsia="zh-CN"/>
        </w:rPr>
        <w:t>本项目涵盖县城建成区范围和龙泉街道中心街、兴文街、西环路、中屯、罗所、方屯、梅营7个社区部分主次干道及公共区域。完成以下服务内容：（1）清扫保洁（含日常洒水降尘作业）、垃圾收集运输、县城建成区内除公园标外的公共绿化带日常保洁；（2）生活垃圾压缩转运、2个垃圾填埋场管护、渗滤液处理站运管、环境在线监测运行、垃圾填埋场环境监测；（3）33座公厕日常运行维修维护；（4）26座洗手台日常运行维修维护；（5）市政路灯日常运行维修维护（含目前管理的16台变压器、72个控制箱、2847棵灯杆、8566盏路灯日常维护）；（6）县城餐厨垃圾收运；（7）环卫设施日常运行维修维护；（8）县城公共市政道路及附属设施、雨污管网及附属设施维修维护、市政消火栓、落雨水井、雨水篦子、污水井维护管理；具体内容包括但不限于：①排水主管网及服务区内新增排水主管网日常运行维护管理工作；包括日常巡查、易涝点、排水管沟、排水井、雨水箅子清掏等工作。②易门县建成区公共市政道路及附属设施等维修维护管理工作；包括道路、人行道路面及窨井、消火栓等公共市政运行的维修维护工作。③易门县建成区城市防洪排涝工作。④协助做好其他涉及易门县建成区市政公用管理职责职能突发性、应急性工作任务等；（9）易门县美丽县城建设项目正式竣工验收移交后需列为管护的市政道路、变压器、控制箱、灯杆、路灯、广告灯杆等公共市政设施日常管护维</w:t>
      </w:r>
      <w:r>
        <w:rPr>
          <w:rFonts w:hint="eastAsia" w:ascii="宋体" w:hAnsi="宋体" w:eastAsia="宋体" w:cs="宋体"/>
          <w:color w:val="auto"/>
          <w:sz w:val="24"/>
          <w:highlight w:val="none"/>
          <w:lang w:eastAsia="zh-CN"/>
        </w:rPr>
        <w:t>护</w:t>
      </w:r>
      <w:r>
        <w:rPr>
          <w:rFonts w:hint="eastAsia" w:ascii="宋体" w:hAnsi="宋体" w:cs="宋体"/>
          <w:color w:val="auto"/>
          <w:sz w:val="24"/>
          <w:highlight w:val="none"/>
          <w:lang w:val="en-US" w:eastAsia="zh-CN"/>
        </w:rPr>
        <w:t>）。</w:t>
      </w:r>
    </w:p>
    <w:p w14:paraId="0F5364B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highlight w:val="none"/>
          <w:lang w:val="en-US" w:eastAsia="zh-CN"/>
        </w:rPr>
      </w:pPr>
      <w:r>
        <w:rPr>
          <w:rFonts w:hint="eastAsia" w:ascii="宋体" w:hAnsi="宋体" w:cs="宋体"/>
          <w:color w:val="auto"/>
          <w:sz w:val="24"/>
          <w:highlight w:val="none"/>
          <w:lang w:val="en-US" w:eastAsia="zh-CN"/>
        </w:rPr>
        <w:t>7.相关清单</w:t>
      </w:r>
      <w:r>
        <w:rPr>
          <w:rFonts w:hint="eastAsia" w:ascii="宋体" w:hAnsi="宋体" w:eastAsia="宋体" w:cs="宋体"/>
          <w:color w:val="auto"/>
          <w:sz w:val="24"/>
          <w:szCs w:val="24"/>
          <w:highlight w:val="none"/>
          <w:lang w:val="en-US" w:eastAsia="zh-CN"/>
        </w:rPr>
        <w:t>如下：</w:t>
      </w:r>
    </w:p>
    <w:tbl>
      <w:tblPr>
        <w:tblStyle w:val="28"/>
        <w:tblW w:w="94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2"/>
        <w:gridCol w:w="959"/>
        <w:gridCol w:w="1229"/>
        <w:gridCol w:w="653"/>
        <w:gridCol w:w="1131"/>
        <w:gridCol w:w="1164"/>
        <w:gridCol w:w="1227"/>
        <w:gridCol w:w="1310"/>
        <w:gridCol w:w="1310"/>
      </w:tblGrid>
      <w:tr w14:paraId="15A12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4A43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A31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E6A0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6F97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8E3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单价（元）</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4CCC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合价（元）</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931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合计（元）</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D9F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tc>
      </w:tr>
      <w:tr w14:paraId="088D6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D91D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F85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清扫保洁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含日常洒水降尘作业</w:t>
            </w:r>
            <w:r>
              <w:rPr>
                <w:rFonts w:hint="eastAsia" w:ascii="宋体" w:hAnsi="宋体" w:eastAsia="宋体" w:cs="宋体"/>
                <w:color w:val="auto"/>
                <w:sz w:val="24"/>
                <w:szCs w:val="24"/>
                <w:highlight w:val="none"/>
                <w:lang w:eastAsia="zh-CN"/>
              </w:rPr>
              <w:t>）</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8DB5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315E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1614481.2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644D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5.24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14A9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8459881.48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4E9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8459881.48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6EA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固定单价，含龙泉街道</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cs="宋体"/>
                <w:color w:val="auto"/>
                <w:sz w:val="24"/>
                <w:highlight w:val="none"/>
                <w:lang w:eastAsia="zh-CN"/>
              </w:rPr>
              <w:t>县城建成区内除公园标外的公共绿化带日常保洁</w:t>
            </w:r>
          </w:p>
        </w:tc>
      </w:tr>
      <w:tr w14:paraId="31715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9F77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0D008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生活垃圾</w:t>
            </w:r>
            <w:r>
              <w:rPr>
                <w:rFonts w:hint="eastAsia" w:ascii="宋体" w:hAnsi="宋体" w:cs="宋体"/>
                <w:i w:val="0"/>
                <w:iCs w:val="0"/>
                <w:color w:val="000000"/>
                <w:kern w:val="0"/>
                <w:sz w:val="24"/>
                <w:szCs w:val="24"/>
                <w:highlight w:val="none"/>
                <w:u w:val="none"/>
                <w:lang w:val="en-US" w:eastAsia="zh-CN" w:bidi="ar"/>
              </w:rPr>
              <w:t>收集</w:t>
            </w:r>
            <w:r>
              <w:rPr>
                <w:rFonts w:hint="eastAsia" w:ascii="宋体" w:hAnsi="宋体" w:eastAsia="宋体" w:cs="宋体"/>
                <w:i w:val="0"/>
                <w:iCs w:val="0"/>
                <w:color w:val="000000"/>
                <w:kern w:val="0"/>
                <w:sz w:val="24"/>
                <w:szCs w:val="24"/>
                <w:highlight w:val="none"/>
                <w:u w:val="none"/>
                <w:lang w:val="en-US" w:eastAsia="zh-CN" w:bidi="ar"/>
              </w:rPr>
              <w:t>压缩转运、2个垃圾填埋场管护、渗滤液处理站运行、垃圾填埋场环境监测、环境在线监测运行</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817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垃圾</w:t>
            </w:r>
            <w:r>
              <w:rPr>
                <w:rFonts w:hint="eastAsia" w:ascii="宋体" w:hAnsi="宋体" w:cs="宋体"/>
                <w:i w:val="0"/>
                <w:iCs w:val="0"/>
                <w:color w:val="000000"/>
                <w:kern w:val="0"/>
                <w:sz w:val="24"/>
                <w:szCs w:val="24"/>
                <w:highlight w:val="none"/>
                <w:u w:val="none"/>
                <w:lang w:val="en-US" w:eastAsia="zh-CN" w:bidi="ar"/>
              </w:rPr>
              <w:t>收集</w:t>
            </w:r>
            <w:r>
              <w:rPr>
                <w:rFonts w:hint="eastAsia" w:ascii="宋体" w:hAnsi="宋体" w:eastAsia="宋体" w:cs="宋体"/>
                <w:i w:val="0"/>
                <w:iCs w:val="0"/>
                <w:color w:val="000000"/>
                <w:kern w:val="0"/>
                <w:sz w:val="24"/>
                <w:szCs w:val="24"/>
                <w:highlight w:val="none"/>
                <w:u w:val="none"/>
                <w:lang w:val="en-US" w:eastAsia="zh-CN" w:bidi="ar"/>
              </w:rPr>
              <w:t>转运</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70D5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吨/年</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D90F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26596.5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99C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25.60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734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680870.40 </w:t>
            </w:r>
          </w:p>
        </w:tc>
        <w:tc>
          <w:tcPr>
            <w:tcW w:w="13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126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1380616.40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87B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约72.8吨/天×365天（含龙泉街道）</w:t>
            </w:r>
          </w:p>
        </w:tc>
      </w:tr>
      <w:tr w14:paraId="75798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FED3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0A47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EE4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外运装卸</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FC3F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31DA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1D1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278000.00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EF38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278000.00 </w:t>
            </w: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FB68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FB1B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519BE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FFE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20B7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A4DE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渗滤液处理</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F00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FB48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1D1B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200000.00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4DA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200000.00 </w:t>
            </w: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E995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3DD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49EE0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2"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4506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2A53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059F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环境监测（其中监测费用60000.00元，按2500.00元/组水样据实支付）、环境在线监测</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0E2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8C7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3A92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121146.00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EEC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121146.00 </w:t>
            </w: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FEA2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9C9B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3D98A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C11B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2551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0D6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老垃圾场管护</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CDE2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4185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FD8A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35000.00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C1E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70000.00 </w:t>
            </w: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F737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D6C3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11C76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4D70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3BE1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066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进场道路维护</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D5E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C80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4ED3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30600.00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B29C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30600.00 </w:t>
            </w: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D18D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3486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11AAD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AE9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4DB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公厕管护</w:t>
            </w:r>
            <w:r>
              <w:rPr>
                <w:rFonts w:hint="eastAsia" w:ascii="宋体" w:hAnsi="宋体" w:cs="宋体"/>
                <w:i w:val="0"/>
                <w:iCs w:val="0"/>
                <w:color w:val="000000"/>
                <w:kern w:val="0"/>
                <w:sz w:val="24"/>
                <w:szCs w:val="24"/>
                <w:highlight w:val="none"/>
                <w:u w:val="none"/>
                <w:lang w:val="en-US" w:eastAsia="zh-CN" w:bidi="ar"/>
              </w:rPr>
              <w:t>及配件更新</w:t>
            </w:r>
            <w:r>
              <w:rPr>
                <w:rFonts w:hint="eastAsia" w:ascii="宋体" w:hAnsi="宋体" w:eastAsia="宋体" w:cs="宋体"/>
                <w:i w:val="0"/>
                <w:iCs w:val="0"/>
                <w:color w:val="000000"/>
                <w:kern w:val="0"/>
                <w:sz w:val="24"/>
                <w:szCs w:val="24"/>
                <w:highlight w:val="none"/>
                <w:u w:val="none"/>
                <w:lang w:val="en-US" w:eastAsia="zh-CN" w:bidi="ar"/>
              </w:rPr>
              <w:t>（含一年一次清掏）</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620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座</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00B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0089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39000.00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11D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1287000.00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463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1287000.00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B03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29E76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1ADB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6AC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洗手台管护</w:t>
            </w:r>
            <w:r>
              <w:rPr>
                <w:rFonts w:hint="eastAsia" w:ascii="宋体" w:hAnsi="宋体" w:cs="宋体"/>
                <w:i w:val="0"/>
                <w:iCs w:val="0"/>
                <w:color w:val="000000"/>
                <w:kern w:val="0"/>
                <w:sz w:val="24"/>
                <w:szCs w:val="24"/>
                <w:highlight w:val="none"/>
                <w:u w:val="none"/>
                <w:lang w:val="en-US" w:eastAsia="zh-CN" w:bidi="ar"/>
              </w:rPr>
              <w:t>及配件更新</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3F56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座</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C6D0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9F3D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C06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104000.00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CCE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104000.00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4CA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09D34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7"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439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148B5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Style w:val="68"/>
                <w:rFonts w:hint="eastAsia" w:ascii="宋体" w:hAnsi="宋体" w:eastAsia="宋体" w:cs="宋体"/>
                <w:sz w:val="24"/>
                <w:szCs w:val="24"/>
                <w:highlight w:val="none"/>
                <w:lang w:val="en-US" w:eastAsia="zh-CN" w:bidi="ar"/>
              </w:rPr>
              <w:t>路灯管护更新（</w:t>
            </w:r>
            <w:r>
              <w:rPr>
                <w:rFonts w:hint="eastAsia" w:ascii="宋体" w:hAnsi="宋体" w:eastAsia="宋体" w:cs="宋体"/>
                <w:color w:val="auto"/>
                <w:sz w:val="24"/>
                <w:szCs w:val="24"/>
                <w:highlight w:val="none"/>
                <w:lang w:eastAsia="zh-CN"/>
              </w:rPr>
              <w:t>2847</w:t>
            </w:r>
            <w:r>
              <w:rPr>
                <w:rStyle w:val="68"/>
                <w:rFonts w:hint="eastAsia" w:ascii="宋体" w:hAnsi="宋体" w:eastAsia="宋体" w:cs="宋体"/>
                <w:sz w:val="24"/>
                <w:szCs w:val="24"/>
                <w:highlight w:val="none"/>
                <w:lang w:val="en-US" w:eastAsia="zh-CN" w:bidi="ar"/>
              </w:rPr>
              <w:t>棵灯杆、</w:t>
            </w:r>
            <w:r>
              <w:rPr>
                <w:rFonts w:hint="eastAsia" w:ascii="宋体" w:hAnsi="宋体" w:eastAsia="宋体" w:cs="宋体"/>
                <w:color w:val="auto"/>
                <w:sz w:val="24"/>
                <w:szCs w:val="24"/>
                <w:highlight w:val="none"/>
                <w:lang w:eastAsia="zh-CN"/>
              </w:rPr>
              <w:t>8566</w:t>
            </w:r>
            <w:r>
              <w:rPr>
                <w:rStyle w:val="68"/>
                <w:rFonts w:hint="eastAsia" w:ascii="宋体" w:hAnsi="宋体" w:eastAsia="宋体" w:cs="宋体"/>
                <w:sz w:val="24"/>
                <w:szCs w:val="24"/>
                <w:highlight w:val="none"/>
                <w:lang w:val="en-US" w:eastAsia="zh-CN" w:bidi="ar"/>
              </w:rPr>
              <w:t>盏灯、</w:t>
            </w:r>
            <w:r>
              <w:rPr>
                <w:rFonts w:hint="eastAsia" w:ascii="宋体" w:hAnsi="宋体" w:eastAsia="宋体" w:cs="宋体"/>
                <w:i w:val="0"/>
                <w:iCs w:val="0"/>
                <w:color w:val="000000"/>
                <w:kern w:val="0"/>
                <w:sz w:val="24"/>
                <w:szCs w:val="24"/>
                <w:highlight w:val="none"/>
                <w:u w:val="none"/>
                <w:lang w:val="en-US" w:eastAsia="zh-CN" w:bidi="ar"/>
              </w:rPr>
              <w:t>16</w:t>
            </w:r>
            <w:r>
              <w:rPr>
                <w:rStyle w:val="68"/>
                <w:rFonts w:hint="eastAsia" w:ascii="宋体" w:hAnsi="宋体" w:eastAsia="宋体" w:cs="宋体"/>
                <w:sz w:val="24"/>
                <w:szCs w:val="24"/>
                <w:highlight w:val="none"/>
                <w:lang w:val="en-US" w:eastAsia="zh-CN" w:bidi="ar"/>
              </w:rPr>
              <w:t>台变压器、72个控制箱）</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A49D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94A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26D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400000.00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BB6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1FAE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FB2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包干</w:t>
            </w:r>
          </w:p>
        </w:tc>
      </w:tr>
      <w:tr w14:paraId="6EDBA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9B2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C707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餐厨垃圾年度收运服务</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A3D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C59E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890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321000.00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38B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321000.00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A69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321000.00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D718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23B8E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2008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63602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环卫设施设备维护</w:t>
            </w:r>
            <w:r>
              <w:rPr>
                <w:rFonts w:hint="eastAsia" w:ascii="宋体" w:hAnsi="宋体" w:cs="宋体"/>
                <w:color w:val="auto"/>
                <w:sz w:val="24"/>
                <w:highlight w:val="none"/>
                <w:lang w:val="en-US" w:eastAsia="zh-CN"/>
              </w:rPr>
              <w:t>更新</w:t>
            </w:r>
            <w:r>
              <w:rPr>
                <w:rFonts w:hint="eastAsia" w:ascii="宋体" w:hAnsi="宋体" w:eastAsia="宋体" w:cs="宋体"/>
                <w:i w:val="0"/>
                <w:iCs w:val="0"/>
                <w:color w:val="000000"/>
                <w:kern w:val="0"/>
                <w:sz w:val="24"/>
                <w:szCs w:val="24"/>
                <w:highlight w:val="none"/>
                <w:u w:val="none"/>
                <w:lang w:val="en-US" w:eastAsia="zh-CN" w:bidi="ar"/>
              </w:rPr>
              <w:t>费</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77D6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维修更换果皮箱</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F54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E1B1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FB13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520.00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9C59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26000.00 </w:t>
            </w:r>
          </w:p>
        </w:tc>
        <w:tc>
          <w:tcPr>
            <w:tcW w:w="13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2425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105400.00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165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5E0A8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268E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CB57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0E3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维修更换垃圾分类亭</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B64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2263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48E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F36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30000.00 </w:t>
            </w: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313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86AA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r>
      <w:tr w14:paraId="4DF8D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59F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364C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745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维修更换垃圾分类桶</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8D3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18CA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247</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AA0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2A36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49400.00 </w:t>
            </w: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7F76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6DAF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含龙泉街道87个</w:t>
            </w:r>
          </w:p>
        </w:tc>
      </w:tr>
      <w:tr w14:paraId="52EE2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AA0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CEE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城区公共排水管网、市政道路及附属设施等维护管理费</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B16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auto"/>
                <w:sz w:val="24"/>
                <w:highlight w:val="none"/>
                <w:lang w:eastAsia="zh-CN"/>
              </w:rPr>
              <w:t>县城1611581平方米</w:t>
            </w:r>
            <w:r>
              <w:rPr>
                <w:rFonts w:hint="eastAsia" w:ascii="宋体" w:hAnsi="宋体" w:cs="宋体"/>
                <w:color w:val="auto"/>
                <w:sz w:val="24"/>
                <w:highlight w:val="none"/>
                <w:lang w:val="en-US" w:eastAsia="zh-CN"/>
              </w:rPr>
              <w:t>公共市政</w:t>
            </w:r>
            <w:r>
              <w:rPr>
                <w:rFonts w:hint="eastAsia" w:ascii="宋体" w:hAnsi="宋体" w:eastAsia="宋体" w:cs="宋体"/>
                <w:color w:val="auto"/>
                <w:sz w:val="24"/>
                <w:highlight w:val="none"/>
                <w:lang w:eastAsia="zh-CN"/>
              </w:rPr>
              <w:t>道路</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w:t>
            </w:r>
            <w:r>
              <w:rPr>
                <w:rFonts w:hint="eastAsia" w:ascii="宋体" w:hAnsi="宋体" w:eastAsia="宋体" w:cs="宋体"/>
                <w:color w:val="auto"/>
                <w:sz w:val="24"/>
                <w:highlight w:val="none"/>
                <w:lang w:eastAsia="zh-CN"/>
              </w:rPr>
              <w:t>、144公里雨污管网</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附属设施维修维护</w:t>
            </w:r>
            <w:r>
              <w:rPr>
                <w:rFonts w:hint="eastAsia" w:ascii="宋体" w:hAnsi="宋体" w:eastAsia="宋体" w:cs="宋体"/>
                <w:color w:val="auto"/>
                <w:sz w:val="24"/>
                <w:highlight w:val="none"/>
                <w:lang w:eastAsia="zh-CN"/>
              </w:rPr>
              <w:t>、271个市政消火栓</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2822座雨水井，1108个雨水篦子，2592座污水井维护管理</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211C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4819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13E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420000.00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6D3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420000.00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C2FE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420000.00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640F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32E0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EB74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4D08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业主预留金</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D40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860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FAE3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A74D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D9BA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FFFC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FF82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679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C2C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01AB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12577897.88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0D8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5713B08C">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注：业主预留金为不可竞争费用，固定不变。</w:t>
      </w:r>
    </w:p>
    <w:p w14:paraId="42B78ED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招标控制价编制说明</w:t>
      </w:r>
      <w:r>
        <w:rPr>
          <w:rFonts w:hint="eastAsia" w:ascii="宋体" w:hAnsi="宋体" w:cs="宋体"/>
          <w:color w:val="auto"/>
          <w:sz w:val="24"/>
          <w:highlight w:val="none"/>
          <w:lang w:val="en-US" w:eastAsia="zh-CN"/>
        </w:rPr>
        <w:t>：</w:t>
      </w:r>
    </w:p>
    <w:p w14:paraId="1933E46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编制依据</w:t>
      </w:r>
    </w:p>
    <w:p w14:paraId="094CC48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1.《招标文件》；</w:t>
      </w:r>
    </w:p>
    <w:p w14:paraId="531B4A0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2.《中华人民共和国政府采购法》及其实施条例；</w:t>
      </w:r>
    </w:p>
    <w:p w14:paraId="4267DA5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3.《云南省城市市容和环境卫生管理条例》；</w:t>
      </w:r>
    </w:p>
    <w:p w14:paraId="2902A0B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4.《云南省城市生活垃圾处理收费标准》（云发改价格〔2020〕123号）；</w:t>
      </w:r>
    </w:p>
    <w:p w14:paraId="78E784D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5.《云南省服务业收费标准》；</w:t>
      </w:r>
    </w:p>
    <w:p w14:paraId="0BD450F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6.易门县统计局《2022年易门县统计年鉴》；</w:t>
      </w:r>
    </w:p>
    <w:p w14:paraId="09AD7F6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7.云南省公共资源交易中心同类项目中标价格；</w:t>
      </w:r>
    </w:p>
    <w:p w14:paraId="5F2C06D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8.市场询价及成本测算数据。</w:t>
      </w:r>
    </w:p>
    <w:p w14:paraId="696240C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编制原则</w:t>
      </w:r>
    </w:p>
    <w:p w14:paraId="5AC7F5F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1.合法性原则：严格遵守国家法律法规和政策规定；</w:t>
      </w:r>
    </w:p>
    <w:p w14:paraId="5D921BF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2.合理性原则：费用构成合理，符合市场行情；</w:t>
      </w:r>
    </w:p>
    <w:p w14:paraId="024B073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3.完整性原则：涵盖招标文件要求的全部服务内容；</w:t>
      </w:r>
    </w:p>
    <w:p w14:paraId="532FBB8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4.准确性原则：数据准确，计算无误；</w:t>
      </w:r>
    </w:p>
    <w:p w14:paraId="2195B17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5.规范性原则：格式规范，符合造价编制要求。</w:t>
      </w:r>
    </w:p>
    <w:p w14:paraId="0895DCC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费用构成说明</w:t>
      </w:r>
    </w:p>
    <w:p w14:paraId="117C12C2">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1.清扫保洁费用：</w:t>
      </w:r>
    </w:p>
    <w:p w14:paraId="3CF2221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单价5.24元/㎡/年，参考云南省同类项目市场价（4.8-5.5元/㎡/年）取中值；</w:t>
      </w:r>
    </w:p>
    <w:p w14:paraId="5043EB9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面积</w:t>
      </w:r>
      <w:r>
        <w:rPr>
          <w:rFonts w:hint="eastAsia" w:ascii="宋体" w:hAnsi="宋体" w:eastAsia="宋体" w:cs="宋体"/>
          <w:i w:val="0"/>
          <w:iCs w:val="0"/>
          <w:color w:val="000000"/>
          <w:kern w:val="0"/>
          <w:sz w:val="24"/>
          <w:szCs w:val="24"/>
          <w:highlight w:val="none"/>
          <w:u w:val="none"/>
          <w:lang w:val="en-US" w:eastAsia="zh-CN" w:bidi="ar"/>
        </w:rPr>
        <w:t>1614481.2</w:t>
      </w:r>
      <w:r>
        <w:rPr>
          <w:rFonts w:hint="eastAsia" w:ascii="宋体" w:hAnsi="宋体" w:eastAsia="宋体" w:cs="宋体"/>
          <w:color w:val="auto"/>
          <w:sz w:val="24"/>
          <w:highlight w:val="none"/>
          <w:lang w:val="en-US" w:eastAsia="zh-CN"/>
        </w:rPr>
        <w:t>㎡，覆盖</w:t>
      </w:r>
      <w:r>
        <w:rPr>
          <w:rFonts w:hint="eastAsia" w:ascii="宋体" w:hAnsi="宋体" w:eastAsia="宋体" w:cs="宋体"/>
          <w:color w:val="auto"/>
          <w:sz w:val="24"/>
          <w:highlight w:val="none"/>
          <w:lang w:eastAsia="zh-CN"/>
        </w:rPr>
        <w:t>县城建成区范围和龙泉街道中心街、兴文街、西环路、中屯、罗所、方屯、梅营7个社区部分主次干道及公共区域</w:t>
      </w:r>
      <w:r>
        <w:rPr>
          <w:rFonts w:hint="eastAsia" w:ascii="宋体" w:hAnsi="宋体" w:eastAsia="宋体" w:cs="宋体"/>
          <w:color w:val="auto"/>
          <w:sz w:val="24"/>
          <w:highlight w:val="none"/>
          <w:lang w:val="en-US" w:eastAsia="zh-CN"/>
        </w:rPr>
        <w:t>；</w:t>
      </w:r>
    </w:p>
    <w:p w14:paraId="6A8F345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包含道路清扫、绿化带保洁、洒水降尘、果皮箱清洗</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县城建成区内除公园标外的公共绿化带日常保洁</w:t>
      </w:r>
      <w:r>
        <w:rPr>
          <w:rFonts w:hint="eastAsia" w:ascii="宋体" w:hAnsi="宋体" w:eastAsia="宋体" w:cs="宋体"/>
          <w:color w:val="auto"/>
          <w:sz w:val="24"/>
          <w:highlight w:val="none"/>
          <w:lang w:val="en-US" w:eastAsia="zh-CN"/>
        </w:rPr>
        <w:t>等全部工作。</w:t>
      </w:r>
    </w:p>
    <w:p w14:paraId="14A41496">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2.垃圾处理费用：</w:t>
      </w:r>
    </w:p>
    <w:p w14:paraId="5226CED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-垃圾转运：52吨/天×365天+7614.5吨（龙泉街道）=26596.5吨/年，单价25.6元/吨；</w:t>
      </w:r>
    </w:p>
    <w:p w14:paraId="13CDE7E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外运装卸：27.</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万元/年，符合</w:t>
      </w:r>
      <w:r>
        <w:rPr>
          <w:rFonts w:hint="eastAsia" w:ascii="宋体" w:hAnsi="宋体" w:cs="宋体"/>
          <w:color w:val="auto"/>
          <w:sz w:val="24"/>
          <w:highlight w:val="none"/>
          <w:lang w:val="en-US" w:eastAsia="zh-CN"/>
        </w:rPr>
        <w:t>相关行业标准</w:t>
      </w:r>
      <w:r>
        <w:rPr>
          <w:rFonts w:hint="eastAsia" w:ascii="宋体" w:hAnsi="宋体" w:eastAsia="宋体" w:cs="宋体"/>
          <w:color w:val="auto"/>
          <w:sz w:val="24"/>
          <w:highlight w:val="none"/>
          <w:lang w:val="en-US" w:eastAsia="zh-CN"/>
        </w:rPr>
        <w:t>；</w:t>
      </w:r>
    </w:p>
    <w:p w14:paraId="4527A27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渗滤液处理：20万元/年，确保达标排放；</w:t>
      </w:r>
    </w:p>
    <w:p w14:paraId="252B452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i w:val="0"/>
          <w:iCs w:val="0"/>
          <w:color w:val="000000"/>
          <w:kern w:val="0"/>
          <w:sz w:val="24"/>
          <w:szCs w:val="24"/>
          <w:highlight w:val="none"/>
          <w:u w:val="none"/>
          <w:lang w:val="en-US" w:eastAsia="zh-CN" w:bidi="ar"/>
        </w:rPr>
        <w:t>环境监测</w:t>
      </w:r>
      <w:r>
        <w:rPr>
          <w:rFonts w:hint="eastAsia" w:ascii="宋体" w:hAnsi="宋体" w:cs="宋体"/>
          <w:i w:val="0"/>
          <w:iCs w:val="0"/>
          <w:color w:val="000000"/>
          <w:kern w:val="0"/>
          <w:sz w:val="24"/>
          <w:szCs w:val="24"/>
          <w:highlight w:val="none"/>
          <w:u w:val="none"/>
          <w:lang w:val="en-US" w:eastAsia="zh-CN" w:bidi="ar"/>
        </w:rPr>
        <w:t>（其中监测费用60000.00元，按2500.00元/组水样据实支付）、环境在线监测</w:t>
      </w:r>
      <w:r>
        <w:rPr>
          <w:rFonts w:hint="eastAsia" w:ascii="宋体" w:hAnsi="宋体" w:eastAsia="宋体" w:cs="宋体"/>
          <w:color w:val="auto"/>
          <w:sz w:val="24"/>
          <w:highlight w:val="none"/>
          <w:lang w:val="en-US" w:eastAsia="zh-CN"/>
        </w:rPr>
        <w:t>：12.1146万元/年；</w:t>
      </w:r>
    </w:p>
    <w:p w14:paraId="35FF5A1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老垃圾场管护：3.5万元/年；</w:t>
      </w:r>
    </w:p>
    <w:p w14:paraId="2CFBC8B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进场道路维护：3.06万元/年。</w:t>
      </w:r>
    </w:p>
    <w:p w14:paraId="40532B6E">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3.公厕管护费用：</w:t>
      </w:r>
    </w:p>
    <w:p w14:paraId="1296AEC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-33座公厕，单价3.9万元/座/年；</w:t>
      </w:r>
    </w:p>
    <w:p w14:paraId="50949F3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要求达到</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三有三无</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标准（有手纸、有洗手液、有</w:t>
      </w:r>
      <w:r>
        <w:rPr>
          <w:rFonts w:hint="eastAsia" w:ascii="宋体" w:hAnsi="宋体" w:cs="宋体"/>
          <w:color w:val="auto"/>
          <w:sz w:val="24"/>
          <w:highlight w:val="none"/>
          <w:lang w:val="en-US" w:eastAsia="zh-CN"/>
        </w:rPr>
        <w:t>香熏</w:t>
      </w:r>
      <w:r>
        <w:rPr>
          <w:rFonts w:hint="eastAsia" w:ascii="宋体" w:hAnsi="宋体" w:eastAsia="宋体" w:cs="宋体"/>
          <w:color w:val="auto"/>
          <w:sz w:val="24"/>
          <w:highlight w:val="none"/>
          <w:lang w:val="en-US" w:eastAsia="zh-CN"/>
        </w:rPr>
        <w:t>，无粪便、无臭味、地面无水渍）；</w:t>
      </w:r>
    </w:p>
    <w:p w14:paraId="24ECE1B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包含水电费、保洁用品、化粪池清掏（每年不少于一次）。</w:t>
      </w:r>
    </w:p>
    <w:p w14:paraId="7300B6BB">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4.洗手台管护费用：</w:t>
      </w:r>
    </w:p>
    <w:p w14:paraId="24CF593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-26座公共洗手台，单价4000元/座/年；</w:t>
      </w:r>
    </w:p>
    <w:p w14:paraId="0661A6B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包含日常保洁、水电费、维修维护、消毒消杀。</w:t>
      </w:r>
    </w:p>
    <w:p w14:paraId="5B562F54">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5.路灯管护费用：</w:t>
      </w:r>
    </w:p>
    <w:p w14:paraId="4AAFE3F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-40万元/年包干；</w:t>
      </w:r>
    </w:p>
    <w:p w14:paraId="139E14F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szCs w:val="24"/>
          <w:highlight w:val="none"/>
          <w:lang w:eastAsia="zh-CN"/>
        </w:rPr>
        <w:t>2847</w:t>
      </w:r>
      <w:r>
        <w:rPr>
          <w:rStyle w:val="68"/>
          <w:rFonts w:hint="eastAsia" w:ascii="宋体" w:hAnsi="宋体" w:eastAsia="宋体" w:cs="宋体"/>
          <w:sz w:val="24"/>
          <w:szCs w:val="24"/>
          <w:highlight w:val="none"/>
          <w:lang w:val="en-US" w:eastAsia="zh-CN" w:bidi="ar"/>
        </w:rPr>
        <w:t>棵灯杆、</w:t>
      </w:r>
      <w:r>
        <w:rPr>
          <w:rFonts w:hint="eastAsia" w:ascii="宋体" w:hAnsi="宋体" w:eastAsia="宋体" w:cs="宋体"/>
          <w:color w:val="auto"/>
          <w:sz w:val="24"/>
          <w:szCs w:val="24"/>
          <w:highlight w:val="none"/>
          <w:lang w:eastAsia="zh-CN"/>
        </w:rPr>
        <w:t>8566</w:t>
      </w:r>
      <w:r>
        <w:rPr>
          <w:rStyle w:val="68"/>
          <w:rFonts w:hint="eastAsia" w:ascii="宋体" w:hAnsi="宋体" w:eastAsia="宋体" w:cs="宋体"/>
          <w:sz w:val="24"/>
          <w:szCs w:val="24"/>
          <w:highlight w:val="none"/>
          <w:lang w:val="en-US" w:eastAsia="zh-CN" w:bidi="ar"/>
        </w:rPr>
        <w:t>盏灯、</w:t>
      </w:r>
      <w:r>
        <w:rPr>
          <w:rFonts w:hint="eastAsia" w:ascii="宋体" w:hAnsi="宋体" w:eastAsia="宋体" w:cs="宋体"/>
          <w:i w:val="0"/>
          <w:iCs w:val="0"/>
          <w:color w:val="000000"/>
          <w:kern w:val="0"/>
          <w:sz w:val="24"/>
          <w:szCs w:val="24"/>
          <w:highlight w:val="none"/>
          <w:u w:val="none"/>
          <w:lang w:val="en-US" w:eastAsia="zh-CN" w:bidi="ar"/>
        </w:rPr>
        <w:t>16</w:t>
      </w:r>
      <w:r>
        <w:rPr>
          <w:rStyle w:val="68"/>
          <w:rFonts w:hint="eastAsia" w:ascii="宋体" w:hAnsi="宋体" w:eastAsia="宋体" w:cs="宋体"/>
          <w:sz w:val="24"/>
          <w:szCs w:val="24"/>
          <w:highlight w:val="none"/>
          <w:lang w:val="en-US" w:eastAsia="zh-CN" w:bidi="ar"/>
        </w:rPr>
        <w:t>台变压器、72个控制箱</w:t>
      </w:r>
      <w:r>
        <w:rPr>
          <w:rFonts w:hint="eastAsia" w:ascii="宋体" w:hAnsi="宋体" w:eastAsia="宋体" w:cs="宋体"/>
          <w:color w:val="auto"/>
          <w:sz w:val="24"/>
          <w:highlight w:val="none"/>
          <w:lang w:val="en-US" w:eastAsia="zh-CN"/>
        </w:rPr>
        <w:t>；</w:t>
      </w:r>
    </w:p>
    <w:p w14:paraId="1AE2C11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highlight w:val="none"/>
          <w:lang w:val="en-US" w:eastAsia="zh-CN"/>
        </w:rPr>
      </w:pPr>
      <w:r>
        <w:rPr>
          <w:rFonts w:hint="eastAsia" w:ascii="宋体" w:hAnsi="宋体" w:cs="宋体"/>
          <w:color w:val="auto"/>
          <w:sz w:val="24"/>
          <w:highlight w:val="none"/>
          <w:lang w:val="en-US" w:eastAsia="zh-CN"/>
        </w:rPr>
        <w:t>－含易门县美丽县城建设项目正式竣工验收移交后需列为管护项目（含市政道路新建、改扩建、3台变压器、9个控制箱、144</w:t>
      </w:r>
      <w:r>
        <w:rPr>
          <w:rFonts w:hint="eastAsia" w:ascii="宋体" w:hAnsi="宋体" w:eastAsia="宋体" w:cs="宋体"/>
          <w:color w:val="auto"/>
          <w:sz w:val="24"/>
          <w:highlight w:val="none"/>
          <w:lang w:eastAsia="zh-CN"/>
        </w:rPr>
        <w:t>棵灯杆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1559</w:t>
      </w:r>
      <w:r>
        <w:rPr>
          <w:rFonts w:hint="eastAsia" w:ascii="宋体" w:hAnsi="宋体" w:eastAsia="宋体" w:cs="宋体"/>
          <w:color w:val="auto"/>
          <w:sz w:val="24"/>
          <w:highlight w:val="none"/>
          <w:lang w:eastAsia="zh-CN"/>
        </w:rPr>
        <w:t>盏路灯</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92基广告灯杆等</w:t>
      </w:r>
      <w:r>
        <w:rPr>
          <w:rFonts w:hint="eastAsia" w:ascii="宋体" w:hAnsi="宋体" w:eastAsia="宋体" w:cs="宋体"/>
          <w:color w:val="auto"/>
          <w:sz w:val="24"/>
          <w:highlight w:val="none"/>
          <w:lang w:eastAsia="zh-CN"/>
        </w:rPr>
        <w:t>日常维护</w:t>
      </w:r>
      <w:r>
        <w:rPr>
          <w:rFonts w:hint="eastAsia" w:ascii="宋体" w:hAnsi="宋体" w:cs="宋体"/>
          <w:color w:val="auto"/>
          <w:sz w:val="24"/>
          <w:highlight w:val="none"/>
          <w:lang w:val="en-US" w:eastAsia="zh-CN"/>
        </w:rPr>
        <w:t>）；</w:t>
      </w:r>
    </w:p>
    <w:p w14:paraId="4A43257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要求亮灯率≥95%，重大节日≥98%。</w:t>
      </w:r>
    </w:p>
    <w:p w14:paraId="7B867063">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6.城区公共排水管网、市政道路及附属设施等维护管理费用：</w:t>
      </w:r>
    </w:p>
    <w:p w14:paraId="7E72B23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-42万元/年包干；</w:t>
      </w:r>
    </w:p>
    <w:p w14:paraId="55351C7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-144公里排水主管网及合同期新增排水主管网日常运行维护管理工作；包括日常巡查、易涝点、排水管沟、排水井、雨水箅子清掏等工作；</w:t>
      </w:r>
    </w:p>
    <w:p w14:paraId="1AD93D5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城区公共市政道路及附属设施等维修维护管理工作；包括道路、人行道路面及窨井、消火栓等公共市政运行的维修维护工作；</w:t>
      </w:r>
    </w:p>
    <w:p w14:paraId="3B72838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城</w:t>
      </w:r>
      <w:r>
        <w:rPr>
          <w:rFonts w:hint="eastAsia" w:ascii="宋体" w:hAnsi="宋体" w:cs="宋体"/>
          <w:color w:val="auto"/>
          <w:sz w:val="24"/>
          <w:highlight w:val="none"/>
          <w:lang w:val="en-US" w:eastAsia="zh-CN"/>
        </w:rPr>
        <w:t>区</w:t>
      </w:r>
      <w:r>
        <w:rPr>
          <w:rFonts w:hint="eastAsia" w:ascii="宋体" w:hAnsi="宋体" w:eastAsia="宋体" w:cs="宋体"/>
          <w:color w:val="auto"/>
          <w:sz w:val="24"/>
          <w:highlight w:val="none"/>
          <w:lang w:val="en-US" w:eastAsia="zh-CN"/>
        </w:rPr>
        <w:t>防洪排涝工作。协助做好其他涉及易门县建成区市政公用管理职责职能突发性、应急性工作任务；</w:t>
      </w:r>
    </w:p>
    <w:p w14:paraId="59A623F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城</w:t>
      </w:r>
      <w:r>
        <w:rPr>
          <w:rFonts w:hint="eastAsia" w:ascii="宋体" w:hAnsi="宋体" w:cs="宋体"/>
          <w:color w:val="auto"/>
          <w:sz w:val="24"/>
          <w:highlight w:val="none"/>
          <w:lang w:val="en-US" w:eastAsia="zh-CN"/>
        </w:rPr>
        <w:t>区</w:t>
      </w:r>
      <w:r>
        <w:rPr>
          <w:rFonts w:hint="eastAsia" w:ascii="宋体" w:hAnsi="宋体" w:eastAsia="宋体" w:cs="宋体"/>
          <w:color w:val="auto"/>
          <w:sz w:val="24"/>
          <w:highlight w:val="none"/>
          <w:lang w:val="en-US" w:eastAsia="zh-CN"/>
        </w:rPr>
        <w:t>面积5.09平方公里。现有市政道路总长度57864米；道路总面积1611581平方米；雨污管网长度144公里，雨</w:t>
      </w:r>
      <w:r>
        <w:rPr>
          <w:rFonts w:hint="eastAsia" w:ascii="宋体" w:hAnsi="宋体" w:cs="宋体"/>
          <w:color w:val="auto"/>
          <w:sz w:val="24"/>
          <w:highlight w:val="none"/>
          <w:lang w:val="en-US" w:eastAsia="zh-CN"/>
        </w:rPr>
        <w:t>水管长</w:t>
      </w:r>
      <w:r>
        <w:rPr>
          <w:rFonts w:hint="eastAsia" w:ascii="宋体" w:hAnsi="宋体" w:eastAsia="宋体" w:cs="宋体"/>
          <w:color w:val="auto"/>
          <w:sz w:val="24"/>
          <w:highlight w:val="none"/>
          <w:lang w:val="en-US" w:eastAsia="zh-CN"/>
        </w:rPr>
        <w:t>78公里，污</w:t>
      </w:r>
      <w:r>
        <w:rPr>
          <w:rFonts w:hint="eastAsia" w:ascii="宋体" w:hAnsi="宋体" w:cs="宋体"/>
          <w:color w:val="auto"/>
          <w:sz w:val="24"/>
          <w:highlight w:val="none"/>
          <w:lang w:val="en-US" w:eastAsia="zh-CN"/>
        </w:rPr>
        <w:t>水管长</w:t>
      </w:r>
      <w:r>
        <w:rPr>
          <w:rFonts w:hint="eastAsia" w:ascii="宋体" w:hAnsi="宋体" w:eastAsia="宋体" w:cs="宋体"/>
          <w:color w:val="auto"/>
          <w:sz w:val="24"/>
          <w:highlight w:val="none"/>
          <w:lang w:val="en-US" w:eastAsia="zh-CN"/>
        </w:rPr>
        <w:t>66公里；市政消火栓271个；雨水井2822个，雨水篦子1108个，污水井2592个。</w:t>
      </w:r>
    </w:p>
    <w:p w14:paraId="40240FF3">
      <w:pPr>
        <w:pStyle w:val="3"/>
        <w:keepLines w:val="0"/>
        <w:pageBreakBefore w:val="0"/>
        <w:widowControl w:val="0"/>
        <w:kinsoku/>
        <w:wordWrap/>
        <w:overflowPunct/>
        <w:topLinePunct w:val="0"/>
        <w:autoSpaceDE/>
        <w:autoSpaceDN/>
        <w:bidi w:val="0"/>
        <w:adjustRightInd w:val="0"/>
        <w:snapToGrid w:val="0"/>
        <w:spacing w:line="480" w:lineRule="exact"/>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二、相关要求</w:t>
      </w:r>
    </w:p>
    <w:p w14:paraId="225CC587">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6"/>
          <w:sz w:val="24"/>
          <w:szCs w:val="24"/>
          <w:highlight w:val="none"/>
          <w14:textFill>
            <w14:solidFill>
              <w14:schemeClr w14:val="tx1"/>
            </w14:solidFill>
          </w14:textFill>
        </w:rPr>
        <w:t>职业道德要求：服从环卫站统一管理，完成承包任务，合理安排劳动组合，按操作要求落实责任，经常组织职工学习，提高职工素质，教育职工遵纪守法，团结奉献、爱岗敬业。</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所有与项目实施有关的台账资料需按采购人要求进行移交。</w:t>
      </w:r>
    </w:p>
    <w:p w14:paraId="58417BF0">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6"/>
          <w:sz w:val="24"/>
          <w:szCs w:val="24"/>
          <w:highlight w:val="none"/>
          <w14:textFill>
            <w14:solidFill>
              <w14:schemeClr w14:val="tx1"/>
            </w14:solidFill>
          </w14:textFill>
        </w:rPr>
        <w:t>清扫保洁</w:t>
      </w:r>
      <w:r>
        <w:rPr>
          <w:rFonts w:hint="eastAsia" w:ascii="宋体" w:hAnsi="宋体" w:eastAsia="宋体" w:cs="宋体"/>
          <w:color w:val="000000" w:themeColor="text1"/>
          <w:sz w:val="24"/>
          <w:szCs w:val="24"/>
          <w:highlight w:val="none"/>
          <w14:textFill>
            <w14:solidFill>
              <w14:schemeClr w14:val="tx1"/>
            </w14:solidFill>
          </w14:textFill>
        </w:rPr>
        <w:t>要求</w:t>
      </w:r>
      <w:r>
        <w:rPr>
          <w:rFonts w:hint="eastAsia" w:ascii="宋体" w:hAnsi="宋体" w:eastAsia="宋体" w:cs="宋体"/>
          <w:color w:val="000000" w:themeColor="text1"/>
          <w:spacing w:val="-6"/>
          <w:sz w:val="24"/>
          <w:szCs w:val="24"/>
          <w:highlight w:val="none"/>
          <w14:textFill>
            <w14:solidFill>
              <w14:schemeClr w14:val="tx1"/>
            </w14:solidFill>
          </w14:textFill>
        </w:rPr>
        <w:t>：</w:t>
      </w:r>
    </w:p>
    <w:p w14:paraId="138DC1F9">
      <w:pPr>
        <w:keepLines w:val="0"/>
        <w:pageBreakBefore w:val="0"/>
        <w:kinsoku/>
        <w:wordWrap/>
        <w:overflowPunct/>
        <w:topLinePunct w:val="0"/>
        <w:autoSpaceDE/>
        <w:autoSpaceDN/>
        <w:bidi w:val="0"/>
        <w:spacing w:line="480" w:lineRule="exact"/>
        <w:ind w:firstLine="480"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每天对路面普扫两次：</w:t>
      </w:r>
      <w:r>
        <w:rPr>
          <w:rFonts w:hint="eastAsia" w:ascii="宋体" w:hAnsi="宋体" w:eastAsia="宋体" w:cs="宋体"/>
          <w:color w:val="000000" w:themeColor="text1"/>
          <w:kern w:val="0"/>
          <w:sz w:val="24"/>
          <w:szCs w:val="24"/>
          <w:highlight w:val="none"/>
          <w14:textFill>
            <w14:solidFill>
              <w14:schemeClr w14:val="tx1"/>
            </w14:solidFill>
          </w14:textFill>
        </w:rPr>
        <w:t>第一次普扫在</w:t>
      </w:r>
      <w:r>
        <w:rPr>
          <w:rFonts w:hint="eastAsia" w:ascii="宋体" w:hAnsi="宋体" w:eastAsia="宋体" w:cs="宋体"/>
          <w:color w:val="000000" w:themeColor="text1"/>
          <w:kern w:val="0"/>
          <w:sz w:val="24"/>
          <w:szCs w:val="24"/>
          <w:highlight w:val="none"/>
          <w:lang w:eastAsia="zh-CN"/>
          <w14:textFill>
            <w14:solidFill>
              <w14:schemeClr w14:val="tx1"/>
            </w14:solidFill>
          </w14:textFill>
        </w:rPr>
        <w:t>07:30</w:t>
      </w:r>
      <w:r>
        <w:rPr>
          <w:rFonts w:hint="eastAsia" w:ascii="宋体" w:hAnsi="宋体" w:cs="宋体"/>
          <w:color w:val="000000" w:themeColor="text1"/>
          <w:kern w:val="0"/>
          <w:sz w:val="24"/>
          <w:szCs w:val="24"/>
          <w:highlight w:val="none"/>
          <w:lang w:val="en-US" w:eastAsia="zh-CN"/>
          <w14:textFill>
            <w14:solidFill>
              <w14:schemeClr w14:val="tx1"/>
            </w14:solidFill>
          </w14:textFill>
        </w:rPr>
        <w:t>前</w:t>
      </w:r>
      <w:r>
        <w:rPr>
          <w:rFonts w:hint="eastAsia" w:ascii="宋体" w:hAnsi="宋体" w:eastAsia="宋体" w:cs="宋体"/>
          <w:color w:val="000000" w:themeColor="text1"/>
          <w:kern w:val="0"/>
          <w:sz w:val="24"/>
          <w:szCs w:val="24"/>
          <w:highlight w:val="none"/>
          <w14:textFill>
            <w14:solidFill>
              <w14:schemeClr w14:val="tx1"/>
            </w14:solidFill>
          </w14:textFill>
        </w:rPr>
        <w:t>完成，第二次普扫在</w:t>
      </w:r>
      <w:r>
        <w:rPr>
          <w:rFonts w:hint="eastAsia" w:ascii="宋体" w:hAnsi="宋体" w:eastAsia="宋体" w:cs="宋体"/>
          <w:color w:val="000000" w:themeColor="text1"/>
          <w:kern w:val="0"/>
          <w:sz w:val="24"/>
          <w:szCs w:val="24"/>
          <w:highlight w:val="none"/>
          <w:lang w:eastAsia="zh-CN"/>
          <w14:textFill>
            <w14:solidFill>
              <w14:schemeClr w14:val="tx1"/>
            </w14:solidFill>
          </w14:textFill>
        </w:rPr>
        <w:t>18:00</w:t>
      </w:r>
      <w:r>
        <w:rPr>
          <w:rFonts w:hint="eastAsia" w:ascii="宋体" w:hAnsi="宋体" w:eastAsia="宋体" w:cs="宋体"/>
          <w:color w:val="000000" w:themeColor="text1"/>
          <w:kern w:val="0"/>
          <w:sz w:val="24"/>
          <w:szCs w:val="24"/>
          <w:highlight w:val="none"/>
          <w14:textFill>
            <w14:solidFill>
              <w14:schemeClr w14:val="tx1"/>
            </w14:solidFill>
          </w14:textFill>
        </w:rPr>
        <w:t>前完成；</w:t>
      </w:r>
      <w:r>
        <w:rPr>
          <w:rFonts w:hint="eastAsia" w:ascii="宋体" w:hAnsi="宋体" w:eastAsia="宋体" w:cs="宋体"/>
          <w:color w:val="000000" w:themeColor="text1"/>
          <w:kern w:val="0"/>
          <w:sz w:val="24"/>
          <w:szCs w:val="24"/>
          <w:highlight w:val="none"/>
          <w:lang w:eastAsia="zh-CN"/>
          <w14:textFill>
            <w14:solidFill>
              <w14:schemeClr w14:val="tx1"/>
            </w14:solidFill>
          </w14:textFill>
        </w:rPr>
        <w:t>主次干</w:t>
      </w:r>
      <w:r>
        <w:rPr>
          <w:rFonts w:hint="eastAsia" w:ascii="宋体" w:hAnsi="宋体" w:eastAsia="宋体" w:cs="宋体"/>
          <w:color w:val="000000" w:themeColor="text1"/>
          <w:kern w:val="0"/>
          <w:sz w:val="24"/>
          <w:szCs w:val="24"/>
          <w:highlight w:val="none"/>
          <w14:textFill>
            <w14:solidFill>
              <w14:schemeClr w14:val="tx1"/>
            </w14:solidFill>
          </w14:textFill>
        </w:rPr>
        <w:t>道保洁在</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0至22:00。遇重大活动和节假日，保洁时间应顺延至少1小时。其他特殊情况，可根据需要按易门县环卫站通知要求</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做</w:t>
      </w:r>
      <w:r>
        <w:rPr>
          <w:rFonts w:hint="eastAsia" w:ascii="宋体" w:hAnsi="宋体" w:eastAsia="宋体" w:cs="宋体"/>
          <w:color w:val="000000" w:themeColor="text1"/>
          <w:kern w:val="0"/>
          <w:sz w:val="24"/>
          <w:szCs w:val="24"/>
          <w:highlight w:val="none"/>
          <w14:textFill>
            <w14:solidFill>
              <w14:schemeClr w14:val="tx1"/>
            </w14:solidFill>
          </w14:textFill>
        </w:rPr>
        <w:t>相应调整</w:t>
      </w:r>
      <w:r>
        <w:rPr>
          <w:rFonts w:hint="eastAsia" w:ascii="宋体" w:hAnsi="宋体" w:eastAsia="宋体" w:cs="宋体"/>
          <w:color w:val="000000" w:themeColor="text1"/>
          <w:sz w:val="24"/>
          <w:szCs w:val="24"/>
          <w:highlight w:val="none"/>
          <w14:textFill>
            <w14:solidFill>
              <w14:schemeClr w14:val="tx1"/>
            </w14:solidFill>
          </w14:textFill>
        </w:rPr>
        <w:t>。必须完成清扫任务，按规定时间将垃圾收运到指定中转站，清扫要全面、彻底，不延时、不漏扫，主路面、慢车道、人行道、绿化带干净整洁。主次干道、人行道、路面、地砖、路沿、边沟、落水口等整洁，无浮土、泥沙，路面见本色；可视范围内无废弃物、无污物、无积水、无大件废弃物；雨水篦子通畅；道路中心平台、隔离带等处无废弃物，标线、边线</w:t>
      </w:r>
      <w:r>
        <w:rPr>
          <w:rFonts w:hint="eastAsia" w:ascii="宋体" w:hAnsi="宋体" w:eastAsia="宋体" w:cs="宋体"/>
          <w:color w:val="000000" w:themeColor="text1"/>
          <w:sz w:val="24"/>
          <w:szCs w:val="24"/>
          <w:highlight w:val="none"/>
          <w:lang w:eastAsia="zh-CN"/>
          <w14:textFill>
            <w14:solidFill>
              <w14:schemeClr w14:val="tx1"/>
            </w14:solidFill>
          </w14:textFill>
        </w:rPr>
        <w:t>清晰</w:t>
      </w:r>
      <w:r>
        <w:rPr>
          <w:rFonts w:hint="eastAsia" w:ascii="宋体" w:hAnsi="宋体" w:eastAsia="宋体" w:cs="宋体"/>
          <w:color w:val="000000" w:themeColor="text1"/>
          <w:sz w:val="24"/>
          <w:szCs w:val="24"/>
          <w:highlight w:val="none"/>
          <w14:textFill>
            <w14:solidFill>
              <w14:schemeClr w14:val="tx1"/>
            </w14:solidFill>
          </w14:textFill>
        </w:rPr>
        <w:t>，见潮不见水流。路旁绿地、绿化隔离带、人行道树池内无积存垃圾和人畜粪便。辖区清扫保洁范围内与居委会、小区物业、单位等有交叉争议的地方、垃圾收集点、</w:t>
      </w:r>
      <w:r>
        <w:rPr>
          <w:rFonts w:hint="eastAsia" w:ascii="宋体" w:hAnsi="宋体" w:eastAsia="宋体" w:cs="宋体"/>
          <w:color w:val="000000" w:themeColor="text1"/>
          <w:spacing w:val="-6"/>
          <w:sz w:val="24"/>
          <w:szCs w:val="24"/>
          <w:highlight w:val="none"/>
          <w14:textFill>
            <w14:solidFill>
              <w14:schemeClr w14:val="tx1"/>
            </w14:solidFill>
          </w14:textFill>
        </w:rPr>
        <w:t>无主生活垃圾，服务单位必须清扫保洁、收集、清运，自行解决、处理。</w:t>
      </w:r>
    </w:p>
    <w:p w14:paraId="7362C88C">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清扫作业时严格按安全生产规定使用清扫保洁工具和设备，清扫工具、设备存放在隐蔽位置，不得影响市容。</w:t>
      </w:r>
    </w:p>
    <w:p w14:paraId="75F58269">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路段若遇突发情况，服务单位应设置路障安全警示标志，必须在半小时内组织人员进行清扫、清理、清运，并在15分钟内向环卫站及相关部门报告。</w:t>
      </w:r>
    </w:p>
    <w:p w14:paraId="146145C1">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当日清扫保洁工作结束后，保洁质量要达到“六无六净”，无成堆垃圾和零星装潢垃圾、建筑渣土。</w:t>
      </w:r>
    </w:p>
    <w:p w14:paraId="639EC070">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要求路沿、墙根、树坑、花坛、落水孔周围干净，无杂草杂物，无零散垃圾、无油污，不留卫生死角。门店垃圾按时收集，及时清运。</w:t>
      </w:r>
    </w:p>
    <w:p w14:paraId="65668FAA">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城区主次干道实行全天候保洁。街路清扫保洁时间在</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6"/>
          <w:sz w:val="24"/>
          <w:szCs w:val="24"/>
          <w:highlight w:val="none"/>
          <w14:textFill>
            <w14:solidFill>
              <w14:schemeClr w14:val="tx1"/>
            </w14:solidFill>
          </w14:textFill>
        </w:rPr>
        <w:t>:</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30</w:t>
      </w:r>
      <w:r>
        <w:rPr>
          <w:rFonts w:hint="eastAsia" w:ascii="宋体" w:hAnsi="宋体" w:eastAsia="宋体" w:cs="宋体"/>
          <w:color w:val="000000" w:themeColor="text1"/>
          <w:spacing w:val="-6"/>
          <w:sz w:val="24"/>
          <w:szCs w:val="24"/>
          <w:highlight w:val="none"/>
          <w14:textFill>
            <w14:solidFill>
              <w14:schemeClr w14:val="tx1"/>
            </w14:solidFill>
          </w14:textFill>
        </w:rPr>
        <w:t>至22:00。遇重大活动和节假日，保洁时间应顺延至少1小时。各项荣誉创建、上级部门各项检查考评等其他特殊情况，可根据需要按易门县环卫站通知要求</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做</w:t>
      </w:r>
      <w:r>
        <w:rPr>
          <w:rFonts w:hint="eastAsia" w:ascii="宋体" w:hAnsi="宋体" w:eastAsia="宋体" w:cs="宋体"/>
          <w:color w:val="000000" w:themeColor="text1"/>
          <w:spacing w:val="-6"/>
          <w:sz w:val="24"/>
          <w:szCs w:val="24"/>
          <w:highlight w:val="none"/>
          <w14:textFill>
            <w14:solidFill>
              <w14:schemeClr w14:val="tx1"/>
            </w14:solidFill>
          </w14:textFill>
        </w:rPr>
        <w:t>相应调整。</w:t>
      </w:r>
    </w:p>
    <w:p w14:paraId="6944138E">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路边的果皮箱、垃圾桶每天清掏两次，平时随满随清掏，要求每天普抹洗一遍，平时随脏随洗。</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09:00前第一次清掏完成。</w:t>
      </w:r>
    </w:p>
    <w:p w14:paraId="22FADEF9">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小街小巷、背街背巷的清扫保洁做到垃圾收集清运及时，无卫生死角、路面无污染、无杂物、无废弃物等。</w:t>
      </w:r>
    </w:p>
    <w:p w14:paraId="07D019A6">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6"/>
          <w:sz w:val="24"/>
          <w:szCs w:val="24"/>
          <w:highlight w:val="none"/>
          <w14:textFill>
            <w14:solidFill>
              <w14:schemeClr w14:val="tx1"/>
            </w14:solidFill>
          </w14:textFill>
        </w:rPr>
        <w:t>清扫保洁与收集分离，做到工作面不脱人。</w:t>
      </w:r>
    </w:p>
    <w:p w14:paraId="2ECEF76B">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6"/>
          <w:sz w:val="24"/>
          <w:szCs w:val="24"/>
          <w:highlight w:val="none"/>
          <w14:textFill>
            <w14:solidFill>
              <w14:schemeClr w14:val="tx1"/>
            </w14:solidFill>
          </w14:textFill>
        </w:rPr>
        <w:t>确保卫生县城、文明县城、园林县城等各项荣誉创建活动的环境卫生指标要求必须达到；满足如机扫率、洗扫率等环境卫生相关考核指标的要求，确保</w:t>
      </w:r>
      <w:r>
        <w:rPr>
          <w:rFonts w:hint="eastAsia" w:ascii="宋体" w:hAnsi="宋体" w:eastAsia="宋体" w:cs="宋体"/>
          <w:b w:val="0"/>
          <w:bCs/>
          <w:snapToGrid w:val="0"/>
          <w:color w:val="000000" w:themeColor="text1"/>
          <w:kern w:val="0"/>
          <w:sz w:val="24"/>
          <w:szCs w:val="24"/>
          <w:highlight w:val="none"/>
          <w14:textFill>
            <w14:solidFill>
              <w14:schemeClr w14:val="tx1"/>
            </w14:solidFill>
          </w14:textFill>
        </w:rPr>
        <w:t>机械化清扫率</w:t>
      </w:r>
      <w:r>
        <w:rPr>
          <w:rFonts w:hint="eastAsia" w:ascii="宋体" w:hAnsi="宋体" w:eastAsia="宋体" w:cs="宋体"/>
          <w:b w:val="0"/>
          <w:bCs/>
          <w:snapToGrid w:val="0"/>
          <w:color w:val="000000" w:themeColor="text1"/>
          <w:kern w:val="0"/>
          <w:sz w:val="24"/>
          <w:szCs w:val="24"/>
          <w:highlight w:val="none"/>
          <w:lang w:eastAsia="zh-CN"/>
          <w14:textFill>
            <w14:solidFill>
              <w14:schemeClr w14:val="tx1"/>
            </w14:solidFill>
          </w14:textFill>
        </w:rPr>
        <w:t>应符合省、市相关行业部门指标要求（现行标准为</w:t>
      </w:r>
      <w:r>
        <w:rPr>
          <w:rFonts w:hint="eastAsia" w:ascii="宋体" w:hAnsi="宋体" w:eastAsia="宋体" w:cs="宋体"/>
          <w:b w:val="0"/>
          <w:bCs/>
          <w:snapToGrid w:val="0"/>
          <w:color w:val="000000" w:themeColor="text1"/>
          <w:kern w:val="0"/>
          <w:sz w:val="24"/>
          <w:szCs w:val="24"/>
          <w:highlight w:val="none"/>
          <w14:textFill>
            <w14:solidFill>
              <w14:schemeClr w14:val="tx1"/>
            </w14:solidFill>
          </w14:textFill>
        </w:rPr>
        <w:t>不得低于</w:t>
      </w:r>
      <w:r>
        <w:rPr>
          <w:rFonts w:hint="eastAsia" w:ascii="宋体" w:hAnsi="宋体" w:eastAsia="宋体" w:cs="宋体"/>
          <w:b w:val="0"/>
          <w:bCs/>
          <w:snapToGrid w:val="0"/>
          <w:color w:val="000000" w:themeColor="text1"/>
          <w:kern w:val="0"/>
          <w:sz w:val="24"/>
          <w:szCs w:val="24"/>
          <w:highlight w:val="none"/>
          <w:lang w:val="en-US" w:eastAsia="zh-CN"/>
          <w14:textFill>
            <w14:solidFill>
              <w14:schemeClr w14:val="tx1"/>
            </w14:solidFill>
          </w14:textFill>
        </w:rPr>
        <w:t>80</w:t>
      </w:r>
      <w:r>
        <w:rPr>
          <w:rFonts w:hint="eastAsia" w:ascii="宋体" w:hAnsi="宋体" w:eastAsia="宋体" w:cs="宋体"/>
          <w:b w:val="0"/>
          <w:bCs/>
          <w:snapToGrid w:val="0"/>
          <w:color w:val="000000" w:themeColor="text1"/>
          <w:kern w:val="0"/>
          <w:sz w:val="24"/>
          <w:szCs w:val="24"/>
          <w:highlight w:val="none"/>
          <w14:textFill>
            <w14:solidFill>
              <w14:schemeClr w14:val="tx1"/>
            </w14:solidFill>
          </w14:textFill>
        </w:rPr>
        <w:t>%</w:t>
      </w:r>
      <w:r>
        <w:rPr>
          <w:rFonts w:hint="eastAsia" w:ascii="宋体" w:hAnsi="宋体" w:eastAsia="宋体" w:cs="宋体"/>
          <w:b w:val="0"/>
          <w:bCs/>
          <w:snapToGrid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p w14:paraId="1A28F6FF">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6"/>
          <w:sz w:val="24"/>
          <w:szCs w:val="24"/>
          <w:highlight w:val="none"/>
          <w14:textFill>
            <w14:solidFill>
              <w14:schemeClr w14:val="tx1"/>
            </w14:solidFill>
          </w14:textFill>
        </w:rPr>
        <w:t>公厕管理</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pacing w:val="-6"/>
          <w:sz w:val="24"/>
          <w:szCs w:val="24"/>
          <w:highlight w:val="none"/>
          <w14:textFill>
            <w14:solidFill>
              <w14:schemeClr w14:val="tx1"/>
            </w14:solidFill>
          </w14:textFill>
        </w:rPr>
        <w:t>：</w:t>
      </w:r>
    </w:p>
    <w:p w14:paraId="390B27A4">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严格按照《易门县公厕公共厕所管理制度》、《易门县公共厕所管理监督公示牌》、《易门县公共厕所管理达标制度》等相关要求进行管护</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城市公共厕所必须保证“三有三无”标准</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有手纸、有洗手液、有</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香熏</w:t>
      </w:r>
      <w:r>
        <w:rPr>
          <w:rFonts w:hint="eastAsia" w:ascii="宋体" w:hAnsi="宋体" w:eastAsia="宋体" w:cs="宋体"/>
          <w:color w:val="000000" w:themeColor="text1"/>
          <w:spacing w:val="-6"/>
          <w:sz w:val="24"/>
          <w:szCs w:val="24"/>
          <w:highlight w:val="none"/>
          <w14:textFill>
            <w14:solidFill>
              <w14:schemeClr w14:val="tx1"/>
            </w14:solidFill>
          </w14:textFill>
        </w:rPr>
        <w:t>，无粪便、无臭味、地面无水渍</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代管理公共厕所</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如客运站公厕</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需达到“四净三无两通一明”标准</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地面净、墙面净、厕位净、周边净、无溢液、无蚊蝇、无臭味、水通、电通、灯明</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。所</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有</w:t>
      </w:r>
      <w:r>
        <w:rPr>
          <w:rFonts w:hint="eastAsia" w:ascii="宋体" w:hAnsi="宋体" w:eastAsia="宋体" w:cs="宋体"/>
          <w:color w:val="000000" w:themeColor="text1"/>
          <w:spacing w:val="-6"/>
          <w:sz w:val="24"/>
          <w:szCs w:val="24"/>
          <w:highlight w:val="none"/>
          <w14:textFill>
            <w14:solidFill>
              <w14:schemeClr w14:val="tx1"/>
            </w14:solidFill>
          </w14:textFill>
        </w:rPr>
        <w:t>卫生工具放入工具房。工具房、管理房物品摆放有序</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p>
    <w:p w14:paraId="5F3943FF">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公厕保洁时间：</w:t>
      </w:r>
      <w:r>
        <w:rPr>
          <w:rFonts w:hint="eastAsia" w:ascii="宋体" w:hAnsi="宋体" w:eastAsia="宋体" w:cs="宋体"/>
          <w:color w:val="000000" w:themeColor="text1"/>
          <w:spacing w:val="-6"/>
          <w:sz w:val="24"/>
          <w:szCs w:val="24"/>
          <w:highlight w:val="none"/>
          <w14:textFill>
            <w14:solidFill>
              <w14:schemeClr w14:val="tx1"/>
            </w14:solidFill>
          </w14:textFill>
        </w:rPr>
        <w:t>每年的4月至8月为6:30-22:30</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9月至次年3月为</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7:</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00</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-22:30，</w:t>
      </w:r>
      <w:r>
        <w:rPr>
          <w:rFonts w:hint="eastAsia" w:ascii="宋体" w:hAnsi="宋体" w:eastAsia="宋体" w:cs="宋体"/>
          <w:color w:val="000000" w:themeColor="text1"/>
          <w:spacing w:val="-6"/>
          <w:sz w:val="24"/>
          <w:szCs w:val="24"/>
          <w:highlight w:val="none"/>
          <w14:textFill>
            <w14:solidFill>
              <w14:schemeClr w14:val="tx1"/>
            </w14:solidFill>
          </w14:textFill>
        </w:rPr>
        <w:t>每天在</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07:30</w:t>
      </w:r>
      <w:r>
        <w:rPr>
          <w:rFonts w:hint="eastAsia" w:ascii="宋体" w:hAnsi="宋体" w:eastAsia="宋体" w:cs="宋体"/>
          <w:color w:val="000000" w:themeColor="text1"/>
          <w:spacing w:val="-6"/>
          <w:sz w:val="24"/>
          <w:szCs w:val="24"/>
          <w:highlight w:val="none"/>
          <w14:textFill>
            <w14:solidFill>
              <w14:schemeClr w14:val="tx1"/>
            </w14:solidFill>
          </w14:textFill>
        </w:rPr>
        <w:t>前完成</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公厕</w:t>
      </w:r>
      <w:r>
        <w:rPr>
          <w:rFonts w:hint="eastAsia" w:ascii="宋体" w:hAnsi="宋体" w:eastAsia="宋体" w:cs="宋体"/>
          <w:color w:val="000000" w:themeColor="text1"/>
          <w:spacing w:val="-6"/>
          <w:sz w:val="24"/>
          <w:szCs w:val="24"/>
          <w:highlight w:val="none"/>
          <w14:textFill>
            <w14:solidFill>
              <w14:schemeClr w14:val="tx1"/>
            </w14:solidFill>
          </w14:textFill>
        </w:rPr>
        <w:t>的</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1次</w:t>
      </w:r>
      <w:r>
        <w:rPr>
          <w:rFonts w:hint="eastAsia" w:ascii="宋体" w:hAnsi="宋体" w:eastAsia="宋体" w:cs="宋体"/>
          <w:color w:val="000000" w:themeColor="text1"/>
          <w:spacing w:val="-6"/>
          <w:sz w:val="24"/>
          <w:szCs w:val="24"/>
          <w:highlight w:val="none"/>
          <w14:textFill>
            <w14:solidFill>
              <w14:schemeClr w14:val="tx1"/>
            </w14:solidFill>
          </w14:textFill>
        </w:rPr>
        <w:t>全面保洁。</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之后</w:t>
      </w:r>
      <w:r>
        <w:rPr>
          <w:rFonts w:hint="eastAsia" w:ascii="宋体" w:hAnsi="宋体" w:eastAsia="宋体" w:cs="宋体"/>
          <w:color w:val="000000" w:themeColor="text1"/>
          <w:spacing w:val="-6"/>
          <w:sz w:val="24"/>
          <w:szCs w:val="24"/>
          <w:highlight w:val="none"/>
          <w14:textFill>
            <w14:solidFill>
              <w14:schemeClr w14:val="tx1"/>
            </w14:solidFill>
          </w14:textFill>
        </w:rPr>
        <w:t>随脏随</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打扫</w:t>
      </w:r>
      <w:r>
        <w:rPr>
          <w:rFonts w:hint="eastAsia" w:ascii="宋体" w:hAnsi="宋体" w:eastAsia="宋体" w:cs="宋体"/>
          <w:color w:val="000000" w:themeColor="text1"/>
          <w:spacing w:val="-6"/>
          <w:sz w:val="24"/>
          <w:szCs w:val="24"/>
          <w:highlight w:val="none"/>
          <w14:textFill>
            <w14:solidFill>
              <w14:schemeClr w14:val="tx1"/>
            </w14:solidFill>
          </w14:textFill>
        </w:rPr>
        <w:t>。遇重大活动和节假日，保洁时间应顺延至少1小时。各项荣誉创建检查、考评等其他特殊情况，根据需要按易门县环卫站通知要求</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做</w:t>
      </w:r>
      <w:r>
        <w:rPr>
          <w:rFonts w:hint="eastAsia" w:ascii="宋体" w:hAnsi="宋体" w:eastAsia="宋体" w:cs="宋体"/>
          <w:color w:val="000000" w:themeColor="text1"/>
          <w:spacing w:val="-6"/>
          <w:sz w:val="24"/>
          <w:szCs w:val="24"/>
          <w:highlight w:val="none"/>
          <w14:textFill>
            <w14:solidFill>
              <w14:schemeClr w14:val="tx1"/>
            </w14:solidFill>
          </w14:textFill>
        </w:rPr>
        <w:t>。</w:t>
      </w:r>
    </w:p>
    <w:p w14:paraId="2CCD5DD0">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6"/>
          <w:sz w:val="24"/>
          <w:szCs w:val="24"/>
          <w:highlight w:val="none"/>
          <w14:textFill>
            <w14:solidFill>
              <w14:schemeClr w14:val="tx1"/>
            </w14:solidFill>
          </w14:textFill>
        </w:rPr>
        <w:t>严格落实保洁制度,配备专职保洁员进行管理,保洁员必须着工装上岗。</w:t>
      </w:r>
    </w:p>
    <w:p w14:paraId="0A56411B">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保洁员要熟悉</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公厕</w:t>
      </w:r>
      <w:r>
        <w:rPr>
          <w:rFonts w:hint="eastAsia" w:ascii="宋体" w:hAnsi="宋体" w:eastAsia="宋体" w:cs="宋体"/>
          <w:color w:val="000000" w:themeColor="text1"/>
          <w:spacing w:val="-6"/>
          <w:sz w:val="24"/>
          <w:szCs w:val="24"/>
          <w:highlight w:val="none"/>
          <w14:textFill>
            <w14:solidFill>
              <w14:schemeClr w14:val="tx1"/>
            </w14:solidFill>
          </w14:textFill>
        </w:rPr>
        <w:t>设施保洁的相关要求,掌握设备、设施的正确使用方法：灯具、电器和插座等应采用干抹布及时清理表面灰尘、蛛网；水龙头、台面、面镜的水渍、雾气或污物应及时清擦,抹布等保洁用品污染时</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及时</w:t>
      </w:r>
      <w:r>
        <w:rPr>
          <w:rFonts w:hint="eastAsia" w:ascii="宋体" w:hAnsi="宋体" w:eastAsia="宋体" w:cs="宋体"/>
          <w:color w:val="000000" w:themeColor="text1"/>
          <w:spacing w:val="-6"/>
          <w:sz w:val="24"/>
          <w:szCs w:val="24"/>
          <w:highlight w:val="none"/>
          <w14:textFill>
            <w14:solidFill>
              <w14:schemeClr w14:val="tx1"/>
            </w14:solidFill>
          </w14:textFill>
        </w:rPr>
        <w:t>清洗或更换</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p>
    <w:p w14:paraId="51AE3F05">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公厕</w:t>
      </w:r>
      <w:r>
        <w:rPr>
          <w:rFonts w:hint="eastAsia" w:ascii="宋体" w:hAnsi="宋体" w:eastAsia="宋体" w:cs="宋体"/>
          <w:color w:val="000000" w:themeColor="text1"/>
          <w:spacing w:val="-6"/>
          <w:sz w:val="24"/>
          <w:szCs w:val="24"/>
          <w:highlight w:val="none"/>
          <w14:textFill>
            <w14:solidFill>
              <w14:schemeClr w14:val="tx1"/>
            </w14:solidFill>
          </w14:textFill>
        </w:rPr>
        <w:t>使用中产生</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的</w:t>
      </w:r>
      <w:r>
        <w:rPr>
          <w:rFonts w:hint="eastAsia" w:ascii="宋体" w:hAnsi="宋体" w:eastAsia="宋体" w:cs="宋体"/>
          <w:color w:val="000000" w:themeColor="text1"/>
          <w:spacing w:val="-6"/>
          <w:sz w:val="24"/>
          <w:szCs w:val="24"/>
          <w:highlight w:val="none"/>
          <w14:textFill>
            <w14:solidFill>
              <w14:schemeClr w14:val="tx1"/>
            </w14:solidFill>
          </w14:textFill>
        </w:rPr>
        <w:t>垃圾应及时清理,垃圾箱做到日产日清,污染较重时</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垃圾收集袋收运应扎口封闭。</w:t>
      </w:r>
    </w:p>
    <w:p w14:paraId="0A5A3D01">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6"/>
          <w:sz w:val="24"/>
          <w:szCs w:val="24"/>
          <w:highlight w:val="none"/>
          <w14:textFill>
            <w14:solidFill>
              <w14:schemeClr w14:val="tx1"/>
            </w14:solidFill>
          </w14:textFill>
        </w:rPr>
        <w:t>每天至少进行2次</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公厕</w:t>
      </w:r>
      <w:r>
        <w:rPr>
          <w:rFonts w:hint="eastAsia" w:ascii="宋体" w:hAnsi="宋体" w:eastAsia="宋体" w:cs="宋体"/>
          <w:color w:val="000000" w:themeColor="text1"/>
          <w:spacing w:val="-6"/>
          <w:sz w:val="24"/>
          <w:szCs w:val="24"/>
          <w:highlight w:val="none"/>
          <w14:textFill>
            <w14:solidFill>
              <w14:schemeClr w14:val="tx1"/>
            </w14:solidFill>
          </w14:textFill>
        </w:rPr>
        <w:t>设施设备</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（含公厕内外水电管线）</w:t>
      </w:r>
      <w:r>
        <w:rPr>
          <w:rFonts w:hint="eastAsia" w:ascii="宋体" w:hAnsi="宋体" w:eastAsia="宋体" w:cs="宋体"/>
          <w:color w:val="000000" w:themeColor="text1"/>
          <w:spacing w:val="-6"/>
          <w:sz w:val="24"/>
          <w:szCs w:val="24"/>
          <w:highlight w:val="none"/>
          <w14:textFill>
            <w14:solidFill>
              <w14:schemeClr w14:val="tx1"/>
            </w14:solidFill>
          </w14:textFill>
        </w:rPr>
        <w:t>的全面检查</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、检修</w:t>
      </w:r>
      <w:r>
        <w:rPr>
          <w:rFonts w:hint="eastAsia" w:ascii="宋体" w:hAnsi="宋体" w:eastAsia="宋体" w:cs="宋体"/>
          <w:color w:val="000000" w:themeColor="text1"/>
          <w:spacing w:val="-6"/>
          <w:sz w:val="24"/>
          <w:szCs w:val="24"/>
          <w:highlight w:val="none"/>
          <w14:textFill>
            <w14:solidFill>
              <w14:schemeClr w14:val="tx1"/>
            </w14:solidFill>
          </w14:textFill>
        </w:rPr>
        <w:t>，并做好详细记录 ；确保各种服务设施、标志标牌完好，设施及其他功能性设施安全、完好，发现故障、损坏、遗失（缺失）应及时报修。必须保证</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公厕</w:t>
      </w:r>
      <w:r>
        <w:rPr>
          <w:rFonts w:hint="eastAsia" w:ascii="宋体" w:hAnsi="宋体" w:eastAsia="宋体" w:cs="宋体"/>
          <w:color w:val="000000" w:themeColor="text1"/>
          <w:spacing w:val="-6"/>
          <w:sz w:val="24"/>
          <w:szCs w:val="24"/>
          <w:highlight w:val="none"/>
          <w14:textFill>
            <w14:solidFill>
              <w14:schemeClr w14:val="tx1"/>
            </w14:solidFill>
          </w14:textFill>
        </w:rPr>
        <w:t>正常</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运行</w:t>
      </w:r>
      <w:r>
        <w:rPr>
          <w:rFonts w:hint="eastAsia" w:ascii="宋体" w:hAnsi="宋体" w:eastAsia="宋体" w:cs="宋体"/>
          <w:color w:val="000000" w:themeColor="text1"/>
          <w:spacing w:val="-6"/>
          <w:sz w:val="24"/>
          <w:szCs w:val="24"/>
          <w:highlight w:val="none"/>
          <w14:textFill>
            <w14:solidFill>
              <w14:schemeClr w14:val="tx1"/>
            </w14:solidFill>
          </w14:textFill>
        </w:rPr>
        <w:t>使用。</w:t>
      </w:r>
    </w:p>
    <w:p w14:paraId="5E341C03">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公厕水电</w:t>
      </w:r>
      <w:r>
        <w:rPr>
          <w:rFonts w:hint="eastAsia" w:ascii="宋体" w:hAnsi="宋体" w:eastAsia="宋体" w:cs="宋体"/>
          <w:color w:val="000000" w:themeColor="text1"/>
          <w:spacing w:val="-6"/>
          <w:sz w:val="24"/>
          <w:szCs w:val="24"/>
          <w:highlight w:val="none"/>
          <w14:textFill>
            <w14:solidFill>
              <w14:schemeClr w14:val="tx1"/>
            </w14:solidFill>
          </w14:textFill>
        </w:rPr>
        <w:t>只供应</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公厕运行使用（水可供</w:t>
      </w:r>
      <w:r>
        <w:rPr>
          <w:rFonts w:hint="eastAsia" w:ascii="宋体" w:hAnsi="宋体" w:eastAsia="宋体" w:cs="宋体"/>
          <w:color w:val="000000" w:themeColor="text1"/>
          <w:spacing w:val="-6"/>
          <w:sz w:val="24"/>
          <w:szCs w:val="24"/>
          <w:highlight w:val="none"/>
          <w14:textFill>
            <w14:solidFill>
              <w14:schemeClr w14:val="tx1"/>
            </w14:solidFill>
          </w14:textFill>
        </w:rPr>
        <w:t>环卫工人用于清洗果皮箱</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、垃圾箱）</w:t>
      </w:r>
      <w:r>
        <w:rPr>
          <w:rFonts w:hint="eastAsia" w:ascii="宋体" w:hAnsi="宋体" w:eastAsia="宋体" w:cs="宋体"/>
          <w:color w:val="000000" w:themeColor="text1"/>
          <w:spacing w:val="-6"/>
          <w:sz w:val="24"/>
          <w:szCs w:val="24"/>
          <w:highlight w:val="none"/>
          <w14:textFill>
            <w14:solidFill>
              <w14:schemeClr w14:val="tx1"/>
            </w14:solidFill>
          </w14:textFill>
        </w:rPr>
        <w:t>，严禁擅自改变用途。发现</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有其他</w:t>
      </w:r>
      <w:r>
        <w:rPr>
          <w:rFonts w:hint="eastAsia" w:ascii="宋体" w:hAnsi="宋体" w:eastAsia="宋体" w:cs="宋体"/>
          <w:color w:val="000000" w:themeColor="text1"/>
          <w:spacing w:val="-6"/>
          <w:sz w:val="24"/>
          <w:szCs w:val="24"/>
          <w:highlight w:val="none"/>
          <w14:textFill>
            <w14:solidFill>
              <w14:schemeClr w14:val="tx1"/>
            </w14:solidFill>
          </w14:textFill>
        </w:rPr>
        <w:t>不当</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用水用电</w:t>
      </w:r>
      <w:r>
        <w:rPr>
          <w:rFonts w:hint="eastAsia" w:ascii="宋体" w:hAnsi="宋体" w:eastAsia="宋体" w:cs="宋体"/>
          <w:color w:val="000000" w:themeColor="text1"/>
          <w:spacing w:val="-6"/>
          <w:sz w:val="24"/>
          <w:szCs w:val="24"/>
          <w:highlight w:val="none"/>
          <w14:textFill>
            <w14:solidFill>
              <w14:schemeClr w14:val="tx1"/>
            </w14:solidFill>
          </w14:textFill>
        </w:rPr>
        <w:t>等行为必须及时制止。</w:t>
      </w:r>
    </w:p>
    <w:p w14:paraId="071C9DB7">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6"/>
          <w:sz w:val="24"/>
          <w:szCs w:val="24"/>
          <w:highlight w:val="none"/>
          <w14:textFill>
            <w14:solidFill>
              <w14:schemeClr w14:val="tx1"/>
            </w14:solidFill>
          </w14:textFill>
        </w:rPr>
        <w:t>定期对洗手台和各类设施进行消毒。并做好相关记录；定期对各类设施表面采用环保低毒方式进行病媒、虫媒消杀（结合实际情况可适当加强消杀），并清理表面污染，做好消杀记录。</w:t>
      </w:r>
    </w:p>
    <w:p w14:paraId="3C605CDB">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6"/>
          <w:sz w:val="24"/>
          <w:szCs w:val="24"/>
          <w:highlight w:val="none"/>
          <w14:textFill>
            <w14:solidFill>
              <w14:schemeClr w14:val="tx1"/>
            </w14:solidFill>
          </w14:textFill>
        </w:rPr>
        <w:t>杜绝</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因</w:t>
      </w:r>
      <w:r>
        <w:rPr>
          <w:rFonts w:hint="eastAsia" w:ascii="宋体" w:hAnsi="宋体" w:eastAsia="宋体" w:cs="宋体"/>
          <w:color w:val="000000" w:themeColor="text1"/>
          <w:spacing w:val="-6"/>
          <w:sz w:val="24"/>
          <w:szCs w:val="24"/>
          <w:highlight w:val="none"/>
          <w14:textFill>
            <w14:solidFill>
              <w14:schemeClr w14:val="tx1"/>
            </w14:solidFill>
          </w14:textFill>
        </w:rPr>
        <w:t>管理不善导致的投诉事件发生。</w:t>
      </w:r>
    </w:p>
    <w:p w14:paraId="70C7DCC2">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pacing w:val="-6"/>
          <w:sz w:val="24"/>
          <w:szCs w:val="24"/>
          <w:highlight w:val="none"/>
          <w14:textFill>
            <w14:solidFill>
              <w14:schemeClr w14:val="tx1"/>
            </w14:solidFill>
          </w14:textFill>
        </w:rPr>
        <w:t>承包人每日早8</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30到办公室签到并签字认可前一天考核结果，在工作时间不得无故离岗。</w:t>
      </w:r>
    </w:p>
    <w:p w14:paraId="482A058C">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6"/>
          <w:sz w:val="24"/>
          <w:szCs w:val="24"/>
          <w:highlight w:val="none"/>
          <w14:textFill>
            <w14:solidFill>
              <w14:schemeClr w14:val="tx1"/>
            </w14:solidFill>
          </w14:textFill>
        </w:rPr>
        <w:t>路灯管护</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要求：</w:t>
      </w:r>
    </w:p>
    <w:p w14:paraId="6EE4FCE7">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亮灯率：</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必须在规定的亮灯时间内，确保路灯及照明设施的正常运行，路灯设施完好率及亮灯率在95%以上，重大节日和重要活动不低于98%。</w:t>
      </w:r>
    </w:p>
    <w:p w14:paraId="5FF70DAC">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如遇片区路段夜间灭灯或白天亮灯等控制失灵情况，应在30分钟内赶到现场修复。控制系统和电缆损坏及因各种原因被人为及车辆损坏的，必须在24小时内修复，费用按照实际情况报请</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认可后由相关责任人承担，无法追究相关责任人的由</w:t>
      </w:r>
      <w:r>
        <w:rPr>
          <w:rFonts w:hint="eastAsia" w:ascii="宋体" w:hAnsi="宋体" w:cs="宋体"/>
          <w:color w:val="000000" w:themeColor="text1"/>
          <w:spacing w:val="-6"/>
          <w:sz w:val="24"/>
          <w:szCs w:val="24"/>
          <w:highlight w:val="none"/>
          <w:lang w:val="en-US"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负责提供主材</w:t>
      </w:r>
      <w:r>
        <w:rPr>
          <w:rFonts w:hint="eastAsia" w:ascii="宋体" w:hAnsi="宋体" w:cs="宋体"/>
          <w:color w:val="000000" w:themeColor="text1"/>
          <w:spacing w:val="-6"/>
          <w:sz w:val="24"/>
          <w:szCs w:val="24"/>
          <w:highlight w:val="none"/>
          <w:lang w:val="en-US" w:eastAsia="zh-CN"/>
          <w14:textFill>
            <w14:solidFill>
              <w14:schemeClr w14:val="tx1"/>
            </w14:solidFill>
          </w14:textFill>
        </w:rPr>
        <w:t>并</w:t>
      </w:r>
      <w:r>
        <w:rPr>
          <w:rFonts w:hint="eastAsia" w:ascii="宋体" w:hAnsi="宋体" w:eastAsia="宋体" w:cs="宋体"/>
          <w:color w:val="000000" w:themeColor="text1"/>
          <w:spacing w:val="-6"/>
          <w:sz w:val="24"/>
          <w:szCs w:val="24"/>
          <w:highlight w:val="none"/>
          <w14:textFill>
            <w14:solidFill>
              <w14:schemeClr w14:val="tx1"/>
            </w14:solidFill>
          </w14:textFill>
        </w:rPr>
        <w:t>负责修复。</w:t>
      </w:r>
    </w:p>
    <w:p w14:paraId="3D59ED50">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及时修复率：灯具故障1个工作日修复。</w:t>
      </w:r>
    </w:p>
    <w:p w14:paraId="4B3E7376">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常规线路故障2个工作日内修复。</w:t>
      </w:r>
    </w:p>
    <w:p w14:paraId="1F2F3FB1">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遇有线路设施被盗或自然灾害损坏，根据实际情况尽快修复，如无法追回的损失费用，由</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自己承担与</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无关。</w:t>
      </w:r>
    </w:p>
    <w:p w14:paraId="1F06BD53">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对危及人身、交通安全的路灯设施，一经发现，立即组织处理，尽快修复。</w:t>
      </w:r>
    </w:p>
    <w:p w14:paraId="1707DB77">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需要</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进行抢修时，</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在接到通知后30分钟内赶到现场并开始工作。</w:t>
      </w:r>
    </w:p>
    <w:p w14:paraId="1CE71A87">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必须及时清除灯杆、灯罩、配电箱等照明设施上乱张贴、乱写画的小广告，及时处理翻新设施表面脱漆、颜色褪变等情况，保持设施的清洁美观。</w:t>
      </w:r>
    </w:p>
    <w:p w14:paraId="1636D1F1">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应自觉接受</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及有关部门的监督考核，每逢重大节日（含元旦、春节、五一、国庆等）及地方重大活动日，必须无条件服从</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组织的突击性任务及迎检活动，并按时、按标准、按要求完成</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所分配的工作，如在迎检活动中，由于养护工作不到位造成迎检所在项目不合格，扣减一个月养护经费，如累计有</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两次</w:t>
      </w:r>
      <w:r>
        <w:rPr>
          <w:rFonts w:hint="eastAsia" w:ascii="宋体" w:hAnsi="宋体" w:eastAsia="宋体" w:cs="宋体"/>
          <w:color w:val="000000" w:themeColor="text1"/>
          <w:spacing w:val="-6"/>
          <w:sz w:val="24"/>
          <w:szCs w:val="24"/>
          <w:highlight w:val="none"/>
          <w14:textFill>
            <w14:solidFill>
              <w14:schemeClr w14:val="tx1"/>
            </w14:solidFill>
          </w14:textFill>
        </w:rPr>
        <w:t>迎检工作因养护不到位造成迎检所在项目不合格的，</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有权解除养护合同，并按合同价款10%的违约金追究</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6"/>
          <w:sz w:val="24"/>
          <w:szCs w:val="24"/>
          <w:highlight w:val="none"/>
          <w14:textFill>
            <w14:solidFill>
              <w14:schemeClr w14:val="tx1"/>
            </w14:solidFill>
          </w14:textFill>
        </w:rPr>
        <w:t>违约责任。</w:t>
      </w:r>
    </w:p>
    <w:p w14:paraId="3212B2E7">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垃</w:t>
      </w:r>
      <w:r>
        <w:rPr>
          <w:rFonts w:hint="eastAsia" w:ascii="宋体" w:hAnsi="宋体" w:eastAsia="宋体" w:cs="宋体"/>
          <w:color w:val="000000" w:themeColor="text1"/>
          <w:spacing w:val="-6"/>
          <w:sz w:val="24"/>
          <w:szCs w:val="24"/>
          <w:highlight w:val="none"/>
          <w14:textFill>
            <w14:solidFill>
              <w14:schemeClr w14:val="tx1"/>
            </w14:solidFill>
          </w14:textFill>
        </w:rPr>
        <w:t>圾转运</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及</w:t>
      </w:r>
      <w:r>
        <w:rPr>
          <w:rFonts w:hint="eastAsia" w:ascii="宋体" w:hAnsi="宋体" w:cs="宋体"/>
          <w:color w:val="000000" w:themeColor="text1"/>
          <w:spacing w:val="-6"/>
          <w:sz w:val="24"/>
          <w:szCs w:val="24"/>
          <w:highlight w:val="none"/>
          <w:lang w:val="en-US" w:eastAsia="zh-CN"/>
          <w14:textFill>
            <w14:solidFill>
              <w14:schemeClr w14:val="tx1"/>
            </w14:solidFill>
          </w14:textFill>
        </w:rPr>
        <w:t>处置要求</w:t>
      </w:r>
      <w:r>
        <w:rPr>
          <w:rFonts w:hint="eastAsia" w:ascii="宋体" w:hAnsi="宋体" w:eastAsia="宋体" w:cs="宋体"/>
          <w:color w:val="000000" w:themeColor="text1"/>
          <w:spacing w:val="-6"/>
          <w:sz w:val="24"/>
          <w:szCs w:val="24"/>
          <w:highlight w:val="none"/>
          <w14:textFill>
            <w14:solidFill>
              <w14:schemeClr w14:val="tx1"/>
            </w14:solidFill>
          </w14:textFill>
        </w:rPr>
        <w:t>：</w:t>
      </w:r>
    </w:p>
    <w:p w14:paraId="5651CBF9">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（1）垃圾中转站设施正常运行，城市生活垃圾能日产日清。</w:t>
      </w:r>
    </w:p>
    <w:p w14:paraId="742CEB63">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（2）垃圾填埋</w:t>
      </w:r>
      <w:r>
        <w:rPr>
          <w:rFonts w:hint="eastAsia" w:ascii="宋体" w:hAnsi="宋体" w:cs="宋体"/>
          <w:color w:val="000000" w:themeColor="text1"/>
          <w:spacing w:val="-6"/>
          <w:sz w:val="24"/>
          <w:szCs w:val="24"/>
          <w:highlight w:val="none"/>
          <w:lang w:val="en-US" w:eastAsia="zh-CN"/>
          <w14:textFill>
            <w14:solidFill>
              <w14:schemeClr w14:val="tx1"/>
            </w14:solidFill>
          </w14:textFill>
        </w:rPr>
        <w:t>场</w:t>
      </w:r>
      <w:r>
        <w:rPr>
          <w:rFonts w:hint="eastAsia" w:ascii="宋体" w:hAnsi="宋体" w:eastAsia="宋体" w:cs="宋体"/>
          <w:color w:val="000000" w:themeColor="text1"/>
          <w:spacing w:val="-6"/>
          <w:sz w:val="24"/>
          <w:szCs w:val="24"/>
          <w:highlight w:val="none"/>
          <w14:textFill>
            <w14:solidFill>
              <w14:schemeClr w14:val="tx1"/>
            </w14:solidFill>
          </w14:textFill>
        </w:rPr>
        <w:t>设备正常运行，进场垃圾按照中华人民共和国行业标准和</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要求进行规范</w:t>
      </w:r>
      <w:r>
        <w:rPr>
          <w:rFonts w:hint="eastAsia" w:ascii="宋体" w:hAnsi="宋体" w:cs="宋体"/>
          <w:color w:val="000000" w:themeColor="text1"/>
          <w:spacing w:val="-6"/>
          <w:sz w:val="24"/>
          <w:szCs w:val="24"/>
          <w:highlight w:val="none"/>
          <w:lang w:val="en-US" w:eastAsia="zh-CN"/>
          <w14:textFill>
            <w14:solidFill>
              <w14:schemeClr w14:val="tx1"/>
            </w14:solidFill>
          </w14:textFill>
        </w:rPr>
        <w:t>处置运行</w:t>
      </w:r>
      <w:r>
        <w:rPr>
          <w:rFonts w:hint="eastAsia" w:ascii="宋体" w:hAnsi="宋体" w:eastAsia="宋体" w:cs="宋体"/>
          <w:color w:val="000000" w:themeColor="text1"/>
          <w:spacing w:val="-6"/>
          <w:sz w:val="24"/>
          <w:szCs w:val="24"/>
          <w:highlight w:val="none"/>
          <w14:textFill>
            <w14:solidFill>
              <w14:schemeClr w14:val="tx1"/>
            </w14:solidFill>
          </w14:textFill>
        </w:rPr>
        <w:t>。</w:t>
      </w:r>
    </w:p>
    <w:p w14:paraId="59F47D50">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（3）垃圾渗滤液处理设施、在线监测设施正常运行，垃圾渗滤液处理达标排放，按照环保要求开展环境监测、监测数据达标。</w:t>
      </w:r>
    </w:p>
    <w:p w14:paraId="2A091958">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（4）每日开展垃圾填埋场、进场道路、渗滤液处理站、办公区安全巡查检查，能及时发现</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并</w:t>
      </w:r>
      <w:r>
        <w:rPr>
          <w:rFonts w:hint="eastAsia" w:ascii="宋体" w:hAnsi="宋体" w:eastAsia="宋体" w:cs="宋体"/>
          <w:color w:val="000000" w:themeColor="text1"/>
          <w:spacing w:val="-6"/>
          <w:sz w:val="24"/>
          <w:szCs w:val="24"/>
          <w:highlight w:val="none"/>
          <w14:textFill>
            <w14:solidFill>
              <w14:schemeClr w14:val="tx1"/>
            </w14:solidFill>
          </w14:textFill>
        </w:rPr>
        <w:t>排除安全隐患。</w:t>
      </w:r>
    </w:p>
    <w:p w14:paraId="3F75EF37">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（5）能配合</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做好上级和各部门的检查考核工作</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p>
    <w:p w14:paraId="0412E9DB">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（6）</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建立健全</w:t>
      </w:r>
      <w:r>
        <w:rPr>
          <w:rFonts w:hint="eastAsia" w:ascii="宋体" w:hAnsi="宋体" w:eastAsia="宋体" w:cs="宋体"/>
          <w:color w:val="000000" w:themeColor="text1"/>
          <w:spacing w:val="-6"/>
          <w:sz w:val="24"/>
          <w:szCs w:val="24"/>
          <w:highlight w:val="none"/>
          <w14:textFill>
            <w14:solidFill>
              <w14:schemeClr w14:val="tx1"/>
            </w14:solidFill>
          </w14:textFill>
        </w:rPr>
        <w:t>垃圾转运台账、垃圾过磅台账、渗滤液处理台账、病媒消杀台账、安全巡查检查台账等相关台账，能按时限按要求报送相关台账和相关资料。</w:t>
      </w:r>
    </w:p>
    <w:p w14:paraId="5D1F274B">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（7）</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建立健全</w:t>
      </w:r>
      <w:r>
        <w:rPr>
          <w:rFonts w:hint="eastAsia" w:ascii="宋体" w:hAnsi="宋体" w:eastAsia="宋体" w:cs="宋体"/>
          <w:color w:val="000000" w:themeColor="text1"/>
          <w:spacing w:val="-6"/>
          <w:sz w:val="24"/>
          <w:szCs w:val="24"/>
          <w:highlight w:val="none"/>
          <w14:textFill>
            <w14:solidFill>
              <w14:schemeClr w14:val="tx1"/>
            </w14:solidFill>
          </w14:textFill>
        </w:rPr>
        <w:t>垃圾中转站、垃圾处理场和渗滤液处理</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站等</w:t>
      </w:r>
      <w:r>
        <w:rPr>
          <w:rFonts w:hint="eastAsia" w:ascii="宋体" w:hAnsi="宋体" w:eastAsia="宋体" w:cs="宋体"/>
          <w:color w:val="000000" w:themeColor="text1"/>
          <w:spacing w:val="-6"/>
          <w:sz w:val="24"/>
          <w:szCs w:val="24"/>
          <w:highlight w:val="none"/>
          <w14:textFill>
            <w14:solidFill>
              <w14:schemeClr w14:val="tx1"/>
            </w14:solidFill>
          </w14:textFill>
        </w:rPr>
        <w:t>相关规章制度。</w:t>
      </w:r>
    </w:p>
    <w:p w14:paraId="26CB38C3">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（8）按相关规范和要求储备应急物资、开展应急演练。</w:t>
      </w:r>
    </w:p>
    <w:p w14:paraId="56E14171">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（9）开展进场道路保通维修、供水供电设施维护、已封场老垃圾场维护。</w:t>
      </w:r>
    </w:p>
    <w:p w14:paraId="5D88720E">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（10）雨季开展雨污分流，雨污分流效果良好。</w:t>
      </w:r>
    </w:p>
    <w:p w14:paraId="5720FA75">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（11）按照相关要求开展督查整改。</w:t>
      </w:r>
    </w:p>
    <w:p w14:paraId="10B95ECD">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（12）服从</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14:textFill>
            <w14:solidFill>
              <w14:schemeClr w14:val="tx1"/>
            </w14:solidFill>
          </w14:textFill>
        </w:rPr>
        <w:t>业务指导和管理。</w:t>
      </w:r>
    </w:p>
    <w:p w14:paraId="4FD7A4DD">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洗手台管护要求：</w:t>
      </w:r>
    </w:p>
    <w:p w14:paraId="0DD90225">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每天在</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07:30</w:t>
      </w:r>
      <w:r>
        <w:rPr>
          <w:rFonts w:hint="eastAsia" w:ascii="宋体" w:hAnsi="宋体" w:eastAsia="宋体" w:cs="宋体"/>
          <w:color w:val="000000" w:themeColor="text1"/>
          <w:spacing w:val="-6"/>
          <w:sz w:val="24"/>
          <w:szCs w:val="24"/>
          <w:highlight w:val="none"/>
          <w14:textFill>
            <w14:solidFill>
              <w14:schemeClr w14:val="tx1"/>
            </w14:solidFill>
          </w14:textFill>
        </w:rPr>
        <w:t>前完成洗手设施设备的全面保洁。公共洗手设施管护保洁时间在7:</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00</w:t>
      </w:r>
      <w:r>
        <w:rPr>
          <w:rFonts w:hint="eastAsia" w:ascii="宋体" w:hAnsi="宋体" w:eastAsia="宋体" w:cs="宋体"/>
          <w:color w:val="000000" w:themeColor="text1"/>
          <w:spacing w:val="-6"/>
          <w:sz w:val="24"/>
          <w:szCs w:val="24"/>
          <w:highlight w:val="none"/>
          <w14:textFill>
            <w14:solidFill>
              <w14:schemeClr w14:val="tx1"/>
            </w14:solidFill>
          </w14:textFill>
        </w:rPr>
        <w:t>至22:00。随脏随洗。遇重大活动和节假日，保洁时间应顺延至少1小时。各</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种</w:t>
      </w:r>
      <w:r>
        <w:rPr>
          <w:rFonts w:hint="eastAsia" w:ascii="宋体" w:hAnsi="宋体" w:eastAsia="宋体" w:cs="宋体"/>
          <w:color w:val="000000" w:themeColor="text1"/>
          <w:spacing w:val="-6"/>
          <w:sz w:val="24"/>
          <w:szCs w:val="24"/>
          <w:highlight w:val="none"/>
          <w14:textFill>
            <w14:solidFill>
              <w14:schemeClr w14:val="tx1"/>
            </w14:solidFill>
          </w14:textFill>
        </w:rPr>
        <w:t>创建检查、考评等其他特殊情况，根据需要按易门县环卫站通知要求</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执行</w:t>
      </w:r>
      <w:r>
        <w:rPr>
          <w:rFonts w:hint="eastAsia" w:ascii="宋体" w:hAnsi="宋体" w:eastAsia="宋体" w:cs="宋体"/>
          <w:color w:val="000000" w:themeColor="text1"/>
          <w:spacing w:val="-6"/>
          <w:sz w:val="24"/>
          <w:szCs w:val="24"/>
          <w:highlight w:val="none"/>
          <w14:textFill>
            <w14:solidFill>
              <w14:schemeClr w14:val="tx1"/>
            </w14:solidFill>
          </w14:textFill>
        </w:rPr>
        <w:t>。</w:t>
      </w:r>
    </w:p>
    <w:p w14:paraId="74259181">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6"/>
          <w:sz w:val="24"/>
          <w:szCs w:val="24"/>
          <w:highlight w:val="none"/>
          <w14:textFill>
            <w14:solidFill>
              <w14:schemeClr w14:val="tx1"/>
            </w14:solidFill>
          </w14:textFill>
        </w:rPr>
        <w:t>严格落实保洁制度,配备专职保洁员进行管理,保洁员必须着工装上岗。</w:t>
      </w:r>
    </w:p>
    <w:p w14:paraId="5AAAC356">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6"/>
          <w:sz w:val="24"/>
          <w:szCs w:val="24"/>
          <w:highlight w:val="none"/>
          <w14:textFill>
            <w14:solidFill>
              <w14:schemeClr w14:val="tx1"/>
            </w14:solidFill>
          </w14:textFill>
        </w:rPr>
        <w:t>保洁员要熟悉公共洗手设施保洁的相关要求,掌握设备、设施的正确使用方法：灯具、电器和插座等应采用干抹布及时清理表面灰尘、蛛网；水龙头、台面、面镜的水渍、雾气或污物应及时清擦,抹布等保洁用品污染时</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及时</w:t>
      </w:r>
      <w:r>
        <w:rPr>
          <w:rFonts w:hint="eastAsia" w:ascii="宋体" w:hAnsi="宋体" w:eastAsia="宋体" w:cs="宋体"/>
          <w:color w:val="000000" w:themeColor="text1"/>
          <w:spacing w:val="-6"/>
          <w:sz w:val="24"/>
          <w:szCs w:val="24"/>
          <w:highlight w:val="none"/>
          <w14:textFill>
            <w14:solidFill>
              <w14:schemeClr w14:val="tx1"/>
            </w14:solidFill>
          </w14:textFill>
        </w:rPr>
        <w:t>清洗或更换</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p>
    <w:p w14:paraId="1711A4CB">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6"/>
          <w:sz w:val="24"/>
          <w:szCs w:val="24"/>
          <w:highlight w:val="none"/>
          <w14:textFill>
            <w14:solidFill>
              <w14:schemeClr w14:val="tx1"/>
            </w14:solidFill>
          </w14:textFill>
        </w:rPr>
        <w:t>公共洗手设施使用中产生</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的</w:t>
      </w:r>
      <w:r>
        <w:rPr>
          <w:rFonts w:hint="eastAsia" w:ascii="宋体" w:hAnsi="宋体" w:eastAsia="宋体" w:cs="宋体"/>
          <w:color w:val="000000" w:themeColor="text1"/>
          <w:spacing w:val="-6"/>
          <w:sz w:val="24"/>
          <w:szCs w:val="24"/>
          <w:highlight w:val="none"/>
          <w14:textFill>
            <w14:solidFill>
              <w14:schemeClr w14:val="tx1"/>
            </w14:solidFill>
          </w14:textFill>
        </w:rPr>
        <w:t>垃圾应及时清理,垃圾箱做到日产日清,污染较重时垃圾收集袋收运应扎口封闭。</w:t>
      </w:r>
    </w:p>
    <w:p w14:paraId="6EF82922">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6"/>
          <w:sz w:val="24"/>
          <w:szCs w:val="24"/>
          <w:highlight w:val="none"/>
          <w14:textFill>
            <w14:solidFill>
              <w14:schemeClr w14:val="tx1"/>
            </w14:solidFill>
          </w14:textFill>
        </w:rPr>
        <w:t>公共洗手设施保洁随脏随清，保持洗手设施无积水、无污染；公共洗手设施周围干净整洁，无垃圾、污水等污物；其他器具及服务设施等每日应擦拭不少于一次。</w:t>
      </w:r>
    </w:p>
    <w:p w14:paraId="002D9644">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6"/>
          <w:sz w:val="24"/>
          <w:szCs w:val="24"/>
          <w:highlight w:val="none"/>
          <w14:textFill>
            <w14:solidFill>
              <w14:schemeClr w14:val="tx1"/>
            </w14:solidFill>
          </w14:textFill>
        </w:rPr>
        <w:t>每天至少进行2次洗手设施设备的全面检查，并做好详细记录 ；确保各种服务设施、标志标牌完好，设施及其他功能性设施安全、完好（含洗手盆完好、无破损、无堵漏现象；水龙头出水正常,下水管和排水排污管道畅通等），发现故障、损坏、遗失（缺失）应及时报修。必须保证洗手设施设备正常使用。</w:t>
      </w:r>
    </w:p>
    <w:p w14:paraId="09EEB31A">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pacing w:val="-6"/>
          <w:sz w:val="24"/>
          <w:szCs w:val="24"/>
          <w:highlight w:val="none"/>
          <w14:textFill>
            <w14:solidFill>
              <w14:schemeClr w14:val="tx1"/>
            </w14:solidFill>
          </w14:textFill>
        </w:rPr>
        <w:t>公共洗手设施用水只供应群众洗手和环卫工人用于清洗果皮箱和清洗洗手设施，严禁擅自改变用途。发现不当取水等行为必须及时制止。</w:t>
      </w:r>
    </w:p>
    <w:p w14:paraId="036634F0">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6"/>
          <w:sz w:val="24"/>
          <w:szCs w:val="24"/>
          <w:highlight w:val="none"/>
          <w14:textFill>
            <w14:solidFill>
              <w14:schemeClr w14:val="tx1"/>
            </w14:solidFill>
          </w14:textFill>
        </w:rPr>
        <w:t>定期对洗手台和各类设施进行消毒。并做好相关记录；定期对各类设施表面采用环保低毒方式进行病媒、虫媒消杀（结合实际情况可适当加强消杀），并清理表面污染，做好消杀记录。</w:t>
      </w:r>
    </w:p>
    <w:p w14:paraId="594B3B04">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（9）</w:t>
      </w:r>
      <w:r>
        <w:rPr>
          <w:rFonts w:hint="eastAsia" w:ascii="宋体" w:hAnsi="宋体" w:eastAsia="宋体" w:cs="宋体"/>
          <w:color w:val="auto"/>
          <w:spacing w:val="-6"/>
          <w:sz w:val="24"/>
          <w:szCs w:val="24"/>
          <w:highlight w:val="none"/>
        </w:rPr>
        <w:t>杜绝</w:t>
      </w:r>
      <w:r>
        <w:rPr>
          <w:rFonts w:hint="eastAsia" w:ascii="宋体" w:hAnsi="宋体" w:eastAsia="宋体" w:cs="宋体"/>
          <w:color w:val="auto"/>
          <w:spacing w:val="-6"/>
          <w:sz w:val="24"/>
          <w:szCs w:val="24"/>
          <w:highlight w:val="none"/>
          <w:lang w:eastAsia="zh-CN"/>
        </w:rPr>
        <w:t>因</w:t>
      </w:r>
      <w:r>
        <w:rPr>
          <w:rFonts w:hint="eastAsia" w:ascii="宋体" w:hAnsi="宋体" w:eastAsia="宋体" w:cs="宋体"/>
          <w:color w:val="auto"/>
          <w:spacing w:val="-6"/>
          <w:sz w:val="24"/>
          <w:szCs w:val="24"/>
          <w:highlight w:val="none"/>
        </w:rPr>
        <w:t>管理不善导致的投诉事件发生。</w:t>
      </w:r>
    </w:p>
    <w:p w14:paraId="2C5D2A96">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（10）</w:t>
      </w:r>
      <w:r>
        <w:rPr>
          <w:rFonts w:hint="eastAsia" w:ascii="宋体" w:hAnsi="宋体" w:eastAsia="宋体" w:cs="宋体"/>
          <w:color w:val="auto"/>
          <w:spacing w:val="-6"/>
          <w:sz w:val="24"/>
          <w:szCs w:val="24"/>
          <w:highlight w:val="none"/>
        </w:rPr>
        <w:t>承包人</w:t>
      </w:r>
      <w:r>
        <w:rPr>
          <w:rFonts w:hint="eastAsia" w:ascii="宋体" w:hAnsi="宋体" w:cs="宋体"/>
          <w:color w:val="auto"/>
          <w:spacing w:val="-6"/>
          <w:sz w:val="24"/>
          <w:szCs w:val="24"/>
          <w:highlight w:val="none"/>
          <w:lang w:val="en-US" w:eastAsia="zh-CN"/>
        </w:rPr>
        <w:t>负责人</w:t>
      </w:r>
      <w:r>
        <w:rPr>
          <w:rFonts w:hint="eastAsia" w:ascii="宋体" w:hAnsi="宋体" w:eastAsia="宋体" w:cs="宋体"/>
          <w:color w:val="auto"/>
          <w:spacing w:val="-6"/>
          <w:sz w:val="24"/>
          <w:szCs w:val="24"/>
          <w:highlight w:val="none"/>
        </w:rPr>
        <w:t>每日8</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30到办公室签到并签字</w:t>
      </w:r>
      <w:r>
        <w:rPr>
          <w:rFonts w:hint="eastAsia" w:ascii="宋体" w:hAnsi="宋体" w:cs="宋体"/>
          <w:color w:val="auto"/>
          <w:spacing w:val="-6"/>
          <w:sz w:val="24"/>
          <w:szCs w:val="24"/>
          <w:highlight w:val="none"/>
          <w:lang w:val="en-US" w:eastAsia="zh-CN"/>
        </w:rPr>
        <w:t>确认</w:t>
      </w:r>
      <w:r>
        <w:rPr>
          <w:rFonts w:hint="eastAsia" w:ascii="宋体" w:hAnsi="宋体" w:eastAsia="宋体" w:cs="宋体"/>
          <w:color w:val="auto"/>
          <w:spacing w:val="-6"/>
          <w:sz w:val="24"/>
          <w:szCs w:val="24"/>
          <w:highlight w:val="none"/>
        </w:rPr>
        <w:t>前一天考核结果，在工作时</w:t>
      </w:r>
      <w:r>
        <w:rPr>
          <w:rFonts w:hint="eastAsia" w:ascii="宋体" w:hAnsi="宋体" w:cs="宋体"/>
          <w:color w:val="auto"/>
          <w:spacing w:val="-6"/>
          <w:sz w:val="24"/>
          <w:szCs w:val="24"/>
          <w:highlight w:val="none"/>
          <w:lang w:eastAsia="zh-CN"/>
        </w:rPr>
        <w:t>间内</w:t>
      </w:r>
      <w:r>
        <w:rPr>
          <w:rFonts w:hint="eastAsia" w:ascii="宋体" w:hAnsi="宋体" w:eastAsia="宋体" w:cs="宋体"/>
          <w:color w:val="auto"/>
          <w:spacing w:val="-6"/>
          <w:sz w:val="24"/>
          <w:szCs w:val="24"/>
          <w:highlight w:val="none"/>
        </w:rPr>
        <w:t>不得无故离岗。</w:t>
      </w:r>
    </w:p>
    <w:p w14:paraId="127565AA">
      <w:pPr>
        <w:keepLines w:val="0"/>
        <w:pageBreakBefore w:val="0"/>
        <w:kinsoku/>
        <w:wordWrap/>
        <w:overflowPunct/>
        <w:topLinePunct w:val="0"/>
        <w:autoSpaceDE/>
        <w:autoSpaceDN/>
        <w:bidi w:val="0"/>
        <w:spacing w:line="480" w:lineRule="exact"/>
        <w:ind w:firstLine="458" w:firstLineChars="200"/>
        <w:rPr>
          <w:rFonts w:hint="default" w:ascii="宋体" w:hAnsi="宋体" w:eastAsia="宋体" w:cs="宋体"/>
          <w:b/>
          <w:bCs/>
          <w:color w:val="auto"/>
          <w:spacing w:val="-6"/>
          <w:sz w:val="24"/>
          <w:szCs w:val="24"/>
          <w:highlight w:val="none"/>
          <w:lang w:val="en-US" w:eastAsia="zh-CN"/>
        </w:rPr>
      </w:pPr>
      <w:r>
        <w:rPr>
          <w:rFonts w:hint="eastAsia" w:ascii="宋体" w:hAnsi="宋体" w:cs="宋体"/>
          <w:b/>
          <w:bCs/>
          <w:color w:val="auto"/>
          <w:spacing w:val="-6"/>
          <w:sz w:val="24"/>
          <w:szCs w:val="24"/>
          <w:highlight w:val="none"/>
          <w:lang w:val="en-US" w:eastAsia="zh-CN"/>
        </w:rPr>
        <w:t>9.项目人员要求：总人数不少于180人，其中路灯维护不少于4人，</w:t>
      </w:r>
      <w:r>
        <w:rPr>
          <w:rFonts w:hint="eastAsia" w:ascii="宋体" w:hAnsi="宋体"/>
          <w:b/>
          <w:bCs/>
          <w:color w:val="auto"/>
          <w:sz w:val="24"/>
          <w:highlight w:val="none"/>
          <w:lang w:val="en-US" w:eastAsia="zh-CN"/>
        </w:rPr>
        <w:t>易门县建成区公共排水管网、市政道路及附属设施等维修维护日常管理人员不少于4人，环卫保洁不少于172人。</w:t>
      </w:r>
    </w:p>
    <w:p w14:paraId="2232A5A8">
      <w:pPr>
        <w:keepLines w:val="0"/>
        <w:pageBreakBefore w:val="0"/>
        <w:kinsoku/>
        <w:wordWrap/>
        <w:overflowPunct/>
        <w:topLinePunct w:val="0"/>
        <w:autoSpaceDE/>
        <w:autoSpaceDN/>
        <w:bidi w:val="0"/>
        <w:spacing w:line="480" w:lineRule="exact"/>
        <w:ind w:firstLine="456" w:firstLineChars="200"/>
        <w:rPr>
          <w:rFonts w:hint="default" w:ascii="宋体" w:hAnsi="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10.考核所需交通工具由中标供应商免费提供。</w:t>
      </w:r>
    </w:p>
    <w:p w14:paraId="033E1782">
      <w:pPr>
        <w:keepLines w:val="0"/>
        <w:pageBreakBefore w:val="0"/>
        <w:kinsoku/>
        <w:wordWrap/>
        <w:overflowPunct/>
        <w:topLinePunct w:val="0"/>
        <w:autoSpaceDE/>
        <w:autoSpaceDN/>
        <w:bidi w:val="0"/>
        <w:spacing w:line="480" w:lineRule="exact"/>
        <w:ind w:firstLine="456"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11.中标供应商应</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积极配合</w:t>
      </w:r>
      <w:r>
        <w:rPr>
          <w:rFonts w:hint="eastAsia" w:ascii="宋体" w:hAnsi="宋体" w:cs="宋体"/>
          <w:color w:val="000000" w:themeColor="text1"/>
          <w:spacing w:val="-6"/>
          <w:sz w:val="24"/>
          <w:szCs w:val="24"/>
          <w:highlight w:val="none"/>
          <w:lang w:val="en-US" w:eastAsia="zh-CN"/>
          <w14:textFill>
            <w14:solidFill>
              <w14:schemeClr w14:val="tx1"/>
            </w14:solidFill>
          </w14:textFill>
        </w:rPr>
        <w:t>完成采购人临时委托的新增任务，不能收取额外费用。</w:t>
      </w:r>
    </w:p>
    <w:p w14:paraId="2A5A7E07">
      <w:pPr>
        <w:keepLines w:val="0"/>
        <w:pageBreakBefore w:val="0"/>
        <w:kinsoku/>
        <w:wordWrap/>
        <w:overflowPunct/>
        <w:topLinePunct w:val="0"/>
        <w:autoSpaceDE/>
        <w:autoSpaceDN/>
        <w:bidi w:val="0"/>
        <w:spacing w:line="480" w:lineRule="exact"/>
        <w:ind w:firstLine="456" w:firstLineChars="200"/>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12.具体内容严格按照易门县有关规定、文件执行，符合采购要求，满足采购人需要。</w:t>
      </w:r>
    </w:p>
    <w:p w14:paraId="1923CC9C">
      <w:pPr>
        <w:pStyle w:val="3"/>
        <w:keepLines w:val="0"/>
        <w:pageBreakBefore w:val="0"/>
        <w:widowControl w:val="0"/>
        <w:kinsoku/>
        <w:wordWrap/>
        <w:overflowPunct/>
        <w:topLinePunct w:val="0"/>
        <w:autoSpaceDE/>
        <w:autoSpaceDN/>
        <w:bidi w:val="0"/>
        <w:adjustRightInd w:val="0"/>
        <w:snapToGrid w:val="0"/>
        <w:spacing w:line="480" w:lineRule="exact"/>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三、考核相关制度与表格</w:t>
      </w:r>
    </w:p>
    <w:p w14:paraId="26875D4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default"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（一）</w:t>
      </w:r>
      <w:r>
        <w:rPr>
          <w:rFonts w:ascii="宋体" w:hAnsi="宋体" w:eastAsia="宋体" w:cs="宋体"/>
          <w:b/>
          <w:bCs/>
          <w:kern w:val="0"/>
          <w:sz w:val="28"/>
          <w:szCs w:val="28"/>
          <w:highlight w:val="none"/>
          <w:lang w:val="en-US" w:eastAsia="zh-CN" w:bidi="ar"/>
        </w:rPr>
        <w:t>清扫保洁与垃圾收集运输考核</w:t>
      </w:r>
      <w:r>
        <w:rPr>
          <w:rFonts w:hint="eastAsia" w:ascii="宋体" w:hAnsi="宋体" w:eastAsia="宋体" w:cs="宋体"/>
          <w:b/>
          <w:bCs/>
          <w:kern w:val="0"/>
          <w:sz w:val="28"/>
          <w:szCs w:val="28"/>
          <w:highlight w:val="none"/>
          <w:lang w:val="en-US" w:eastAsia="zh-CN" w:bidi="ar"/>
        </w:rPr>
        <w:t>表</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271"/>
        <w:gridCol w:w="908"/>
        <w:gridCol w:w="445"/>
        <w:gridCol w:w="2872"/>
        <w:gridCol w:w="3817"/>
        <w:gridCol w:w="1129"/>
      </w:tblGrid>
      <w:tr w14:paraId="5FFB721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3B5A536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序号</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5CBBCA3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考核项目</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014944D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分值</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0B07C00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考核标准</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6808384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扣分标准</w:t>
            </w:r>
          </w:p>
        </w:tc>
        <w:tc>
          <w:tcPr>
            <w:tcW w:w="1129" w:type="dxa"/>
            <w:tcBorders>
              <w:top w:val="single" w:color="000000" w:sz="2" w:space="0"/>
              <w:left w:val="single" w:color="000000" w:sz="2" w:space="0"/>
              <w:bottom w:val="single" w:color="000000" w:sz="2" w:space="0"/>
              <w:right w:val="single" w:color="000000" w:sz="2" w:space="0"/>
            </w:tcBorders>
            <w:noWrap w:val="0"/>
            <w:vAlign w:val="center"/>
          </w:tcPr>
          <w:p w14:paraId="13E2159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预警与整改机制</w:t>
            </w:r>
          </w:p>
        </w:tc>
      </w:tr>
      <w:tr w14:paraId="16B3BF9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748C22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7CA3B0A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“六无”标准</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03BFA17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20分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0811D4A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无砖瓦土石、无垃圾及树叶、无纸屑果皮、无烟头痰涕、无厨余垃圾及油污死角及堆积物、无人畜粪便。</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4FDE337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每100㎡内有“六无”中的杂物三处（含三处）以上，每天每次扣2分。</w:t>
            </w:r>
          </w:p>
        </w:tc>
        <w:tc>
          <w:tcPr>
            <w:tcW w:w="1129" w:type="dxa"/>
            <w:vMerge w:val="restart"/>
            <w:tcBorders>
              <w:top w:val="single" w:color="000000" w:sz="2" w:space="0"/>
              <w:left w:val="single" w:color="000000" w:sz="2" w:space="0"/>
              <w:right w:val="single" w:color="000000" w:sz="2" w:space="0"/>
            </w:tcBorders>
            <w:noWrap w:val="0"/>
            <w:vAlign w:val="center"/>
          </w:tcPr>
          <w:p w14:paraId="7D82E0B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7921B13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633337A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p w14:paraId="3EA2AA1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p>
        </w:tc>
      </w:tr>
      <w:tr w14:paraId="3DD33AF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70E8DDD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6192589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“六净”</w:t>
            </w:r>
            <w:r>
              <w:rPr>
                <w:rFonts w:hint="eastAsia" w:ascii="宋体" w:hAnsi="宋体" w:eastAsia="宋体" w:cs="宋体"/>
                <w:kern w:val="0"/>
                <w:sz w:val="24"/>
                <w:szCs w:val="24"/>
                <w:highlight w:val="none"/>
                <w:lang w:val="en-US" w:eastAsia="zh-CN" w:bidi="ar"/>
              </w:rPr>
              <w:t>标准</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424E0EF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20分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51C7E0D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街道路面净见本色、边角街沿净、花台围栏周围净、绿化带树坑</w:t>
            </w:r>
            <w:r>
              <w:rPr>
                <w:rFonts w:hint="eastAsia" w:ascii="宋体" w:hAnsi="宋体" w:cs="宋体"/>
                <w:kern w:val="0"/>
                <w:sz w:val="24"/>
                <w:szCs w:val="24"/>
                <w:highlight w:val="none"/>
                <w:lang w:val="en-US" w:eastAsia="zh-CN" w:bidi="ar"/>
              </w:rPr>
              <w:t>墙根</w:t>
            </w:r>
            <w:r>
              <w:rPr>
                <w:rFonts w:hint="eastAsia" w:ascii="宋体" w:hAnsi="宋体" w:eastAsia="宋体" w:cs="宋体"/>
                <w:kern w:val="0"/>
                <w:sz w:val="24"/>
                <w:szCs w:val="24"/>
                <w:highlight w:val="none"/>
                <w:lang w:val="en-US" w:eastAsia="zh-CN" w:bidi="ar"/>
              </w:rPr>
              <w:t>净、交通围栏周围净、落水孔净明沟净（无泥沙、无浮土、无堵塞、无油污）。</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2BD845FE">
            <w:pPr>
              <w:keepNext w:val="0"/>
              <w:keepLines w:val="0"/>
              <w:pageBreakBefore w:val="0"/>
              <w:widowControl/>
              <w:numPr>
                <w:ilvl w:val="0"/>
                <w:numId w:val="6"/>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每50㎡内有零散灰尘、垃圾等，每天每次扣0.5分；</w:t>
            </w:r>
          </w:p>
          <w:p w14:paraId="11666EBB">
            <w:pPr>
              <w:keepNext w:val="0"/>
              <w:keepLines w:val="0"/>
              <w:pageBreakBefore w:val="0"/>
              <w:widowControl/>
              <w:numPr>
                <w:ilvl w:val="0"/>
                <w:numId w:val="6"/>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将垃圾扫入下水道落水孔每个扣2分，落水孔不畅通每天每个扣2分；</w:t>
            </w:r>
          </w:p>
          <w:p w14:paraId="68C0D3FD">
            <w:pPr>
              <w:keepNext w:val="0"/>
              <w:keepLines w:val="0"/>
              <w:pageBreakBefore w:val="0"/>
              <w:widowControl/>
              <w:numPr>
                <w:ilvl w:val="0"/>
                <w:numId w:val="6"/>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落水孔污染不及时清洗每发现</w:t>
            </w:r>
            <w:r>
              <w:rPr>
                <w:rFonts w:hint="eastAsia" w:ascii="宋体" w:hAnsi="宋体" w:cs="宋体"/>
                <w:kern w:val="0"/>
                <w:sz w:val="24"/>
                <w:szCs w:val="24"/>
                <w:highlight w:val="none"/>
                <w:lang w:val="en-US" w:eastAsia="zh-CN" w:bidi="ar"/>
              </w:rPr>
              <w:t>一</w:t>
            </w:r>
            <w:r>
              <w:rPr>
                <w:rFonts w:hint="eastAsia" w:ascii="宋体" w:hAnsi="宋体" w:eastAsia="宋体" w:cs="宋体"/>
                <w:kern w:val="0"/>
                <w:sz w:val="24"/>
                <w:szCs w:val="24"/>
                <w:highlight w:val="none"/>
                <w:lang w:val="en-US" w:eastAsia="zh-CN" w:bidi="ar"/>
              </w:rPr>
              <w:t>次扣2分。</w:t>
            </w:r>
          </w:p>
        </w:tc>
        <w:tc>
          <w:tcPr>
            <w:tcW w:w="1129" w:type="dxa"/>
            <w:vMerge w:val="continue"/>
            <w:tcBorders>
              <w:left w:val="single" w:color="000000" w:sz="2" w:space="0"/>
              <w:right w:val="single" w:color="000000" w:sz="2" w:space="0"/>
            </w:tcBorders>
            <w:noWrap w:val="0"/>
            <w:vAlign w:val="center"/>
          </w:tcPr>
          <w:p w14:paraId="5FEE03F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p>
        </w:tc>
      </w:tr>
      <w:tr w14:paraId="4A426DD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451330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3265E4A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垃圾容器管理</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273A3D4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1D8F633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垃圾容器擦洗、清洗、维护、维修及时。</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41CF8D16">
            <w:pPr>
              <w:keepNext w:val="0"/>
              <w:keepLines w:val="0"/>
              <w:pageBreakBefore w:val="0"/>
              <w:widowControl/>
              <w:numPr>
                <w:ilvl w:val="0"/>
                <w:numId w:val="7"/>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箱体脏未清洗一个每次扣2分，清运车辆脏未清洗一个每次扣2分；</w:t>
            </w:r>
          </w:p>
          <w:p w14:paraId="5199DB2F">
            <w:pPr>
              <w:keepNext w:val="0"/>
              <w:keepLines w:val="0"/>
              <w:pageBreakBefore w:val="0"/>
              <w:widowControl/>
              <w:numPr>
                <w:ilvl w:val="0"/>
                <w:numId w:val="7"/>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容器损坏不及时维修一个每次扣3分；</w:t>
            </w:r>
          </w:p>
          <w:p w14:paraId="5BA71D6D">
            <w:pPr>
              <w:keepNext w:val="0"/>
              <w:keepLines w:val="0"/>
              <w:pageBreakBefore w:val="0"/>
              <w:widowControl/>
              <w:numPr>
                <w:ilvl w:val="0"/>
                <w:numId w:val="7"/>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垃圾箱摆放不规整一个每次扣1.5分，垃圾箱盖不关一个每次扣1.5分。</w:t>
            </w:r>
          </w:p>
        </w:tc>
        <w:tc>
          <w:tcPr>
            <w:tcW w:w="1129" w:type="dxa"/>
            <w:vMerge w:val="continue"/>
            <w:tcBorders>
              <w:left w:val="single" w:color="000000" w:sz="2" w:space="0"/>
              <w:right w:val="single" w:color="000000" w:sz="2" w:space="0"/>
            </w:tcBorders>
            <w:noWrap w:val="0"/>
            <w:vAlign w:val="center"/>
          </w:tcPr>
          <w:p w14:paraId="7D3397B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p>
        </w:tc>
      </w:tr>
      <w:tr w14:paraId="11B2FDF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E25D72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4</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681B8D7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垃圾收集清运</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285B7FC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15分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63A3083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门市店堂袋装垃圾收集清运；</w:t>
            </w:r>
          </w:p>
          <w:p w14:paraId="4F1F379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垃圾箱果皮箱清运清掏；</w:t>
            </w:r>
          </w:p>
          <w:p w14:paraId="0726157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日常应急收运每晚19:30至凌晨2:00。</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7BE1F43A">
            <w:pPr>
              <w:keepNext w:val="0"/>
              <w:keepLines w:val="0"/>
              <w:pageBreakBefore w:val="0"/>
              <w:widowControl/>
              <w:numPr>
                <w:ilvl w:val="0"/>
                <w:numId w:val="8"/>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主城区9:00前完成第一次清运，城区外10:30前完成第一次清运；果皮箱每天9:00前完成第一次清掏，满溢每个次扣3分；电话通知后30分钟不清空每个每次扣4分；</w:t>
            </w:r>
          </w:p>
          <w:p w14:paraId="7C72994F">
            <w:pPr>
              <w:keepNext w:val="0"/>
              <w:keepLines w:val="0"/>
              <w:pageBreakBefore w:val="0"/>
              <w:widowControl/>
              <w:numPr>
                <w:ilvl w:val="0"/>
                <w:numId w:val="8"/>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不设垃圾日常应急收运车辆和人员每晚扣5分；收集门市店堂垃圾完不成每次扣3分</w:t>
            </w:r>
          </w:p>
        </w:tc>
        <w:tc>
          <w:tcPr>
            <w:tcW w:w="1129" w:type="dxa"/>
            <w:vMerge w:val="continue"/>
            <w:tcBorders>
              <w:left w:val="single" w:color="000000" w:sz="2" w:space="0"/>
              <w:right w:val="single" w:color="000000" w:sz="2" w:space="0"/>
            </w:tcBorders>
            <w:noWrap w:val="0"/>
            <w:vAlign w:val="center"/>
          </w:tcPr>
          <w:p w14:paraId="5B392C7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p>
        </w:tc>
      </w:tr>
      <w:tr w14:paraId="677F61A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58B890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5</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0AA0AF0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道路普扫保洁</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749989C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15分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0B97EB7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普扫在07:30前完成；道路保洁5:30至22:00；重大活动和节假日顺延至少1小时；荣誉创建检查等按通知调整。</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0033DFD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普扫完不成每人每次扣6分；无人保洁或保洁脱岗每人每次扣6分。</w:t>
            </w:r>
          </w:p>
        </w:tc>
        <w:tc>
          <w:tcPr>
            <w:tcW w:w="1129" w:type="dxa"/>
            <w:vMerge w:val="continue"/>
            <w:tcBorders>
              <w:left w:val="single" w:color="000000" w:sz="2" w:space="0"/>
              <w:right w:val="single" w:color="000000" w:sz="2" w:space="0"/>
            </w:tcBorders>
            <w:noWrap w:val="0"/>
            <w:vAlign w:val="center"/>
          </w:tcPr>
          <w:p w14:paraId="3725C8A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p>
        </w:tc>
      </w:tr>
      <w:tr w14:paraId="1F6D5EA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5B4B2F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6</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5C2D8E5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市政设施看护</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48E94F0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4分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732BD55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清扫保洁人</w:t>
            </w:r>
            <w:r>
              <w:rPr>
                <w:rFonts w:hint="eastAsia" w:ascii="宋体" w:hAnsi="宋体" w:cs="宋体"/>
                <w:kern w:val="0"/>
                <w:sz w:val="24"/>
                <w:szCs w:val="24"/>
                <w:highlight w:val="none"/>
                <w:lang w:val="en-US" w:eastAsia="zh-CN" w:bidi="ar"/>
              </w:rPr>
              <w:t>员在</w:t>
            </w:r>
            <w:r>
              <w:rPr>
                <w:rFonts w:hint="eastAsia" w:ascii="宋体" w:hAnsi="宋体" w:eastAsia="宋体" w:cs="宋体"/>
                <w:kern w:val="0"/>
                <w:sz w:val="24"/>
                <w:szCs w:val="24"/>
                <w:highlight w:val="none"/>
                <w:lang w:val="en-US" w:eastAsia="zh-CN" w:bidi="ar"/>
              </w:rPr>
              <w:t>上班时间内看护好市政公用设施。</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2996D44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发现问题不及时制止、报告市政公用设施受损情况每次扣4分。</w:t>
            </w:r>
          </w:p>
        </w:tc>
        <w:tc>
          <w:tcPr>
            <w:tcW w:w="1129" w:type="dxa"/>
            <w:vMerge w:val="continue"/>
            <w:tcBorders>
              <w:left w:val="single" w:color="000000" w:sz="2" w:space="0"/>
              <w:bottom w:val="single" w:color="000000" w:sz="2" w:space="0"/>
              <w:right w:val="single" w:color="000000" w:sz="2" w:space="0"/>
            </w:tcBorders>
            <w:noWrap w:val="0"/>
            <w:vAlign w:val="center"/>
          </w:tcPr>
          <w:p w14:paraId="64C4FB9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p>
        </w:tc>
      </w:tr>
      <w:tr w14:paraId="3064842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7146AB6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7</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3CE3F50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着装规范</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3393367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60BFA15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所有清扫保洁工人穿环卫标志服上班。</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2C08A72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不穿标志服每人每次扣1分</w:t>
            </w:r>
          </w:p>
        </w:tc>
        <w:tc>
          <w:tcPr>
            <w:tcW w:w="1129" w:type="dxa"/>
            <w:tcBorders>
              <w:top w:val="single" w:color="000000" w:sz="2" w:space="0"/>
              <w:left w:val="single" w:color="000000" w:sz="2" w:space="0"/>
              <w:bottom w:val="single" w:color="000000" w:sz="2" w:space="0"/>
              <w:right w:val="single" w:color="000000" w:sz="2" w:space="0"/>
            </w:tcBorders>
            <w:noWrap w:val="0"/>
            <w:vAlign w:val="center"/>
          </w:tcPr>
          <w:p w14:paraId="072D476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首次口头提醒，二次起按标准扣分。</w:t>
            </w:r>
          </w:p>
        </w:tc>
      </w:tr>
      <w:tr w14:paraId="099BDE2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4910D8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8</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5203D26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承包人签到</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26F87F3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5分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4EB2E6E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承包人每日早8:30到办公室签到并签字认可前一天考核结果。</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6D81CB06">
            <w:pPr>
              <w:keepNext w:val="0"/>
              <w:keepLines w:val="0"/>
              <w:pageBreakBefore w:val="0"/>
              <w:widowControl/>
              <w:numPr>
                <w:ilvl w:val="0"/>
                <w:numId w:val="9"/>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不报到扣2.5分；</w:t>
            </w:r>
          </w:p>
          <w:p w14:paraId="5DA6C659">
            <w:pPr>
              <w:keepNext w:val="0"/>
              <w:keepLines w:val="0"/>
              <w:pageBreakBefore w:val="0"/>
              <w:widowControl/>
              <w:numPr>
                <w:ilvl w:val="0"/>
                <w:numId w:val="9"/>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无故不签字认可考核结果扣2.5分；</w:t>
            </w:r>
          </w:p>
          <w:p w14:paraId="36A47E5F">
            <w:pPr>
              <w:keepNext w:val="0"/>
              <w:keepLines w:val="0"/>
              <w:pageBreakBefore w:val="0"/>
              <w:widowControl/>
              <w:numPr>
                <w:ilvl w:val="0"/>
                <w:numId w:val="9"/>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若委托代表签字须有书面授权文件，否则扣2.5分。</w:t>
            </w:r>
          </w:p>
        </w:tc>
        <w:tc>
          <w:tcPr>
            <w:tcW w:w="1129" w:type="dxa"/>
            <w:tcBorders>
              <w:top w:val="single" w:color="000000" w:sz="2" w:space="0"/>
              <w:left w:val="single" w:color="000000" w:sz="2" w:space="0"/>
              <w:bottom w:val="single" w:color="000000" w:sz="2" w:space="0"/>
              <w:right w:val="single" w:color="000000" w:sz="2" w:space="0"/>
            </w:tcBorders>
            <w:noWrap w:val="0"/>
            <w:vAlign w:val="center"/>
          </w:tcPr>
          <w:p w14:paraId="4BD6BE7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首次口头提醒，二次起按标准扣分。</w:t>
            </w:r>
          </w:p>
        </w:tc>
      </w:tr>
      <w:tr w14:paraId="41FDE14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84D1C0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9</w:t>
            </w:r>
          </w:p>
        </w:tc>
        <w:tc>
          <w:tcPr>
            <w:tcW w:w="908" w:type="dxa"/>
            <w:tcBorders>
              <w:top w:val="single" w:color="000000" w:sz="2" w:space="0"/>
              <w:left w:val="single" w:color="000000" w:sz="2" w:space="0"/>
              <w:bottom w:val="single" w:color="000000" w:sz="2" w:space="0"/>
              <w:right w:val="single" w:color="000000" w:sz="2" w:space="0"/>
            </w:tcBorders>
            <w:noWrap w:val="0"/>
            <w:vAlign w:val="center"/>
          </w:tcPr>
          <w:p w14:paraId="1956DA3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承包人坚守岗位</w:t>
            </w:r>
          </w:p>
        </w:tc>
        <w:tc>
          <w:tcPr>
            <w:tcW w:w="445" w:type="dxa"/>
            <w:tcBorders>
              <w:top w:val="single" w:color="000000" w:sz="2" w:space="0"/>
              <w:left w:val="single" w:color="000000" w:sz="2" w:space="0"/>
              <w:bottom w:val="single" w:color="000000" w:sz="2" w:space="0"/>
              <w:right w:val="single" w:color="000000" w:sz="2" w:space="0"/>
            </w:tcBorders>
            <w:noWrap w:val="0"/>
            <w:vAlign w:val="center"/>
          </w:tcPr>
          <w:p w14:paraId="234DE19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10分</w:t>
            </w:r>
          </w:p>
        </w:tc>
        <w:tc>
          <w:tcPr>
            <w:tcW w:w="2872" w:type="dxa"/>
            <w:tcBorders>
              <w:top w:val="single" w:color="000000" w:sz="2" w:space="0"/>
              <w:left w:val="single" w:color="000000" w:sz="2" w:space="0"/>
              <w:bottom w:val="single" w:color="000000" w:sz="2" w:space="0"/>
              <w:right w:val="single" w:color="000000" w:sz="2" w:space="0"/>
            </w:tcBorders>
            <w:noWrap w:val="0"/>
            <w:vAlign w:val="center"/>
          </w:tcPr>
          <w:p w14:paraId="76B12CB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承包人必须坚守岗位，不得脱岗；离岗须书面报告；电话保持畅通</w:t>
            </w:r>
          </w:p>
        </w:tc>
        <w:tc>
          <w:tcPr>
            <w:tcW w:w="3817" w:type="dxa"/>
            <w:tcBorders>
              <w:top w:val="single" w:color="000000" w:sz="2" w:space="0"/>
              <w:left w:val="single" w:color="000000" w:sz="2" w:space="0"/>
              <w:bottom w:val="single" w:color="000000" w:sz="2" w:space="0"/>
              <w:right w:val="single" w:color="000000" w:sz="2" w:space="0"/>
            </w:tcBorders>
            <w:noWrap w:val="0"/>
            <w:vAlign w:val="center"/>
          </w:tcPr>
          <w:p w14:paraId="353C3129">
            <w:pPr>
              <w:keepNext w:val="0"/>
              <w:keepLines w:val="0"/>
              <w:pageBreakBefore w:val="0"/>
              <w:widowControl/>
              <w:numPr>
                <w:ilvl w:val="0"/>
                <w:numId w:val="1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不坚守岗位扣5分；</w:t>
            </w:r>
          </w:p>
          <w:p w14:paraId="1CDFC05E">
            <w:pPr>
              <w:keepNext w:val="0"/>
              <w:keepLines w:val="0"/>
              <w:pageBreakBefore w:val="0"/>
              <w:widowControl/>
              <w:numPr>
                <w:ilvl w:val="0"/>
                <w:numId w:val="1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接到电话20分钟内不到指定位置扣5分；</w:t>
            </w:r>
          </w:p>
          <w:p w14:paraId="05A9251E">
            <w:pPr>
              <w:keepNext w:val="0"/>
              <w:keepLines w:val="0"/>
              <w:pageBreakBefore w:val="0"/>
              <w:widowControl/>
              <w:numPr>
                <w:ilvl w:val="0"/>
                <w:numId w:val="1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电话不通扣5分；</w:t>
            </w:r>
          </w:p>
          <w:p w14:paraId="3A874AF7">
            <w:pPr>
              <w:keepNext w:val="0"/>
              <w:keepLines w:val="0"/>
              <w:pageBreakBefore w:val="0"/>
              <w:widowControl/>
              <w:numPr>
                <w:ilvl w:val="0"/>
                <w:numId w:val="1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请假无假条视为不坚守岗位扣5分；</w:t>
            </w:r>
          </w:p>
          <w:p w14:paraId="11E43C9A">
            <w:pPr>
              <w:keepNext w:val="0"/>
              <w:keepLines w:val="0"/>
              <w:pageBreakBefore w:val="0"/>
              <w:widowControl/>
              <w:numPr>
                <w:ilvl w:val="0"/>
                <w:numId w:val="1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擅自离岗脱岗一次扣10分。</w:t>
            </w:r>
          </w:p>
        </w:tc>
        <w:tc>
          <w:tcPr>
            <w:tcW w:w="1129" w:type="dxa"/>
            <w:tcBorders>
              <w:top w:val="single" w:color="000000" w:sz="2" w:space="0"/>
              <w:left w:val="single" w:color="000000" w:sz="2" w:space="0"/>
              <w:bottom w:val="single" w:color="000000" w:sz="2" w:space="0"/>
              <w:right w:val="single" w:color="000000" w:sz="2" w:space="0"/>
            </w:tcBorders>
            <w:noWrap w:val="0"/>
            <w:vAlign w:val="center"/>
          </w:tcPr>
          <w:p w14:paraId="6DB774E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首次口头提醒，二次起按标准扣分。</w:t>
            </w:r>
          </w:p>
        </w:tc>
      </w:tr>
    </w:tbl>
    <w:p w14:paraId="2CCDACDD">
      <w:pPr>
        <w:keepNext w:val="0"/>
        <w:keepLines w:val="0"/>
        <w:pageBreakBefore w:val="0"/>
        <w:widowControl/>
        <w:kinsoku/>
        <w:wordWrap/>
        <w:overflowPunct/>
        <w:topLinePunct w:val="0"/>
        <w:autoSpaceDE/>
        <w:autoSpaceDN/>
        <w:bidi w:val="0"/>
        <w:adjustRightInd w:val="0"/>
        <w:snapToGrid w:val="0"/>
        <w:spacing w:beforeAutospacing="0" w:afterAutospacing="0" w:line="48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整改验收机制</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每次整改期满后，由甲方进行现场验收：验收合格：整改闭环，记录归档；验收不合格：按未整改处理，继续限期整改，并加倍扣分；同一问题连续三次验收不合格的，甲方有权单方面解除相关承包合同。</w:t>
      </w:r>
    </w:p>
    <w:p w14:paraId="61B1D2CF">
      <w:pPr>
        <w:keepLines w:val="0"/>
        <w:pageBreakBefore w:val="0"/>
        <w:widowControl/>
        <w:kinsoku/>
        <w:wordWrap/>
        <w:overflowPunct/>
        <w:topLinePunct w:val="0"/>
        <w:autoSpaceDE/>
        <w:autoSpaceDN/>
        <w:bidi w:val="0"/>
        <w:spacing w:beforeAutospacing="0" w:afterAutospacing="0" w:line="480" w:lineRule="exact"/>
        <w:ind w:firstLine="482" w:firstLineChars="200"/>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安全作业专项扣分项（适用于清扫保洁）</w:t>
      </w:r>
    </w:p>
    <w:tbl>
      <w:tblPr>
        <w:tblStyle w:val="28"/>
        <w:tblW w:w="9498"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991"/>
        <w:gridCol w:w="4442"/>
        <w:gridCol w:w="4065"/>
      </w:tblGrid>
      <w:tr w14:paraId="519173B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tblHeader/>
        </w:trPr>
        <w:tc>
          <w:tcPr>
            <w:tcW w:w="991" w:type="dxa"/>
            <w:tcBorders>
              <w:top w:val="single" w:color="000000" w:sz="2" w:space="0"/>
              <w:left w:val="single" w:color="000000" w:sz="2" w:space="0"/>
              <w:bottom w:val="single" w:color="000000" w:sz="2" w:space="0"/>
              <w:right w:val="single" w:color="000000" w:sz="2" w:space="0"/>
            </w:tcBorders>
            <w:noWrap w:val="0"/>
            <w:vAlign w:val="center"/>
          </w:tcPr>
          <w:p w14:paraId="3B94F3E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4442" w:type="dxa"/>
            <w:tcBorders>
              <w:top w:val="single" w:color="000000" w:sz="2" w:space="0"/>
              <w:left w:val="single" w:color="000000" w:sz="2" w:space="0"/>
              <w:bottom w:val="single" w:color="000000" w:sz="2" w:space="0"/>
              <w:right w:val="single" w:color="000000" w:sz="2" w:space="0"/>
            </w:tcBorders>
            <w:noWrap w:val="0"/>
            <w:vAlign w:val="center"/>
          </w:tcPr>
          <w:p w14:paraId="7F9C851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安全考核内容</w:t>
            </w:r>
          </w:p>
        </w:tc>
        <w:tc>
          <w:tcPr>
            <w:tcW w:w="4065" w:type="dxa"/>
            <w:tcBorders>
              <w:top w:val="single" w:color="000000" w:sz="2" w:space="0"/>
              <w:left w:val="single" w:color="000000" w:sz="2" w:space="0"/>
              <w:bottom w:val="single" w:color="000000" w:sz="2" w:space="0"/>
              <w:right w:val="single" w:color="000000" w:sz="2" w:space="0"/>
            </w:tcBorders>
            <w:noWrap w:val="0"/>
            <w:vAlign w:val="center"/>
          </w:tcPr>
          <w:p w14:paraId="2D30A85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r>
      <w:tr w14:paraId="126176C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61" w:hRule="atLeast"/>
        </w:trPr>
        <w:tc>
          <w:tcPr>
            <w:tcW w:w="991" w:type="dxa"/>
            <w:tcBorders>
              <w:top w:val="single" w:color="000000" w:sz="2" w:space="0"/>
              <w:left w:val="single" w:color="000000" w:sz="2" w:space="0"/>
              <w:bottom w:val="single" w:color="000000" w:sz="2" w:space="0"/>
              <w:right w:val="single" w:color="000000" w:sz="2" w:space="0"/>
            </w:tcBorders>
            <w:noWrap w:val="0"/>
            <w:vAlign w:val="center"/>
          </w:tcPr>
          <w:p w14:paraId="6C0C107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4442" w:type="dxa"/>
            <w:tcBorders>
              <w:top w:val="single" w:color="000000" w:sz="2" w:space="0"/>
              <w:left w:val="single" w:color="000000" w:sz="2" w:space="0"/>
              <w:bottom w:val="single" w:color="000000" w:sz="2" w:space="0"/>
              <w:right w:val="single" w:color="000000" w:sz="2" w:space="0"/>
            </w:tcBorders>
            <w:noWrap w:val="0"/>
            <w:vAlign w:val="center"/>
          </w:tcPr>
          <w:p w14:paraId="2D81D76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保洁人员作业时未穿戴反光背心</w:t>
            </w:r>
            <w:r>
              <w:rPr>
                <w:rFonts w:hint="eastAsia" w:ascii="宋体" w:hAnsi="宋体" w:cs="宋体"/>
                <w:kern w:val="0"/>
                <w:sz w:val="24"/>
                <w:szCs w:val="24"/>
                <w:highlight w:val="none"/>
                <w:lang w:val="en-US" w:eastAsia="zh-CN" w:bidi="ar"/>
              </w:rPr>
              <w:t>及其它防护措施</w:t>
            </w:r>
          </w:p>
        </w:tc>
        <w:tc>
          <w:tcPr>
            <w:tcW w:w="4065" w:type="dxa"/>
            <w:tcBorders>
              <w:top w:val="single" w:color="000000" w:sz="2" w:space="0"/>
              <w:left w:val="single" w:color="000000" w:sz="2" w:space="0"/>
              <w:bottom w:val="single" w:color="000000" w:sz="2" w:space="0"/>
              <w:right w:val="single" w:color="000000" w:sz="2" w:space="0"/>
            </w:tcBorders>
            <w:noWrap w:val="0"/>
            <w:vAlign w:val="center"/>
          </w:tcPr>
          <w:p w14:paraId="21667A7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w:t>
            </w:r>
            <w:r>
              <w:rPr>
                <w:rFonts w:hint="eastAsia" w:ascii="宋体" w:hAnsi="宋体" w:eastAsia="宋体" w:cs="宋体"/>
                <w:kern w:val="0"/>
                <w:sz w:val="24"/>
                <w:szCs w:val="24"/>
                <w:highlight w:val="none"/>
                <w:lang w:val="en-US" w:eastAsia="zh-CN" w:bidi="ar"/>
              </w:rPr>
              <w:t>每次</w:t>
            </w:r>
            <w:r>
              <w:rPr>
                <w:rFonts w:ascii="宋体" w:hAnsi="宋体" w:eastAsia="宋体" w:cs="宋体"/>
                <w:kern w:val="0"/>
                <w:sz w:val="24"/>
                <w:szCs w:val="24"/>
                <w:highlight w:val="none"/>
                <w:lang w:val="en-US" w:eastAsia="zh-CN" w:bidi="ar"/>
              </w:rPr>
              <w:t>扣2分</w:t>
            </w:r>
          </w:p>
        </w:tc>
      </w:tr>
      <w:tr w14:paraId="1BFCF95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61" w:hRule="atLeast"/>
        </w:trPr>
        <w:tc>
          <w:tcPr>
            <w:tcW w:w="991" w:type="dxa"/>
            <w:tcBorders>
              <w:top w:val="single" w:color="000000" w:sz="2" w:space="0"/>
              <w:left w:val="single" w:color="000000" w:sz="2" w:space="0"/>
              <w:bottom w:val="single" w:color="000000" w:sz="2" w:space="0"/>
              <w:right w:val="single" w:color="000000" w:sz="2" w:space="0"/>
            </w:tcBorders>
            <w:noWrap w:val="0"/>
            <w:vAlign w:val="center"/>
          </w:tcPr>
          <w:p w14:paraId="3A0312A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4442" w:type="dxa"/>
            <w:tcBorders>
              <w:top w:val="single" w:color="000000" w:sz="2" w:space="0"/>
              <w:left w:val="single" w:color="000000" w:sz="2" w:space="0"/>
              <w:bottom w:val="single" w:color="000000" w:sz="2" w:space="0"/>
              <w:right w:val="single" w:color="000000" w:sz="2" w:space="0"/>
            </w:tcBorders>
            <w:noWrap w:val="0"/>
            <w:vAlign w:val="center"/>
          </w:tcPr>
          <w:p w14:paraId="3B80857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夜间作业未开启警示灯</w:t>
            </w:r>
          </w:p>
        </w:tc>
        <w:tc>
          <w:tcPr>
            <w:tcW w:w="4065" w:type="dxa"/>
            <w:tcBorders>
              <w:top w:val="single" w:color="000000" w:sz="2" w:space="0"/>
              <w:left w:val="single" w:color="000000" w:sz="2" w:space="0"/>
              <w:bottom w:val="single" w:color="000000" w:sz="2" w:space="0"/>
              <w:right w:val="single" w:color="000000" w:sz="2" w:space="0"/>
            </w:tcBorders>
            <w:noWrap w:val="0"/>
            <w:vAlign w:val="center"/>
          </w:tcPr>
          <w:p w14:paraId="6633A93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w:t>
            </w:r>
            <w:r>
              <w:rPr>
                <w:rFonts w:hint="eastAsia" w:ascii="宋体" w:hAnsi="宋体" w:eastAsia="宋体" w:cs="宋体"/>
                <w:kern w:val="0"/>
                <w:sz w:val="24"/>
                <w:szCs w:val="24"/>
                <w:highlight w:val="none"/>
                <w:lang w:val="en-US" w:eastAsia="zh-CN" w:bidi="ar"/>
              </w:rPr>
              <w:t>每次</w:t>
            </w:r>
            <w:r>
              <w:rPr>
                <w:rFonts w:ascii="宋体" w:hAnsi="宋体" w:eastAsia="宋体" w:cs="宋体"/>
                <w:kern w:val="0"/>
                <w:sz w:val="24"/>
                <w:szCs w:val="24"/>
                <w:highlight w:val="none"/>
                <w:lang w:val="en-US" w:eastAsia="zh-CN" w:bidi="ar"/>
              </w:rPr>
              <w:t>扣3分</w:t>
            </w:r>
          </w:p>
        </w:tc>
      </w:tr>
      <w:tr w14:paraId="7C02C0A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91" w:type="dxa"/>
            <w:tcBorders>
              <w:top w:val="single" w:color="000000" w:sz="2" w:space="0"/>
              <w:left w:val="single" w:color="000000" w:sz="2" w:space="0"/>
              <w:bottom w:val="single" w:color="000000" w:sz="2" w:space="0"/>
              <w:right w:val="single" w:color="000000" w:sz="2" w:space="0"/>
            </w:tcBorders>
            <w:noWrap w:val="0"/>
            <w:vAlign w:val="center"/>
          </w:tcPr>
          <w:p w14:paraId="1E27DC2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4442" w:type="dxa"/>
            <w:tcBorders>
              <w:top w:val="single" w:color="000000" w:sz="2" w:space="0"/>
              <w:left w:val="single" w:color="000000" w:sz="2" w:space="0"/>
              <w:bottom w:val="single" w:color="000000" w:sz="2" w:space="0"/>
              <w:right w:val="single" w:color="000000" w:sz="2" w:space="0"/>
            </w:tcBorders>
            <w:noWrap w:val="0"/>
            <w:vAlign w:val="center"/>
          </w:tcPr>
          <w:p w14:paraId="314359E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在机动车道作业时未设置安全警示标志</w:t>
            </w:r>
          </w:p>
        </w:tc>
        <w:tc>
          <w:tcPr>
            <w:tcW w:w="4065" w:type="dxa"/>
            <w:tcBorders>
              <w:top w:val="single" w:color="000000" w:sz="2" w:space="0"/>
              <w:left w:val="single" w:color="000000" w:sz="2" w:space="0"/>
              <w:bottom w:val="single" w:color="000000" w:sz="2" w:space="0"/>
              <w:right w:val="single" w:color="000000" w:sz="2" w:space="0"/>
            </w:tcBorders>
            <w:noWrap w:val="0"/>
            <w:vAlign w:val="center"/>
          </w:tcPr>
          <w:p w14:paraId="0B1DEEF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w:t>
            </w:r>
            <w:r>
              <w:rPr>
                <w:rFonts w:hint="eastAsia" w:ascii="宋体" w:hAnsi="宋体" w:eastAsia="宋体" w:cs="宋体"/>
                <w:kern w:val="0"/>
                <w:sz w:val="24"/>
                <w:szCs w:val="24"/>
                <w:highlight w:val="none"/>
                <w:lang w:val="en-US" w:eastAsia="zh-CN" w:bidi="ar"/>
              </w:rPr>
              <w:t>每次</w:t>
            </w:r>
            <w:r>
              <w:rPr>
                <w:rFonts w:ascii="宋体" w:hAnsi="宋体" w:eastAsia="宋体" w:cs="宋体"/>
                <w:kern w:val="0"/>
                <w:sz w:val="24"/>
                <w:szCs w:val="24"/>
                <w:highlight w:val="none"/>
                <w:lang w:val="en-US" w:eastAsia="zh-CN" w:bidi="ar"/>
              </w:rPr>
              <w:t>扣3分</w:t>
            </w:r>
          </w:p>
        </w:tc>
      </w:tr>
      <w:tr w14:paraId="329413F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91" w:type="dxa"/>
            <w:tcBorders>
              <w:top w:val="single" w:color="000000" w:sz="2" w:space="0"/>
              <w:left w:val="single" w:color="000000" w:sz="2" w:space="0"/>
              <w:bottom w:val="single" w:color="000000" w:sz="2" w:space="0"/>
              <w:right w:val="single" w:color="000000" w:sz="2" w:space="0"/>
            </w:tcBorders>
            <w:noWrap w:val="0"/>
            <w:vAlign w:val="center"/>
          </w:tcPr>
          <w:p w14:paraId="05F1596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4442" w:type="dxa"/>
            <w:tcBorders>
              <w:top w:val="single" w:color="000000" w:sz="2" w:space="0"/>
              <w:left w:val="single" w:color="000000" w:sz="2" w:space="0"/>
              <w:bottom w:val="single" w:color="000000" w:sz="2" w:space="0"/>
              <w:right w:val="single" w:color="000000" w:sz="2" w:space="0"/>
            </w:tcBorders>
            <w:noWrap w:val="0"/>
            <w:vAlign w:val="center"/>
          </w:tcPr>
          <w:p w14:paraId="369CAA1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发生轻微安全事故（无人员受伤）</w:t>
            </w:r>
          </w:p>
        </w:tc>
        <w:tc>
          <w:tcPr>
            <w:tcW w:w="4065" w:type="dxa"/>
            <w:tcBorders>
              <w:top w:val="single" w:color="000000" w:sz="2" w:space="0"/>
              <w:left w:val="single" w:color="000000" w:sz="2" w:space="0"/>
              <w:bottom w:val="single" w:color="000000" w:sz="2" w:space="0"/>
              <w:right w:val="single" w:color="000000" w:sz="2" w:space="0"/>
            </w:tcBorders>
            <w:noWrap w:val="0"/>
            <w:vAlign w:val="center"/>
          </w:tcPr>
          <w:p w14:paraId="62F3179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扣10分</w:t>
            </w:r>
          </w:p>
        </w:tc>
      </w:tr>
      <w:tr w14:paraId="2D2D60E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91" w:type="dxa"/>
            <w:tcBorders>
              <w:top w:val="single" w:color="000000" w:sz="2" w:space="0"/>
              <w:left w:val="single" w:color="000000" w:sz="2" w:space="0"/>
              <w:bottom w:val="single" w:color="000000" w:sz="2" w:space="0"/>
              <w:right w:val="single" w:color="000000" w:sz="2" w:space="0"/>
            </w:tcBorders>
            <w:noWrap w:val="0"/>
            <w:vAlign w:val="center"/>
          </w:tcPr>
          <w:p w14:paraId="5CAD5BB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4442" w:type="dxa"/>
            <w:tcBorders>
              <w:top w:val="single" w:color="000000" w:sz="2" w:space="0"/>
              <w:left w:val="single" w:color="000000" w:sz="2" w:space="0"/>
              <w:bottom w:val="single" w:color="000000" w:sz="2" w:space="0"/>
              <w:right w:val="single" w:color="000000" w:sz="2" w:space="0"/>
            </w:tcBorders>
            <w:noWrap w:val="0"/>
            <w:vAlign w:val="center"/>
          </w:tcPr>
          <w:p w14:paraId="390D7E0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发生一般安全事故（轻伤）</w:t>
            </w:r>
          </w:p>
        </w:tc>
        <w:tc>
          <w:tcPr>
            <w:tcW w:w="4065" w:type="dxa"/>
            <w:tcBorders>
              <w:top w:val="single" w:color="000000" w:sz="2" w:space="0"/>
              <w:left w:val="single" w:color="000000" w:sz="2" w:space="0"/>
              <w:bottom w:val="single" w:color="000000" w:sz="2" w:space="0"/>
              <w:right w:val="single" w:color="000000" w:sz="2" w:space="0"/>
            </w:tcBorders>
            <w:noWrap w:val="0"/>
            <w:vAlign w:val="center"/>
          </w:tcPr>
          <w:p w14:paraId="79171D3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扣20分</w:t>
            </w:r>
          </w:p>
        </w:tc>
      </w:tr>
      <w:tr w14:paraId="6200929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66" w:hRule="atLeast"/>
        </w:trPr>
        <w:tc>
          <w:tcPr>
            <w:tcW w:w="991" w:type="dxa"/>
            <w:tcBorders>
              <w:top w:val="single" w:color="000000" w:sz="2" w:space="0"/>
              <w:left w:val="single" w:color="000000" w:sz="2" w:space="0"/>
              <w:bottom w:val="single" w:color="000000" w:sz="2" w:space="0"/>
              <w:right w:val="single" w:color="000000" w:sz="2" w:space="0"/>
            </w:tcBorders>
            <w:noWrap w:val="0"/>
            <w:vAlign w:val="center"/>
          </w:tcPr>
          <w:p w14:paraId="5157EE6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4442" w:type="dxa"/>
            <w:tcBorders>
              <w:top w:val="single" w:color="000000" w:sz="2" w:space="0"/>
              <w:left w:val="single" w:color="000000" w:sz="2" w:space="0"/>
              <w:bottom w:val="single" w:color="000000" w:sz="2" w:space="0"/>
              <w:right w:val="single" w:color="000000" w:sz="2" w:space="0"/>
            </w:tcBorders>
            <w:noWrap w:val="0"/>
            <w:vAlign w:val="center"/>
          </w:tcPr>
          <w:p w14:paraId="7AB7B02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发生重大安全事故（重伤及以上）</w:t>
            </w:r>
          </w:p>
        </w:tc>
        <w:tc>
          <w:tcPr>
            <w:tcW w:w="4065" w:type="dxa"/>
            <w:tcBorders>
              <w:top w:val="single" w:color="000000" w:sz="2" w:space="0"/>
              <w:left w:val="single" w:color="000000" w:sz="2" w:space="0"/>
              <w:bottom w:val="single" w:color="000000" w:sz="2" w:space="0"/>
              <w:right w:val="single" w:color="000000" w:sz="2" w:space="0"/>
            </w:tcBorders>
            <w:noWrap w:val="0"/>
            <w:vAlign w:val="center"/>
          </w:tcPr>
          <w:p w14:paraId="2DC97B8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当月考核不合格，并追究承包方责任</w:t>
            </w:r>
          </w:p>
        </w:tc>
      </w:tr>
    </w:tbl>
    <w:p w14:paraId="5394D34E">
      <w:pPr>
        <w:keepNext w:val="0"/>
        <w:keepLines w:val="0"/>
        <w:pageBreakBefore w:val="0"/>
        <w:widowControl/>
        <w:kinsoku/>
        <w:wordWrap/>
        <w:overflowPunct/>
        <w:topLinePunct w:val="0"/>
        <w:autoSpaceDE/>
        <w:autoSpaceDN/>
        <w:bidi w:val="0"/>
        <w:adjustRightInd/>
        <w:snapToGrid/>
        <w:spacing w:beforeAutospacing="0" w:afterAutospacing="0" w:line="48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注：</w:t>
      </w:r>
      <w:r>
        <w:rPr>
          <w:rFonts w:hint="eastAsia" w:ascii="宋体" w:hAnsi="宋体" w:eastAsia="宋体" w:cs="宋体"/>
          <w:color w:val="000000"/>
          <w:sz w:val="24"/>
          <w:szCs w:val="24"/>
          <w:highlight w:val="none"/>
        </w:rPr>
        <w:t>1.在重大节假日、卫生大检查期间按考核表中对应标准的3倍扣分。</w:t>
      </w:r>
    </w:p>
    <w:p w14:paraId="4F14493D">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上级和各部门检查考核工作时，工作不到位扣分按对应标准3倍扣分；清扫保洁工作中，因工作不到位的原因，被省、市、县、主管部门领导、环卫站领导点名的，经查实，当月考核为不合格且当月考核总分分别按80分基础分扣2分/次，扣1.6分/次，扣1.2分/次，扣0.8分/次，扣0.4分/次扣分。拒绝整改或整改不到位的，造成</w:t>
      </w:r>
      <w:r>
        <w:rPr>
          <w:rFonts w:hint="eastAsia" w:ascii="宋体" w:hAnsi="宋体" w:cs="宋体"/>
          <w:color w:val="000000"/>
          <w:sz w:val="24"/>
          <w:szCs w:val="24"/>
          <w:highlight w:val="none"/>
          <w:lang w:eastAsia="zh-CN"/>
        </w:rPr>
        <w:t>不良影响</w:t>
      </w:r>
      <w:r>
        <w:rPr>
          <w:rFonts w:hint="eastAsia" w:ascii="宋体" w:hAnsi="宋体" w:eastAsia="宋体" w:cs="宋体"/>
          <w:color w:val="000000"/>
          <w:sz w:val="24"/>
          <w:szCs w:val="24"/>
          <w:highlight w:val="none"/>
        </w:rPr>
        <w:t>或损失的，承</w:t>
      </w:r>
      <w:r>
        <w:rPr>
          <w:rFonts w:hint="eastAsia" w:ascii="宋体" w:hAnsi="宋体" w:eastAsia="宋体" w:cs="宋体"/>
          <w:color w:val="auto"/>
          <w:sz w:val="24"/>
          <w:szCs w:val="24"/>
          <w:highlight w:val="none"/>
        </w:rPr>
        <w:t>担相应责任，并追究乙方给甲方造成的损失。</w:t>
      </w:r>
    </w:p>
    <w:p w14:paraId="65241354">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因乙方工作失误，给甲方造成严重后果或负面影响的，以发布通报为准。受到省级通报的，扣款</w:t>
      </w:r>
      <w:r>
        <w:rPr>
          <w:rFonts w:hint="eastAsia" w:ascii="宋体" w:hAnsi="宋体" w:cs="宋体"/>
          <w:color w:val="auto"/>
          <w:sz w:val="24"/>
          <w:szCs w:val="24"/>
          <w:highlight w:val="none"/>
          <w:lang w:val="en-US" w:eastAsia="zh-CN"/>
        </w:rPr>
        <w:t>5000</w:t>
      </w:r>
      <w:r>
        <w:rPr>
          <w:rFonts w:hint="eastAsia" w:ascii="宋体" w:hAnsi="宋体" w:eastAsia="宋体" w:cs="宋体"/>
          <w:color w:val="auto"/>
          <w:sz w:val="24"/>
          <w:szCs w:val="24"/>
          <w:highlight w:val="none"/>
        </w:rPr>
        <w:t>元/次；受到市级通报的，扣款1000元/次。</w:t>
      </w:r>
    </w:p>
    <w:p w14:paraId="37E0FE7C">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非清扫责任区域，若在清扫责任区域内可见的垃圾，必须尽到监督和清理责任。</w:t>
      </w:r>
    </w:p>
    <w:p w14:paraId="09D44AB7">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在清扫承包期限内，新增具备清扫</w:t>
      </w:r>
      <w:r>
        <w:rPr>
          <w:rFonts w:hint="eastAsia" w:ascii="宋体" w:hAnsi="宋体" w:cs="宋体"/>
          <w:color w:val="auto"/>
          <w:sz w:val="24"/>
          <w:szCs w:val="24"/>
          <w:highlight w:val="none"/>
          <w:lang w:val="en-US" w:eastAsia="zh-CN"/>
        </w:rPr>
        <w:t>管护</w:t>
      </w:r>
      <w:r>
        <w:rPr>
          <w:rFonts w:hint="eastAsia" w:ascii="宋体" w:hAnsi="宋体" w:eastAsia="宋体" w:cs="宋体"/>
          <w:color w:val="auto"/>
          <w:sz w:val="24"/>
          <w:szCs w:val="24"/>
          <w:highlight w:val="none"/>
        </w:rPr>
        <w:t>条件面积在10000㎡以下的，接到环卫站通知，必须及时安排人员组织清扫保洁，清扫保洁费用不予增加；当新增面积超过10000㎡（含10000平方米），</w:t>
      </w:r>
      <w:r>
        <w:rPr>
          <w:rFonts w:hint="eastAsia" w:ascii="宋体" w:hAnsi="宋体" w:eastAsia="宋体" w:cs="宋体"/>
          <w:color w:val="auto"/>
          <w:sz w:val="24"/>
          <w:szCs w:val="24"/>
          <w:highlight w:val="none"/>
          <w:lang w:val="en-US" w:eastAsia="zh-CN"/>
        </w:rPr>
        <w:t>待采购人报请县财政同</w:t>
      </w:r>
      <w:r>
        <w:rPr>
          <w:rFonts w:hint="eastAsia" w:ascii="宋体" w:hAnsi="宋体" w:eastAsia="宋体" w:cs="宋体"/>
          <w:color w:val="000000"/>
          <w:sz w:val="24"/>
          <w:szCs w:val="24"/>
          <w:highlight w:val="none"/>
          <w:lang w:val="en-US" w:eastAsia="zh-CN"/>
        </w:rPr>
        <w:t>意后，</w:t>
      </w:r>
      <w:r>
        <w:rPr>
          <w:rFonts w:hint="eastAsia" w:ascii="宋体" w:hAnsi="宋体" w:eastAsia="宋体" w:cs="宋体"/>
          <w:color w:val="000000"/>
          <w:sz w:val="24"/>
          <w:szCs w:val="24"/>
          <w:highlight w:val="none"/>
        </w:rPr>
        <w:t>清扫保洁费用按照承包合同单价结合实际新增面积累计核算拨付。</w:t>
      </w:r>
    </w:p>
    <w:p w14:paraId="40BA9613">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 xml:space="preserve">承包方未按合同要求配置车辆、清扫保洁人员和相应的机械、设备，影响卫生质量和各项创建活动的，甲方有权单方面解除合同并追究乙方给甲方造成的损失。 </w:t>
      </w:r>
    </w:p>
    <w:p w14:paraId="53C77B32">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b/>
          <w:bCs/>
          <w:kern w:val="0"/>
          <w:sz w:val="28"/>
          <w:szCs w:val="28"/>
          <w:highlight w:val="none"/>
          <w:lang w:val="en-US" w:eastAsia="zh-CN" w:bidi="ar"/>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乙方在承包期内，管理人员若出现故意欺骗，弄虚作假行为，每发现一次按80分基准扣2分/次</w:t>
      </w:r>
      <w:r>
        <w:rPr>
          <w:rFonts w:hint="eastAsia" w:ascii="宋体" w:hAnsi="宋体" w:eastAsia="宋体" w:cs="宋体"/>
          <w:color w:val="000000"/>
          <w:sz w:val="24"/>
          <w:szCs w:val="24"/>
          <w:highlight w:val="none"/>
          <w:lang w:eastAsia="zh-CN"/>
        </w:rPr>
        <w:t>。</w:t>
      </w:r>
    </w:p>
    <w:p w14:paraId="4983E0D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（二）公厕管护考核</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15" w:type="dxa"/>
          <w:left w:w="15" w:type="dxa"/>
          <w:bottom w:w="15" w:type="dxa"/>
          <w:right w:w="15" w:type="dxa"/>
        </w:tblCellMar>
      </w:tblPr>
      <w:tblGrid>
        <w:gridCol w:w="574"/>
        <w:gridCol w:w="1007"/>
        <w:gridCol w:w="1007"/>
        <w:gridCol w:w="3841"/>
        <w:gridCol w:w="2910"/>
      </w:tblGrid>
      <w:tr w14:paraId="0BCB4D8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625" w:hRule="atLeast"/>
          <w:tblHeader/>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25254E3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hint="eastAsia" w:ascii="宋体" w:hAnsi="宋体" w:eastAsia="宋体" w:cs="宋体"/>
                <w:b/>
                <w:bCs/>
                <w:kern w:val="0"/>
                <w:sz w:val="24"/>
                <w:szCs w:val="24"/>
                <w:highlight w:val="none"/>
                <w:lang w:val="en-US" w:eastAsia="zh-CN" w:bidi="ar"/>
              </w:rPr>
              <w:t>序号</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660C80C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hint="eastAsia" w:ascii="宋体" w:hAnsi="宋体" w:eastAsia="宋体" w:cs="宋体"/>
                <w:b/>
                <w:bCs/>
                <w:kern w:val="0"/>
                <w:sz w:val="24"/>
                <w:szCs w:val="24"/>
                <w:highlight w:val="none"/>
                <w:lang w:val="en-US" w:eastAsia="zh-CN" w:bidi="ar"/>
              </w:rPr>
              <w:t>考核项目</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36F1900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hint="eastAsia" w:ascii="宋体" w:hAnsi="宋体" w:eastAsia="宋体" w:cs="宋体"/>
                <w:b/>
                <w:bCs/>
                <w:kern w:val="0"/>
                <w:sz w:val="24"/>
                <w:szCs w:val="24"/>
                <w:highlight w:val="none"/>
                <w:lang w:val="en-US" w:eastAsia="zh-CN" w:bidi="ar"/>
              </w:rPr>
              <w:t>分值</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12628E1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hint="eastAsia" w:ascii="宋体" w:hAnsi="宋体" w:eastAsia="宋体" w:cs="宋体"/>
                <w:b/>
                <w:bCs/>
                <w:kern w:val="0"/>
                <w:sz w:val="24"/>
                <w:szCs w:val="24"/>
                <w:highlight w:val="none"/>
                <w:lang w:val="en-US" w:eastAsia="zh-CN" w:bidi="ar"/>
              </w:rPr>
              <w:t>考核标准</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3A80453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hint="eastAsia" w:ascii="宋体" w:hAnsi="宋体" w:eastAsia="宋体" w:cs="宋体"/>
                <w:b/>
                <w:bCs/>
                <w:kern w:val="0"/>
                <w:sz w:val="24"/>
                <w:szCs w:val="24"/>
                <w:highlight w:val="none"/>
                <w:lang w:val="en-US" w:eastAsia="zh-CN" w:bidi="ar"/>
              </w:rPr>
              <w:t>扣分标准</w:t>
            </w:r>
          </w:p>
        </w:tc>
      </w:tr>
      <w:tr w14:paraId="0D8B7A2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1513"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2B41587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4A6A516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sz w:val="24"/>
                <w:szCs w:val="24"/>
                <w:highlight w:val="none"/>
              </w:rPr>
            </w:pPr>
            <w:r>
              <w:rPr>
                <w:rFonts w:hint="eastAsia"/>
                <w:sz w:val="24"/>
                <w:szCs w:val="24"/>
                <w:highlight w:val="none"/>
              </w:rPr>
              <w:t>“四净三无两通一明”“三有三无”</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680A37A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20分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18DFFD9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四净三无两通一明：地面净、墙面净、周边净；无溢流、无臭味、无蚊蝇；水通、电通、灯明。三有三无：有</w:t>
            </w:r>
            <w:r>
              <w:rPr>
                <w:rFonts w:hint="eastAsia" w:ascii="宋体" w:hAnsi="宋体" w:cs="宋体"/>
                <w:kern w:val="0"/>
                <w:sz w:val="24"/>
                <w:szCs w:val="24"/>
                <w:highlight w:val="none"/>
                <w:lang w:val="en-US" w:eastAsia="zh-CN" w:bidi="ar"/>
              </w:rPr>
              <w:t>香熏</w:t>
            </w:r>
            <w:r>
              <w:rPr>
                <w:rFonts w:ascii="宋体" w:hAnsi="宋体" w:eastAsia="宋体" w:cs="宋体"/>
                <w:kern w:val="0"/>
                <w:sz w:val="24"/>
                <w:szCs w:val="24"/>
                <w:highlight w:val="none"/>
                <w:lang w:val="en-US" w:eastAsia="zh-CN" w:bidi="ar"/>
              </w:rPr>
              <w:t>、洗手液、手纸；无粪便、无臭味、地面无积水</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1FCE400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达不到标准每次扣3分</w:t>
            </w:r>
            <w:r>
              <w:rPr>
                <w:rFonts w:hint="eastAsia" w:ascii="宋体" w:hAnsi="宋体" w:eastAsia="宋体" w:cs="宋体"/>
                <w:kern w:val="0"/>
                <w:sz w:val="24"/>
                <w:szCs w:val="24"/>
                <w:highlight w:val="none"/>
                <w:lang w:val="en-US" w:eastAsia="zh-CN" w:bidi="ar"/>
              </w:rPr>
              <w:t>。</w:t>
            </w:r>
          </w:p>
        </w:tc>
      </w:tr>
      <w:tr w14:paraId="076AFDA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21"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4225473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10B06DE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sz w:val="24"/>
                <w:szCs w:val="24"/>
                <w:highlight w:val="none"/>
              </w:rPr>
            </w:pPr>
            <w:r>
              <w:rPr>
                <w:rFonts w:hint="eastAsia" w:ascii="宋体" w:hAnsi="宋体" w:eastAsia="宋体" w:cs="宋体"/>
                <w:kern w:val="0"/>
                <w:sz w:val="24"/>
                <w:szCs w:val="24"/>
                <w:highlight w:val="none"/>
                <w:lang w:val="en-US" w:eastAsia="zh-CN" w:bidi="ar"/>
              </w:rPr>
              <w:t>“12无”</w:t>
            </w:r>
            <w:r>
              <w:rPr>
                <w:rFonts w:ascii="宋体" w:hAnsi="宋体" w:eastAsia="宋体" w:cs="宋体"/>
                <w:kern w:val="0"/>
                <w:sz w:val="24"/>
                <w:szCs w:val="24"/>
                <w:highlight w:val="none"/>
                <w:lang w:val="en-US" w:eastAsia="zh-CN" w:bidi="ar"/>
              </w:rPr>
              <w:t>标准</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101698A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13901C5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无积尘、无乱涂乱画、无小广告、无污渍、无蛛网、无蝇虫、无积水、无杂物、无积存、无尿碱、无臭、管道无阻塞</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663B4D6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达不到</w:t>
            </w:r>
            <w:r>
              <w:rPr>
                <w:rFonts w:hint="eastAsia" w:ascii="宋体" w:hAnsi="宋体" w:eastAsia="宋体" w:cs="宋体"/>
                <w:color w:val="000000"/>
                <w:kern w:val="0"/>
                <w:sz w:val="24"/>
                <w:szCs w:val="24"/>
                <w:highlight w:val="none"/>
                <w:lang w:bidi="ar"/>
              </w:rPr>
              <w:t>“12无”</w:t>
            </w:r>
            <w:r>
              <w:rPr>
                <w:rFonts w:ascii="宋体" w:hAnsi="宋体" w:eastAsia="宋体" w:cs="宋体"/>
                <w:kern w:val="0"/>
                <w:sz w:val="24"/>
                <w:szCs w:val="24"/>
                <w:highlight w:val="none"/>
                <w:lang w:val="en-US" w:eastAsia="zh-CN" w:bidi="ar"/>
              </w:rPr>
              <w:t>每次扣1分</w:t>
            </w:r>
            <w:r>
              <w:rPr>
                <w:rFonts w:hint="eastAsia" w:ascii="宋体" w:hAnsi="宋体" w:eastAsia="宋体" w:cs="宋体"/>
                <w:kern w:val="0"/>
                <w:sz w:val="24"/>
                <w:szCs w:val="24"/>
                <w:highlight w:val="none"/>
                <w:lang w:val="en-US" w:eastAsia="zh-CN" w:bidi="ar"/>
              </w:rPr>
              <w:t>。</w:t>
            </w:r>
          </w:p>
        </w:tc>
      </w:tr>
      <w:tr w14:paraId="2D0670D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1217"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5C88415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38186A9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hint="eastAsia" w:ascii="宋体" w:hAnsi="宋体" w:eastAsia="宋体" w:cs="宋体"/>
                <w:kern w:val="0"/>
                <w:sz w:val="24"/>
                <w:szCs w:val="24"/>
                <w:highlight w:val="none"/>
                <w:lang w:val="en-US" w:eastAsia="zh-CN" w:bidi="ar"/>
              </w:rPr>
              <w:t>“9”净</w:t>
            </w:r>
            <w:r>
              <w:rPr>
                <w:rFonts w:ascii="宋体" w:hAnsi="宋体" w:eastAsia="宋体" w:cs="宋体"/>
                <w:kern w:val="0"/>
                <w:sz w:val="24"/>
                <w:szCs w:val="24"/>
                <w:highlight w:val="none"/>
                <w:lang w:val="en-US" w:eastAsia="zh-CN" w:bidi="ar"/>
              </w:rPr>
              <w:t>标准</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2C7FCC6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3C558FA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照明灯具、标志、洗手器具、面镜、挂钩、手纸架、烘手器、冲水、</w:t>
            </w:r>
            <w:r>
              <w:rPr>
                <w:rFonts w:hint="eastAsia" w:ascii="宋体" w:hAnsi="宋体" w:cs="宋体"/>
                <w:kern w:val="0"/>
                <w:sz w:val="24"/>
                <w:szCs w:val="24"/>
                <w:highlight w:val="none"/>
                <w:lang w:val="en-US" w:eastAsia="zh-CN" w:bidi="ar"/>
              </w:rPr>
              <w:t>纸篓</w:t>
            </w:r>
            <w:r>
              <w:rPr>
                <w:rFonts w:ascii="宋体" w:hAnsi="宋体" w:eastAsia="宋体" w:cs="宋体"/>
                <w:kern w:val="0"/>
                <w:sz w:val="24"/>
                <w:szCs w:val="24"/>
                <w:highlight w:val="none"/>
                <w:lang w:val="en-US" w:eastAsia="zh-CN" w:bidi="ar"/>
              </w:rPr>
              <w:t>等公共设备洁净无尘无污无损坏</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3E08651D">
            <w:pPr>
              <w:keepNext w:val="0"/>
              <w:keepLines w:val="0"/>
              <w:pageBreakBefore w:val="0"/>
              <w:widowControl/>
              <w:numPr>
                <w:ilvl w:val="0"/>
                <w:numId w:val="11"/>
              </w:numPr>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达不到9净每次扣1分；</w:t>
            </w:r>
          </w:p>
          <w:p w14:paraId="65D7CD21">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（2）</w:t>
            </w:r>
            <w:r>
              <w:rPr>
                <w:rFonts w:hint="eastAsia" w:ascii="宋体" w:hAnsi="宋体" w:cs="宋体"/>
                <w:kern w:val="0"/>
                <w:sz w:val="24"/>
                <w:szCs w:val="24"/>
                <w:highlight w:val="none"/>
                <w:lang w:val="en-US" w:eastAsia="zh-CN" w:bidi="ar"/>
              </w:rPr>
              <w:t>废纸篓</w:t>
            </w:r>
            <w:r>
              <w:rPr>
                <w:rFonts w:ascii="宋体" w:hAnsi="宋体" w:eastAsia="宋体" w:cs="宋体"/>
                <w:kern w:val="0"/>
                <w:sz w:val="24"/>
                <w:szCs w:val="24"/>
                <w:highlight w:val="none"/>
                <w:lang w:val="en-US" w:eastAsia="zh-CN" w:bidi="ar"/>
              </w:rPr>
              <w:t>不套垃圾袋一个扣0.5分</w:t>
            </w:r>
            <w:r>
              <w:rPr>
                <w:rFonts w:hint="eastAsia" w:ascii="宋体" w:hAnsi="宋体" w:eastAsia="宋体" w:cs="宋体"/>
                <w:kern w:val="0"/>
                <w:sz w:val="24"/>
                <w:szCs w:val="24"/>
                <w:highlight w:val="none"/>
                <w:lang w:val="en-US" w:eastAsia="zh-CN" w:bidi="ar"/>
              </w:rPr>
              <w:t>。</w:t>
            </w:r>
          </w:p>
        </w:tc>
      </w:tr>
      <w:tr w14:paraId="57211B5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21"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50CD7DE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492349A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水电管线检修</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3A3DF96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2028AE9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公厕内外水电管线定时检修，保持干净完好；发现设施丢失损坏及时上报补充维修</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7AD6CD1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未及时修复影响正常使用每发现1个（次）扣2分</w:t>
            </w:r>
            <w:r>
              <w:rPr>
                <w:rFonts w:hint="eastAsia" w:ascii="宋体" w:hAnsi="宋体" w:eastAsia="宋体" w:cs="宋体"/>
                <w:kern w:val="0"/>
                <w:sz w:val="24"/>
                <w:szCs w:val="24"/>
                <w:highlight w:val="none"/>
                <w:lang w:val="en-US" w:eastAsia="zh-CN" w:bidi="ar"/>
              </w:rPr>
              <w:t>。</w:t>
            </w:r>
          </w:p>
        </w:tc>
      </w:tr>
      <w:tr w14:paraId="42D5722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21"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39CEEDD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597DC2E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工具房管理</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675A1A5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1DEF18F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所有卫生工具放入工具房，工具房、管理房物品摆放有序整洁</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5665C3B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不按规定摆放每发现1个（次）扣2.5分</w:t>
            </w:r>
            <w:r>
              <w:rPr>
                <w:rFonts w:hint="eastAsia" w:ascii="宋体" w:hAnsi="宋体" w:eastAsia="宋体" w:cs="宋体"/>
                <w:kern w:val="0"/>
                <w:sz w:val="24"/>
                <w:szCs w:val="24"/>
                <w:highlight w:val="none"/>
                <w:lang w:val="en-US" w:eastAsia="zh-CN" w:bidi="ar"/>
              </w:rPr>
              <w:t>。</w:t>
            </w:r>
          </w:p>
        </w:tc>
      </w:tr>
      <w:tr w14:paraId="689DA82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21"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75CBA92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1706049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病媒消杀</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46678A5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10分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15AC7D6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定期进行病媒虫媒消杀，结合实际情况适当加强，并做好记录</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279C245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发现无记录或不做必要消杀一次扣2分</w:t>
            </w:r>
          </w:p>
        </w:tc>
      </w:tr>
      <w:tr w14:paraId="554F25E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1809"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682437D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7</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2127D02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开放时间管理</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511BBC9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10分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4536BEED">
            <w:pPr>
              <w:keepNext w:val="0"/>
              <w:keepLines w:val="0"/>
              <w:pageBreakBefore w:val="0"/>
              <w:widowControl/>
              <w:numPr>
                <w:ilvl w:val="0"/>
                <w:numId w:val="12"/>
              </w:numPr>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每年9月至次年3月7:00-22:30；4月至8月6:30-22:30；每天开放前打扫好卫生，做好防滑处理；</w:t>
            </w:r>
          </w:p>
          <w:p w14:paraId="5F8C4EAB">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（2）严禁晚开早关、严禁离岗</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0E2F822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（1）离岗一次扣5分；</w:t>
            </w:r>
          </w:p>
          <w:p w14:paraId="54536B5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（2）晚开早关一次扣5分；</w:t>
            </w:r>
          </w:p>
          <w:p w14:paraId="6116443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（3）未做好防滑处理一次扣5分</w:t>
            </w:r>
            <w:r>
              <w:rPr>
                <w:rFonts w:hint="eastAsia" w:ascii="宋体" w:hAnsi="宋体" w:eastAsia="宋体" w:cs="宋体"/>
                <w:kern w:val="0"/>
                <w:sz w:val="24"/>
                <w:szCs w:val="24"/>
                <w:highlight w:val="none"/>
                <w:lang w:val="en-US" w:eastAsia="zh-CN" w:bidi="ar"/>
              </w:rPr>
              <w:t>。</w:t>
            </w:r>
          </w:p>
        </w:tc>
      </w:tr>
      <w:tr w14:paraId="335AA87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21"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49D4C03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8</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14B934A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水电用途管理</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660C334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6F5B2C0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公厕水电仅限公厕保洁使用（可供环卫工人清洗果皮箱用），严禁擅自改变用途</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2134CBC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发现不当用水用电行为不予制止，发现一次扣5分</w:t>
            </w:r>
            <w:r>
              <w:rPr>
                <w:rFonts w:hint="eastAsia" w:ascii="宋体" w:hAnsi="宋体" w:eastAsia="宋体" w:cs="宋体"/>
                <w:kern w:val="0"/>
                <w:sz w:val="24"/>
                <w:szCs w:val="24"/>
                <w:highlight w:val="none"/>
                <w:lang w:val="en-US" w:eastAsia="zh-CN" w:bidi="ar"/>
              </w:rPr>
              <w:t>。</w:t>
            </w:r>
          </w:p>
        </w:tc>
      </w:tr>
      <w:tr w14:paraId="5D4C7E9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21"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4878CB8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9</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5070FFD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服务投诉管理</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465B079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00C623B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加强责任心，热情服务，及时纠正入厕人员不文明行为；杜绝投诉事件</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1B61508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每接到1个投诉（次），经核实问题属实的扣10分</w:t>
            </w:r>
            <w:r>
              <w:rPr>
                <w:rFonts w:hint="eastAsia" w:ascii="宋体" w:hAnsi="宋体" w:eastAsia="宋体" w:cs="宋体"/>
                <w:kern w:val="0"/>
                <w:sz w:val="24"/>
                <w:szCs w:val="24"/>
                <w:highlight w:val="none"/>
                <w:lang w:val="en-US" w:eastAsia="zh-CN" w:bidi="ar"/>
              </w:rPr>
              <w:t>。</w:t>
            </w:r>
          </w:p>
        </w:tc>
      </w:tr>
      <w:tr w14:paraId="6F3DFEB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735F9C3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10</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1C260F9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承包人签到</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11C61D7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0B728A7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承包人每天早上8:30到市政组签到并签字认可前一天的考核结果，保持通讯通畅</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74C912E3">
            <w:pPr>
              <w:keepNext w:val="0"/>
              <w:keepLines w:val="0"/>
              <w:pageBreakBefore w:val="0"/>
              <w:widowControl/>
              <w:numPr>
                <w:ilvl w:val="0"/>
                <w:numId w:val="13"/>
              </w:numPr>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不签到认可每次扣5分；</w:t>
            </w:r>
          </w:p>
          <w:p w14:paraId="4B1A1586">
            <w:pPr>
              <w:keepNext w:val="0"/>
              <w:keepLines w:val="0"/>
              <w:pageBreakBefore w:val="0"/>
              <w:widowControl/>
              <w:numPr>
                <w:ilvl w:val="0"/>
                <w:numId w:val="13"/>
              </w:numPr>
              <w:suppressLineNumbers w:val="0"/>
              <w:kinsoku/>
              <w:wordWrap/>
              <w:overflowPunct/>
              <w:topLinePunct w:val="0"/>
              <w:autoSpaceDE/>
              <w:autoSpaceDN/>
              <w:bidi w:val="0"/>
              <w:spacing w:beforeAutospacing="0" w:afterAutospacing="0" w:line="480" w:lineRule="exact"/>
              <w:ind w:left="0" w:leftChars="0" w:firstLine="0" w:firstLineChars="0"/>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不参加单次集中考核扣5分；</w:t>
            </w:r>
          </w:p>
          <w:p w14:paraId="50DE579B">
            <w:pPr>
              <w:keepNext w:val="0"/>
              <w:keepLines w:val="0"/>
              <w:pageBreakBefore w:val="0"/>
              <w:widowControl/>
              <w:numPr>
                <w:ilvl w:val="0"/>
                <w:numId w:val="13"/>
              </w:numPr>
              <w:suppressLineNumbers w:val="0"/>
              <w:kinsoku/>
              <w:wordWrap/>
              <w:overflowPunct/>
              <w:topLinePunct w:val="0"/>
              <w:autoSpaceDE/>
              <w:autoSpaceDN/>
              <w:bidi w:val="0"/>
              <w:spacing w:beforeAutospacing="0" w:afterAutospacing="0" w:line="480" w:lineRule="exact"/>
              <w:ind w:left="0" w:leftChars="0" w:firstLine="0" w:firstLineChars="0"/>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请假无假条视为不坚守岗位扣5分；</w:t>
            </w:r>
          </w:p>
          <w:p w14:paraId="71439EBF">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left"/>
              <w:textAlignment w:val="auto"/>
              <w:rPr>
                <w:highlight w:val="none"/>
              </w:rPr>
            </w:pPr>
            <w:r>
              <w:rPr>
                <w:rFonts w:ascii="宋体" w:hAnsi="宋体" w:eastAsia="宋体" w:cs="宋体"/>
                <w:kern w:val="0"/>
                <w:sz w:val="24"/>
                <w:szCs w:val="24"/>
                <w:highlight w:val="none"/>
                <w:lang w:val="en-US" w:eastAsia="zh-CN" w:bidi="ar"/>
              </w:rPr>
              <w:t>（4）接到电话20分钟无故不到指定地点每次扣2.5分</w:t>
            </w:r>
            <w:r>
              <w:rPr>
                <w:rFonts w:hint="eastAsia" w:ascii="宋体" w:hAnsi="宋体" w:eastAsia="宋体" w:cs="宋体"/>
                <w:kern w:val="0"/>
                <w:sz w:val="24"/>
                <w:szCs w:val="24"/>
                <w:highlight w:val="none"/>
                <w:lang w:val="en-US" w:eastAsia="zh-CN" w:bidi="ar"/>
              </w:rPr>
              <w:t>。</w:t>
            </w:r>
          </w:p>
        </w:tc>
      </w:tr>
      <w:tr w14:paraId="3B781B2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518"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1ACB5C2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11</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7CC6612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监督整改</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714D43C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050920C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甲方提出整改意见应及时整改</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3313994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屡教不改（两次）的扣5分；造成损失履约保证金不予退还，当月经费不予拨付，直至单方面终止合同</w:t>
            </w:r>
            <w:r>
              <w:rPr>
                <w:rFonts w:hint="eastAsia" w:ascii="宋体" w:hAnsi="宋体" w:eastAsia="宋体" w:cs="宋体"/>
                <w:kern w:val="0"/>
                <w:sz w:val="24"/>
                <w:szCs w:val="24"/>
                <w:highlight w:val="none"/>
                <w:lang w:val="en-US" w:eastAsia="zh-CN" w:bidi="ar"/>
              </w:rPr>
              <w:t>。</w:t>
            </w:r>
          </w:p>
        </w:tc>
      </w:tr>
      <w:tr w14:paraId="765349D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74" w:type="dxa"/>
            <w:tcBorders>
              <w:top w:val="single" w:color="000000" w:sz="2" w:space="0"/>
              <w:left w:val="single" w:color="000000" w:sz="2" w:space="0"/>
              <w:bottom w:val="single" w:color="000000" w:sz="2" w:space="0"/>
              <w:right w:val="single" w:color="000000" w:sz="2" w:space="0"/>
            </w:tcBorders>
            <w:noWrap w:val="0"/>
            <w:vAlign w:val="center"/>
          </w:tcPr>
          <w:p w14:paraId="273AB69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12</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3BBD8D9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节假日及重大活动</w:t>
            </w:r>
          </w:p>
        </w:tc>
        <w:tc>
          <w:tcPr>
            <w:tcW w:w="1007" w:type="dxa"/>
            <w:tcBorders>
              <w:top w:val="single" w:color="000000" w:sz="2" w:space="0"/>
              <w:left w:val="single" w:color="000000" w:sz="2" w:space="0"/>
              <w:bottom w:val="single" w:color="000000" w:sz="2" w:space="0"/>
              <w:right w:val="single" w:color="000000" w:sz="2" w:space="0"/>
            </w:tcBorders>
            <w:noWrap w:val="0"/>
            <w:vAlign w:val="center"/>
          </w:tcPr>
          <w:p w14:paraId="07CE8DF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3841" w:type="dxa"/>
            <w:tcBorders>
              <w:top w:val="single" w:color="000000" w:sz="2" w:space="0"/>
              <w:left w:val="single" w:color="000000" w:sz="2" w:space="0"/>
              <w:bottom w:val="single" w:color="000000" w:sz="2" w:space="0"/>
              <w:right w:val="single" w:color="000000" w:sz="2" w:space="0"/>
            </w:tcBorders>
            <w:noWrap w:val="0"/>
            <w:vAlign w:val="center"/>
          </w:tcPr>
          <w:p w14:paraId="31CA85D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节假日及重大活动加强保洁频次，配合甲方做好相关工作</w:t>
            </w:r>
            <w:r>
              <w:rPr>
                <w:rFonts w:hint="eastAsia" w:ascii="宋体" w:hAnsi="宋体" w:eastAsia="宋体" w:cs="宋体"/>
                <w:kern w:val="0"/>
                <w:sz w:val="24"/>
                <w:szCs w:val="24"/>
                <w:highlight w:val="none"/>
                <w:lang w:val="en-US" w:eastAsia="zh-CN" w:bidi="ar"/>
              </w:rPr>
              <w:t>。</w:t>
            </w:r>
          </w:p>
        </w:tc>
        <w:tc>
          <w:tcPr>
            <w:tcW w:w="2910" w:type="dxa"/>
            <w:tcBorders>
              <w:top w:val="single" w:color="000000" w:sz="2" w:space="0"/>
              <w:left w:val="single" w:color="000000" w:sz="2" w:space="0"/>
              <w:bottom w:val="single" w:color="000000" w:sz="2" w:space="0"/>
              <w:right w:val="single" w:color="000000" w:sz="2" w:space="0"/>
            </w:tcBorders>
            <w:noWrap w:val="0"/>
            <w:vAlign w:val="center"/>
          </w:tcPr>
          <w:p w14:paraId="1D1AC3A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乙方不配合每次扣4分</w:t>
            </w:r>
            <w:r>
              <w:rPr>
                <w:rFonts w:hint="eastAsia" w:ascii="宋体" w:hAnsi="宋体" w:eastAsia="宋体" w:cs="宋体"/>
                <w:kern w:val="0"/>
                <w:sz w:val="24"/>
                <w:szCs w:val="24"/>
                <w:highlight w:val="none"/>
                <w:lang w:val="en-US" w:eastAsia="zh-CN" w:bidi="ar"/>
              </w:rPr>
              <w:t>。</w:t>
            </w:r>
          </w:p>
        </w:tc>
      </w:tr>
    </w:tbl>
    <w:p w14:paraId="4D6166A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default"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预警与整改机制：</w:t>
      </w:r>
    </w:p>
    <w:p w14:paraId="26B7C55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53E7B35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77E16A4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4A12E96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p w14:paraId="2FFC090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highlight w:val="none"/>
          <w:lang w:val="en-US" w:eastAsia="zh-CN"/>
        </w:rPr>
      </w:pPr>
      <w:r>
        <w:rPr>
          <w:rFonts w:hint="eastAsia" w:ascii="宋体" w:hAnsi="宋体" w:eastAsia="宋体" w:cs="宋体"/>
          <w:b/>
          <w:bCs/>
          <w:color w:val="000000"/>
          <w:sz w:val="24"/>
          <w:szCs w:val="24"/>
          <w:highlight w:val="none"/>
        </w:rPr>
        <w:t>整改验收机制</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每次整改期满后，由甲方进行现场验收：验收合格：整改闭环，记录归档；验收不合格：按未整改处理，继续限期整改，并加倍扣分；同一问题连续三次验收不合格的，甲方有权单方面解除相关承包合同。</w:t>
      </w:r>
    </w:p>
    <w:p w14:paraId="77FE29A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安全作业专项扣分项（适用于公厕管护）：</w:t>
      </w:r>
    </w:p>
    <w:tbl>
      <w:tblPr>
        <w:tblStyle w:val="28"/>
        <w:tblW w:w="0" w:type="auto"/>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1019"/>
        <w:gridCol w:w="4048"/>
        <w:gridCol w:w="3870"/>
      </w:tblGrid>
      <w:tr w14:paraId="44CF461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39" w:hRule="atLeast"/>
          <w:tblHeader/>
          <w:jc w:val="center"/>
        </w:trPr>
        <w:tc>
          <w:tcPr>
            <w:tcW w:w="1019" w:type="dxa"/>
            <w:tcBorders>
              <w:top w:val="single" w:color="000000" w:sz="2" w:space="0"/>
              <w:left w:val="single" w:color="000000" w:sz="2" w:space="0"/>
              <w:bottom w:val="single" w:color="000000" w:sz="2" w:space="0"/>
              <w:right w:val="single" w:color="000000" w:sz="2" w:space="0"/>
            </w:tcBorders>
            <w:noWrap w:val="0"/>
            <w:vAlign w:val="center"/>
          </w:tcPr>
          <w:p w14:paraId="684EDAE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4048" w:type="dxa"/>
            <w:tcBorders>
              <w:top w:val="single" w:color="000000" w:sz="2" w:space="0"/>
              <w:left w:val="single" w:color="000000" w:sz="2" w:space="0"/>
              <w:bottom w:val="single" w:color="000000" w:sz="2" w:space="0"/>
              <w:right w:val="single" w:color="000000" w:sz="2" w:space="0"/>
            </w:tcBorders>
            <w:noWrap w:val="0"/>
            <w:vAlign w:val="center"/>
          </w:tcPr>
          <w:p w14:paraId="60B2DB9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安全考核内容</w:t>
            </w:r>
          </w:p>
        </w:tc>
        <w:tc>
          <w:tcPr>
            <w:tcW w:w="3870" w:type="dxa"/>
            <w:tcBorders>
              <w:top w:val="single" w:color="000000" w:sz="2" w:space="0"/>
              <w:left w:val="single" w:color="000000" w:sz="2" w:space="0"/>
              <w:bottom w:val="single" w:color="000000" w:sz="2" w:space="0"/>
              <w:right w:val="single" w:color="000000" w:sz="2" w:space="0"/>
            </w:tcBorders>
            <w:noWrap w:val="0"/>
            <w:vAlign w:val="center"/>
          </w:tcPr>
          <w:p w14:paraId="2E70553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r>
      <w:tr w14:paraId="0A3627C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644" w:hRule="atLeast"/>
          <w:jc w:val="center"/>
        </w:trPr>
        <w:tc>
          <w:tcPr>
            <w:tcW w:w="1019" w:type="dxa"/>
            <w:tcBorders>
              <w:top w:val="single" w:color="000000" w:sz="2" w:space="0"/>
              <w:left w:val="single" w:color="000000" w:sz="2" w:space="0"/>
              <w:bottom w:val="single" w:color="000000" w:sz="2" w:space="0"/>
              <w:right w:val="single" w:color="000000" w:sz="2" w:space="0"/>
            </w:tcBorders>
            <w:noWrap w:val="0"/>
            <w:vAlign w:val="center"/>
          </w:tcPr>
          <w:p w14:paraId="7F6C533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4048" w:type="dxa"/>
            <w:tcBorders>
              <w:top w:val="single" w:color="000000" w:sz="2" w:space="0"/>
              <w:left w:val="single" w:color="000000" w:sz="2" w:space="0"/>
              <w:bottom w:val="single" w:color="000000" w:sz="2" w:space="0"/>
              <w:right w:val="single" w:color="000000" w:sz="2" w:space="0"/>
            </w:tcBorders>
            <w:noWrap w:val="0"/>
            <w:vAlign w:val="center"/>
          </w:tcPr>
          <w:p w14:paraId="11A8391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保洁员使用清洁剂、消毒剂时未佩戴防护手套</w:t>
            </w:r>
          </w:p>
        </w:tc>
        <w:tc>
          <w:tcPr>
            <w:tcW w:w="3870" w:type="dxa"/>
            <w:tcBorders>
              <w:top w:val="single" w:color="000000" w:sz="2" w:space="0"/>
              <w:left w:val="single" w:color="000000" w:sz="2" w:space="0"/>
              <w:bottom w:val="single" w:color="000000" w:sz="2" w:space="0"/>
              <w:right w:val="single" w:color="000000" w:sz="2" w:space="0"/>
            </w:tcBorders>
            <w:noWrap w:val="0"/>
            <w:vAlign w:val="center"/>
          </w:tcPr>
          <w:p w14:paraId="64C3A8F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每人次扣2分</w:t>
            </w:r>
          </w:p>
        </w:tc>
      </w:tr>
      <w:tr w14:paraId="12D1EF2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39" w:hRule="atLeast"/>
          <w:jc w:val="center"/>
        </w:trPr>
        <w:tc>
          <w:tcPr>
            <w:tcW w:w="1019" w:type="dxa"/>
            <w:tcBorders>
              <w:top w:val="single" w:color="000000" w:sz="2" w:space="0"/>
              <w:left w:val="single" w:color="000000" w:sz="2" w:space="0"/>
              <w:bottom w:val="single" w:color="000000" w:sz="2" w:space="0"/>
              <w:right w:val="single" w:color="000000" w:sz="2" w:space="0"/>
            </w:tcBorders>
            <w:noWrap w:val="0"/>
            <w:vAlign w:val="center"/>
          </w:tcPr>
          <w:p w14:paraId="253F8A9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4048" w:type="dxa"/>
            <w:tcBorders>
              <w:top w:val="single" w:color="000000" w:sz="2" w:space="0"/>
              <w:left w:val="single" w:color="000000" w:sz="2" w:space="0"/>
              <w:bottom w:val="single" w:color="000000" w:sz="2" w:space="0"/>
              <w:right w:val="single" w:color="000000" w:sz="2" w:space="0"/>
            </w:tcBorders>
            <w:noWrap w:val="0"/>
            <w:vAlign w:val="center"/>
          </w:tcPr>
          <w:p w14:paraId="5790F5A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地面湿滑未设置防滑提示牌</w:t>
            </w:r>
          </w:p>
        </w:tc>
        <w:tc>
          <w:tcPr>
            <w:tcW w:w="3870" w:type="dxa"/>
            <w:tcBorders>
              <w:top w:val="single" w:color="000000" w:sz="2" w:space="0"/>
              <w:left w:val="single" w:color="000000" w:sz="2" w:space="0"/>
              <w:bottom w:val="single" w:color="000000" w:sz="2" w:space="0"/>
              <w:right w:val="single" w:color="000000" w:sz="2" w:space="0"/>
            </w:tcBorders>
            <w:noWrap w:val="0"/>
            <w:vAlign w:val="center"/>
          </w:tcPr>
          <w:p w14:paraId="79A185F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每次扣2分</w:t>
            </w:r>
          </w:p>
        </w:tc>
      </w:tr>
      <w:tr w14:paraId="64A5589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39" w:hRule="atLeast"/>
          <w:jc w:val="center"/>
        </w:trPr>
        <w:tc>
          <w:tcPr>
            <w:tcW w:w="1019" w:type="dxa"/>
            <w:tcBorders>
              <w:top w:val="single" w:color="000000" w:sz="2" w:space="0"/>
              <w:left w:val="single" w:color="000000" w:sz="2" w:space="0"/>
              <w:bottom w:val="single" w:color="000000" w:sz="2" w:space="0"/>
              <w:right w:val="single" w:color="000000" w:sz="2" w:space="0"/>
            </w:tcBorders>
            <w:noWrap w:val="0"/>
            <w:vAlign w:val="center"/>
          </w:tcPr>
          <w:p w14:paraId="4C94338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4048" w:type="dxa"/>
            <w:tcBorders>
              <w:top w:val="single" w:color="000000" w:sz="2" w:space="0"/>
              <w:left w:val="single" w:color="000000" w:sz="2" w:space="0"/>
              <w:bottom w:val="single" w:color="000000" w:sz="2" w:space="0"/>
              <w:right w:val="single" w:color="000000" w:sz="2" w:space="0"/>
            </w:tcBorders>
            <w:noWrap w:val="0"/>
            <w:vAlign w:val="center"/>
          </w:tcPr>
          <w:p w14:paraId="7760270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用电设施存在漏电隐患未及时报修</w:t>
            </w:r>
          </w:p>
        </w:tc>
        <w:tc>
          <w:tcPr>
            <w:tcW w:w="3870" w:type="dxa"/>
            <w:tcBorders>
              <w:top w:val="single" w:color="000000" w:sz="2" w:space="0"/>
              <w:left w:val="single" w:color="000000" w:sz="2" w:space="0"/>
              <w:bottom w:val="single" w:color="000000" w:sz="2" w:space="0"/>
              <w:right w:val="single" w:color="000000" w:sz="2" w:space="0"/>
            </w:tcBorders>
            <w:noWrap w:val="0"/>
            <w:vAlign w:val="center"/>
          </w:tcPr>
          <w:p w14:paraId="56A55BB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每次扣5分</w:t>
            </w:r>
          </w:p>
        </w:tc>
      </w:tr>
      <w:tr w14:paraId="46E809A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39" w:hRule="atLeast"/>
          <w:jc w:val="center"/>
        </w:trPr>
        <w:tc>
          <w:tcPr>
            <w:tcW w:w="1019" w:type="dxa"/>
            <w:tcBorders>
              <w:top w:val="single" w:color="000000" w:sz="2" w:space="0"/>
              <w:left w:val="single" w:color="000000" w:sz="2" w:space="0"/>
              <w:bottom w:val="single" w:color="000000" w:sz="2" w:space="0"/>
              <w:right w:val="single" w:color="000000" w:sz="2" w:space="0"/>
            </w:tcBorders>
            <w:noWrap w:val="0"/>
            <w:vAlign w:val="center"/>
          </w:tcPr>
          <w:p w14:paraId="5021B53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4048" w:type="dxa"/>
            <w:tcBorders>
              <w:top w:val="single" w:color="000000" w:sz="2" w:space="0"/>
              <w:left w:val="single" w:color="000000" w:sz="2" w:space="0"/>
              <w:bottom w:val="single" w:color="000000" w:sz="2" w:space="0"/>
              <w:right w:val="single" w:color="000000" w:sz="2" w:space="0"/>
            </w:tcBorders>
            <w:noWrap w:val="0"/>
            <w:vAlign w:val="center"/>
          </w:tcPr>
          <w:p w14:paraId="7D7AEA0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发生轻微安全事故（无人员受伤）</w:t>
            </w:r>
          </w:p>
        </w:tc>
        <w:tc>
          <w:tcPr>
            <w:tcW w:w="3870" w:type="dxa"/>
            <w:tcBorders>
              <w:top w:val="single" w:color="000000" w:sz="2" w:space="0"/>
              <w:left w:val="single" w:color="000000" w:sz="2" w:space="0"/>
              <w:bottom w:val="single" w:color="000000" w:sz="2" w:space="0"/>
              <w:right w:val="single" w:color="000000" w:sz="2" w:space="0"/>
            </w:tcBorders>
            <w:noWrap w:val="0"/>
            <w:vAlign w:val="center"/>
          </w:tcPr>
          <w:p w14:paraId="52FC4B4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扣10分</w:t>
            </w:r>
          </w:p>
        </w:tc>
      </w:tr>
      <w:tr w14:paraId="526C97D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39" w:hRule="atLeast"/>
          <w:jc w:val="center"/>
        </w:trPr>
        <w:tc>
          <w:tcPr>
            <w:tcW w:w="1019" w:type="dxa"/>
            <w:tcBorders>
              <w:top w:val="single" w:color="000000" w:sz="2" w:space="0"/>
              <w:left w:val="single" w:color="000000" w:sz="2" w:space="0"/>
              <w:bottom w:val="single" w:color="000000" w:sz="2" w:space="0"/>
              <w:right w:val="single" w:color="000000" w:sz="2" w:space="0"/>
            </w:tcBorders>
            <w:noWrap w:val="0"/>
            <w:vAlign w:val="center"/>
          </w:tcPr>
          <w:p w14:paraId="03A2E2F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4048" w:type="dxa"/>
            <w:tcBorders>
              <w:top w:val="single" w:color="000000" w:sz="2" w:space="0"/>
              <w:left w:val="single" w:color="000000" w:sz="2" w:space="0"/>
              <w:bottom w:val="single" w:color="000000" w:sz="2" w:space="0"/>
              <w:right w:val="single" w:color="000000" w:sz="2" w:space="0"/>
            </w:tcBorders>
            <w:noWrap w:val="0"/>
            <w:vAlign w:val="center"/>
          </w:tcPr>
          <w:p w14:paraId="140D9A2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发生一般安全事故（轻伤）</w:t>
            </w:r>
          </w:p>
        </w:tc>
        <w:tc>
          <w:tcPr>
            <w:tcW w:w="3870" w:type="dxa"/>
            <w:tcBorders>
              <w:top w:val="single" w:color="000000" w:sz="2" w:space="0"/>
              <w:left w:val="single" w:color="000000" w:sz="2" w:space="0"/>
              <w:bottom w:val="single" w:color="000000" w:sz="2" w:space="0"/>
              <w:right w:val="single" w:color="000000" w:sz="2" w:space="0"/>
            </w:tcBorders>
            <w:noWrap w:val="0"/>
            <w:vAlign w:val="center"/>
          </w:tcPr>
          <w:p w14:paraId="0B9CE16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扣20分</w:t>
            </w:r>
          </w:p>
        </w:tc>
      </w:tr>
      <w:tr w14:paraId="35ACD96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44" w:hRule="atLeast"/>
          <w:jc w:val="center"/>
        </w:trPr>
        <w:tc>
          <w:tcPr>
            <w:tcW w:w="1019" w:type="dxa"/>
            <w:tcBorders>
              <w:top w:val="single" w:color="000000" w:sz="2" w:space="0"/>
              <w:left w:val="single" w:color="000000" w:sz="2" w:space="0"/>
              <w:bottom w:val="single" w:color="000000" w:sz="2" w:space="0"/>
              <w:right w:val="single" w:color="000000" w:sz="2" w:space="0"/>
            </w:tcBorders>
            <w:noWrap w:val="0"/>
            <w:vAlign w:val="center"/>
          </w:tcPr>
          <w:p w14:paraId="7789B32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4048" w:type="dxa"/>
            <w:tcBorders>
              <w:top w:val="single" w:color="000000" w:sz="2" w:space="0"/>
              <w:left w:val="single" w:color="000000" w:sz="2" w:space="0"/>
              <w:bottom w:val="single" w:color="000000" w:sz="2" w:space="0"/>
              <w:right w:val="single" w:color="000000" w:sz="2" w:space="0"/>
            </w:tcBorders>
            <w:noWrap w:val="0"/>
            <w:vAlign w:val="center"/>
          </w:tcPr>
          <w:p w14:paraId="6B5CDDA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发生重大安全事故（重伤及以上）</w:t>
            </w:r>
          </w:p>
        </w:tc>
        <w:tc>
          <w:tcPr>
            <w:tcW w:w="3870" w:type="dxa"/>
            <w:tcBorders>
              <w:top w:val="single" w:color="000000" w:sz="2" w:space="0"/>
              <w:left w:val="single" w:color="000000" w:sz="2" w:space="0"/>
              <w:bottom w:val="single" w:color="000000" w:sz="2" w:space="0"/>
              <w:right w:val="single" w:color="000000" w:sz="2" w:space="0"/>
            </w:tcBorders>
            <w:noWrap w:val="0"/>
            <w:vAlign w:val="center"/>
          </w:tcPr>
          <w:p w14:paraId="3384C8A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当月考核不合格，并追究承包方责任</w:t>
            </w:r>
          </w:p>
        </w:tc>
      </w:tr>
    </w:tbl>
    <w:p w14:paraId="3DF39C7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（三）洗手台管护考核</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333"/>
        <w:gridCol w:w="641"/>
        <w:gridCol w:w="348"/>
        <w:gridCol w:w="4824"/>
        <w:gridCol w:w="3296"/>
      </w:tblGrid>
      <w:tr w14:paraId="52285DC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40F0A68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序号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D10D66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考核项目</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62E271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分值</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06B57B9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考核标准</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14DBC57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扣分标准</w:t>
            </w:r>
          </w:p>
        </w:tc>
      </w:tr>
      <w:tr w14:paraId="41C03D0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39F418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335AE0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保洁制度落实</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94BABF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15分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78EAA8E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严格落实保洁制度，配备专职保洁员，着工装上岗；熟悉保洁要求，掌握设施正确使用方法；水龙头、台面、面镜及时清擦；垃圾及时清理，日产日清。</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2FB72914">
            <w:pPr>
              <w:keepNext w:val="0"/>
              <w:keepLines w:val="0"/>
              <w:pageBreakBefore w:val="0"/>
              <w:widowControl/>
              <w:numPr>
                <w:ilvl w:val="0"/>
                <w:numId w:val="14"/>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不穿工装上岗每发现1次扣1分；</w:t>
            </w:r>
          </w:p>
          <w:p w14:paraId="598A5E24">
            <w:pPr>
              <w:keepNext w:val="0"/>
              <w:keepLines w:val="0"/>
              <w:pageBreakBefore w:val="0"/>
              <w:widowControl/>
              <w:numPr>
                <w:ilvl w:val="0"/>
                <w:numId w:val="14"/>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不正确保洁导致设施设备受损每次扣5分；</w:t>
            </w:r>
          </w:p>
          <w:p w14:paraId="71625993">
            <w:pPr>
              <w:keepNext w:val="0"/>
              <w:keepLines w:val="0"/>
              <w:pageBreakBefore w:val="0"/>
              <w:widowControl/>
              <w:numPr>
                <w:ilvl w:val="0"/>
                <w:numId w:val="14"/>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垃圾做不到日产日清或处理不当每次扣2分。</w:t>
            </w:r>
          </w:p>
        </w:tc>
      </w:tr>
      <w:tr w14:paraId="5CE8364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69A5DB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984A33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设施整洁</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6976DF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5B075A0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随脏随清，保持无积水、无污染；周围无垃圾、污水；其他器具每日擦拭不少于一次。</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591ADA4A">
            <w:pPr>
              <w:keepNext w:val="0"/>
              <w:keepLines w:val="0"/>
              <w:pageBreakBefore w:val="0"/>
              <w:widowControl/>
              <w:numPr>
                <w:ilvl w:val="0"/>
                <w:numId w:val="15"/>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达不到1.和2.其中一项每次扣1分；</w:t>
            </w:r>
          </w:p>
          <w:p w14:paraId="54581F5A">
            <w:pPr>
              <w:keepNext w:val="0"/>
              <w:keepLines w:val="0"/>
              <w:pageBreakBefore w:val="0"/>
              <w:widowControl/>
              <w:numPr>
                <w:ilvl w:val="0"/>
                <w:numId w:val="15"/>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达不到3.每次扣2分。</w:t>
            </w:r>
          </w:p>
        </w:tc>
      </w:tr>
      <w:tr w14:paraId="33F0841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69359D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869C28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设施检查维护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64FA7E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15分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143D0D5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每天至少2次全面检查并做好记录；确保设施标志标牌完好；确保洗手盆完好无破损无堵漏，水龙头出水正常，下水管排水排污管道畅通。</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7EF61272">
            <w:pPr>
              <w:keepNext w:val="0"/>
              <w:keepLines w:val="0"/>
              <w:pageBreakBefore w:val="0"/>
              <w:widowControl/>
              <w:numPr>
                <w:ilvl w:val="0"/>
                <w:numId w:val="16"/>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每天做不到至少2次检查并记录每次扣2.5分；</w:t>
            </w:r>
          </w:p>
          <w:p w14:paraId="0CF9FE72">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（2）发生损毁丢失不及时修复补充影响正常使用每次扣5分。</w:t>
            </w:r>
          </w:p>
        </w:tc>
      </w:tr>
      <w:tr w14:paraId="51F7459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12A761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4</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DA477E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用水管理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51BA43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450B987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洗手设施用水只供应群众洗手和环卫工人清洗果皮箱、垃圾箱和清洁设施，严禁擅自改变用途。</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505079B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擅自改变用途或发现其他不当用水不予制止每次扣5分</w:t>
            </w:r>
          </w:p>
        </w:tc>
      </w:tr>
      <w:tr w14:paraId="297D273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72D976E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B5D97A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消毒消杀</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5CCBD2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15分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0E2D51D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各类设施表面保持整洁干净并定期消毒并做好记录；定期进行病媒虫媒消杀。</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6401926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不按规定进行消杀消毒并做好记录每次扣5分</w:t>
            </w:r>
          </w:p>
        </w:tc>
      </w:tr>
      <w:tr w14:paraId="29E5FCA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00414F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6</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DFB111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投诉管理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9C93AD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6D5F149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杜绝因管理不善导致的投诉事件。</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49830EC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每接到1个投诉（次），经核实问题属实的扣10分</w:t>
            </w:r>
          </w:p>
        </w:tc>
      </w:tr>
      <w:tr w14:paraId="3095AB3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8A08FF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7</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A56204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保洁时间</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5EB9A0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026ECC9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第一次保洁在07:30前完成；公共洗手设施7:00-22:00随脏随洗；重大活动和节假日顺延至少1小时。</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23D0A067">
            <w:pPr>
              <w:keepNext w:val="0"/>
              <w:keepLines w:val="0"/>
              <w:pageBreakBefore w:val="0"/>
              <w:widowControl/>
              <w:numPr>
                <w:ilvl w:val="0"/>
                <w:numId w:val="17"/>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第一次保洁完不成每人次扣5分；</w:t>
            </w:r>
          </w:p>
          <w:p w14:paraId="0A6DC31D">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（2）无人保洁或保洁员无故脱岗每人次扣5分。</w:t>
            </w:r>
          </w:p>
        </w:tc>
      </w:tr>
      <w:tr w14:paraId="12D2943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654A52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8</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77CC71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承包人签到</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1FD1D0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5分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4BBBAB0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承包人每日早8:30到办公室签到并签字认可前一天考核结果，工作时间不得无故离岗。</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3215043A">
            <w:pPr>
              <w:keepNext w:val="0"/>
              <w:keepLines w:val="0"/>
              <w:pageBreakBefore w:val="0"/>
              <w:widowControl/>
              <w:numPr>
                <w:ilvl w:val="0"/>
                <w:numId w:val="18"/>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不签到扣2.5分；</w:t>
            </w:r>
          </w:p>
          <w:p w14:paraId="4DFC4825">
            <w:pPr>
              <w:keepNext w:val="0"/>
              <w:keepLines w:val="0"/>
              <w:pageBreakBefore w:val="0"/>
              <w:widowControl/>
              <w:numPr>
                <w:ilvl w:val="0"/>
                <w:numId w:val="18"/>
              </w:numPr>
              <w:suppressLineNumbers w:val="0"/>
              <w:kinsoku/>
              <w:wordWrap/>
              <w:overflowPunct/>
              <w:topLinePunct w:val="0"/>
              <w:autoSpaceDE/>
              <w:autoSpaceDN/>
              <w:bidi w:val="0"/>
              <w:spacing w:beforeAutospacing="0" w:afterAutospacing="0" w:line="480" w:lineRule="exact"/>
              <w:ind w:left="0" w:leftChars="0" w:firstLine="0" w:firstLineChars="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无故不签字认可扣2.5分；</w:t>
            </w:r>
          </w:p>
          <w:p w14:paraId="0084257D">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（3）委托代表签字无授权文件扣2.5分。</w:t>
            </w:r>
          </w:p>
        </w:tc>
      </w:tr>
      <w:tr w14:paraId="15F9ABF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1F3FDD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9</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676D13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承包人坚守岗位</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5ACB69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10分</w:t>
            </w:r>
          </w:p>
        </w:tc>
        <w:tc>
          <w:tcPr>
            <w:tcW w:w="4824" w:type="dxa"/>
            <w:tcBorders>
              <w:top w:val="single" w:color="000000" w:sz="2" w:space="0"/>
              <w:left w:val="single" w:color="000000" w:sz="2" w:space="0"/>
              <w:bottom w:val="single" w:color="000000" w:sz="2" w:space="0"/>
              <w:right w:val="single" w:color="000000" w:sz="2" w:space="0"/>
            </w:tcBorders>
            <w:noWrap w:val="0"/>
            <w:vAlign w:val="center"/>
          </w:tcPr>
          <w:p w14:paraId="2C9570F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承包人必须坚守岗位，不得脱岗；离岗须请假；电话保持畅通。</w:t>
            </w:r>
          </w:p>
        </w:tc>
        <w:tc>
          <w:tcPr>
            <w:tcW w:w="3296" w:type="dxa"/>
            <w:tcBorders>
              <w:top w:val="single" w:color="000000" w:sz="2" w:space="0"/>
              <w:left w:val="single" w:color="000000" w:sz="2" w:space="0"/>
              <w:bottom w:val="single" w:color="000000" w:sz="2" w:space="0"/>
              <w:right w:val="single" w:color="000000" w:sz="2" w:space="0"/>
            </w:tcBorders>
            <w:noWrap w:val="0"/>
            <w:vAlign w:val="center"/>
          </w:tcPr>
          <w:p w14:paraId="4CF8416C">
            <w:pPr>
              <w:keepNext w:val="0"/>
              <w:keepLines w:val="0"/>
              <w:pageBreakBefore w:val="0"/>
              <w:widowControl/>
              <w:numPr>
                <w:ilvl w:val="0"/>
                <w:numId w:val="19"/>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无故脱岗每次扣4分；</w:t>
            </w:r>
          </w:p>
          <w:p w14:paraId="5E656E2B">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（2）电话不通每次扣3分；（3）接到电话30分钟内无故不到指定位置每次扣3分。</w:t>
            </w:r>
          </w:p>
        </w:tc>
      </w:tr>
    </w:tbl>
    <w:p w14:paraId="2344ACC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default"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预警与整改机制：</w:t>
      </w:r>
    </w:p>
    <w:p w14:paraId="0EE3CE3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6AF1198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3F66FF1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65EC165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p w14:paraId="6766AF1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eastAsia" w:ascii="宋体" w:hAnsi="宋体" w:eastAsia="宋体" w:cs="宋体"/>
          <w:kern w:val="0"/>
          <w:sz w:val="24"/>
          <w:szCs w:val="24"/>
          <w:highlight w:val="none"/>
          <w:lang w:val="en-US" w:eastAsia="zh-CN" w:bidi="ar"/>
        </w:rPr>
      </w:pPr>
      <w:r>
        <w:rPr>
          <w:rFonts w:hint="eastAsia" w:ascii="宋体" w:hAnsi="宋体" w:eastAsia="宋体" w:cs="宋体"/>
          <w:b/>
          <w:bCs/>
          <w:color w:val="000000"/>
          <w:sz w:val="24"/>
          <w:szCs w:val="24"/>
          <w:highlight w:val="none"/>
        </w:rPr>
        <w:t>整改验收机制</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每次整改期满后，由甲方进行现场验收：验收合格：整改闭环，记录归档；验收不合格：按未整改处理，继续限期整改，并加倍扣分；同一问题连续三次验收不合格的，甲方有权单方面解除相关承包合同。</w:t>
      </w:r>
    </w:p>
    <w:p w14:paraId="4BA35AF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highlight w:val="none"/>
        </w:rPr>
      </w:pPr>
      <w:r>
        <w:rPr>
          <w:rStyle w:val="31"/>
          <w:rFonts w:hint="eastAsia" w:ascii="宋体" w:hAnsi="宋体" w:eastAsia="宋体" w:cs="宋体"/>
          <w:kern w:val="0"/>
          <w:sz w:val="24"/>
          <w:szCs w:val="24"/>
          <w:highlight w:val="none"/>
          <w:lang w:val="en-US" w:eastAsia="zh-CN" w:bidi="ar"/>
        </w:rPr>
        <w:t>安全作业专项扣分项（适用于洗手台管护）</w:t>
      </w:r>
    </w:p>
    <w:tbl>
      <w:tblPr>
        <w:tblStyle w:val="28"/>
        <w:tblW w:w="9519"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579"/>
        <w:gridCol w:w="5150"/>
        <w:gridCol w:w="3790"/>
      </w:tblGrid>
      <w:tr w14:paraId="18ED876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88" w:hRule="atLeast"/>
          <w:tblHeader/>
          <w:jc w:val="center"/>
        </w:trPr>
        <w:tc>
          <w:tcPr>
            <w:tcW w:w="579" w:type="dxa"/>
            <w:tcBorders>
              <w:top w:val="single" w:color="000000" w:sz="2" w:space="0"/>
              <w:left w:val="single" w:color="000000" w:sz="2" w:space="0"/>
              <w:bottom w:val="single" w:color="000000" w:sz="2" w:space="0"/>
              <w:right w:val="single" w:color="000000" w:sz="2" w:space="0"/>
            </w:tcBorders>
            <w:noWrap w:val="0"/>
            <w:vAlign w:val="center"/>
          </w:tcPr>
          <w:p w14:paraId="488CC5A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5150" w:type="dxa"/>
            <w:tcBorders>
              <w:top w:val="single" w:color="000000" w:sz="2" w:space="0"/>
              <w:left w:val="single" w:color="000000" w:sz="2" w:space="0"/>
              <w:bottom w:val="single" w:color="000000" w:sz="2" w:space="0"/>
              <w:right w:val="single" w:color="000000" w:sz="2" w:space="0"/>
            </w:tcBorders>
            <w:noWrap w:val="0"/>
            <w:vAlign w:val="center"/>
          </w:tcPr>
          <w:p w14:paraId="72E3A7C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安全考核内容</w:t>
            </w:r>
          </w:p>
        </w:tc>
        <w:tc>
          <w:tcPr>
            <w:tcW w:w="3790" w:type="dxa"/>
            <w:tcBorders>
              <w:top w:val="single" w:color="000000" w:sz="2" w:space="0"/>
              <w:left w:val="single" w:color="000000" w:sz="2" w:space="0"/>
              <w:bottom w:val="single" w:color="000000" w:sz="2" w:space="0"/>
              <w:right w:val="single" w:color="000000" w:sz="2" w:space="0"/>
            </w:tcBorders>
            <w:noWrap w:val="0"/>
            <w:vAlign w:val="center"/>
          </w:tcPr>
          <w:p w14:paraId="5D24213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r>
      <w:tr w14:paraId="2F54A0F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199" w:hRule="atLeast"/>
          <w:jc w:val="center"/>
        </w:trPr>
        <w:tc>
          <w:tcPr>
            <w:tcW w:w="579" w:type="dxa"/>
            <w:tcBorders>
              <w:top w:val="single" w:color="000000" w:sz="2" w:space="0"/>
              <w:left w:val="single" w:color="000000" w:sz="2" w:space="0"/>
              <w:bottom w:val="single" w:color="000000" w:sz="2" w:space="0"/>
              <w:right w:val="single" w:color="000000" w:sz="2" w:space="0"/>
            </w:tcBorders>
            <w:noWrap w:val="0"/>
            <w:vAlign w:val="center"/>
          </w:tcPr>
          <w:p w14:paraId="3E6A3B2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150" w:type="dxa"/>
            <w:tcBorders>
              <w:top w:val="single" w:color="000000" w:sz="2" w:space="0"/>
              <w:left w:val="single" w:color="000000" w:sz="2" w:space="0"/>
              <w:bottom w:val="single" w:color="000000" w:sz="2" w:space="0"/>
              <w:right w:val="single" w:color="000000" w:sz="2" w:space="0"/>
            </w:tcBorders>
            <w:noWrap w:val="0"/>
            <w:vAlign w:val="center"/>
          </w:tcPr>
          <w:p w14:paraId="5962161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保洁员使用清洁剂、消毒剂时未佩戴防护手套</w:t>
            </w:r>
          </w:p>
        </w:tc>
        <w:tc>
          <w:tcPr>
            <w:tcW w:w="3790" w:type="dxa"/>
            <w:tcBorders>
              <w:top w:val="single" w:color="000000" w:sz="2" w:space="0"/>
              <w:left w:val="single" w:color="000000" w:sz="2" w:space="0"/>
              <w:bottom w:val="single" w:color="000000" w:sz="2" w:space="0"/>
              <w:right w:val="single" w:color="000000" w:sz="2" w:space="0"/>
            </w:tcBorders>
            <w:noWrap w:val="0"/>
            <w:vAlign w:val="center"/>
          </w:tcPr>
          <w:p w14:paraId="2123319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每人次扣2分</w:t>
            </w:r>
          </w:p>
        </w:tc>
      </w:tr>
      <w:tr w14:paraId="20109C1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88" w:hRule="atLeast"/>
          <w:jc w:val="center"/>
        </w:trPr>
        <w:tc>
          <w:tcPr>
            <w:tcW w:w="579" w:type="dxa"/>
            <w:tcBorders>
              <w:top w:val="single" w:color="000000" w:sz="2" w:space="0"/>
              <w:left w:val="single" w:color="000000" w:sz="2" w:space="0"/>
              <w:bottom w:val="single" w:color="000000" w:sz="2" w:space="0"/>
              <w:right w:val="single" w:color="000000" w:sz="2" w:space="0"/>
            </w:tcBorders>
            <w:noWrap w:val="0"/>
            <w:vAlign w:val="center"/>
          </w:tcPr>
          <w:p w14:paraId="494E9D6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5150" w:type="dxa"/>
            <w:tcBorders>
              <w:top w:val="single" w:color="000000" w:sz="2" w:space="0"/>
              <w:left w:val="single" w:color="000000" w:sz="2" w:space="0"/>
              <w:bottom w:val="single" w:color="000000" w:sz="2" w:space="0"/>
              <w:right w:val="single" w:color="000000" w:sz="2" w:space="0"/>
            </w:tcBorders>
            <w:noWrap w:val="0"/>
            <w:vAlign w:val="center"/>
          </w:tcPr>
          <w:p w14:paraId="4485699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洗手台周边地面湿滑未及时处理</w:t>
            </w:r>
          </w:p>
        </w:tc>
        <w:tc>
          <w:tcPr>
            <w:tcW w:w="3790" w:type="dxa"/>
            <w:tcBorders>
              <w:top w:val="single" w:color="000000" w:sz="2" w:space="0"/>
              <w:left w:val="single" w:color="000000" w:sz="2" w:space="0"/>
              <w:bottom w:val="single" w:color="000000" w:sz="2" w:space="0"/>
              <w:right w:val="single" w:color="000000" w:sz="2" w:space="0"/>
            </w:tcBorders>
            <w:noWrap w:val="0"/>
            <w:vAlign w:val="center"/>
          </w:tcPr>
          <w:p w14:paraId="3E1D9D8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每次扣2分</w:t>
            </w:r>
          </w:p>
        </w:tc>
      </w:tr>
      <w:tr w14:paraId="7A01186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79" w:type="dxa"/>
            <w:tcBorders>
              <w:top w:val="single" w:color="000000" w:sz="2" w:space="0"/>
              <w:left w:val="single" w:color="000000" w:sz="2" w:space="0"/>
              <w:bottom w:val="single" w:color="000000" w:sz="2" w:space="0"/>
              <w:right w:val="single" w:color="000000" w:sz="2" w:space="0"/>
            </w:tcBorders>
            <w:noWrap w:val="0"/>
            <w:vAlign w:val="center"/>
          </w:tcPr>
          <w:p w14:paraId="589E6DD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5150" w:type="dxa"/>
            <w:tcBorders>
              <w:top w:val="single" w:color="000000" w:sz="2" w:space="0"/>
              <w:left w:val="single" w:color="000000" w:sz="2" w:space="0"/>
              <w:bottom w:val="single" w:color="000000" w:sz="2" w:space="0"/>
              <w:right w:val="single" w:color="000000" w:sz="2" w:space="0"/>
            </w:tcBorders>
            <w:noWrap w:val="0"/>
            <w:vAlign w:val="center"/>
          </w:tcPr>
          <w:p w14:paraId="63ED6E2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用电设施（如烘手器）存在漏电隐患未及时报修</w:t>
            </w:r>
          </w:p>
        </w:tc>
        <w:tc>
          <w:tcPr>
            <w:tcW w:w="3790" w:type="dxa"/>
            <w:tcBorders>
              <w:top w:val="single" w:color="000000" w:sz="2" w:space="0"/>
              <w:left w:val="single" w:color="000000" w:sz="2" w:space="0"/>
              <w:bottom w:val="single" w:color="000000" w:sz="2" w:space="0"/>
              <w:right w:val="single" w:color="000000" w:sz="2" w:space="0"/>
            </w:tcBorders>
            <w:noWrap w:val="0"/>
            <w:vAlign w:val="center"/>
          </w:tcPr>
          <w:p w14:paraId="094EA4A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每次扣5分</w:t>
            </w:r>
          </w:p>
        </w:tc>
      </w:tr>
      <w:tr w14:paraId="40062CD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88" w:hRule="atLeast"/>
          <w:jc w:val="center"/>
        </w:trPr>
        <w:tc>
          <w:tcPr>
            <w:tcW w:w="579" w:type="dxa"/>
            <w:tcBorders>
              <w:top w:val="single" w:color="000000" w:sz="2" w:space="0"/>
              <w:left w:val="single" w:color="000000" w:sz="2" w:space="0"/>
              <w:bottom w:val="single" w:color="000000" w:sz="2" w:space="0"/>
              <w:right w:val="single" w:color="000000" w:sz="2" w:space="0"/>
            </w:tcBorders>
            <w:noWrap w:val="0"/>
            <w:vAlign w:val="center"/>
          </w:tcPr>
          <w:p w14:paraId="3BF971B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5150" w:type="dxa"/>
            <w:tcBorders>
              <w:top w:val="single" w:color="000000" w:sz="2" w:space="0"/>
              <w:left w:val="single" w:color="000000" w:sz="2" w:space="0"/>
              <w:bottom w:val="single" w:color="000000" w:sz="2" w:space="0"/>
              <w:right w:val="single" w:color="000000" w:sz="2" w:space="0"/>
            </w:tcBorders>
            <w:noWrap w:val="0"/>
            <w:vAlign w:val="center"/>
          </w:tcPr>
          <w:p w14:paraId="5855146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发生轻微安全事故（无人员受伤）</w:t>
            </w:r>
          </w:p>
        </w:tc>
        <w:tc>
          <w:tcPr>
            <w:tcW w:w="3790" w:type="dxa"/>
            <w:tcBorders>
              <w:top w:val="single" w:color="000000" w:sz="2" w:space="0"/>
              <w:left w:val="single" w:color="000000" w:sz="2" w:space="0"/>
              <w:bottom w:val="single" w:color="000000" w:sz="2" w:space="0"/>
              <w:right w:val="single" w:color="000000" w:sz="2" w:space="0"/>
            </w:tcBorders>
            <w:noWrap w:val="0"/>
            <w:vAlign w:val="center"/>
          </w:tcPr>
          <w:p w14:paraId="20CF8F4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扣10分</w:t>
            </w:r>
          </w:p>
        </w:tc>
      </w:tr>
      <w:tr w14:paraId="36155D3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79" w:type="dxa"/>
            <w:tcBorders>
              <w:top w:val="single" w:color="000000" w:sz="2" w:space="0"/>
              <w:left w:val="single" w:color="000000" w:sz="2" w:space="0"/>
              <w:bottom w:val="single" w:color="000000" w:sz="2" w:space="0"/>
              <w:right w:val="single" w:color="000000" w:sz="2" w:space="0"/>
            </w:tcBorders>
            <w:noWrap w:val="0"/>
            <w:vAlign w:val="center"/>
          </w:tcPr>
          <w:p w14:paraId="39AF29F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5150" w:type="dxa"/>
            <w:tcBorders>
              <w:top w:val="single" w:color="000000" w:sz="2" w:space="0"/>
              <w:left w:val="single" w:color="000000" w:sz="2" w:space="0"/>
              <w:bottom w:val="single" w:color="000000" w:sz="2" w:space="0"/>
              <w:right w:val="single" w:color="000000" w:sz="2" w:space="0"/>
            </w:tcBorders>
            <w:noWrap w:val="0"/>
            <w:vAlign w:val="center"/>
          </w:tcPr>
          <w:p w14:paraId="48F8FF8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发生一般安全事故（轻伤）</w:t>
            </w:r>
          </w:p>
        </w:tc>
        <w:tc>
          <w:tcPr>
            <w:tcW w:w="3790" w:type="dxa"/>
            <w:tcBorders>
              <w:top w:val="single" w:color="000000" w:sz="2" w:space="0"/>
              <w:left w:val="single" w:color="000000" w:sz="2" w:space="0"/>
              <w:bottom w:val="single" w:color="000000" w:sz="2" w:space="0"/>
              <w:right w:val="single" w:color="000000" w:sz="2" w:space="0"/>
            </w:tcBorders>
            <w:noWrap w:val="0"/>
            <w:vAlign w:val="center"/>
          </w:tcPr>
          <w:p w14:paraId="3CF1A40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扣20分</w:t>
            </w:r>
          </w:p>
        </w:tc>
      </w:tr>
      <w:tr w14:paraId="6CB1570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98" w:hRule="atLeast"/>
          <w:jc w:val="center"/>
        </w:trPr>
        <w:tc>
          <w:tcPr>
            <w:tcW w:w="579" w:type="dxa"/>
            <w:tcBorders>
              <w:top w:val="single" w:color="000000" w:sz="2" w:space="0"/>
              <w:left w:val="single" w:color="000000" w:sz="2" w:space="0"/>
              <w:bottom w:val="single" w:color="000000" w:sz="2" w:space="0"/>
              <w:right w:val="single" w:color="000000" w:sz="2" w:space="0"/>
            </w:tcBorders>
            <w:noWrap w:val="0"/>
            <w:vAlign w:val="center"/>
          </w:tcPr>
          <w:p w14:paraId="76ABD06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5150" w:type="dxa"/>
            <w:tcBorders>
              <w:top w:val="single" w:color="000000" w:sz="2" w:space="0"/>
              <w:left w:val="single" w:color="000000" w:sz="2" w:space="0"/>
              <w:bottom w:val="single" w:color="000000" w:sz="2" w:space="0"/>
              <w:right w:val="single" w:color="000000" w:sz="2" w:space="0"/>
            </w:tcBorders>
            <w:noWrap w:val="0"/>
            <w:vAlign w:val="center"/>
          </w:tcPr>
          <w:p w14:paraId="28D5770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发生重大安全事故（重伤及以上）</w:t>
            </w:r>
          </w:p>
        </w:tc>
        <w:tc>
          <w:tcPr>
            <w:tcW w:w="3790" w:type="dxa"/>
            <w:tcBorders>
              <w:top w:val="single" w:color="000000" w:sz="2" w:space="0"/>
              <w:left w:val="single" w:color="000000" w:sz="2" w:space="0"/>
              <w:bottom w:val="single" w:color="000000" w:sz="2" w:space="0"/>
              <w:right w:val="single" w:color="000000" w:sz="2" w:space="0"/>
            </w:tcBorders>
            <w:noWrap w:val="0"/>
            <w:vAlign w:val="center"/>
          </w:tcPr>
          <w:p w14:paraId="37F3653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当月考核不合格，并追究承包方责任</w:t>
            </w:r>
          </w:p>
        </w:tc>
      </w:tr>
    </w:tbl>
    <w:p w14:paraId="22467B1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（四）市政路灯管护考核</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316"/>
        <w:gridCol w:w="543"/>
        <w:gridCol w:w="327"/>
        <w:gridCol w:w="3474"/>
        <w:gridCol w:w="2276"/>
        <w:gridCol w:w="2506"/>
      </w:tblGrid>
      <w:tr w14:paraId="061E6E1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33969B1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序号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EE5E43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考核项目</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D0B6BD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分值</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79EE69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考核标准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91FD87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FDF801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预警与整改机制</w:t>
            </w:r>
          </w:p>
        </w:tc>
      </w:tr>
      <w:tr w14:paraId="15B074B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BB1B38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564016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巡查巡修制度</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A50729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29C08E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每天对承包路灯进行巡查巡修；每周至少对所有路灯设施循环巡查一遍；建立健全日常巡查巡修制度，有周、月工作计划及原始记录台账</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A8C549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每少巡查巡修一次扣1分</w:t>
            </w:r>
          </w:p>
        </w:tc>
        <w:tc>
          <w:tcPr>
            <w:tcW w:w="0" w:type="auto"/>
            <w:vMerge w:val="restart"/>
            <w:tcBorders>
              <w:top w:val="single" w:color="000000" w:sz="2" w:space="0"/>
              <w:left w:val="single" w:color="000000" w:sz="2" w:space="0"/>
              <w:right w:val="single" w:color="000000" w:sz="2" w:space="0"/>
            </w:tcBorders>
            <w:noWrap w:val="0"/>
            <w:vAlign w:val="center"/>
          </w:tcPr>
          <w:p w14:paraId="4629062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796A9D5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：按标准扣分，发出黄牌警告，限期24</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74E2F20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：按标准2倍扣分，发出橙牌警告，限期12</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5EDE56B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0889AB8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09564D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ED2698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亮灯率</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CC1F25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944964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普通路段亮灯率≥95%，重点路段亮灯率≥98%</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F86CC9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重点路段每处每低于标准扣2分，普通路段每处每低于标准扣1分</w:t>
            </w:r>
          </w:p>
        </w:tc>
        <w:tc>
          <w:tcPr>
            <w:tcW w:w="0" w:type="auto"/>
            <w:vMerge w:val="continue"/>
            <w:tcBorders>
              <w:left w:val="single" w:color="000000" w:sz="2" w:space="0"/>
              <w:bottom w:val="single" w:color="000000" w:sz="2" w:space="0"/>
              <w:right w:val="single" w:color="000000" w:sz="2" w:space="0"/>
            </w:tcBorders>
            <w:noWrap w:val="0"/>
            <w:vAlign w:val="center"/>
          </w:tcPr>
          <w:p w14:paraId="2AC8F8A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6EEE75D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18FD4B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C8D878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变压器维护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F80DE0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7B0DD1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路灯专用变压器油位、油色、声音正常，无漏渗油现象；高低压瓷管清洁，无放电闪烁和裂纹；变压器外壳接地、低压中性点接地良好</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C871ED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发现一处扣0.5分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FB4074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664A88B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：按标准扣分，发出黄牌警告，限期48</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4DF74B4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：按标准2倍扣分，发出橙牌警告，限期24</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4E54287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7B8EB21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2A7BF6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1D9E8F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灯具灯架维护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83A4D1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5753BA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灯具、灯架完好，无断裂、脱焊及严重锈蚀</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780815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发现一处扣0.5分</w:t>
            </w:r>
          </w:p>
        </w:tc>
        <w:tc>
          <w:tcPr>
            <w:tcW w:w="0" w:type="auto"/>
            <w:vMerge w:val="restart"/>
            <w:tcBorders>
              <w:top w:val="single" w:color="000000" w:sz="2" w:space="0"/>
              <w:left w:val="single" w:color="000000" w:sz="2" w:space="0"/>
              <w:right w:val="single" w:color="000000" w:sz="2" w:space="0"/>
            </w:tcBorders>
            <w:noWrap w:val="0"/>
            <w:vAlign w:val="center"/>
          </w:tcPr>
          <w:p w14:paraId="1D1DE6B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3EF0EA4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：按标准扣分，发出黄牌警告，限期24</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78A180F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：按标准2倍扣分，发出橙牌警告，限期12</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09D7A89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457D23E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67D119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CF84C0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引下线及接线井</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B18AB9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639E33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灯具引下线绝缘良好，无破皮、绝缘开裂；接线板无破损；接线井有盖</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AB8B00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发现一处扣0.5分</w:t>
            </w:r>
          </w:p>
        </w:tc>
        <w:tc>
          <w:tcPr>
            <w:tcW w:w="0" w:type="auto"/>
            <w:vMerge w:val="continue"/>
            <w:tcBorders>
              <w:left w:val="single" w:color="000000" w:sz="2" w:space="0"/>
              <w:right w:val="single" w:color="000000" w:sz="2" w:space="0"/>
            </w:tcBorders>
            <w:noWrap w:val="0"/>
            <w:vAlign w:val="center"/>
          </w:tcPr>
          <w:p w14:paraId="7F38029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0410945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FCD9C9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ABDD52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灯杆灯架维护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6060C8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909919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灯杆、灯架无倾斜、无损坏，门板等无缺失，灯头无松动</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5F15C0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发现一处扣0.5分</w:t>
            </w:r>
          </w:p>
        </w:tc>
        <w:tc>
          <w:tcPr>
            <w:tcW w:w="0" w:type="auto"/>
            <w:vMerge w:val="continue"/>
            <w:tcBorders>
              <w:left w:val="single" w:color="000000" w:sz="2" w:space="0"/>
              <w:right w:val="single" w:color="000000" w:sz="2" w:space="0"/>
            </w:tcBorders>
            <w:noWrap w:val="0"/>
            <w:vAlign w:val="center"/>
          </w:tcPr>
          <w:p w14:paraId="7D905FA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02E56B9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18479F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7</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AD0DC5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季节开关调整</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304DD4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AE502E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随季节变化调整路灯开启和关闭时间</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639003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不随季节调整每次扣1分，须在24小时内调整，否则加倍扣分</w:t>
            </w:r>
          </w:p>
        </w:tc>
        <w:tc>
          <w:tcPr>
            <w:tcW w:w="0" w:type="auto"/>
            <w:vMerge w:val="continue"/>
            <w:tcBorders>
              <w:left w:val="single" w:color="000000" w:sz="2" w:space="0"/>
              <w:bottom w:val="single" w:color="000000" w:sz="2" w:space="0"/>
              <w:right w:val="single" w:color="000000" w:sz="2" w:space="0"/>
            </w:tcBorders>
            <w:noWrap w:val="0"/>
            <w:vAlign w:val="center"/>
          </w:tcPr>
          <w:p w14:paraId="40AAACC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752C5FC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F337D3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8</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79297B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接地保护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300767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6F7992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路灯设施接地良好，接地电阻≤4Ω</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26CBBE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接地保护不达标扣1分，并按要求限时整改</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619F80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469B141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：按标准扣分，发出黄牌警告，限期48</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71814B0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：按标准2倍扣分，发出橙牌警告，限期24</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1E30C39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5282967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99C93B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9</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9E9153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光源电器一致性</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975D6A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5FED18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维修作业人员不能擅自更改与整个区域不相一致的光源电器</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D2829E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发现一处扣0.5分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C75D14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0682B46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：按标准扣分，发出黄牌警告，限期24</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5FAD793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：按标准2倍扣分，发出橙牌警告，限期12</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668B813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3C13C4A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21CDF1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691452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抢修及时性</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F9A4E9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EBEC5C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现场全天24小时安排人员抢修；一般故障24小时内解决；突发紧急情况30分钟内赶到现场抢修；同一地方不能连续5天不亮</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453C7A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发现缺岗一次扣0.5分，紧急情况每缺岗一次扣1分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68456C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紧急情况不适用预警机制，直接扣分</w:t>
            </w:r>
            <w:r>
              <w:rPr>
                <w:rFonts w:hint="eastAsia" w:ascii="宋体" w:hAnsi="宋体" w:eastAsia="宋体" w:cs="宋体"/>
                <w:kern w:val="0"/>
                <w:sz w:val="24"/>
                <w:szCs w:val="24"/>
                <w:highlight w:val="none"/>
                <w:lang w:val="en-US" w:eastAsia="zh-CN" w:bidi="ar"/>
              </w:rPr>
              <w:t>。</w:t>
            </w:r>
          </w:p>
        </w:tc>
      </w:tr>
      <w:tr w14:paraId="1DE3B06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60FF49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1D267A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大面积灭灯修复</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849B0E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96849B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发现大面积灭灯情况应在48小时内修复</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40D6BC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未达到要求扣2分；同一控制箱范围内当月出现</w:t>
            </w:r>
            <w:r>
              <w:rPr>
                <w:rFonts w:hint="eastAsia" w:ascii="宋体" w:hAnsi="宋体" w:cs="宋体"/>
                <w:kern w:val="0"/>
                <w:sz w:val="24"/>
                <w:szCs w:val="24"/>
                <w:highlight w:val="none"/>
                <w:lang w:val="en-US" w:eastAsia="zh-CN" w:bidi="ar"/>
              </w:rPr>
              <w:t>2</w:t>
            </w:r>
            <w:r>
              <w:rPr>
                <w:rFonts w:ascii="宋体" w:hAnsi="宋体" w:eastAsia="宋体" w:cs="宋体"/>
                <w:kern w:val="0"/>
                <w:sz w:val="24"/>
                <w:szCs w:val="24"/>
                <w:highlight w:val="none"/>
                <w:lang w:val="en-US" w:eastAsia="zh-CN" w:bidi="ar"/>
              </w:rPr>
              <w:t>次以上非外界因素引起的大面积灭灯扣4分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1ABB98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紧急情况不适用预警机制，直接扣分</w:t>
            </w:r>
            <w:r>
              <w:rPr>
                <w:rFonts w:hint="eastAsia" w:ascii="宋体" w:hAnsi="宋体" w:eastAsia="宋体" w:cs="宋体"/>
                <w:kern w:val="0"/>
                <w:sz w:val="24"/>
                <w:szCs w:val="24"/>
                <w:highlight w:val="none"/>
                <w:lang w:val="en-US" w:eastAsia="zh-CN" w:bidi="ar"/>
              </w:rPr>
              <w:t>。</w:t>
            </w:r>
          </w:p>
        </w:tc>
      </w:tr>
      <w:tr w14:paraId="275F459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5AFD7C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7FADBD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设施安全</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42DA2F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138A7C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承包范围内路灯设施无安全隐患</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09FB06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发现安全隐患一处扣1分，并按要求限时整改</w:t>
            </w:r>
          </w:p>
        </w:tc>
        <w:tc>
          <w:tcPr>
            <w:tcW w:w="0" w:type="auto"/>
            <w:vMerge w:val="restart"/>
            <w:tcBorders>
              <w:top w:val="single" w:color="000000" w:sz="2" w:space="0"/>
              <w:left w:val="single" w:color="000000" w:sz="2" w:space="0"/>
              <w:right w:val="single" w:color="000000" w:sz="2" w:space="0"/>
            </w:tcBorders>
            <w:noWrap w:val="0"/>
            <w:vAlign w:val="center"/>
          </w:tcPr>
          <w:p w14:paraId="5D4C454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5C496B5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63DBA91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66C6AAD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31E073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AE662D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作业安全</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363039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833F8A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严格按照国家相关规定安全作业，杜绝违章施工，爱护作业现场设施，做到人走场清</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ECAAEF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发现违章施工及不爱护作业现场每次扣1分</w:t>
            </w:r>
          </w:p>
        </w:tc>
        <w:tc>
          <w:tcPr>
            <w:tcW w:w="0" w:type="auto"/>
            <w:vMerge w:val="continue"/>
            <w:tcBorders>
              <w:left w:val="single" w:color="000000" w:sz="2" w:space="0"/>
              <w:bottom w:val="single" w:color="000000" w:sz="2" w:space="0"/>
              <w:right w:val="single" w:color="000000" w:sz="2" w:space="0"/>
            </w:tcBorders>
            <w:noWrap w:val="0"/>
            <w:vAlign w:val="center"/>
          </w:tcPr>
          <w:p w14:paraId="5AC4C9F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bl>
    <w:p w14:paraId="0F8B7BD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highlight w:val="none"/>
          <w:lang w:eastAsia="zh-CN"/>
        </w:rPr>
      </w:pPr>
      <w:r>
        <w:rPr>
          <w:rFonts w:hint="eastAsia" w:ascii="宋体" w:hAnsi="宋体" w:eastAsia="宋体" w:cs="宋体"/>
          <w:b/>
          <w:bCs/>
          <w:color w:val="000000"/>
          <w:sz w:val="24"/>
          <w:szCs w:val="24"/>
          <w:highlight w:val="none"/>
        </w:rPr>
        <w:t>整改验收机制</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每次整改期满后，由甲方进行现场验收：验收合格：整改闭环，记录归档；验收不合格：按未整改处理，继续限期整改，并加倍扣分；同一问题连续三次验收不合格的，甲方有权单方面解除相关承包合同。</w:t>
      </w:r>
    </w:p>
    <w:p w14:paraId="4E40EC8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安全作业专项扣分项（适用于路灯管护）</w:t>
      </w:r>
    </w:p>
    <w:tbl>
      <w:tblPr>
        <w:tblStyle w:val="28"/>
        <w:tblW w:w="0" w:type="auto"/>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794"/>
        <w:gridCol w:w="3611"/>
        <w:gridCol w:w="4754"/>
      </w:tblGrid>
      <w:tr w14:paraId="046F708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66" w:hRule="atLeast"/>
          <w:tblHeader/>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2CF90B5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7D420C0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安全考核内容</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0419230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r>
      <w:tr w14:paraId="692EF55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5C831A9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6E24545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高空作业未佩戴安全绳、安全帽</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082FD05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每人次扣5分</w:t>
            </w:r>
          </w:p>
        </w:tc>
      </w:tr>
      <w:tr w14:paraId="666FF45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08A759D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3B9ACED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作业现场未设置安全警示标志</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4EBF7BA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每次扣3分</w:t>
            </w:r>
          </w:p>
        </w:tc>
      </w:tr>
      <w:tr w14:paraId="7DF9C0F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77DE9C9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376B1DF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带电作业未使用绝缘工具</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0ED4164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每人次扣5分</w:t>
            </w:r>
          </w:p>
        </w:tc>
      </w:tr>
      <w:tr w14:paraId="564CFE9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65D872F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5B705F9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作业车辆未按规定停放</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3931A1A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每次扣2分</w:t>
            </w:r>
          </w:p>
        </w:tc>
      </w:tr>
      <w:tr w14:paraId="4F802D3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7C956C1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7D1E293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发生轻微安全事故（无人员受伤）</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2A80800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扣10分</w:t>
            </w:r>
          </w:p>
        </w:tc>
      </w:tr>
      <w:tr w14:paraId="460AB53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7EA5A1E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21CD6D2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发生一般安全事故（轻伤）</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0449519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扣20分</w:t>
            </w:r>
          </w:p>
        </w:tc>
      </w:tr>
      <w:tr w14:paraId="5C6CF57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60C80CE1">
            <w:pPr>
              <w:keepLines w:val="0"/>
              <w:pageBreakBefore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7</w:t>
            </w:r>
          </w:p>
        </w:tc>
        <w:tc>
          <w:tcPr>
            <w:tcW w:w="3611" w:type="dxa"/>
            <w:tcBorders>
              <w:top w:val="single" w:color="000000" w:sz="2" w:space="0"/>
              <w:left w:val="single" w:color="000000" w:sz="2" w:space="0"/>
              <w:bottom w:val="single" w:color="000000" w:sz="2" w:space="0"/>
              <w:right w:val="single" w:color="000000" w:sz="2" w:space="0"/>
            </w:tcBorders>
            <w:noWrap w:val="0"/>
            <w:vAlign w:val="center"/>
          </w:tcPr>
          <w:p w14:paraId="39689FE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发生重大安全事故（重伤及以上）</w:t>
            </w:r>
          </w:p>
        </w:tc>
        <w:tc>
          <w:tcPr>
            <w:tcW w:w="4754" w:type="dxa"/>
            <w:tcBorders>
              <w:top w:val="single" w:color="000000" w:sz="2" w:space="0"/>
              <w:left w:val="single" w:color="000000" w:sz="2" w:space="0"/>
              <w:bottom w:val="single" w:color="000000" w:sz="2" w:space="0"/>
              <w:right w:val="single" w:color="000000" w:sz="2" w:space="0"/>
            </w:tcBorders>
            <w:noWrap w:val="0"/>
            <w:vAlign w:val="center"/>
          </w:tcPr>
          <w:p w14:paraId="437AB18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当月考核不合格，并追究承包方责任</w:t>
            </w:r>
          </w:p>
        </w:tc>
      </w:tr>
    </w:tbl>
    <w:p w14:paraId="18CA215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（五）垃圾转运与填埋场</w:t>
      </w:r>
      <w:r>
        <w:rPr>
          <w:rFonts w:hint="eastAsia" w:ascii="宋体" w:hAnsi="宋体" w:cs="宋体"/>
          <w:b/>
          <w:bCs/>
          <w:kern w:val="0"/>
          <w:sz w:val="28"/>
          <w:szCs w:val="28"/>
          <w:highlight w:val="none"/>
          <w:lang w:val="en-US" w:eastAsia="zh-CN" w:bidi="ar"/>
        </w:rPr>
        <w:t>管护</w:t>
      </w:r>
      <w:r>
        <w:rPr>
          <w:rFonts w:hint="eastAsia" w:ascii="宋体" w:hAnsi="宋体" w:eastAsia="宋体" w:cs="宋体"/>
          <w:b/>
          <w:bCs/>
          <w:kern w:val="0"/>
          <w:sz w:val="28"/>
          <w:szCs w:val="28"/>
          <w:highlight w:val="none"/>
          <w:lang w:val="en-US" w:eastAsia="zh-CN" w:bidi="ar"/>
        </w:rPr>
        <w:t>考核</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323"/>
        <w:gridCol w:w="584"/>
        <w:gridCol w:w="336"/>
        <w:gridCol w:w="3281"/>
        <w:gridCol w:w="3075"/>
        <w:gridCol w:w="1843"/>
      </w:tblGrid>
      <w:tr w14:paraId="7F7D29B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3176D26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序号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A8B1C1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考核项目</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1F63B3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分值</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E2CDD4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考核标准</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0452075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c>
          <w:tcPr>
            <w:tcW w:w="1843" w:type="dxa"/>
            <w:tcBorders>
              <w:top w:val="single" w:color="000000" w:sz="2" w:space="0"/>
              <w:left w:val="single" w:color="000000" w:sz="2" w:space="0"/>
              <w:bottom w:val="single" w:color="000000" w:sz="2" w:space="0"/>
              <w:right w:val="single" w:color="000000" w:sz="2" w:space="0"/>
            </w:tcBorders>
            <w:noWrap w:val="0"/>
            <w:vAlign w:val="center"/>
          </w:tcPr>
          <w:p w14:paraId="215AE54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预警与整改机制</w:t>
            </w:r>
          </w:p>
        </w:tc>
      </w:tr>
      <w:tr w14:paraId="2F22C20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6C238B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C7A3FC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垃圾中转站运行</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112E8A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21分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A7362A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垃圾中转站设施正常运行；城市生活垃圾日产日清</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1389EC1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设施不能正常运行每次扣3分；</w:t>
            </w:r>
          </w:p>
          <w:p w14:paraId="4AB0654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垃圾不能日产日清每次扣3分</w:t>
            </w:r>
            <w:r>
              <w:rPr>
                <w:rFonts w:hint="eastAsia" w:ascii="宋体" w:hAnsi="宋体" w:eastAsia="宋体" w:cs="宋体"/>
                <w:kern w:val="0"/>
                <w:sz w:val="24"/>
                <w:szCs w:val="24"/>
                <w:highlight w:val="none"/>
                <w:lang w:val="en-US" w:eastAsia="zh-CN" w:bidi="ar"/>
              </w:rPr>
              <w:t>。</w:t>
            </w:r>
          </w:p>
        </w:tc>
        <w:tc>
          <w:tcPr>
            <w:tcW w:w="1843" w:type="dxa"/>
            <w:vMerge w:val="restart"/>
            <w:tcBorders>
              <w:top w:val="single" w:color="000000" w:sz="2" w:space="0"/>
              <w:left w:val="single" w:color="000000" w:sz="2" w:space="0"/>
              <w:right w:val="single" w:color="000000" w:sz="2" w:space="0"/>
            </w:tcBorders>
            <w:noWrap w:val="0"/>
            <w:vAlign w:val="center"/>
          </w:tcPr>
          <w:p w14:paraId="6C97365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0EF6026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：按标准扣分，发出黄牌警告，限期24</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6E0C75C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：按标准2倍扣分，发出橙牌警告，限期12</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189D6B7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16D01A3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B0EED4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9B6374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垃圾</w:t>
            </w:r>
            <w:r>
              <w:rPr>
                <w:rFonts w:hint="eastAsia" w:ascii="宋体" w:hAnsi="宋体" w:cs="宋体"/>
                <w:kern w:val="0"/>
                <w:sz w:val="24"/>
                <w:szCs w:val="24"/>
                <w:highlight w:val="none"/>
                <w:lang w:val="en-US" w:eastAsia="zh-CN" w:bidi="ar"/>
              </w:rPr>
              <w:t>处置</w:t>
            </w:r>
            <w:r>
              <w:rPr>
                <w:rFonts w:ascii="宋体" w:hAnsi="宋体" w:eastAsia="宋体" w:cs="宋体"/>
                <w:kern w:val="0"/>
                <w:sz w:val="24"/>
                <w:szCs w:val="24"/>
                <w:highlight w:val="none"/>
                <w:lang w:val="en-US" w:eastAsia="zh-CN" w:bidi="ar"/>
              </w:rPr>
              <w:t>规范</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C50668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21分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66E218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垃圾填埋</w:t>
            </w:r>
            <w:r>
              <w:rPr>
                <w:rFonts w:hint="eastAsia" w:ascii="宋体" w:hAnsi="宋体" w:cs="宋体"/>
                <w:kern w:val="0"/>
                <w:sz w:val="24"/>
                <w:szCs w:val="24"/>
                <w:highlight w:val="none"/>
                <w:lang w:val="en-US" w:eastAsia="zh-CN" w:bidi="ar"/>
              </w:rPr>
              <w:t>场</w:t>
            </w:r>
            <w:r>
              <w:rPr>
                <w:rFonts w:ascii="宋体" w:hAnsi="宋体" w:eastAsia="宋体" w:cs="宋体"/>
                <w:kern w:val="0"/>
                <w:sz w:val="24"/>
                <w:szCs w:val="24"/>
                <w:highlight w:val="none"/>
                <w:lang w:val="en-US" w:eastAsia="zh-CN" w:bidi="ar"/>
              </w:rPr>
              <w:t>设备正常运行；进场垃圾</w:t>
            </w:r>
            <w:r>
              <w:rPr>
                <w:rFonts w:hint="eastAsia" w:ascii="宋体" w:hAnsi="宋体" w:eastAsia="宋体" w:cs="宋体"/>
                <w:kern w:val="0"/>
                <w:sz w:val="24"/>
                <w:szCs w:val="24"/>
                <w:highlight w:val="none"/>
                <w:lang w:val="en-US" w:eastAsia="zh-CN" w:bidi="ar"/>
              </w:rPr>
              <w:t>按照中华人民共和国行业标准</w:t>
            </w:r>
            <w:r>
              <w:rPr>
                <w:rFonts w:ascii="宋体" w:hAnsi="宋体" w:eastAsia="宋体" w:cs="宋体"/>
                <w:kern w:val="0"/>
                <w:sz w:val="24"/>
                <w:szCs w:val="24"/>
                <w:highlight w:val="none"/>
                <w:lang w:val="en-US" w:eastAsia="zh-CN" w:bidi="ar"/>
              </w:rPr>
              <w:t>和甲方要求进行规范</w:t>
            </w:r>
            <w:r>
              <w:rPr>
                <w:rFonts w:hint="eastAsia" w:ascii="宋体" w:hAnsi="宋体" w:cs="宋体"/>
                <w:kern w:val="0"/>
                <w:sz w:val="24"/>
                <w:szCs w:val="24"/>
                <w:highlight w:val="none"/>
                <w:lang w:val="en-US" w:eastAsia="zh-CN" w:bidi="ar"/>
              </w:rPr>
              <w:t>处置</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2D65180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设备不能正常运行每次扣3分；</w:t>
            </w:r>
          </w:p>
          <w:p w14:paraId="5D8D5C0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未按规范</w:t>
            </w:r>
            <w:r>
              <w:rPr>
                <w:rFonts w:hint="eastAsia" w:ascii="宋体" w:hAnsi="宋体" w:cs="宋体"/>
                <w:kern w:val="0"/>
                <w:sz w:val="24"/>
                <w:szCs w:val="24"/>
                <w:highlight w:val="none"/>
                <w:lang w:val="en-US" w:eastAsia="zh-CN" w:bidi="ar"/>
              </w:rPr>
              <w:t>处置</w:t>
            </w:r>
            <w:r>
              <w:rPr>
                <w:rFonts w:ascii="宋体" w:hAnsi="宋体" w:eastAsia="宋体" w:cs="宋体"/>
                <w:kern w:val="0"/>
                <w:sz w:val="24"/>
                <w:szCs w:val="24"/>
                <w:highlight w:val="none"/>
                <w:lang w:val="en-US" w:eastAsia="zh-CN" w:bidi="ar"/>
              </w:rPr>
              <w:t>每次扣3分</w:t>
            </w:r>
            <w:r>
              <w:rPr>
                <w:rFonts w:hint="eastAsia" w:ascii="宋体" w:hAnsi="宋体" w:eastAsia="宋体" w:cs="宋体"/>
                <w:kern w:val="0"/>
                <w:sz w:val="24"/>
                <w:szCs w:val="24"/>
                <w:highlight w:val="none"/>
                <w:lang w:val="en-US" w:eastAsia="zh-CN" w:bidi="ar"/>
              </w:rPr>
              <w:t>。</w:t>
            </w:r>
          </w:p>
        </w:tc>
        <w:tc>
          <w:tcPr>
            <w:tcW w:w="1843" w:type="dxa"/>
            <w:vMerge w:val="continue"/>
            <w:tcBorders>
              <w:left w:val="single" w:color="000000" w:sz="2" w:space="0"/>
              <w:bottom w:val="single" w:color="000000" w:sz="2" w:space="0"/>
              <w:right w:val="single" w:color="000000" w:sz="2" w:space="0"/>
            </w:tcBorders>
            <w:noWrap w:val="0"/>
            <w:vAlign w:val="center"/>
          </w:tcPr>
          <w:p w14:paraId="4BB7926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281AC37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57A621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D02751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渗滤液处理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2CEE05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21分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F31E7E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渗滤液处理设施、在线监测设施正常运行；渗滤液处理达标排放；按环保要求开展环境监测，监测数据达标</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478BB4A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设施不正常运行每次扣3分；渗滤液未达标排放每次扣3分；</w:t>
            </w:r>
          </w:p>
          <w:p w14:paraId="2966DC7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未按要求开展环境监测每次扣3分；</w:t>
            </w:r>
          </w:p>
          <w:p w14:paraId="1252E41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监测数据不达标每次扣3分</w:t>
            </w:r>
            <w:r>
              <w:rPr>
                <w:rFonts w:hint="eastAsia" w:ascii="宋体" w:hAnsi="宋体" w:eastAsia="宋体" w:cs="宋体"/>
                <w:kern w:val="0"/>
                <w:sz w:val="24"/>
                <w:szCs w:val="24"/>
                <w:highlight w:val="none"/>
                <w:lang w:val="en-US" w:eastAsia="zh-CN" w:bidi="ar"/>
              </w:rPr>
              <w:t>。</w:t>
            </w:r>
          </w:p>
        </w:tc>
        <w:tc>
          <w:tcPr>
            <w:tcW w:w="1843" w:type="dxa"/>
            <w:tcBorders>
              <w:top w:val="single" w:color="000000" w:sz="2" w:space="0"/>
              <w:left w:val="single" w:color="000000" w:sz="2" w:space="0"/>
              <w:bottom w:val="single" w:color="000000" w:sz="2" w:space="0"/>
              <w:right w:val="single" w:color="000000" w:sz="2" w:space="0"/>
            </w:tcBorders>
            <w:noWrap w:val="0"/>
            <w:vAlign w:val="center"/>
          </w:tcPr>
          <w:p w14:paraId="5DB4D8D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渗滤液超标排放不适用预警机制，直接按标准扣分并立即整改</w:t>
            </w:r>
          </w:p>
        </w:tc>
      </w:tr>
      <w:tr w14:paraId="08C77D0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7BF183F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703060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安全巡查</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C30E14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064C36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每日开展填埋场、进场道路、渗滤液处理站、办公区安全巡查检查，及时发现排除安全隐患</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4FE52E1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每日不开展巡查每次扣2分；不能及时发现排除安全隐患每次扣2分</w:t>
            </w:r>
            <w:r>
              <w:rPr>
                <w:rFonts w:hint="eastAsia" w:ascii="宋体" w:hAnsi="宋体" w:eastAsia="宋体" w:cs="宋体"/>
                <w:kern w:val="0"/>
                <w:sz w:val="24"/>
                <w:szCs w:val="24"/>
                <w:highlight w:val="none"/>
                <w:lang w:val="en-US" w:eastAsia="zh-CN" w:bidi="ar"/>
              </w:rPr>
              <w:t>。</w:t>
            </w:r>
          </w:p>
        </w:tc>
        <w:tc>
          <w:tcPr>
            <w:tcW w:w="1843" w:type="dxa"/>
            <w:vMerge w:val="restart"/>
            <w:tcBorders>
              <w:top w:val="single" w:color="000000" w:sz="2" w:space="0"/>
              <w:left w:val="single" w:color="000000" w:sz="2" w:space="0"/>
              <w:right w:val="single" w:color="000000" w:sz="2" w:space="0"/>
            </w:tcBorders>
            <w:noWrap w:val="0"/>
            <w:vAlign w:val="center"/>
          </w:tcPr>
          <w:p w14:paraId="3DDA519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4DBA371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673AAA4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05B36AA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572593E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35448B1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26F507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检查配合</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BA5DC7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CDCFF6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配合甲方做好上级和各部门检查考核工作</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55F16E5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不能配合每次扣5分</w:t>
            </w:r>
            <w:r>
              <w:rPr>
                <w:rFonts w:hint="eastAsia" w:ascii="宋体" w:hAnsi="宋体" w:eastAsia="宋体" w:cs="宋体"/>
                <w:kern w:val="0"/>
                <w:sz w:val="24"/>
                <w:szCs w:val="24"/>
                <w:highlight w:val="none"/>
                <w:lang w:val="en-US" w:eastAsia="zh-CN" w:bidi="ar"/>
              </w:rPr>
              <w:t>。</w:t>
            </w:r>
          </w:p>
        </w:tc>
        <w:tc>
          <w:tcPr>
            <w:tcW w:w="1843" w:type="dxa"/>
            <w:vMerge w:val="continue"/>
            <w:tcBorders>
              <w:left w:val="single" w:color="000000" w:sz="2" w:space="0"/>
              <w:right w:val="single" w:color="000000" w:sz="2" w:space="0"/>
            </w:tcBorders>
            <w:noWrap w:val="0"/>
            <w:vAlign w:val="center"/>
          </w:tcPr>
          <w:p w14:paraId="19ECBC5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6A2C0F9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F68E83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82280C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台账管理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94AD96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2BD37B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建立健全垃圾转运台账、过磅台账、渗滤液处理台账、病媒消杀台账、安全巡查检查台账等；按时限按要求报送台账和资料</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5A8ACF9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未建立台账每次扣2分；</w:t>
            </w:r>
          </w:p>
          <w:p w14:paraId="5EB5A4A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不能按时报送每次扣2分</w:t>
            </w:r>
            <w:r>
              <w:rPr>
                <w:rFonts w:hint="eastAsia" w:ascii="宋体" w:hAnsi="宋体" w:eastAsia="宋体" w:cs="宋体"/>
                <w:kern w:val="0"/>
                <w:sz w:val="24"/>
                <w:szCs w:val="24"/>
                <w:highlight w:val="none"/>
                <w:lang w:val="en-US" w:eastAsia="zh-CN" w:bidi="ar"/>
              </w:rPr>
              <w:t>。</w:t>
            </w:r>
          </w:p>
        </w:tc>
        <w:tc>
          <w:tcPr>
            <w:tcW w:w="1843" w:type="dxa"/>
            <w:vMerge w:val="continue"/>
            <w:tcBorders>
              <w:left w:val="single" w:color="000000" w:sz="2" w:space="0"/>
              <w:right w:val="single" w:color="000000" w:sz="2" w:space="0"/>
            </w:tcBorders>
            <w:noWrap w:val="0"/>
            <w:vAlign w:val="center"/>
          </w:tcPr>
          <w:p w14:paraId="460BC42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05CBB1C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0C9B91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7</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C20E1F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规章制度</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53987D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D37907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建立健全垃圾中转站、处理场和渗滤液处理站相关规章制度</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5AC2C5D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未建立每次扣2分</w:t>
            </w:r>
            <w:r>
              <w:rPr>
                <w:rFonts w:hint="eastAsia" w:ascii="宋体" w:hAnsi="宋体" w:eastAsia="宋体" w:cs="宋体"/>
                <w:kern w:val="0"/>
                <w:sz w:val="24"/>
                <w:szCs w:val="24"/>
                <w:highlight w:val="none"/>
                <w:lang w:val="en-US" w:eastAsia="zh-CN" w:bidi="ar"/>
              </w:rPr>
              <w:t>。</w:t>
            </w:r>
          </w:p>
        </w:tc>
        <w:tc>
          <w:tcPr>
            <w:tcW w:w="1843" w:type="dxa"/>
            <w:vMerge w:val="continue"/>
            <w:tcBorders>
              <w:left w:val="single" w:color="000000" w:sz="2" w:space="0"/>
              <w:right w:val="single" w:color="000000" w:sz="2" w:space="0"/>
            </w:tcBorders>
            <w:noWrap w:val="0"/>
            <w:vAlign w:val="center"/>
          </w:tcPr>
          <w:p w14:paraId="6941B24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2F859C4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3C6A3A4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8</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277201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应急管理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CEFA12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0CCA3D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按相关规范和要求储备应急物资、开展应急演练</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133D0AA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default"/>
                <w:highlight w:val="none"/>
                <w:lang w:val="en-US"/>
              </w:rPr>
            </w:pPr>
            <w:r>
              <w:rPr>
                <w:rFonts w:ascii="宋体" w:hAnsi="宋体" w:eastAsia="宋体" w:cs="宋体"/>
                <w:kern w:val="0"/>
                <w:sz w:val="24"/>
                <w:szCs w:val="24"/>
                <w:highlight w:val="none"/>
                <w:lang w:val="en-US" w:eastAsia="zh-CN" w:bidi="ar"/>
              </w:rPr>
              <w:t>未按要求储备物资或开展演练每次扣2分</w:t>
            </w:r>
            <w:r>
              <w:rPr>
                <w:rFonts w:hint="eastAsia" w:ascii="宋体" w:hAnsi="宋体" w:eastAsia="宋体" w:cs="宋体"/>
                <w:kern w:val="0"/>
                <w:sz w:val="24"/>
                <w:szCs w:val="24"/>
                <w:highlight w:val="none"/>
                <w:lang w:val="en-US" w:eastAsia="zh-CN" w:bidi="ar"/>
              </w:rPr>
              <w:t>。</w:t>
            </w:r>
          </w:p>
        </w:tc>
        <w:tc>
          <w:tcPr>
            <w:tcW w:w="1843" w:type="dxa"/>
            <w:vMerge w:val="continue"/>
            <w:tcBorders>
              <w:left w:val="single" w:color="000000" w:sz="2" w:space="0"/>
              <w:right w:val="single" w:color="000000" w:sz="2" w:space="0"/>
            </w:tcBorders>
            <w:noWrap w:val="0"/>
            <w:vAlign w:val="center"/>
          </w:tcPr>
          <w:p w14:paraId="15F1129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4745F2B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A82D4B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9</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0B190C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设施维护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A9EC8B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CAD1D3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开展进场道路保通维修、供水供电设施维护、已封场老垃圾场维护</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31073A7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未开展每次扣2分</w:t>
            </w:r>
            <w:r>
              <w:rPr>
                <w:rFonts w:hint="eastAsia" w:ascii="宋体" w:hAnsi="宋体" w:eastAsia="宋体" w:cs="宋体"/>
                <w:kern w:val="0"/>
                <w:sz w:val="24"/>
                <w:szCs w:val="24"/>
                <w:highlight w:val="none"/>
                <w:lang w:val="en-US" w:eastAsia="zh-CN" w:bidi="ar"/>
              </w:rPr>
              <w:t>。</w:t>
            </w:r>
          </w:p>
        </w:tc>
        <w:tc>
          <w:tcPr>
            <w:tcW w:w="1843" w:type="dxa"/>
            <w:vMerge w:val="continue"/>
            <w:tcBorders>
              <w:left w:val="single" w:color="000000" w:sz="2" w:space="0"/>
              <w:bottom w:val="single" w:color="000000" w:sz="2" w:space="0"/>
              <w:right w:val="single" w:color="000000" w:sz="2" w:space="0"/>
            </w:tcBorders>
            <w:noWrap w:val="0"/>
            <w:vAlign w:val="center"/>
          </w:tcPr>
          <w:p w14:paraId="7CD7373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4EE612A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3D4A83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311308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雨污分流</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6BCE61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36F60C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雨季开展雨污分流，雨污分流效果良好</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0E7B2DE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雨季未开展每次扣2分；效果差每次扣2分</w:t>
            </w:r>
            <w:r>
              <w:rPr>
                <w:rFonts w:hint="eastAsia" w:ascii="宋体" w:hAnsi="宋体" w:eastAsia="宋体" w:cs="宋体"/>
                <w:kern w:val="0"/>
                <w:sz w:val="24"/>
                <w:szCs w:val="24"/>
                <w:highlight w:val="none"/>
                <w:lang w:val="en-US" w:eastAsia="zh-CN" w:bidi="ar"/>
              </w:rPr>
              <w:t>。</w:t>
            </w:r>
          </w:p>
        </w:tc>
        <w:tc>
          <w:tcPr>
            <w:tcW w:w="1843" w:type="dxa"/>
            <w:tcBorders>
              <w:top w:val="single" w:color="000000" w:sz="2" w:space="0"/>
              <w:left w:val="single" w:color="000000" w:sz="2" w:space="0"/>
              <w:bottom w:val="single" w:color="000000" w:sz="2" w:space="0"/>
              <w:right w:val="single" w:color="000000" w:sz="2" w:space="0"/>
            </w:tcBorders>
            <w:noWrap w:val="0"/>
            <w:vAlign w:val="center"/>
          </w:tcPr>
          <w:p w14:paraId="2DCB928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同</w:t>
            </w:r>
            <w:r>
              <w:rPr>
                <w:rFonts w:hint="eastAsia" w:ascii="宋体" w:hAnsi="宋体" w:eastAsia="宋体" w:cs="宋体"/>
                <w:kern w:val="0"/>
                <w:sz w:val="24"/>
                <w:szCs w:val="24"/>
                <w:highlight w:val="none"/>
                <w:lang w:val="en-US" w:eastAsia="zh-CN" w:bidi="ar"/>
              </w:rPr>
              <w:t>上</w:t>
            </w:r>
            <w:r>
              <w:rPr>
                <w:rFonts w:ascii="宋体" w:hAnsi="宋体" w:eastAsia="宋体" w:cs="宋体"/>
                <w:kern w:val="0"/>
                <w:sz w:val="24"/>
                <w:szCs w:val="24"/>
                <w:highlight w:val="none"/>
                <w:lang w:val="en-US" w:eastAsia="zh-CN" w:bidi="ar"/>
              </w:rPr>
              <w:t>（雨季期间整改时限12小时）</w:t>
            </w:r>
          </w:p>
        </w:tc>
      </w:tr>
      <w:tr w14:paraId="7EC6D05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FD69FA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03C991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督查整改</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90E33E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05436C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按照相关要求开展督查整改</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17A9A28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未按要求整改每次扣3分</w:t>
            </w:r>
            <w:r>
              <w:rPr>
                <w:rFonts w:hint="eastAsia" w:ascii="宋体" w:hAnsi="宋体" w:eastAsia="宋体" w:cs="宋体"/>
                <w:kern w:val="0"/>
                <w:sz w:val="24"/>
                <w:szCs w:val="24"/>
                <w:highlight w:val="none"/>
                <w:lang w:val="en-US" w:eastAsia="zh-CN" w:bidi="ar"/>
              </w:rPr>
              <w:t>。</w:t>
            </w:r>
          </w:p>
        </w:tc>
        <w:tc>
          <w:tcPr>
            <w:tcW w:w="1843" w:type="dxa"/>
            <w:vMerge w:val="restart"/>
            <w:tcBorders>
              <w:top w:val="single" w:color="000000" w:sz="2" w:space="0"/>
              <w:left w:val="single" w:color="000000" w:sz="2" w:space="0"/>
              <w:right w:val="single" w:color="000000" w:sz="2" w:space="0"/>
            </w:tcBorders>
            <w:noWrap w:val="0"/>
            <w:vAlign w:val="center"/>
          </w:tcPr>
          <w:p w14:paraId="2CBCF34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27BA5E9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7E82C4A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216E6B4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1978EE8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3B1B113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8FDC41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服从管理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978F44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4179FAE">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服从甲方业务指导和管理</w:t>
            </w:r>
            <w:r>
              <w:rPr>
                <w:rFonts w:hint="eastAsia" w:ascii="宋体" w:hAnsi="宋体" w:eastAsia="宋体" w:cs="宋体"/>
                <w:kern w:val="0"/>
                <w:sz w:val="24"/>
                <w:szCs w:val="24"/>
                <w:highlight w:val="none"/>
                <w:lang w:val="en-US" w:eastAsia="zh-CN" w:bidi="ar"/>
              </w:rPr>
              <w:t>。</w:t>
            </w:r>
          </w:p>
        </w:tc>
        <w:tc>
          <w:tcPr>
            <w:tcW w:w="3074" w:type="dxa"/>
            <w:tcBorders>
              <w:top w:val="single" w:color="000000" w:sz="2" w:space="0"/>
              <w:left w:val="single" w:color="000000" w:sz="2" w:space="0"/>
              <w:bottom w:val="single" w:color="000000" w:sz="2" w:space="0"/>
              <w:right w:val="single" w:color="000000" w:sz="2" w:space="0"/>
            </w:tcBorders>
            <w:noWrap w:val="0"/>
            <w:vAlign w:val="center"/>
          </w:tcPr>
          <w:p w14:paraId="0F15161F">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未服从每次扣3分</w:t>
            </w:r>
            <w:r>
              <w:rPr>
                <w:rFonts w:hint="eastAsia" w:ascii="宋体" w:hAnsi="宋体" w:eastAsia="宋体" w:cs="宋体"/>
                <w:kern w:val="0"/>
                <w:sz w:val="24"/>
                <w:szCs w:val="24"/>
                <w:highlight w:val="none"/>
                <w:lang w:val="en-US" w:eastAsia="zh-CN" w:bidi="ar"/>
              </w:rPr>
              <w:t>。</w:t>
            </w:r>
          </w:p>
        </w:tc>
        <w:tc>
          <w:tcPr>
            <w:tcW w:w="1843" w:type="dxa"/>
            <w:vMerge w:val="continue"/>
            <w:tcBorders>
              <w:left w:val="single" w:color="000000" w:sz="2" w:space="0"/>
              <w:bottom w:val="single" w:color="000000" w:sz="2" w:space="0"/>
              <w:right w:val="single" w:color="000000" w:sz="2" w:space="0"/>
            </w:tcBorders>
            <w:noWrap w:val="0"/>
            <w:vAlign w:val="center"/>
          </w:tcPr>
          <w:p w14:paraId="774F8F1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bl>
    <w:p w14:paraId="5F201088">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Style w:val="31"/>
          <w:rFonts w:hint="eastAsia" w:ascii="宋体" w:hAnsi="宋体" w:eastAsia="宋体" w:cs="宋体"/>
          <w:kern w:val="0"/>
          <w:sz w:val="24"/>
          <w:szCs w:val="24"/>
          <w:highlight w:val="none"/>
          <w:lang w:val="en-US" w:eastAsia="zh-CN" w:bidi="ar"/>
        </w:rPr>
      </w:pPr>
      <w:r>
        <w:rPr>
          <w:rFonts w:hint="eastAsia" w:ascii="宋体" w:hAnsi="宋体" w:eastAsia="宋体" w:cs="宋体"/>
          <w:b/>
          <w:bCs/>
          <w:color w:val="000000"/>
          <w:sz w:val="24"/>
          <w:szCs w:val="24"/>
          <w:highlight w:val="none"/>
        </w:rPr>
        <w:t>整改验收机制</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每次整改期满后，由甲方进行现场验收：验收合格：整改闭环，记录归档；验收不合格：按未整改处理，继续限期整改，并加倍扣分；同一问题连续三次验收不合格的，甲方有权单方面解除相关承包合同。</w:t>
      </w:r>
    </w:p>
    <w:p w14:paraId="4CC6B20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highlight w:val="none"/>
          <w:lang w:eastAsia="zh-CN"/>
        </w:rPr>
      </w:pPr>
      <w:r>
        <w:rPr>
          <w:rStyle w:val="31"/>
          <w:rFonts w:hint="eastAsia" w:ascii="宋体" w:hAnsi="宋体" w:eastAsia="宋体" w:cs="宋体"/>
          <w:kern w:val="0"/>
          <w:sz w:val="24"/>
          <w:szCs w:val="24"/>
          <w:highlight w:val="none"/>
          <w:lang w:val="en-US" w:eastAsia="zh-CN" w:bidi="ar"/>
        </w:rPr>
        <w:t>安全作业专项扣分项（</w:t>
      </w:r>
      <w:r>
        <w:rPr>
          <w:rStyle w:val="31"/>
          <w:rFonts w:hint="eastAsia" w:ascii="宋体" w:hAnsi="宋体" w:eastAsia="宋体" w:cs="宋体"/>
          <w:b/>
          <w:kern w:val="0"/>
          <w:sz w:val="24"/>
          <w:szCs w:val="24"/>
          <w:highlight w:val="none"/>
          <w:lang w:val="en-US" w:eastAsia="zh-CN" w:bidi="ar"/>
        </w:rPr>
        <w:t>适用于</w:t>
      </w:r>
      <w:r>
        <w:rPr>
          <w:rStyle w:val="31"/>
          <w:rFonts w:hint="eastAsia" w:ascii="宋体" w:hAnsi="宋体" w:eastAsia="宋体" w:cs="宋体"/>
          <w:kern w:val="0"/>
          <w:sz w:val="24"/>
          <w:szCs w:val="24"/>
          <w:highlight w:val="none"/>
          <w:lang w:val="en-US" w:eastAsia="zh-CN" w:bidi="ar"/>
        </w:rPr>
        <w:t>垃圾转运与填埋场</w:t>
      </w:r>
      <w:r>
        <w:rPr>
          <w:rStyle w:val="31"/>
          <w:rFonts w:hint="eastAsia" w:ascii="宋体" w:hAnsi="宋体" w:cs="宋体"/>
          <w:kern w:val="0"/>
          <w:sz w:val="24"/>
          <w:szCs w:val="24"/>
          <w:highlight w:val="none"/>
          <w:lang w:val="en-US" w:eastAsia="zh-CN" w:bidi="ar"/>
        </w:rPr>
        <w:t>管护</w:t>
      </w:r>
      <w:r>
        <w:rPr>
          <w:rStyle w:val="31"/>
          <w:rFonts w:hint="eastAsia" w:ascii="宋体" w:hAnsi="宋体" w:eastAsia="宋体" w:cs="宋体"/>
          <w:kern w:val="0"/>
          <w:sz w:val="24"/>
          <w:szCs w:val="24"/>
          <w:highlight w:val="none"/>
          <w:lang w:val="en-US" w:eastAsia="zh-CN" w:bidi="ar"/>
        </w:rPr>
        <w:t>）</w:t>
      </w:r>
    </w:p>
    <w:tbl>
      <w:tblPr>
        <w:tblStyle w:val="28"/>
        <w:tblW w:w="9390"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794"/>
        <w:gridCol w:w="5356"/>
        <w:gridCol w:w="3240"/>
      </w:tblGrid>
      <w:tr w14:paraId="34FCF22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35F1ED6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1ECC2F9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安全考核内容</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3DACA1E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r>
      <w:tr w14:paraId="23C4514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49C49AE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5530F11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填埋场</w:t>
            </w:r>
            <w:r>
              <w:rPr>
                <w:rFonts w:hint="eastAsia" w:ascii="宋体" w:hAnsi="宋体" w:cs="宋体"/>
                <w:kern w:val="0"/>
                <w:sz w:val="24"/>
                <w:szCs w:val="24"/>
                <w:highlight w:val="none"/>
                <w:lang w:val="en-US" w:eastAsia="zh-CN" w:bidi="ar"/>
              </w:rPr>
              <w:t>管护</w:t>
            </w:r>
            <w:r>
              <w:rPr>
                <w:rFonts w:ascii="宋体" w:hAnsi="宋体" w:eastAsia="宋体" w:cs="宋体"/>
                <w:kern w:val="0"/>
                <w:sz w:val="24"/>
                <w:szCs w:val="24"/>
                <w:highlight w:val="none"/>
                <w:lang w:val="en-US" w:eastAsia="zh-CN" w:bidi="ar"/>
              </w:rPr>
              <w:t>人员未穿戴安全防护装备（安全帽、反光背心、防毒面具）</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1DB09EE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每人次扣3分</w:t>
            </w:r>
          </w:p>
        </w:tc>
      </w:tr>
      <w:tr w14:paraId="67A9790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52BC66B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43188AD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车辆驾驶员无证上岗</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151C066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每次扣10分</w:t>
            </w:r>
          </w:p>
        </w:tc>
      </w:tr>
      <w:tr w14:paraId="0092539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31D4A9E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01A6660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车辆行驶违反交通规则</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43E346D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每次扣5分</w:t>
            </w:r>
          </w:p>
        </w:tc>
      </w:tr>
      <w:tr w14:paraId="31AC5C1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2743403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44DF9CB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渗滤液处理站作业人员未佩戴防护用品</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779094B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每人次扣3分</w:t>
            </w:r>
          </w:p>
        </w:tc>
      </w:tr>
      <w:tr w14:paraId="5F765D2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434B5E3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061B761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填埋场未设置安全警示标志</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2A7ACB5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每次扣3分</w:t>
            </w:r>
          </w:p>
        </w:tc>
      </w:tr>
      <w:tr w14:paraId="4FE0055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5C7BFAB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11EA1EE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发生轻微安全事故（无人员受伤）</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52A1335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扣10分</w:t>
            </w:r>
          </w:p>
        </w:tc>
      </w:tr>
      <w:tr w14:paraId="7F14CF8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1B1A2796">
            <w:pPr>
              <w:keepLines w:val="0"/>
              <w:pageBreakBefore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7</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2AB65A2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发生一般安全事故（轻伤）</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69F53C3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扣20分</w:t>
            </w:r>
          </w:p>
        </w:tc>
      </w:tr>
      <w:tr w14:paraId="6CEDB4C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4106E346">
            <w:pPr>
              <w:keepLines w:val="0"/>
              <w:pageBreakBefore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8</w:t>
            </w:r>
          </w:p>
        </w:tc>
        <w:tc>
          <w:tcPr>
            <w:tcW w:w="5356" w:type="dxa"/>
            <w:tcBorders>
              <w:top w:val="single" w:color="000000" w:sz="2" w:space="0"/>
              <w:left w:val="single" w:color="000000" w:sz="2" w:space="0"/>
              <w:bottom w:val="single" w:color="000000" w:sz="2" w:space="0"/>
              <w:right w:val="single" w:color="000000" w:sz="2" w:space="0"/>
            </w:tcBorders>
            <w:noWrap w:val="0"/>
            <w:vAlign w:val="center"/>
          </w:tcPr>
          <w:p w14:paraId="185E42A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发生重大安全事故（重伤及以上）</w:t>
            </w:r>
          </w:p>
        </w:tc>
        <w:tc>
          <w:tcPr>
            <w:tcW w:w="3240" w:type="dxa"/>
            <w:tcBorders>
              <w:top w:val="single" w:color="000000" w:sz="2" w:space="0"/>
              <w:left w:val="single" w:color="000000" w:sz="2" w:space="0"/>
              <w:bottom w:val="single" w:color="000000" w:sz="2" w:space="0"/>
              <w:right w:val="single" w:color="000000" w:sz="2" w:space="0"/>
            </w:tcBorders>
            <w:noWrap w:val="0"/>
            <w:vAlign w:val="center"/>
          </w:tcPr>
          <w:p w14:paraId="1A1DE3C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当月考核不合格，并追究承包方责任</w:t>
            </w:r>
          </w:p>
        </w:tc>
      </w:tr>
    </w:tbl>
    <w:p w14:paraId="1F8C203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highlight w:val="none"/>
          <w:lang w:val="en-US" w:eastAsia="zh-CN"/>
        </w:rPr>
      </w:pPr>
      <w:r>
        <w:rPr>
          <w:rFonts w:hint="eastAsia" w:ascii="宋体" w:hAnsi="宋体" w:eastAsia="宋体" w:cs="宋体"/>
          <w:b/>
          <w:bCs/>
          <w:kern w:val="0"/>
          <w:sz w:val="28"/>
          <w:szCs w:val="28"/>
          <w:highlight w:val="none"/>
          <w:lang w:val="en-US" w:eastAsia="zh-CN" w:bidi="ar"/>
        </w:rPr>
        <w:t>（六）餐厨垃圾收运考核</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310"/>
        <w:gridCol w:w="426"/>
        <w:gridCol w:w="319"/>
        <w:gridCol w:w="3073"/>
        <w:gridCol w:w="3352"/>
        <w:gridCol w:w="1962"/>
      </w:tblGrid>
      <w:tr w14:paraId="3A35EED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93" w:hRule="atLeast"/>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74FEDA2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序号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F255EB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考核项目</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61BF73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分值</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DCE19C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考核标准</w:t>
            </w:r>
          </w:p>
        </w:tc>
        <w:tc>
          <w:tcPr>
            <w:tcW w:w="3351" w:type="dxa"/>
            <w:tcBorders>
              <w:top w:val="single" w:color="000000" w:sz="2" w:space="0"/>
              <w:left w:val="single" w:color="000000" w:sz="2" w:space="0"/>
              <w:bottom w:val="single" w:color="000000" w:sz="2" w:space="0"/>
              <w:right w:val="single" w:color="000000" w:sz="2" w:space="0"/>
            </w:tcBorders>
            <w:noWrap w:val="0"/>
            <w:vAlign w:val="center"/>
          </w:tcPr>
          <w:p w14:paraId="4253A36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c>
          <w:tcPr>
            <w:tcW w:w="1962" w:type="dxa"/>
            <w:tcBorders>
              <w:top w:val="single" w:color="000000" w:sz="2" w:space="0"/>
              <w:left w:val="single" w:color="000000" w:sz="2" w:space="0"/>
              <w:bottom w:val="single" w:color="000000" w:sz="2" w:space="0"/>
              <w:right w:val="single" w:color="000000" w:sz="2" w:space="0"/>
            </w:tcBorders>
            <w:noWrap w:val="0"/>
            <w:vAlign w:val="center"/>
          </w:tcPr>
          <w:p w14:paraId="3BF2A34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预警与整改机制</w:t>
            </w:r>
          </w:p>
        </w:tc>
      </w:tr>
      <w:tr w14:paraId="46EB84A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ACC26C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C32DDF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收运及时性</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CDAB38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B7FA5A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每日按时完成餐厨垃圾收运，日收集量不少于5吨；餐饮单位收运容器不出现满溢</w:t>
            </w:r>
            <w:r>
              <w:rPr>
                <w:rFonts w:hint="eastAsia" w:ascii="宋体" w:hAnsi="宋体" w:eastAsia="宋体" w:cs="宋体"/>
                <w:kern w:val="0"/>
                <w:sz w:val="24"/>
                <w:szCs w:val="24"/>
                <w:highlight w:val="none"/>
                <w:lang w:val="en-US" w:eastAsia="zh-CN" w:bidi="ar"/>
              </w:rPr>
              <w:t>。</w:t>
            </w:r>
          </w:p>
        </w:tc>
        <w:tc>
          <w:tcPr>
            <w:tcW w:w="3351" w:type="dxa"/>
            <w:tcBorders>
              <w:top w:val="single" w:color="000000" w:sz="2" w:space="0"/>
              <w:left w:val="single" w:color="000000" w:sz="2" w:space="0"/>
              <w:bottom w:val="single" w:color="000000" w:sz="2" w:space="0"/>
              <w:right w:val="single" w:color="000000" w:sz="2" w:space="0"/>
            </w:tcBorders>
            <w:noWrap w:val="0"/>
            <w:vAlign w:val="center"/>
          </w:tcPr>
          <w:p w14:paraId="2DD0EC0A">
            <w:pPr>
              <w:keepNext w:val="0"/>
              <w:keepLines w:val="0"/>
              <w:pageBreakBefore w:val="0"/>
              <w:widowControl/>
              <w:numPr>
                <w:ilvl w:val="0"/>
                <w:numId w:val="20"/>
              </w:numPr>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每发现一处满溢未及时收运扣5分；</w:t>
            </w:r>
          </w:p>
          <w:p w14:paraId="25A2F91D">
            <w:pPr>
              <w:keepNext w:val="0"/>
              <w:keepLines w:val="0"/>
              <w:pageBreakBefore w:val="0"/>
              <w:widowControl/>
              <w:numPr>
                <w:ilvl w:val="0"/>
                <w:numId w:val="20"/>
              </w:numPr>
              <w:suppressLineNumbers w:val="0"/>
              <w:kinsoku/>
              <w:wordWrap/>
              <w:overflowPunct/>
              <w:topLinePunct w:val="0"/>
              <w:autoSpaceDE/>
              <w:autoSpaceDN/>
              <w:bidi w:val="0"/>
              <w:spacing w:beforeAutospacing="0" w:afterAutospacing="0" w:line="480" w:lineRule="exact"/>
              <w:ind w:left="0" w:leftChars="0" w:firstLine="0" w:firstLineChars="0"/>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日收集量连续3日低于5吨扣10分；</w:t>
            </w:r>
          </w:p>
          <w:p w14:paraId="609476BB">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left"/>
              <w:textAlignment w:val="auto"/>
              <w:rPr>
                <w:highlight w:val="none"/>
              </w:rPr>
            </w:pPr>
            <w:r>
              <w:rPr>
                <w:rFonts w:ascii="宋体" w:hAnsi="宋体" w:eastAsia="宋体" w:cs="宋体"/>
                <w:kern w:val="0"/>
                <w:sz w:val="24"/>
                <w:szCs w:val="24"/>
                <w:highlight w:val="none"/>
                <w:lang w:val="en-US" w:eastAsia="zh-CN" w:bidi="ar"/>
              </w:rPr>
              <w:t>（3）餐饮单位投诉收运不及时经核实属实每次扣5分</w:t>
            </w:r>
            <w:r>
              <w:rPr>
                <w:rFonts w:hint="eastAsia" w:ascii="宋体" w:hAnsi="宋体" w:eastAsia="宋体" w:cs="宋体"/>
                <w:kern w:val="0"/>
                <w:sz w:val="24"/>
                <w:szCs w:val="24"/>
                <w:highlight w:val="none"/>
                <w:lang w:val="en-US" w:eastAsia="zh-CN" w:bidi="ar"/>
              </w:rPr>
              <w:t>。</w:t>
            </w:r>
          </w:p>
        </w:tc>
        <w:tc>
          <w:tcPr>
            <w:tcW w:w="1962" w:type="dxa"/>
            <w:tcBorders>
              <w:top w:val="single" w:color="000000" w:sz="2" w:space="0"/>
              <w:left w:val="single" w:color="000000" w:sz="2" w:space="0"/>
              <w:bottom w:val="single" w:color="000000" w:sz="2" w:space="0"/>
              <w:right w:val="single" w:color="000000" w:sz="2" w:space="0"/>
            </w:tcBorders>
            <w:noWrap w:val="0"/>
            <w:vAlign w:val="center"/>
          </w:tcPr>
          <w:p w14:paraId="7FF2924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p>
          <w:p w14:paraId="2BE3FD2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：按标准扣分，发出黄牌警告，限期12</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73B8877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：按标准2倍扣分，发出橙牌警告，限期6</w:t>
            </w:r>
            <w:r>
              <w:rPr>
                <w:rFonts w:ascii="宋体" w:hAnsi="宋体" w:eastAsia="宋体" w:cs="宋体"/>
                <w:kern w:val="0"/>
                <w:sz w:val="24"/>
                <w:szCs w:val="24"/>
                <w:highlight w:val="none"/>
                <w:lang w:val="en-US" w:eastAsia="zh-CN" w:bidi="ar"/>
              </w:rPr>
              <w:t>小时</w:t>
            </w:r>
            <w:r>
              <w:rPr>
                <w:rFonts w:hint="eastAsia" w:ascii="宋体" w:hAnsi="宋体" w:eastAsia="宋体" w:cs="宋体"/>
                <w:kern w:val="0"/>
                <w:sz w:val="24"/>
                <w:szCs w:val="24"/>
                <w:highlight w:val="none"/>
                <w:lang w:val="en-US" w:eastAsia="zh-CN" w:bidi="ar"/>
              </w:rPr>
              <w:t>内整改；</w:t>
            </w:r>
          </w:p>
          <w:p w14:paraId="46B5703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32A3B52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15A683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B64EF6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收运规范性</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E4CDAC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EFF5BE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收运车辆密闭运输，无抛洒滴漏；</w:t>
            </w:r>
          </w:p>
          <w:p w14:paraId="7FDB449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收运时间避开交通高峰期（早7:00-9:00，晚17:00-19:00）；收运过程中减少噪音扰民</w:t>
            </w:r>
            <w:r>
              <w:rPr>
                <w:rFonts w:hint="eastAsia" w:ascii="宋体" w:hAnsi="宋体" w:eastAsia="宋体" w:cs="宋体"/>
                <w:kern w:val="0"/>
                <w:sz w:val="24"/>
                <w:szCs w:val="24"/>
                <w:highlight w:val="none"/>
                <w:lang w:val="en-US" w:eastAsia="zh-CN" w:bidi="ar"/>
              </w:rPr>
              <w:t>。</w:t>
            </w:r>
          </w:p>
        </w:tc>
        <w:tc>
          <w:tcPr>
            <w:tcW w:w="3351" w:type="dxa"/>
            <w:tcBorders>
              <w:top w:val="single" w:color="000000" w:sz="2" w:space="0"/>
              <w:left w:val="single" w:color="000000" w:sz="2" w:space="0"/>
              <w:bottom w:val="single" w:color="000000" w:sz="2" w:space="0"/>
              <w:right w:val="single" w:color="000000" w:sz="2" w:space="0"/>
            </w:tcBorders>
            <w:noWrap w:val="0"/>
            <w:vAlign w:val="center"/>
          </w:tcPr>
          <w:p w14:paraId="629E7E8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（1）车辆未密闭运输每次扣5分；（2）发生抛洒滴漏每次扣3分，且须立即清理，未清理加倍扣分；（3）在交通高峰期收运每次扣2分</w:t>
            </w:r>
          </w:p>
        </w:tc>
        <w:tc>
          <w:tcPr>
            <w:tcW w:w="1962" w:type="dxa"/>
            <w:tcBorders>
              <w:top w:val="single" w:color="000000" w:sz="2" w:space="0"/>
              <w:left w:val="single" w:color="000000" w:sz="2" w:space="0"/>
              <w:bottom w:val="single" w:color="000000" w:sz="2" w:space="0"/>
              <w:right w:val="single" w:color="000000" w:sz="2" w:space="0"/>
            </w:tcBorders>
            <w:noWrap w:val="0"/>
            <w:vAlign w:val="center"/>
          </w:tcPr>
          <w:p w14:paraId="7CD32A3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抛洒滴漏首次口头提醒，二次起按标准扣分</w:t>
            </w:r>
          </w:p>
        </w:tc>
      </w:tr>
      <w:tr w14:paraId="71227D2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35B1B9B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96832E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收运台账</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CE5C71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811953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建立餐厨垃圾收运台账，详细记录每日收运时间、地点、数量、去向、车辆信息</w:t>
            </w:r>
            <w:r>
              <w:rPr>
                <w:rFonts w:hint="eastAsia" w:ascii="宋体" w:hAnsi="宋体" w:eastAsia="宋体" w:cs="宋体"/>
                <w:kern w:val="0"/>
                <w:sz w:val="24"/>
                <w:szCs w:val="24"/>
                <w:highlight w:val="none"/>
                <w:lang w:val="en-US" w:eastAsia="zh-CN" w:bidi="ar"/>
              </w:rPr>
              <w:t>。</w:t>
            </w:r>
          </w:p>
        </w:tc>
        <w:tc>
          <w:tcPr>
            <w:tcW w:w="3351" w:type="dxa"/>
            <w:tcBorders>
              <w:top w:val="single" w:color="000000" w:sz="2" w:space="0"/>
              <w:left w:val="single" w:color="000000" w:sz="2" w:space="0"/>
              <w:bottom w:val="single" w:color="000000" w:sz="2" w:space="0"/>
              <w:right w:val="single" w:color="000000" w:sz="2" w:space="0"/>
            </w:tcBorders>
            <w:noWrap w:val="0"/>
            <w:vAlign w:val="center"/>
          </w:tcPr>
          <w:p w14:paraId="4802C685">
            <w:pPr>
              <w:keepNext w:val="0"/>
              <w:keepLines w:val="0"/>
              <w:pageBreakBefore w:val="0"/>
              <w:widowControl/>
              <w:numPr>
                <w:ilvl w:val="0"/>
                <w:numId w:val="21"/>
              </w:numPr>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无台账扣10分；</w:t>
            </w:r>
          </w:p>
          <w:p w14:paraId="78736C09">
            <w:pPr>
              <w:keepNext w:val="0"/>
              <w:keepLines w:val="0"/>
              <w:pageBreakBefore w:val="0"/>
              <w:widowControl/>
              <w:numPr>
                <w:ilvl w:val="0"/>
                <w:numId w:val="21"/>
              </w:numPr>
              <w:suppressLineNumbers w:val="0"/>
              <w:kinsoku/>
              <w:wordWrap/>
              <w:overflowPunct/>
              <w:topLinePunct w:val="0"/>
              <w:autoSpaceDE/>
              <w:autoSpaceDN/>
              <w:bidi w:val="0"/>
              <w:spacing w:beforeAutospacing="0" w:afterAutospacing="0" w:line="480" w:lineRule="exact"/>
              <w:ind w:left="0" w:leftChars="0" w:firstLine="0" w:firstLineChars="0"/>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台账记录不完整（缺少日期、地点、数量等任一要素）每次扣3分；</w:t>
            </w:r>
          </w:p>
          <w:p w14:paraId="7DD9E84A">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left"/>
              <w:textAlignment w:val="auto"/>
              <w:rPr>
                <w:highlight w:val="none"/>
              </w:rPr>
            </w:pPr>
            <w:r>
              <w:rPr>
                <w:rFonts w:ascii="宋体" w:hAnsi="宋体" w:eastAsia="宋体" w:cs="宋体"/>
                <w:kern w:val="0"/>
                <w:sz w:val="24"/>
                <w:szCs w:val="24"/>
                <w:highlight w:val="none"/>
                <w:lang w:val="en-US" w:eastAsia="zh-CN" w:bidi="ar"/>
              </w:rPr>
              <w:t>（3）台账造假经查实每次扣10分</w:t>
            </w:r>
            <w:r>
              <w:rPr>
                <w:rFonts w:hint="eastAsia" w:ascii="宋体" w:hAnsi="宋体" w:eastAsia="宋体" w:cs="宋体"/>
                <w:kern w:val="0"/>
                <w:sz w:val="24"/>
                <w:szCs w:val="24"/>
                <w:highlight w:val="none"/>
                <w:lang w:val="en-US" w:eastAsia="zh-CN" w:bidi="ar"/>
              </w:rPr>
              <w:t>。</w:t>
            </w:r>
          </w:p>
        </w:tc>
        <w:tc>
          <w:tcPr>
            <w:tcW w:w="1962" w:type="dxa"/>
            <w:vMerge w:val="restart"/>
            <w:tcBorders>
              <w:top w:val="single" w:color="000000" w:sz="2" w:space="0"/>
              <w:left w:val="single" w:color="000000" w:sz="2" w:space="0"/>
              <w:right w:val="single" w:color="000000" w:sz="2" w:space="0"/>
            </w:tcBorders>
            <w:noWrap w:val="0"/>
            <w:vAlign w:val="center"/>
          </w:tcPr>
          <w:p w14:paraId="4CE452B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18EBA15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36F8122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69FF26A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256A272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AF33DB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设施维护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DDA34F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C40CDC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收运容器、车辆保持清洁，定期清洗消毒（每周至少1次）；容器无破损、无严重锈蚀</w:t>
            </w:r>
            <w:r>
              <w:rPr>
                <w:rFonts w:hint="eastAsia" w:ascii="宋体" w:hAnsi="宋体" w:eastAsia="宋体" w:cs="宋体"/>
                <w:kern w:val="0"/>
                <w:sz w:val="24"/>
                <w:szCs w:val="24"/>
                <w:highlight w:val="none"/>
                <w:lang w:val="en-US" w:eastAsia="zh-CN" w:bidi="ar"/>
              </w:rPr>
              <w:t>。</w:t>
            </w:r>
          </w:p>
        </w:tc>
        <w:tc>
          <w:tcPr>
            <w:tcW w:w="3351" w:type="dxa"/>
            <w:tcBorders>
              <w:top w:val="single" w:color="000000" w:sz="2" w:space="0"/>
              <w:left w:val="single" w:color="000000" w:sz="2" w:space="0"/>
              <w:bottom w:val="single" w:color="000000" w:sz="2" w:space="0"/>
              <w:right w:val="single" w:color="000000" w:sz="2" w:space="0"/>
            </w:tcBorders>
            <w:noWrap w:val="0"/>
            <w:vAlign w:val="center"/>
          </w:tcPr>
          <w:p w14:paraId="0EB31608">
            <w:pPr>
              <w:keepNext w:val="0"/>
              <w:keepLines w:val="0"/>
              <w:pageBreakBefore w:val="0"/>
              <w:widowControl/>
              <w:numPr>
                <w:ilvl w:val="0"/>
                <w:numId w:val="22"/>
              </w:numPr>
              <w:suppressLineNumbers w:val="0"/>
              <w:kinsoku/>
              <w:wordWrap/>
              <w:overflowPunct/>
              <w:topLinePunct w:val="0"/>
              <w:autoSpaceDE/>
              <w:autoSpaceDN/>
              <w:bidi w:val="0"/>
              <w:spacing w:beforeAutospacing="0" w:afterAutospacing="0" w:line="480" w:lineRule="exact"/>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容器或车辆脏污未清洗每次扣3分；</w:t>
            </w:r>
          </w:p>
          <w:p w14:paraId="35857FA8">
            <w:pPr>
              <w:keepNext w:val="0"/>
              <w:keepLines w:val="0"/>
              <w:pageBreakBefore w:val="0"/>
              <w:widowControl/>
              <w:numPr>
                <w:ilvl w:val="0"/>
                <w:numId w:val="22"/>
              </w:numPr>
              <w:suppressLineNumbers w:val="0"/>
              <w:kinsoku/>
              <w:wordWrap/>
              <w:overflowPunct/>
              <w:topLinePunct w:val="0"/>
              <w:autoSpaceDE/>
              <w:autoSpaceDN/>
              <w:bidi w:val="0"/>
              <w:spacing w:beforeAutospacing="0" w:afterAutospacing="0" w:line="480" w:lineRule="exact"/>
              <w:ind w:left="0" w:leftChars="0" w:firstLine="0" w:firstLineChars="0"/>
              <w:jc w:val="left"/>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容器破损未及时更换每个扣2分；</w:t>
            </w:r>
          </w:p>
          <w:p w14:paraId="0119B095">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left"/>
              <w:textAlignment w:val="auto"/>
              <w:rPr>
                <w:highlight w:val="none"/>
              </w:rPr>
            </w:pPr>
            <w:r>
              <w:rPr>
                <w:rFonts w:ascii="宋体" w:hAnsi="宋体" w:eastAsia="宋体" w:cs="宋体"/>
                <w:kern w:val="0"/>
                <w:sz w:val="24"/>
                <w:szCs w:val="24"/>
                <w:highlight w:val="none"/>
                <w:lang w:val="en-US" w:eastAsia="zh-CN" w:bidi="ar"/>
              </w:rPr>
              <w:t>（3）车辆未按规定每周清洗消毒扣5分</w:t>
            </w:r>
            <w:r>
              <w:rPr>
                <w:rFonts w:hint="eastAsia" w:ascii="宋体" w:hAnsi="宋体" w:eastAsia="宋体" w:cs="宋体"/>
                <w:kern w:val="0"/>
                <w:sz w:val="24"/>
                <w:szCs w:val="24"/>
                <w:highlight w:val="none"/>
                <w:lang w:val="en-US" w:eastAsia="zh-CN" w:bidi="ar"/>
              </w:rPr>
              <w:t>。</w:t>
            </w:r>
          </w:p>
        </w:tc>
        <w:tc>
          <w:tcPr>
            <w:tcW w:w="1962" w:type="dxa"/>
            <w:vMerge w:val="continue"/>
            <w:tcBorders>
              <w:left w:val="single" w:color="000000" w:sz="2" w:space="0"/>
              <w:right w:val="single" w:color="000000" w:sz="2" w:space="0"/>
            </w:tcBorders>
            <w:noWrap w:val="0"/>
            <w:vAlign w:val="center"/>
          </w:tcPr>
          <w:p w14:paraId="32D9AF9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r w14:paraId="38C63F9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76882E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A9EE5B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投诉处理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D60DFB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6FF75B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杜绝因收运不及时、方法不当、噪音扰民等导致的投诉</w:t>
            </w:r>
            <w:r>
              <w:rPr>
                <w:rFonts w:hint="eastAsia" w:ascii="宋体" w:hAnsi="宋体" w:eastAsia="宋体" w:cs="宋体"/>
                <w:kern w:val="0"/>
                <w:sz w:val="24"/>
                <w:szCs w:val="24"/>
                <w:highlight w:val="none"/>
                <w:lang w:val="en-US" w:eastAsia="zh-CN" w:bidi="ar"/>
              </w:rPr>
              <w:t>。</w:t>
            </w:r>
          </w:p>
        </w:tc>
        <w:tc>
          <w:tcPr>
            <w:tcW w:w="3351" w:type="dxa"/>
            <w:tcBorders>
              <w:top w:val="single" w:color="000000" w:sz="2" w:space="0"/>
              <w:left w:val="single" w:color="000000" w:sz="2" w:space="0"/>
              <w:bottom w:val="single" w:color="000000" w:sz="2" w:space="0"/>
              <w:right w:val="single" w:color="000000" w:sz="2" w:space="0"/>
            </w:tcBorders>
            <w:noWrap w:val="0"/>
            <w:vAlign w:val="center"/>
          </w:tcPr>
          <w:p w14:paraId="5CA6204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每接到1个投诉（经核实属实）扣5分；同一问题被投诉2次以上每次扣10分</w:t>
            </w:r>
            <w:r>
              <w:rPr>
                <w:rFonts w:hint="eastAsia" w:ascii="宋体" w:hAnsi="宋体" w:eastAsia="宋体" w:cs="宋体"/>
                <w:kern w:val="0"/>
                <w:sz w:val="24"/>
                <w:szCs w:val="24"/>
                <w:highlight w:val="none"/>
                <w:lang w:val="en-US" w:eastAsia="zh-CN" w:bidi="ar"/>
              </w:rPr>
              <w:t>。</w:t>
            </w:r>
          </w:p>
        </w:tc>
        <w:tc>
          <w:tcPr>
            <w:tcW w:w="1962" w:type="dxa"/>
            <w:vMerge w:val="continue"/>
            <w:tcBorders>
              <w:left w:val="single" w:color="000000" w:sz="2" w:space="0"/>
              <w:bottom w:val="single" w:color="000000" w:sz="2" w:space="0"/>
              <w:right w:val="single" w:color="000000" w:sz="2" w:space="0"/>
            </w:tcBorders>
            <w:noWrap w:val="0"/>
            <w:vAlign w:val="center"/>
          </w:tcPr>
          <w:p w14:paraId="72000D2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p>
        </w:tc>
      </w:tr>
    </w:tbl>
    <w:p w14:paraId="59F5923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整改验收机制</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每次整改期满后，由甲方进行现场验收：验收合格：整改闭环，记录归档；验收不合格：按未整改处理，继续限期整改，并加倍扣分；同一问题连续三次验收不合格的，甲方有权单方面解除相关承包合同。</w:t>
      </w:r>
    </w:p>
    <w:p w14:paraId="72B06AB0">
      <w:pPr>
        <w:pStyle w:val="2"/>
        <w:keepLines w:val="0"/>
        <w:pageBreakBefore w:val="0"/>
        <w:kinsoku/>
        <w:wordWrap/>
        <w:overflowPunct/>
        <w:topLinePunct w:val="0"/>
        <w:autoSpaceDE/>
        <w:autoSpaceDN/>
        <w:bidi w:val="0"/>
        <w:spacing w:beforeAutospacing="0" w:afterAutospacing="0" w:line="480" w:lineRule="exact"/>
        <w:jc w:val="both"/>
        <w:textAlignment w:val="auto"/>
        <w:rPr>
          <w:rFonts w:hint="eastAsia"/>
          <w:highlight w:val="none"/>
          <w:lang w:eastAsia="zh-CN"/>
        </w:rPr>
      </w:pPr>
      <w:r>
        <w:rPr>
          <w:rStyle w:val="31"/>
          <w:rFonts w:hint="eastAsia" w:ascii="宋体" w:hAnsi="宋体" w:eastAsia="宋体" w:cs="宋体"/>
          <w:b/>
          <w:kern w:val="0"/>
          <w:sz w:val="24"/>
          <w:szCs w:val="24"/>
          <w:highlight w:val="none"/>
          <w:lang w:val="en-US" w:eastAsia="zh-CN" w:bidi="ar"/>
        </w:rPr>
        <w:t>安全作业专项扣分项（适用于餐厨垃圾收运）</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794"/>
        <w:gridCol w:w="4536"/>
        <w:gridCol w:w="3950"/>
      </w:tblGrid>
      <w:tr w14:paraId="411580E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21" w:hRule="atLeast"/>
          <w:tblHeader/>
        </w:trPr>
        <w:tc>
          <w:tcPr>
            <w:tcW w:w="794" w:type="dxa"/>
            <w:tcBorders>
              <w:top w:val="single" w:color="000000" w:sz="2" w:space="0"/>
              <w:left w:val="single" w:color="000000" w:sz="2" w:space="0"/>
              <w:bottom w:val="single" w:color="000000" w:sz="2" w:space="0"/>
              <w:right w:val="single" w:color="000000" w:sz="2" w:space="0"/>
            </w:tcBorders>
            <w:noWrap w:val="0"/>
            <w:vAlign w:val="center"/>
          </w:tcPr>
          <w:p w14:paraId="3444DFD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4536" w:type="dxa"/>
            <w:tcBorders>
              <w:top w:val="single" w:color="000000" w:sz="2" w:space="0"/>
              <w:left w:val="single" w:color="000000" w:sz="2" w:space="0"/>
              <w:bottom w:val="single" w:color="000000" w:sz="2" w:space="0"/>
              <w:right w:val="single" w:color="000000" w:sz="2" w:space="0"/>
            </w:tcBorders>
            <w:noWrap w:val="0"/>
            <w:vAlign w:val="center"/>
          </w:tcPr>
          <w:p w14:paraId="1C4C043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安全考核内容</w:t>
            </w:r>
          </w:p>
        </w:tc>
        <w:tc>
          <w:tcPr>
            <w:tcW w:w="3950" w:type="dxa"/>
            <w:tcBorders>
              <w:top w:val="single" w:color="000000" w:sz="2" w:space="0"/>
              <w:left w:val="single" w:color="000000" w:sz="2" w:space="0"/>
              <w:bottom w:val="single" w:color="000000" w:sz="2" w:space="0"/>
              <w:right w:val="single" w:color="000000" w:sz="2" w:space="0"/>
            </w:tcBorders>
            <w:noWrap w:val="0"/>
            <w:vAlign w:val="center"/>
          </w:tcPr>
          <w:p w14:paraId="4A6DFD2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r>
      <w:tr w14:paraId="248648B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1C9A40B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4536" w:type="dxa"/>
            <w:tcBorders>
              <w:top w:val="single" w:color="000000" w:sz="2" w:space="0"/>
              <w:left w:val="single" w:color="000000" w:sz="2" w:space="0"/>
              <w:bottom w:val="single" w:color="000000" w:sz="2" w:space="0"/>
              <w:right w:val="single" w:color="000000" w:sz="2" w:space="0"/>
            </w:tcBorders>
            <w:noWrap w:val="0"/>
            <w:vAlign w:val="center"/>
          </w:tcPr>
          <w:p w14:paraId="2FAEA7B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驾驶员无证上岗</w:t>
            </w:r>
          </w:p>
        </w:tc>
        <w:tc>
          <w:tcPr>
            <w:tcW w:w="3950" w:type="dxa"/>
            <w:tcBorders>
              <w:top w:val="single" w:color="000000" w:sz="2" w:space="0"/>
              <w:left w:val="single" w:color="000000" w:sz="2" w:space="0"/>
              <w:bottom w:val="single" w:color="000000" w:sz="2" w:space="0"/>
              <w:right w:val="single" w:color="000000" w:sz="2" w:space="0"/>
            </w:tcBorders>
            <w:noWrap w:val="0"/>
            <w:vAlign w:val="center"/>
          </w:tcPr>
          <w:p w14:paraId="632C9DA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每次扣10分</w:t>
            </w:r>
          </w:p>
        </w:tc>
      </w:tr>
      <w:tr w14:paraId="61A88D5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432E086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4536" w:type="dxa"/>
            <w:tcBorders>
              <w:top w:val="single" w:color="000000" w:sz="2" w:space="0"/>
              <w:left w:val="single" w:color="000000" w:sz="2" w:space="0"/>
              <w:bottom w:val="single" w:color="000000" w:sz="2" w:space="0"/>
              <w:right w:val="single" w:color="000000" w:sz="2" w:space="0"/>
            </w:tcBorders>
            <w:noWrap w:val="0"/>
            <w:vAlign w:val="center"/>
          </w:tcPr>
          <w:p w14:paraId="789A674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车辆行驶违反交通规则</w:t>
            </w:r>
          </w:p>
        </w:tc>
        <w:tc>
          <w:tcPr>
            <w:tcW w:w="3950" w:type="dxa"/>
            <w:tcBorders>
              <w:top w:val="single" w:color="000000" w:sz="2" w:space="0"/>
              <w:left w:val="single" w:color="000000" w:sz="2" w:space="0"/>
              <w:bottom w:val="single" w:color="000000" w:sz="2" w:space="0"/>
              <w:right w:val="single" w:color="000000" w:sz="2" w:space="0"/>
            </w:tcBorders>
            <w:noWrap w:val="0"/>
            <w:vAlign w:val="center"/>
          </w:tcPr>
          <w:p w14:paraId="42FF8E7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每次扣5分</w:t>
            </w:r>
          </w:p>
        </w:tc>
      </w:tr>
      <w:tr w14:paraId="31A61C4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3EACE4F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4536" w:type="dxa"/>
            <w:tcBorders>
              <w:top w:val="single" w:color="000000" w:sz="2" w:space="0"/>
              <w:left w:val="single" w:color="000000" w:sz="2" w:space="0"/>
              <w:bottom w:val="single" w:color="000000" w:sz="2" w:space="0"/>
              <w:right w:val="single" w:color="000000" w:sz="2" w:space="0"/>
            </w:tcBorders>
            <w:noWrap w:val="0"/>
            <w:vAlign w:val="center"/>
          </w:tcPr>
          <w:p w14:paraId="0C71BA7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收运人员作业时未穿戴反光背心、防护手套</w:t>
            </w:r>
          </w:p>
        </w:tc>
        <w:tc>
          <w:tcPr>
            <w:tcW w:w="3950" w:type="dxa"/>
            <w:tcBorders>
              <w:top w:val="single" w:color="000000" w:sz="2" w:space="0"/>
              <w:left w:val="single" w:color="000000" w:sz="2" w:space="0"/>
              <w:bottom w:val="single" w:color="000000" w:sz="2" w:space="0"/>
              <w:right w:val="single" w:color="000000" w:sz="2" w:space="0"/>
            </w:tcBorders>
            <w:noWrap w:val="0"/>
            <w:vAlign w:val="center"/>
          </w:tcPr>
          <w:p w14:paraId="6A5C287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每人次扣2分</w:t>
            </w:r>
          </w:p>
        </w:tc>
      </w:tr>
      <w:tr w14:paraId="36FD53D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6D99395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4536" w:type="dxa"/>
            <w:tcBorders>
              <w:top w:val="single" w:color="000000" w:sz="2" w:space="0"/>
              <w:left w:val="single" w:color="000000" w:sz="2" w:space="0"/>
              <w:bottom w:val="single" w:color="000000" w:sz="2" w:space="0"/>
              <w:right w:val="single" w:color="000000" w:sz="2" w:space="0"/>
            </w:tcBorders>
            <w:noWrap w:val="0"/>
            <w:vAlign w:val="center"/>
          </w:tcPr>
          <w:p w14:paraId="1365992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发生轻微安全事故（无人员受伤）</w:t>
            </w:r>
          </w:p>
        </w:tc>
        <w:tc>
          <w:tcPr>
            <w:tcW w:w="3950" w:type="dxa"/>
            <w:tcBorders>
              <w:top w:val="single" w:color="000000" w:sz="2" w:space="0"/>
              <w:left w:val="single" w:color="000000" w:sz="2" w:space="0"/>
              <w:bottom w:val="single" w:color="000000" w:sz="2" w:space="0"/>
              <w:right w:val="single" w:color="000000" w:sz="2" w:space="0"/>
            </w:tcBorders>
            <w:noWrap w:val="0"/>
            <w:vAlign w:val="center"/>
          </w:tcPr>
          <w:p w14:paraId="23A7955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扣10分</w:t>
            </w:r>
          </w:p>
        </w:tc>
      </w:tr>
      <w:tr w14:paraId="5AEEAD2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43306FC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4536" w:type="dxa"/>
            <w:tcBorders>
              <w:top w:val="single" w:color="000000" w:sz="2" w:space="0"/>
              <w:left w:val="single" w:color="000000" w:sz="2" w:space="0"/>
              <w:bottom w:val="single" w:color="000000" w:sz="2" w:space="0"/>
              <w:right w:val="single" w:color="000000" w:sz="2" w:space="0"/>
            </w:tcBorders>
            <w:noWrap w:val="0"/>
            <w:vAlign w:val="center"/>
          </w:tcPr>
          <w:p w14:paraId="57B90AC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发生一般安全事故（轻伤）</w:t>
            </w:r>
          </w:p>
        </w:tc>
        <w:tc>
          <w:tcPr>
            <w:tcW w:w="3950" w:type="dxa"/>
            <w:tcBorders>
              <w:top w:val="single" w:color="000000" w:sz="2" w:space="0"/>
              <w:left w:val="single" w:color="000000" w:sz="2" w:space="0"/>
              <w:bottom w:val="single" w:color="000000" w:sz="2" w:space="0"/>
              <w:right w:val="single" w:color="000000" w:sz="2" w:space="0"/>
            </w:tcBorders>
            <w:noWrap w:val="0"/>
            <w:vAlign w:val="center"/>
          </w:tcPr>
          <w:p w14:paraId="2DCA052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扣20分</w:t>
            </w:r>
          </w:p>
        </w:tc>
      </w:tr>
      <w:tr w14:paraId="1794584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794" w:type="dxa"/>
            <w:tcBorders>
              <w:top w:val="single" w:color="000000" w:sz="2" w:space="0"/>
              <w:left w:val="single" w:color="000000" w:sz="2" w:space="0"/>
              <w:bottom w:val="single" w:color="000000" w:sz="2" w:space="0"/>
              <w:right w:val="single" w:color="000000" w:sz="2" w:space="0"/>
            </w:tcBorders>
            <w:noWrap w:val="0"/>
            <w:vAlign w:val="center"/>
          </w:tcPr>
          <w:p w14:paraId="752B13F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4536" w:type="dxa"/>
            <w:tcBorders>
              <w:top w:val="single" w:color="000000" w:sz="2" w:space="0"/>
              <w:left w:val="single" w:color="000000" w:sz="2" w:space="0"/>
              <w:bottom w:val="single" w:color="000000" w:sz="2" w:space="0"/>
              <w:right w:val="single" w:color="000000" w:sz="2" w:space="0"/>
            </w:tcBorders>
            <w:noWrap w:val="0"/>
            <w:vAlign w:val="center"/>
          </w:tcPr>
          <w:p w14:paraId="299F3E2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发生重大安全事故（重伤及以上）</w:t>
            </w:r>
          </w:p>
        </w:tc>
        <w:tc>
          <w:tcPr>
            <w:tcW w:w="3950" w:type="dxa"/>
            <w:tcBorders>
              <w:top w:val="single" w:color="000000" w:sz="2" w:space="0"/>
              <w:left w:val="single" w:color="000000" w:sz="2" w:space="0"/>
              <w:bottom w:val="single" w:color="000000" w:sz="2" w:space="0"/>
              <w:right w:val="single" w:color="000000" w:sz="2" w:space="0"/>
            </w:tcBorders>
            <w:noWrap w:val="0"/>
            <w:vAlign w:val="center"/>
          </w:tcPr>
          <w:p w14:paraId="4417FBD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当月考核不合格，并追究承包方责任</w:t>
            </w:r>
          </w:p>
        </w:tc>
      </w:tr>
    </w:tbl>
    <w:p w14:paraId="3C5DE7D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w:t>
      </w:r>
      <w:r>
        <w:rPr>
          <w:rFonts w:hint="eastAsia" w:ascii="宋体" w:hAnsi="宋体" w:cs="宋体"/>
          <w:b/>
          <w:bCs/>
          <w:kern w:val="0"/>
          <w:sz w:val="28"/>
          <w:szCs w:val="28"/>
          <w:highlight w:val="none"/>
          <w:lang w:val="en-US" w:eastAsia="zh-CN" w:bidi="ar"/>
        </w:rPr>
        <w:t>七</w:t>
      </w:r>
      <w:r>
        <w:rPr>
          <w:rFonts w:hint="eastAsia" w:ascii="宋体" w:hAnsi="宋体" w:eastAsia="宋体" w:cs="宋体"/>
          <w:b/>
          <w:bCs/>
          <w:kern w:val="0"/>
          <w:sz w:val="28"/>
          <w:szCs w:val="28"/>
          <w:highlight w:val="none"/>
          <w:lang w:val="en-US" w:eastAsia="zh-CN" w:bidi="ar"/>
        </w:rPr>
        <w:t>）环卫设施维护考核</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316"/>
        <w:gridCol w:w="825"/>
        <w:gridCol w:w="327"/>
        <w:gridCol w:w="2807"/>
        <w:gridCol w:w="2672"/>
        <w:gridCol w:w="2495"/>
      </w:tblGrid>
      <w:tr w14:paraId="797425B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16E0186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序号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7E564A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考核项目</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415A88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分值</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847355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考核标准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B205AB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465EAA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预警与整改机制</w:t>
            </w:r>
          </w:p>
        </w:tc>
      </w:tr>
      <w:tr w14:paraId="185BA67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3CB5AB9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270966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垃圾中转站设备维护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0D734E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72AFA38">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压缩设备、运输车辆、除臭系统、冲洗设备等正常运行，无带病作业；设备定期保养（按厂家要求或每季度1次）并记录</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4E3FBFF">
            <w:pPr>
              <w:keepNext w:val="0"/>
              <w:keepLines w:val="0"/>
              <w:pageBreakBefore w:val="0"/>
              <w:widowControl/>
              <w:numPr>
                <w:ilvl w:val="0"/>
                <w:numId w:val="23"/>
              </w:numPr>
              <w:suppressLineNumbers w:val="0"/>
              <w:kinsoku/>
              <w:wordWrap/>
              <w:overflowPunct/>
              <w:topLinePunct w:val="0"/>
              <w:autoSpaceDE/>
              <w:autoSpaceDN/>
              <w:bidi w:val="0"/>
              <w:spacing w:beforeAutospacing="0" w:afterAutospacing="0" w:line="480" w:lineRule="exact"/>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设备故障未及时维修影响使用每次扣5分；</w:t>
            </w:r>
          </w:p>
          <w:p w14:paraId="3864B3D0">
            <w:pPr>
              <w:keepNext w:val="0"/>
              <w:keepLines w:val="0"/>
              <w:pageBreakBefore w:val="0"/>
              <w:widowControl/>
              <w:numPr>
                <w:ilvl w:val="0"/>
                <w:numId w:val="23"/>
              </w:numPr>
              <w:suppressLineNumbers w:val="0"/>
              <w:kinsoku/>
              <w:wordWrap/>
              <w:overflowPunct/>
              <w:topLinePunct w:val="0"/>
              <w:autoSpaceDE/>
              <w:autoSpaceDN/>
              <w:bidi w:val="0"/>
              <w:spacing w:beforeAutospacing="0" w:afterAutospacing="0" w:line="480" w:lineRule="exact"/>
              <w:ind w:left="0" w:leftChars="0" w:firstLine="0" w:firstLineChars="0"/>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设备带病作业每次扣10分；</w:t>
            </w:r>
          </w:p>
          <w:p w14:paraId="40D7710C">
            <w:pPr>
              <w:keepNext w:val="0"/>
              <w:keepLines w:val="0"/>
              <w:pageBreakBefore w:val="0"/>
              <w:widowControl/>
              <w:numPr>
                <w:ilvl w:val="0"/>
                <w:numId w:val="23"/>
              </w:numPr>
              <w:suppressLineNumbers w:val="0"/>
              <w:kinsoku/>
              <w:wordWrap/>
              <w:overflowPunct/>
              <w:topLinePunct w:val="0"/>
              <w:autoSpaceDE/>
              <w:autoSpaceDN/>
              <w:bidi w:val="0"/>
              <w:spacing w:beforeAutospacing="0" w:afterAutospacing="0" w:line="480" w:lineRule="exact"/>
              <w:ind w:left="0" w:leftChars="0" w:firstLine="0" w:firstLineChars="0"/>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未按规定保养每次扣5分；</w:t>
            </w:r>
          </w:p>
          <w:p w14:paraId="442B5E9D">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both"/>
              <w:textAlignment w:val="auto"/>
              <w:rPr>
                <w:highlight w:val="none"/>
              </w:rPr>
            </w:pPr>
            <w:r>
              <w:rPr>
                <w:rFonts w:ascii="宋体" w:hAnsi="宋体" w:eastAsia="宋体" w:cs="宋体"/>
                <w:kern w:val="0"/>
                <w:sz w:val="24"/>
                <w:szCs w:val="24"/>
                <w:highlight w:val="none"/>
                <w:lang w:val="en-US" w:eastAsia="zh-CN" w:bidi="ar"/>
              </w:rPr>
              <w:t>（4）保养无记录每次扣3分</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1543BEF">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设备带病作业不适用预警机制，直接扣分并立即停机整改</w:t>
            </w:r>
            <w:r>
              <w:rPr>
                <w:rFonts w:hint="eastAsia" w:ascii="宋体" w:hAnsi="宋体" w:eastAsia="宋体" w:cs="宋体"/>
                <w:kern w:val="0"/>
                <w:sz w:val="24"/>
                <w:szCs w:val="24"/>
                <w:highlight w:val="none"/>
                <w:lang w:val="en-US" w:eastAsia="zh-CN" w:bidi="ar"/>
              </w:rPr>
              <w:t>。</w:t>
            </w:r>
          </w:p>
        </w:tc>
      </w:tr>
      <w:tr w14:paraId="55D2ADE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FDE0CB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D919FF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果皮箱、垃圾箱维护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C95FF0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21737F2">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所有果皮箱、垃圾箱完好、无破损、无缺失；箱体颜色统一、摆放整齐</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B3A6847">
            <w:pPr>
              <w:keepNext w:val="0"/>
              <w:keepLines w:val="0"/>
              <w:pageBreakBefore w:val="0"/>
              <w:widowControl/>
              <w:numPr>
                <w:ilvl w:val="0"/>
                <w:numId w:val="24"/>
              </w:numPr>
              <w:suppressLineNumbers w:val="0"/>
              <w:kinsoku/>
              <w:wordWrap/>
              <w:overflowPunct/>
              <w:topLinePunct w:val="0"/>
              <w:autoSpaceDE/>
              <w:autoSpaceDN/>
              <w:bidi w:val="0"/>
              <w:spacing w:beforeAutospacing="0" w:afterAutospacing="0" w:line="480" w:lineRule="exact"/>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破损未及时修复每处扣2分（修复时限7天）；</w:t>
            </w:r>
          </w:p>
          <w:p w14:paraId="01CD2865">
            <w:pPr>
              <w:keepNext w:val="0"/>
              <w:keepLines w:val="0"/>
              <w:pageBreakBefore w:val="0"/>
              <w:widowControl/>
              <w:numPr>
                <w:ilvl w:val="0"/>
                <w:numId w:val="24"/>
              </w:numPr>
              <w:suppressLineNumbers w:val="0"/>
              <w:kinsoku/>
              <w:wordWrap/>
              <w:overflowPunct/>
              <w:topLinePunct w:val="0"/>
              <w:autoSpaceDE/>
              <w:autoSpaceDN/>
              <w:bidi w:val="0"/>
              <w:spacing w:beforeAutospacing="0" w:afterAutospacing="0" w:line="480" w:lineRule="exact"/>
              <w:ind w:left="0" w:leftChars="0" w:firstLine="0" w:firstLineChars="0"/>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箱体缺失未及时补充每处扣3分（补充时限3天）；</w:t>
            </w:r>
          </w:p>
          <w:p w14:paraId="16DB24E6">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both"/>
              <w:textAlignment w:val="auto"/>
              <w:rPr>
                <w:highlight w:val="none"/>
              </w:rPr>
            </w:pPr>
            <w:r>
              <w:rPr>
                <w:rFonts w:ascii="宋体" w:hAnsi="宋体" w:eastAsia="宋体" w:cs="宋体"/>
                <w:kern w:val="0"/>
                <w:sz w:val="24"/>
                <w:szCs w:val="24"/>
                <w:highlight w:val="none"/>
                <w:lang w:val="en-US" w:eastAsia="zh-CN" w:bidi="ar"/>
              </w:rPr>
              <w:t>（3）箱体颜色不统一每处扣1分；（4）摆放不整齐每处扣1分</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CCEBC8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5B83D87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02B32353">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3819FEF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1CFFE7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A9EDFA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环卫车辆维护</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3A61CC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1A1364E">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所有环卫车辆车容整洁、性能良好、无安全隐患；车辆按指定地点停放；车辆维修保养有记录</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6674CF7">
            <w:pPr>
              <w:keepNext w:val="0"/>
              <w:keepLines w:val="0"/>
              <w:pageBreakBefore w:val="0"/>
              <w:widowControl/>
              <w:numPr>
                <w:ilvl w:val="0"/>
                <w:numId w:val="25"/>
              </w:numPr>
              <w:suppressLineNumbers w:val="0"/>
              <w:kinsoku/>
              <w:wordWrap/>
              <w:overflowPunct/>
              <w:topLinePunct w:val="0"/>
              <w:autoSpaceDE/>
              <w:autoSpaceDN/>
              <w:bidi w:val="0"/>
              <w:spacing w:beforeAutospacing="0" w:afterAutospacing="0" w:line="480" w:lineRule="exact"/>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车辆脏污每辆扣2分；</w:t>
            </w:r>
          </w:p>
          <w:p w14:paraId="67B22DCA">
            <w:pPr>
              <w:keepNext w:val="0"/>
              <w:keepLines w:val="0"/>
              <w:pageBreakBefore w:val="0"/>
              <w:widowControl/>
              <w:numPr>
                <w:ilvl w:val="0"/>
                <w:numId w:val="25"/>
              </w:numPr>
              <w:suppressLineNumbers w:val="0"/>
              <w:kinsoku/>
              <w:wordWrap/>
              <w:overflowPunct/>
              <w:topLinePunct w:val="0"/>
              <w:autoSpaceDE/>
              <w:autoSpaceDN/>
              <w:bidi w:val="0"/>
              <w:spacing w:beforeAutospacing="0" w:afterAutospacing="0" w:line="480" w:lineRule="exact"/>
              <w:ind w:left="0" w:leftChars="0" w:firstLine="0" w:firstLineChars="0"/>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带病作业每辆扣5分；</w:t>
            </w:r>
          </w:p>
          <w:p w14:paraId="25375525">
            <w:pPr>
              <w:keepNext w:val="0"/>
              <w:keepLines w:val="0"/>
              <w:pageBreakBefore w:val="0"/>
              <w:widowControl/>
              <w:numPr>
                <w:ilvl w:val="0"/>
                <w:numId w:val="25"/>
              </w:numPr>
              <w:suppressLineNumbers w:val="0"/>
              <w:kinsoku/>
              <w:wordWrap/>
              <w:overflowPunct/>
              <w:topLinePunct w:val="0"/>
              <w:autoSpaceDE/>
              <w:autoSpaceDN/>
              <w:bidi w:val="0"/>
              <w:spacing w:beforeAutospacing="0" w:afterAutospacing="0" w:line="480" w:lineRule="exact"/>
              <w:ind w:left="0" w:leftChars="0" w:firstLine="0" w:firstLineChars="0"/>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未按指定地点停放每次扣3分；</w:t>
            </w:r>
          </w:p>
          <w:p w14:paraId="4DC24ED7">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both"/>
              <w:textAlignment w:val="auto"/>
              <w:rPr>
                <w:highlight w:val="none"/>
              </w:rPr>
            </w:pPr>
            <w:r>
              <w:rPr>
                <w:rFonts w:ascii="宋体" w:hAnsi="宋体" w:eastAsia="宋体" w:cs="宋体"/>
                <w:kern w:val="0"/>
                <w:sz w:val="24"/>
                <w:szCs w:val="24"/>
                <w:highlight w:val="none"/>
                <w:lang w:val="en-US" w:eastAsia="zh-CN" w:bidi="ar"/>
              </w:rPr>
              <w:t>（4）维修保养无记录每次扣2分</w:t>
            </w:r>
            <w:r>
              <w:rPr>
                <w:rFonts w:hint="eastAsia" w:ascii="宋体" w:hAnsi="宋体" w:eastAsia="宋体" w:cs="宋体"/>
                <w:kern w:val="0"/>
                <w:sz w:val="24"/>
                <w:szCs w:val="24"/>
                <w:highlight w:val="none"/>
                <w:lang w:val="en-US" w:eastAsia="zh-CN" w:bidi="ar"/>
              </w:rPr>
              <w:t>。</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03C73C6">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车辆带病作业不适用预警机制，直接扣分并立即停驶整改</w:t>
            </w:r>
            <w:r>
              <w:rPr>
                <w:rFonts w:hint="eastAsia" w:ascii="宋体" w:hAnsi="宋体" w:eastAsia="宋体" w:cs="宋体"/>
                <w:kern w:val="0"/>
                <w:sz w:val="24"/>
                <w:szCs w:val="24"/>
                <w:highlight w:val="none"/>
                <w:lang w:val="en-US" w:eastAsia="zh-CN" w:bidi="ar"/>
              </w:rPr>
              <w:t>。</w:t>
            </w:r>
          </w:p>
        </w:tc>
      </w:tr>
      <w:tr w14:paraId="064A7DD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8F8AB7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004830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设施防腐防锈</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92DE27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15分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D2427AB">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金属设施（灯杆、垃圾箱、护栏等）每年至少进行1次防腐防锈处理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1BCAF52">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（1）严重锈蚀未处理每处扣2分；（2）达到防腐周期未开展处理扣5分；（3）处理无记录扣3分</w:t>
            </w:r>
          </w:p>
        </w:tc>
        <w:tc>
          <w:tcPr>
            <w:tcW w:w="0" w:type="auto"/>
            <w:vMerge w:val="restart"/>
            <w:tcBorders>
              <w:top w:val="single" w:color="000000" w:sz="2" w:space="0"/>
              <w:left w:val="single" w:color="000000" w:sz="2" w:space="0"/>
              <w:right w:val="single" w:color="000000" w:sz="2" w:space="0"/>
            </w:tcBorders>
            <w:noWrap w:val="0"/>
            <w:vAlign w:val="center"/>
          </w:tcPr>
          <w:p w14:paraId="40A6135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首次违规</w:t>
            </w:r>
            <w:r>
              <w:rPr>
                <w:rFonts w:hint="eastAsia" w:ascii="宋体" w:hAnsi="宋体" w:eastAsia="宋体" w:cs="宋体"/>
                <w:kern w:val="0"/>
                <w:sz w:val="24"/>
                <w:szCs w:val="24"/>
                <w:highlight w:val="none"/>
                <w:lang w:val="en-US" w:eastAsia="zh-CN" w:bidi="ar"/>
              </w:rPr>
              <w:t>：口头提醒，记录在案，不作扣分；</w:t>
            </w:r>
            <w:r>
              <w:rPr>
                <w:rStyle w:val="31"/>
                <w:rFonts w:hint="eastAsia" w:ascii="宋体" w:hAnsi="宋体" w:eastAsia="宋体" w:cs="宋体"/>
                <w:kern w:val="0"/>
                <w:sz w:val="24"/>
                <w:szCs w:val="24"/>
                <w:highlight w:val="none"/>
                <w:lang w:val="en-US" w:eastAsia="zh-CN" w:bidi="ar"/>
              </w:rPr>
              <w:t>二次违规</w:t>
            </w:r>
            <w:r>
              <w:rPr>
                <w:rFonts w:hint="eastAsia" w:ascii="宋体" w:hAnsi="宋体" w:eastAsia="宋体" w:cs="宋体"/>
                <w:kern w:val="0"/>
                <w:sz w:val="24"/>
                <w:szCs w:val="24"/>
                <w:highlight w:val="none"/>
                <w:lang w:val="en-US" w:eastAsia="zh-CN" w:bidi="ar"/>
              </w:rPr>
              <w:t>：按标准扣分，发出黄牌警告，限期2日内整改；</w:t>
            </w:r>
          </w:p>
          <w:p w14:paraId="7A69D04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kern w:val="0"/>
                <w:sz w:val="24"/>
                <w:szCs w:val="24"/>
                <w:highlight w:val="none"/>
                <w:lang w:val="en-US" w:eastAsia="zh-CN" w:bidi="ar"/>
              </w:rPr>
            </w:pPr>
            <w:r>
              <w:rPr>
                <w:rStyle w:val="31"/>
                <w:rFonts w:hint="eastAsia" w:ascii="宋体" w:hAnsi="宋体" w:eastAsia="宋体" w:cs="宋体"/>
                <w:kern w:val="0"/>
                <w:sz w:val="24"/>
                <w:szCs w:val="24"/>
                <w:highlight w:val="none"/>
                <w:lang w:val="en-US" w:eastAsia="zh-CN" w:bidi="ar"/>
              </w:rPr>
              <w:t>三次违规</w:t>
            </w:r>
            <w:r>
              <w:rPr>
                <w:rFonts w:hint="eastAsia" w:ascii="宋体" w:hAnsi="宋体" w:eastAsia="宋体" w:cs="宋体"/>
                <w:kern w:val="0"/>
                <w:sz w:val="24"/>
                <w:szCs w:val="24"/>
                <w:highlight w:val="none"/>
                <w:lang w:val="en-US" w:eastAsia="zh-CN" w:bidi="ar"/>
              </w:rPr>
              <w:t>：按标准2倍扣分，发出橙牌警告，限期1日内整改；</w:t>
            </w:r>
          </w:p>
          <w:p w14:paraId="3E5AF58E">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Style w:val="31"/>
                <w:rFonts w:hint="eastAsia" w:ascii="宋体" w:hAnsi="宋体" w:eastAsia="宋体" w:cs="宋体"/>
                <w:kern w:val="0"/>
                <w:sz w:val="24"/>
                <w:szCs w:val="24"/>
                <w:highlight w:val="none"/>
                <w:lang w:val="en-US" w:eastAsia="zh-CN" w:bidi="ar"/>
              </w:rPr>
              <w:t>四次及以上</w:t>
            </w:r>
            <w:r>
              <w:rPr>
                <w:rFonts w:hint="eastAsia" w:ascii="宋体" w:hAnsi="宋体" w:eastAsia="宋体" w:cs="宋体"/>
                <w:kern w:val="0"/>
                <w:sz w:val="24"/>
                <w:szCs w:val="24"/>
                <w:highlight w:val="none"/>
                <w:lang w:val="en-US" w:eastAsia="zh-CN" w:bidi="ar"/>
              </w:rPr>
              <w:t>：按标准3倍扣分，发出红牌警告，约谈承包人。</w:t>
            </w:r>
          </w:p>
        </w:tc>
      </w:tr>
      <w:tr w14:paraId="1319184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33C1C54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C76B20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维护台账</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23AAAD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20分</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7D19E12">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r>
              <w:rPr>
                <w:rFonts w:ascii="宋体" w:hAnsi="宋体" w:eastAsia="宋体" w:cs="宋体"/>
                <w:kern w:val="0"/>
                <w:sz w:val="24"/>
                <w:szCs w:val="24"/>
                <w:highlight w:val="none"/>
                <w:lang w:val="en-US" w:eastAsia="zh-CN" w:bidi="ar"/>
              </w:rPr>
              <w:t>建立环卫设施维护台账，详细记录设施名称、位置、数量、维护保养时间、维修内容、更换配件、维护人员</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D0F152C">
            <w:pPr>
              <w:keepNext w:val="0"/>
              <w:keepLines w:val="0"/>
              <w:pageBreakBefore w:val="0"/>
              <w:widowControl/>
              <w:numPr>
                <w:ilvl w:val="0"/>
                <w:numId w:val="26"/>
              </w:numPr>
              <w:suppressLineNumbers w:val="0"/>
              <w:kinsoku/>
              <w:wordWrap/>
              <w:overflowPunct/>
              <w:topLinePunct w:val="0"/>
              <w:autoSpaceDE/>
              <w:autoSpaceDN/>
              <w:bidi w:val="0"/>
              <w:spacing w:beforeAutospacing="0" w:afterAutospacing="0" w:line="480" w:lineRule="exact"/>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无台账扣10分；</w:t>
            </w:r>
          </w:p>
          <w:p w14:paraId="1909A069">
            <w:pPr>
              <w:keepNext w:val="0"/>
              <w:keepLines w:val="0"/>
              <w:pageBreakBefore w:val="0"/>
              <w:widowControl/>
              <w:numPr>
                <w:ilvl w:val="0"/>
                <w:numId w:val="26"/>
              </w:numPr>
              <w:suppressLineNumbers w:val="0"/>
              <w:kinsoku/>
              <w:wordWrap/>
              <w:overflowPunct/>
              <w:topLinePunct w:val="0"/>
              <w:autoSpaceDE/>
              <w:autoSpaceDN/>
              <w:bidi w:val="0"/>
              <w:spacing w:beforeAutospacing="0" w:afterAutospacing="0" w:line="480" w:lineRule="exact"/>
              <w:ind w:left="0" w:leftChars="0" w:firstLine="0" w:firstLineChars="0"/>
              <w:jc w:val="both"/>
              <w:textAlignment w:val="auto"/>
              <w:rPr>
                <w:rFonts w:ascii="宋体" w:hAnsi="宋体" w:eastAsia="宋体" w:cs="宋体"/>
                <w:kern w:val="0"/>
                <w:sz w:val="24"/>
                <w:szCs w:val="24"/>
                <w:highlight w:val="none"/>
                <w:lang w:val="en-US" w:eastAsia="zh-CN" w:bidi="ar"/>
              </w:rPr>
            </w:pPr>
            <w:r>
              <w:rPr>
                <w:rFonts w:ascii="宋体" w:hAnsi="宋体" w:eastAsia="宋体" w:cs="宋体"/>
                <w:kern w:val="0"/>
                <w:sz w:val="24"/>
                <w:szCs w:val="24"/>
                <w:highlight w:val="none"/>
                <w:lang w:val="en-US" w:eastAsia="zh-CN" w:bidi="ar"/>
              </w:rPr>
              <w:t>台账记录不完整（缺少设施名称、时间、内容任一要素）每次扣2分；</w:t>
            </w:r>
          </w:p>
          <w:p w14:paraId="081EEE8E">
            <w:pPr>
              <w:keepNext w:val="0"/>
              <w:keepLines w:val="0"/>
              <w:pageBreakBefore w:val="0"/>
              <w:widowControl/>
              <w:numPr>
                <w:ilvl w:val="0"/>
                <w:numId w:val="0"/>
              </w:numPr>
              <w:suppressLineNumbers w:val="0"/>
              <w:kinsoku/>
              <w:wordWrap/>
              <w:overflowPunct/>
              <w:topLinePunct w:val="0"/>
              <w:autoSpaceDE/>
              <w:autoSpaceDN/>
              <w:bidi w:val="0"/>
              <w:spacing w:beforeAutospacing="0" w:afterAutospacing="0" w:line="480" w:lineRule="exact"/>
              <w:ind w:leftChars="0"/>
              <w:jc w:val="both"/>
              <w:textAlignment w:val="auto"/>
              <w:rPr>
                <w:highlight w:val="none"/>
              </w:rPr>
            </w:pPr>
            <w:r>
              <w:rPr>
                <w:rFonts w:ascii="宋体" w:hAnsi="宋体" w:eastAsia="宋体" w:cs="宋体"/>
                <w:kern w:val="0"/>
                <w:sz w:val="24"/>
                <w:szCs w:val="24"/>
                <w:highlight w:val="none"/>
                <w:lang w:val="en-US" w:eastAsia="zh-CN" w:bidi="ar"/>
              </w:rPr>
              <w:t>（3）台账造假经查实每次扣10分</w:t>
            </w:r>
            <w:r>
              <w:rPr>
                <w:rFonts w:hint="eastAsia" w:ascii="宋体" w:hAnsi="宋体" w:eastAsia="宋体" w:cs="宋体"/>
                <w:kern w:val="0"/>
                <w:sz w:val="24"/>
                <w:szCs w:val="24"/>
                <w:highlight w:val="none"/>
                <w:lang w:val="en-US" w:eastAsia="zh-CN" w:bidi="ar"/>
              </w:rPr>
              <w:t>。</w:t>
            </w:r>
          </w:p>
        </w:tc>
        <w:tc>
          <w:tcPr>
            <w:tcW w:w="0" w:type="auto"/>
            <w:vMerge w:val="continue"/>
            <w:tcBorders>
              <w:left w:val="single" w:color="000000" w:sz="2" w:space="0"/>
              <w:bottom w:val="single" w:color="000000" w:sz="2" w:space="0"/>
              <w:right w:val="single" w:color="000000" w:sz="2" w:space="0"/>
            </w:tcBorders>
            <w:noWrap w:val="0"/>
            <w:vAlign w:val="center"/>
          </w:tcPr>
          <w:p w14:paraId="5650F023">
            <w:pPr>
              <w:keepNext w:val="0"/>
              <w:keepLines w:val="0"/>
              <w:pageBreakBefore w:val="0"/>
              <w:widowControl/>
              <w:suppressLineNumbers w:val="0"/>
              <w:kinsoku/>
              <w:wordWrap/>
              <w:overflowPunct/>
              <w:topLinePunct w:val="0"/>
              <w:autoSpaceDE/>
              <w:autoSpaceDN/>
              <w:bidi w:val="0"/>
              <w:spacing w:beforeAutospacing="0" w:afterAutospacing="0" w:line="480" w:lineRule="exact"/>
              <w:jc w:val="both"/>
              <w:textAlignment w:val="auto"/>
              <w:rPr>
                <w:highlight w:val="none"/>
              </w:rPr>
            </w:pPr>
          </w:p>
        </w:tc>
      </w:tr>
    </w:tbl>
    <w:p w14:paraId="3D72256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整改验收机制</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每次整改期满后，由甲方进行现场验收：验收合格：整改闭环，记录归档；验收不合格：按未整改处理，继续限期整改，并加倍扣分；同一问题连续三次验收不合格的，甲方有权单方面解除相关承包合同。</w:t>
      </w:r>
    </w:p>
    <w:p w14:paraId="10234876">
      <w:pPr>
        <w:pStyle w:val="2"/>
        <w:keepLines w:val="0"/>
        <w:pageBreakBefore w:val="0"/>
        <w:kinsoku/>
        <w:wordWrap/>
        <w:overflowPunct/>
        <w:topLinePunct w:val="0"/>
        <w:autoSpaceDE/>
        <w:autoSpaceDN/>
        <w:bidi w:val="0"/>
        <w:spacing w:beforeAutospacing="0" w:afterAutospacing="0" w:line="480" w:lineRule="exact"/>
        <w:jc w:val="both"/>
        <w:textAlignment w:val="auto"/>
        <w:rPr>
          <w:rFonts w:hint="eastAsia"/>
          <w:highlight w:val="none"/>
          <w:lang w:eastAsia="zh-CN"/>
        </w:rPr>
      </w:pPr>
      <w:r>
        <w:rPr>
          <w:rStyle w:val="31"/>
          <w:rFonts w:hint="eastAsia" w:ascii="宋体" w:hAnsi="宋体" w:eastAsia="宋体" w:cs="宋体"/>
          <w:b/>
          <w:kern w:val="0"/>
          <w:sz w:val="24"/>
          <w:szCs w:val="24"/>
          <w:highlight w:val="none"/>
          <w:lang w:val="en-US" w:eastAsia="zh-CN" w:bidi="ar"/>
        </w:rPr>
        <w:t>安全作业专项扣分项（适用于环卫设施维护）</w:t>
      </w:r>
    </w:p>
    <w:tbl>
      <w:tblPr>
        <w:tblStyle w:val="28"/>
        <w:tblW w:w="9618"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778"/>
        <w:gridCol w:w="4923"/>
        <w:gridCol w:w="3917"/>
      </w:tblGrid>
      <w:tr w14:paraId="37C9089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59" w:hRule="atLeast"/>
          <w:tblHeader/>
        </w:trPr>
        <w:tc>
          <w:tcPr>
            <w:tcW w:w="778" w:type="dxa"/>
            <w:tcBorders>
              <w:top w:val="single" w:color="000000" w:sz="2" w:space="0"/>
              <w:left w:val="single" w:color="000000" w:sz="2" w:space="0"/>
              <w:bottom w:val="single" w:color="000000" w:sz="2" w:space="0"/>
              <w:right w:val="single" w:color="000000" w:sz="2" w:space="0"/>
            </w:tcBorders>
            <w:noWrap w:val="0"/>
            <w:vAlign w:val="center"/>
          </w:tcPr>
          <w:p w14:paraId="2ADB4D8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序号</w:t>
            </w:r>
          </w:p>
        </w:tc>
        <w:tc>
          <w:tcPr>
            <w:tcW w:w="4923" w:type="dxa"/>
            <w:tcBorders>
              <w:top w:val="single" w:color="000000" w:sz="2" w:space="0"/>
              <w:left w:val="single" w:color="000000" w:sz="2" w:space="0"/>
              <w:bottom w:val="single" w:color="000000" w:sz="2" w:space="0"/>
              <w:right w:val="single" w:color="000000" w:sz="2" w:space="0"/>
            </w:tcBorders>
            <w:noWrap w:val="0"/>
            <w:vAlign w:val="center"/>
          </w:tcPr>
          <w:p w14:paraId="5BBDD1B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安全考核内容</w:t>
            </w:r>
          </w:p>
        </w:tc>
        <w:tc>
          <w:tcPr>
            <w:tcW w:w="3917" w:type="dxa"/>
            <w:tcBorders>
              <w:top w:val="single" w:color="000000" w:sz="2" w:space="0"/>
              <w:left w:val="single" w:color="000000" w:sz="2" w:space="0"/>
              <w:bottom w:val="single" w:color="000000" w:sz="2" w:space="0"/>
              <w:right w:val="single" w:color="000000" w:sz="2" w:space="0"/>
            </w:tcBorders>
            <w:noWrap w:val="0"/>
            <w:vAlign w:val="center"/>
          </w:tcPr>
          <w:p w14:paraId="7A051EA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扣分标准</w:t>
            </w:r>
          </w:p>
        </w:tc>
      </w:tr>
      <w:tr w14:paraId="765D775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667" w:hRule="atLeast"/>
        </w:trPr>
        <w:tc>
          <w:tcPr>
            <w:tcW w:w="778" w:type="dxa"/>
            <w:tcBorders>
              <w:top w:val="single" w:color="000000" w:sz="2" w:space="0"/>
              <w:left w:val="single" w:color="000000" w:sz="2" w:space="0"/>
              <w:bottom w:val="single" w:color="000000" w:sz="2" w:space="0"/>
              <w:right w:val="single" w:color="000000" w:sz="2" w:space="0"/>
            </w:tcBorders>
            <w:noWrap w:val="0"/>
            <w:vAlign w:val="center"/>
          </w:tcPr>
          <w:p w14:paraId="7A3E757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4923" w:type="dxa"/>
            <w:tcBorders>
              <w:top w:val="single" w:color="000000" w:sz="2" w:space="0"/>
              <w:left w:val="single" w:color="000000" w:sz="2" w:space="0"/>
              <w:bottom w:val="single" w:color="000000" w:sz="2" w:space="0"/>
              <w:right w:val="single" w:color="000000" w:sz="2" w:space="0"/>
            </w:tcBorders>
            <w:noWrap w:val="0"/>
            <w:vAlign w:val="center"/>
          </w:tcPr>
          <w:p w14:paraId="5293D3A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车辆维修时未采取安全措施（如垫车轮、拉手刹）</w:t>
            </w:r>
          </w:p>
        </w:tc>
        <w:tc>
          <w:tcPr>
            <w:tcW w:w="3917" w:type="dxa"/>
            <w:tcBorders>
              <w:top w:val="single" w:color="000000" w:sz="2" w:space="0"/>
              <w:left w:val="single" w:color="000000" w:sz="2" w:space="0"/>
              <w:bottom w:val="single" w:color="000000" w:sz="2" w:space="0"/>
              <w:right w:val="single" w:color="000000" w:sz="2" w:space="0"/>
            </w:tcBorders>
            <w:noWrap w:val="0"/>
            <w:vAlign w:val="center"/>
          </w:tcPr>
          <w:p w14:paraId="4C2D7AD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每次扣3分</w:t>
            </w:r>
          </w:p>
        </w:tc>
      </w:tr>
      <w:tr w14:paraId="4C032FA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51" w:hRule="atLeast"/>
        </w:trPr>
        <w:tc>
          <w:tcPr>
            <w:tcW w:w="778" w:type="dxa"/>
            <w:tcBorders>
              <w:top w:val="single" w:color="000000" w:sz="2" w:space="0"/>
              <w:left w:val="single" w:color="000000" w:sz="2" w:space="0"/>
              <w:bottom w:val="single" w:color="000000" w:sz="2" w:space="0"/>
              <w:right w:val="single" w:color="000000" w:sz="2" w:space="0"/>
            </w:tcBorders>
            <w:noWrap w:val="0"/>
            <w:vAlign w:val="center"/>
          </w:tcPr>
          <w:p w14:paraId="7130E82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4923" w:type="dxa"/>
            <w:tcBorders>
              <w:top w:val="single" w:color="000000" w:sz="2" w:space="0"/>
              <w:left w:val="single" w:color="000000" w:sz="2" w:space="0"/>
              <w:bottom w:val="single" w:color="000000" w:sz="2" w:space="0"/>
              <w:right w:val="single" w:color="000000" w:sz="2" w:space="0"/>
            </w:tcBorders>
            <w:noWrap w:val="0"/>
            <w:vAlign w:val="center"/>
          </w:tcPr>
          <w:p w14:paraId="4BF888B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使用电动工具时未佩戴防护用品</w:t>
            </w:r>
          </w:p>
        </w:tc>
        <w:tc>
          <w:tcPr>
            <w:tcW w:w="3917" w:type="dxa"/>
            <w:tcBorders>
              <w:top w:val="single" w:color="000000" w:sz="2" w:space="0"/>
              <w:left w:val="single" w:color="000000" w:sz="2" w:space="0"/>
              <w:bottom w:val="single" w:color="000000" w:sz="2" w:space="0"/>
              <w:right w:val="single" w:color="000000" w:sz="2" w:space="0"/>
            </w:tcBorders>
            <w:noWrap w:val="0"/>
            <w:vAlign w:val="center"/>
          </w:tcPr>
          <w:p w14:paraId="3517273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每人次扣2分</w:t>
            </w:r>
          </w:p>
        </w:tc>
      </w:tr>
      <w:tr w14:paraId="054264A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51" w:hRule="atLeast"/>
        </w:trPr>
        <w:tc>
          <w:tcPr>
            <w:tcW w:w="778" w:type="dxa"/>
            <w:tcBorders>
              <w:top w:val="single" w:color="000000" w:sz="2" w:space="0"/>
              <w:left w:val="single" w:color="000000" w:sz="2" w:space="0"/>
              <w:bottom w:val="single" w:color="000000" w:sz="2" w:space="0"/>
              <w:right w:val="single" w:color="000000" w:sz="2" w:space="0"/>
            </w:tcBorders>
            <w:noWrap w:val="0"/>
            <w:vAlign w:val="center"/>
          </w:tcPr>
          <w:p w14:paraId="24F76D4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4923" w:type="dxa"/>
            <w:tcBorders>
              <w:top w:val="single" w:color="000000" w:sz="2" w:space="0"/>
              <w:left w:val="single" w:color="000000" w:sz="2" w:space="0"/>
              <w:bottom w:val="single" w:color="000000" w:sz="2" w:space="0"/>
              <w:right w:val="single" w:color="000000" w:sz="2" w:space="0"/>
            </w:tcBorders>
            <w:noWrap w:val="0"/>
            <w:vAlign w:val="center"/>
          </w:tcPr>
          <w:p w14:paraId="5B83CF8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高空清洗或维修作业未佩戴安全绳</w:t>
            </w:r>
          </w:p>
        </w:tc>
        <w:tc>
          <w:tcPr>
            <w:tcW w:w="3917" w:type="dxa"/>
            <w:tcBorders>
              <w:top w:val="single" w:color="000000" w:sz="2" w:space="0"/>
              <w:left w:val="single" w:color="000000" w:sz="2" w:space="0"/>
              <w:bottom w:val="single" w:color="000000" w:sz="2" w:space="0"/>
              <w:right w:val="single" w:color="000000" w:sz="2" w:space="0"/>
            </w:tcBorders>
            <w:noWrap w:val="0"/>
            <w:vAlign w:val="center"/>
          </w:tcPr>
          <w:p w14:paraId="2F6C37C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每人次扣5分</w:t>
            </w:r>
          </w:p>
        </w:tc>
      </w:tr>
      <w:tr w14:paraId="2F51877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51" w:hRule="atLeast"/>
        </w:trPr>
        <w:tc>
          <w:tcPr>
            <w:tcW w:w="778" w:type="dxa"/>
            <w:tcBorders>
              <w:top w:val="single" w:color="000000" w:sz="2" w:space="0"/>
              <w:left w:val="single" w:color="000000" w:sz="2" w:space="0"/>
              <w:bottom w:val="single" w:color="000000" w:sz="2" w:space="0"/>
              <w:right w:val="single" w:color="000000" w:sz="2" w:space="0"/>
            </w:tcBorders>
            <w:noWrap w:val="0"/>
            <w:vAlign w:val="center"/>
          </w:tcPr>
          <w:p w14:paraId="18B420A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4923" w:type="dxa"/>
            <w:tcBorders>
              <w:top w:val="single" w:color="000000" w:sz="2" w:space="0"/>
              <w:left w:val="single" w:color="000000" w:sz="2" w:space="0"/>
              <w:bottom w:val="single" w:color="000000" w:sz="2" w:space="0"/>
              <w:right w:val="single" w:color="000000" w:sz="2" w:space="0"/>
            </w:tcBorders>
            <w:noWrap w:val="0"/>
            <w:vAlign w:val="center"/>
          </w:tcPr>
          <w:p w14:paraId="375641B9">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发生轻微安全事故（无人员受伤）</w:t>
            </w:r>
          </w:p>
        </w:tc>
        <w:tc>
          <w:tcPr>
            <w:tcW w:w="3917" w:type="dxa"/>
            <w:tcBorders>
              <w:top w:val="single" w:color="000000" w:sz="2" w:space="0"/>
              <w:left w:val="single" w:color="000000" w:sz="2" w:space="0"/>
              <w:bottom w:val="single" w:color="000000" w:sz="2" w:space="0"/>
              <w:right w:val="single" w:color="000000" w:sz="2" w:space="0"/>
            </w:tcBorders>
            <w:noWrap w:val="0"/>
            <w:vAlign w:val="center"/>
          </w:tcPr>
          <w:p w14:paraId="54B9C2D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扣10分</w:t>
            </w:r>
          </w:p>
        </w:tc>
      </w:tr>
      <w:tr w14:paraId="182D0CA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51" w:hRule="atLeast"/>
        </w:trPr>
        <w:tc>
          <w:tcPr>
            <w:tcW w:w="778" w:type="dxa"/>
            <w:tcBorders>
              <w:top w:val="single" w:color="000000" w:sz="2" w:space="0"/>
              <w:left w:val="single" w:color="000000" w:sz="2" w:space="0"/>
              <w:bottom w:val="single" w:color="000000" w:sz="2" w:space="0"/>
              <w:right w:val="single" w:color="000000" w:sz="2" w:space="0"/>
            </w:tcBorders>
            <w:noWrap w:val="0"/>
            <w:vAlign w:val="center"/>
          </w:tcPr>
          <w:p w14:paraId="08884F8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4923" w:type="dxa"/>
            <w:tcBorders>
              <w:top w:val="single" w:color="000000" w:sz="2" w:space="0"/>
              <w:left w:val="single" w:color="000000" w:sz="2" w:space="0"/>
              <w:bottom w:val="single" w:color="000000" w:sz="2" w:space="0"/>
              <w:right w:val="single" w:color="000000" w:sz="2" w:space="0"/>
            </w:tcBorders>
            <w:noWrap w:val="0"/>
            <w:vAlign w:val="center"/>
          </w:tcPr>
          <w:p w14:paraId="200DC38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发生一般安全事故（轻伤）</w:t>
            </w:r>
          </w:p>
        </w:tc>
        <w:tc>
          <w:tcPr>
            <w:tcW w:w="3917" w:type="dxa"/>
            <w:tcBorders>
              <w:top w:val="single" w:color="000000" w:sz="2" w:space="0"/>
              <w:left w:val="single" w:color="000000" w:sz="2" w:space="0"/>
              <w:bottom w:val="single" w:color="000000" w:sz="2" w:space="0"/>
              <w:right w:val="single" w:color="000000" w:sz="2" w:space="0"/>
            </w:tcBorders>
            <w:noWrap w:val="0"/>
            <w:vAlign w:val="center"/>
          </w:tcPr>
          <w:p w14:paraId="036B7E6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扣20分</w:t>
            </w:r>
          </w:p>
        </w:tc>
      </w:tr>
      <w:tr w14:paraId="0CC2448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356" w:hRule="atLeast"/>
        </w:trPr>
        <w:tc>
          <w:tcPr>
            <w:tcW w:w="778" w:type="dxa"/>
            <w:tcBorders>
              <w:top w:val="single" w:color="000000" w:sz="2" w:space="0"/>
              <w:left w:val="single" w:color="000000" w:sz="2" w:space="0"/>
              <w:bottom w:val="single" w:color="000000" w:sz="2" w:space="0"/>
              <w:right w:val="single" w:color="000000" w:sz="2" w:space="0"/>
            </w:tcBorders>
            <w:noWrap w:val="0"/>
            <w:vAlign w:val="center"/>
          </w:tcPr>
          <w:p w14:paraId="0BA18E7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4923" w:type="dxa"/>
            <w:tcBorders>
              <w:top w:val="single" w:color="000000" w:sz="2" w:space="0"/>
              <w:left w:val="single" w:color="000000" w:sz="2" w:space="0"/>
              <w:bottom w:val="single" w:color="000000" w:sz="2" w:space="0"/>
              <w:right w:val="single" w:color="000000" w:sz="2" w:space="0"/>
            </w:tcBorders>
            <w:noWrap w:val="0"/>
            <w:vAlign w:val="center"/>
          </w:tcPr>
          <w:p w14:paraId="6D29F07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发生重大安全事故（重伤及以上）</w:t>
            </w:r>
          </w:p>
        </w:tc>
        <w:tc>
          <w:tcPr>
            <w:tcW w:w="3917" w:type="dxa"/>
            <w:tcBorders>
              <w:top w:val="single" w:color="000000" w:sz="2" w:space="0"/>
              <w:left w:val="single" w:color="000000" w:sz="2" w:space="0"/>
              <w:bottom w:val="single" w:color="000000" w:sz="2" w:space="0"/>
              <w:right w:val="single" w:color="000000" w:sz="2" w:space="0"/>
            </w:tcBorders>
            <w:noWrap w:val="0"/>
            <w:vAlign w:val="center"/>
          </w:tcPr>
          <w:p w14:paraId="42A17DC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当月考核不合格，并追究承包方责任</w:t>
            </w:r>
          </w:p>
        </w:tc>
      </w:tr>
    </w:tbl>
    <w:p w14:paraId="08E1C18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（八）易门县市政公用设施管护工作考核实施方案</w:t>
      </w:r>
      <w:bookmarkStart w:id="371" w:name="heading_0"/>
    </w:p>
    <w:p w14:paraId="736EB1F7">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1"/>
        <w:rPr>
          <w:rFonts w:hint="eastAsia" w:ascii="宋体" w:hAnsi="宋体" w:eastAsia="宋体" w:cs="宋体"/>
          <w:sz w:val="24"/>
          <w:szCs w:val="24"/>
          <w:highlight w:val="none"/>
        </w:rPr>
      </w:pPr>
      <w:r>
        <w:rPr>
          <w:rFonts w:hint="eastAsia" w:ascii="宋体" w:hAnsi="宋体" w:eastAsia="宋体" w:cs="宋体"/>
          <w:b/>
          <w:sz w:val="24"/>
          <w:szCs w:val="24"/>
          <w:highlight w:val="none"/>
        </w:rPr>
        <w:t>第一章 总则</w:t>
      </w:r>
      <w:bookmarkEnd w:id="371"/>
    </w:p>
    <w:p w14:paraId="7C729FAB">
      <w:pPr>
        <w:keepNext w:val="0"/>
        <w:keepLines w:val="0"/>
        <w:pageBreakBefore w:val="0"/>
        <w:widowControl w:val="0"/>
        <w:kinsoku/>
        <w:wordWrap/>
        <w:overflowPunct/>
        <w:topLinePunct w:val="0"/>
        <w:autoSpaceDE/>
        <w:autoSpaceDN/>
        <w:bidi w:val="0"/>
        <w:adjustRightInd w:val="0"/>
        <w:snapToGrid w:val="0"/>
        <w:spacing w:line="480" w:lineRule="exact"/>
        <w:ind w:left="0"/>
        <w:jc w:val="both"/>
        <w:textAlignment w:val="auto"/>
        <w:outlineLvl w:val="2"/>
        <w:rPr>
          <w:rFonts w:hint="eastAsia" w:ascii="宋体" w:hAnsi="宋体" w:eastAsia="宋体" w:cs="宋体"/>
          <w:sz w:val="24"/>
          <w:szCs w:val="24"/>
          <w:highlight w:val="none"/>
        </w:rPr>
      </w:pPr>
      <w:bookmarkStart w:id="372" w:name="heading_1"/>
      <w:r>
        <w:rPr>
          <w:rFonts w:hint="eastAsia" w:ascii="宋体" w:hAnsi="宋体" w:eastAsia="宋体" w:cs="宋体"/>
          <w:b/>
          <w:bCs w:val="0"/>
          <w:sz w:val="24"/>
          <w:szCs w:val="24"/>
          <w:highlight w:val="none"/>
        </w:rPr>
        <w:t>第一条</w:t>
      </w:r>
      <w:r>
        <w:rPr>
          <w:rFonts w:hint="eastAsia" w:ascii="宋体" w:hAnsi="宋体" w:eastAsia="宋体" w:cs="宋体"/>
          <w:b/>
          <w:bCs w:val="0"/>
          <w:sz w:val="24"/>
          <w:szCs w:val="24"/>
          <w:highlight w:val="none"/>
          <w:lang w:val="en-US" w:eastAsia="zh-CN"/>
        </w:rPr>
        <w:t xml:space="preserve"> </w:t>
      </w:r>
      <w:r>
        <w:rPr>
          <w:rFonts w:hint="eastAsia" w:ascii="宋体" w:hAnsi="宋体" w:eastAsia="宋体" w:cs="宋体"/>
          <w:b/>
          <w:bCs w:val="0"/>
          <w:sz w:val="24"/>
          <w:szCs w:val="24"/>
          <w:highlight w:val="none"/>
        </w:rPr>
        <w:t>制定目的</w:t>
      </w:r>
      <w:bookmarkEnd w:id="372"/>
    </w:p>
    <w:p w14:paraId="14A1E9CB">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为进一步规范市政公用设施市场化运营管护工作，强化管护服务企业履约意识，压实</w:t>
      </w:r>
      <w:r>
        <w:rPr>
          <w:rFonts w:hint="eastAsia" w:ascii="宋体" w:hAnsi="宋体" w:eastAsia="宋体" w:cs="宋体"/>
          <w:sz w:val="24"/>
          <w:szCs w:val="24"/>
          <w:highlight w:val="none"/>
          <w:lang w:val="en-US" w:eastAsia="zh-CN"/>
        </w:rPr>
        <w:t>市政</w:t>
      </w:r>
      <w:r>
        <w:rPr>
          <w:rFonts w:hint="eastAsia" w:ascii="宋体" w:hAnsi="宋体" w:eastAsia="宋体" w:cs="宋体"/>
          <w:sz w:val="24"/>
          <w:szCs w:val="24"/>
          <w:highlight w:val="none"/>
        </w:rPr>
        <w:t>道路、排水、污水设施日常管护主体责任，提升市政设施精细化、常态化、标准化管护水平，保障城市市政设施安全、完好、高效运行，结合</w:t>
      </w:r>
      <w:r>
        <w:rPr>
          <w:rFonts w:hint="eastAsia" w:ascii="宋体" w:hAnsi="宋体" w:eastAsia="宋体" w:cs="宋体"/>
          <w:sz w:val="24"/>
          <w:szCs w:val="24"/>
          <w:highlight w:val="none"/>
          <w:lang w:val="en-US" w:eastAsia="zh-CN"/>
        </w:rPr>
        <w:t>国家、省、市</w:t>
      </w:r>
      <w:r>
        <w:rPr>
          <w:rFonts w:hint="eastAsia" w:ascii="宋体" w:hAnsi="宋体" w:eastAsia="宋体" w:cs="宋体"/>
          <w:sz w:val="24"/>
          <w:szCs w:val="24"/>
          <w:highlight w:val="none"/>
        </w:rPr>
        <w:t>城镇道路养护、管网运维相关规范</w:t>
      </w:r>
      <w:r>
        <w:rPr>
          <w:rFonts w:hint="eastAsia" w:ascii="宋体" w:hAnsi="宋体" w:eastAsia="宋体" w:cs="宋体"/>
          <w:sz w:val="24"/>
          <w:szCs w:val="24"/>
          <w:highlight w:val="none"/>
          <w:lang w:val="en-US" w:eastAsia="zh-CN"/>
        </w:rPr>
        <w:t>和我县</w:t>
      </w:r>
      <w:r>
        <w:rPr>
          <w:rFonts w:hint="eastAsia" w:ascii="宋体" w:hAnsi="宋体" w:eastAsia="宋体" w:cs="宋体"/>
          <w:sz w:val="24"/>
          <w:szCs w:val="24"/>
          <w:highlight w:val="none"/>
        </w:rPr>
        <w:t>市政</w:t>
      </w:r>
      <w:r>
        <w:rPr>
          <w:rFonts w:hint="eastAsia" w:ascii="宋体" w:hAnsi="宋体" w:eastAsia="宋体" w:cs="宋体"/>
          <w:sz w:val="24"/>
          <w:szCs w:val="24"/>
          <w:highlight w:val="none"/>
          <w:lang w:val="en-US" w:eastAsia="zh-CN"/>
        </w:rPr>
        <w:t>公用设施</w:t>
      </w:r>
      <w:r>
        <w:rPr>
          <w:rFonts w:hint="eastAsia" w:ascii="宋体" w:hAnsi="宋体" w:eastAsia="宋体" w:cs="宋体"/>
          <w:sz w:val="24"/>
          <w:szCs w:val="24"/>
          <w:highlight w:val="none"/>
        </w:rPr>
        <w:t>管护</w:t>
      </w:r>
      <w:r>
        <w:rPr>
          <w:rFonts w:hint="eastAsia" w:ascii="宋体" w:hAnsi="宋体" w:eastAsia="宋体" w:cs="宋体"/>
          <w:sz w:val="24"/>
          <w:szCs w:val="24"/>
          <w:highlight w:val="none"/>
          <w:lang w:eastAsia="zh-CN"/>
        </w:rPr>
        <w:t>工作实际，制定</w:t>
      </w:r>
      <w:r>
        <w:rPr>
          <w:rFonts w:hint="eastAsia" w:ascii="宋体" w:hAnsi="宋体" w:eastAsia="宋体" w:cs="宋体"/>
          <w:sz w:val="24"/>
          <w:szCs w:val="24"/>
          <w:highlight w:val="none"/>
        </w:rPr>
        <w:t>实施方案。</w:t>
      </w:r>
    </w:p>
    <w:p w14:paraId="0A936FA0">
      <w:pPr>
        <w:keepNext w:val="0"/>
        <w:keepLines w:val="0"/>
        <w:pageBreakBefore w:val="0"/>
        <w:widowControl w:val="0"/>
        <w:kinsoku/>
        <w:wordWrap/>
        <w:overflowPunct/>
        <w:topLinePunct w:val="0"/>
        <w:autoSpaceDE/>
        <w:autoSpaceDN/>
        <w:bidi w:val="0"/>
        <w:adjustRightInd w:val="0"/>
        <w:snapToGrid w:val="0"/>
        <w:spacing w:line="480" w:lineRule="exact"/>
        <w:ind w:left="0"/>
        <w:jc w:val="both"/>
        <w:textAlignment w:val="auto"/>
        <w:outlineLvl w:val="2"/>
        <w:rPr>
          <w:rFonts w:hint="eastAsia" w:ascii="宋体" w:hAnsi="宋体" w:eastAsia="宋体" w:cs="宋体"/>
          <w:b/>
          <w:bCs w:val="0"/>
          <w:sz w:val="24"/>
          <w:szCs w:val="24"/>
          <w:highlight w:val="none"/>
        </w:rPr>
      </w:pPr>
      <w:bookmarkStart w:id="373" w:name="heading_2"/>
      <w:r>
        <w:rPr>
          <w:rFonts w:hint="eastAsia" w:ascii="宋体" w:hAnsi="宋体" w:eastAsia="宋体" w:cs="宋体"/>
          <w:b/>
          <w:bCs w:val="0"/>
          <w:sz w:val="24"/>
          <w:szCs w:val="24"/>
          <w:highlight w:val="none"/>
        </w:rPr>
        <w:t>第二条 适用范围</w:t>
      </w:r>
      <w:bookmarkEnd w:id="373"/>
    </w:p>
    <w:p w14:paraId="1B9CCAA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本方案适用于</w:t>
      </w:r>
      <w:r>
        <w:rPr>
          <w:rFonts w:hint="eastAsia" w:ascii="宋体" w:hAnsi="宋体" w:eastAsia="宋体" w:cs="宋体"/>
          <w:b w:val="0"/>
          <w:bCs w:val="0"/>
          <w:sz w:val="24"/>
          <w:szCs w:val="24"/>
          <w:highlight w:val="none"/>
          <w:lang w:val="en-US" w:eastAsia="zh-CN"/>
        </w:rPr>
        <w:t>易门县综合行政执法局</w:t>
      </w:r>
      <w:r>
        <w:rPr>
          <w:rFonts w:hint="eastAsia" w:ascii="宋体" w:hAnsi="宋体" w:eastAsia="宋体" w:cs="宋体"/>
          <w:b w:val="0"/>
          <w:bCs w:val="0"/>
          <w:sz w:val="24"/>
          <w:szCs w:val="24"/>
          <w:highlight w:val="none"/>
        </w:rPr>
        <w:t>通过政府购买服务、特许经营等方式确定的承担辖区内市政道路、排水、污水</w:t>
      </w:r>
      <w:r>
        <w:rPr>
          <w:rFonts w:hint="eastAsia" w:ascii="宋体" w:hAnsi="宋体" w:eastAsia="宋体" w:cs="宋体"/>
          <w:b w:val="0"/>
          <w:bCs w:val="0"/>
          <w:sz w:val="24"/>
          <w:szCs w:val="24"/>
          <w:highlight w:val="none"/>
          <w:lang w:val="en-US" w:eastAsia="zh-CN"/>
        </w:rPr>
        <w:t>设施日常管护</w:t>
      </w:r>
      <w:r>
        <w:rPr>
          <w:rFonts w:hint="eastAsia" w:ascii="宋体" w:hAnsi="宋体" w:eastAsia="宋体" w:cs="宋体"/>
          <w:b w:val="0"/>
          <w:bCs w:val="0"/>
          <w:sz w:val="24"/>
          <w:szCs w:val="24"/>
          <w:highlight w:val="none"/>
        </w:rPr>
        <w:t>运营服务的所有第三方运</w:t>
      </w:r>
      <w:r>
        <w:rPr>
          <w:rFonts w:hint="eastAsia" w:ascii="宋体" w:hAnsi="宋体" w:eastAsia="宋体" w:cs="宋体"/>
          <w:b w:val="0"/>
          <w:bCs w:val="0"/>
          <w:sz w:val="24"/>
          <w:szCs w:val="24"/>
          <w:highlight w:val="none"/>
          <w:lang w:val="en-US" w:eastAsia="zh-CN"/>
        </w:rPr>
        <w:t>维</w:t>
      </w:r>
      <w:r>
        <w:rPr>
          <w:rFonts w:hint="eastAsia" w:ascii="宋体" w:hAnsi="宋体" w:eastAsia="宋体" w:cs="宋体"/>
          <w:b w:val="0"/>
          <w:bCs w:val="0"/>
          <w:sz w:val="24"/>
          <w:szCs w:val="24"/>
          <w:highlight w:val="none"/>
        </w:rPr>
        <w:t>企业。</w:t>
      </w:r>
    </w:p>
    <w:p w14:paraId="53EE390E">
      <w:pPr>
        <w:keepNext w:val="0"/>
        <w:keepLines w:val="0"/>
        <w:pageBreakBefore w:val="0"/>
        <w:widowControl w:val="0"/>
        <w:numPr>
          <w:ilvl w:val="0"/>
          <w:numId w:val="27"/>
        </w:numPr>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考核依据</w:t>
      </w:r>
    </w:p>
    <w:p w14:paraId="0A79BFC3">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依据《城市道路管理条例》《城镇排水与污水处理条例》</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rPr>
        <w:t>行业技术规范及</w:t>
      </w:r>
      <w:r>
        <w:rPr>
          <w:rFonts w:hint="eastAsia" w:ascii="宋体" w:hAnsi="宋体" w:eastAsia="宋体" w:cs="宋体"/>
          <w:sz w:val="24"/>
          <w:szCs w:val="24"/>
          <w:highlight w:val="none"/>
          <w:lang w:val="en-US" w:eastAsia="zh-CN"/>
        </w:rPr>
        <w:t>招投标文件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严格遵循《城镇道路养护技术规范》（CJJ36-2016）、《城镇排水管道维护安全技术规程》（CJJ68-2016）、城市市政设施养护管理相关规章制度及属地市政运维管理要求开展考核工作。</w:t>
      </w:r>
    </w:p>
    <w:p w14:paraId="19012CD2">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第</w:t>
      </w: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条 考核范围</w:t>
      </w:r>
      <w:r>
        <w:rPr>
          <w:rFonts w:hint="eastAsia" w:ascii="宋体" w:hAnsi="宋体" w:eastAsia="宋体" w:cs="宋体"/>
          <w:sz w:val="24"/>
          <w:szCs w:val="24"/>
          <w:highlight w:val="none"/>
        </w:rPr>
        <w:t xml:space="preserve"> </w:t>
      </w:r>
    </w:p>
    <w:p w14:paraId="0CD62026">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本细则适用于</w:t>
      </w:r>
      <w:r>
        <w:rPr>
          <w:rFonts w:hint="eastAsia" w:ascii="宋体" w:hAnsi="宋体" w:eastAsia="宋体" w:cs="宋体"/>
          <w:sz w:val="24"/>
          <w:szCs w:val="24"/>
          <w:highlight w:val="none"/>
          <w:lang w:val="en-US" w:eastAsia="zh-CN"/>
        </w:rPr>
        <w:t>易门县综合行政执法局管</w:t>
      </w:r>
      <w:r>
        <w:rPr>
          <w:rFonts w:hint="eastAsia" w:ascii="宋体" w:hAnsi="宋体" w:eastAsia="宋体" w:cs="宋体"/>
          <w:sz w:val="24"/>
          <w:szCs w:val="24"/>
          <w:highlight w:val="none"/>
        </w:rPr>
        <w:t>辖</w:t>
      </w:r>
      <w:r>
        <w:rPr>
          <w:rFonts w:hint="eastAsia" w:ascii="宋体" w:hAnsi="宋体" w:eastAsia="宋体" w:cs="宋体"/>
          <w:sz w:val="24"/>
          <w:szCs w:val="24"/>
          <w:highlight w:val="none"/>
          <w:lang w:val="en-US" w:eastAsia="zh-CN"/>
        </w:rPr>
        <w:t>范围内</w:t>
      </w:r>
      <w:r>
        <w:rPr>
          <w:rFonts w:hint="eastAsia" w:ascii="宋体" w:hAnsi="宋体" w:eastAsia="宋体" w:cs="宋体"/>
          <w:sz w:val="24"/>
          <w:szCs w:val="24"/>
          <w:highlight w:val="none"/>
        </w:rPr>
        <w:t>所有市政公共道路（车行道、人行道、盲道、路缘石、边坡、挡土墙、道路附属构筑物）、市政管网（雨水管网、污水管网、检查井、雨水篦</w:t>
      </w:r>
      <w:r>
        <w:rPr>
          <w:rFonts w:hint="eastAsia" w:ascii="宋体" w:hAnsi="宋体" w:eastAsia="宋体" w:cs="宋体"/>
          <w:sz w:val="24"/>
          <w:szCs w:val="24"/>
          <w:highlight w:val="none"/>
          <w:lang w:val="en-US" w:eastAsia="zh-CN"/>
        </w:rPr>
        <w:t>子</w:t>
      </w:r>
      <w:r>
        <w:rPr>
          <w:rFonts w:hint="eastAsia" w:ascii="宋体" w:hAnsi="宋体" w:eastAsia="宋体" w:cs="宋体"/>
          <w:sz w:val="24"/>
          <w:szCs w:val="24"/>
          <w:highlight w:val="none"/>
        </w:rPr>
        <w:t>、出水口、管网附属设施）的日常巡查、养护维修、清淤疏通、隐患整改、应急保障、资料归档等全部运维工作。</w:t>
      </w:r>
    </w:p>
    <w:p w14:paraId="1434A23A">
      <w:pPr>
        <w:keepNext w:val="0"/>
        <w:keepLines w:val="0"/>
        <w:pageBreakBefore w:val="0"/>
        <w:widowControl w:val="0"/>
        <w:kinsoku/>
        <w:wordWrap/>
        <w:overflowPunct/>
        <w:topLinePunct w:val="0"/>
        <w:autoSpaceDE/>
        <w:autoSpaceDN/>
        <w:bidi w:val="0"/>
        <w:adjustRightInd w:val="0"/>
        <w:snapToGrid w:val="0"/>
        <w:spacing w:line="480" w:lineRule="exact"/>
        <w:ind w:left="0"/>
        <w:jc w:val="both"/>
        <w:textAlignment w:val="auto"/>
        <w:outlineLvl w:val="2"/>
        <w:rPr>
          <w:rFonts w:hint="eastAsia" w:ascii="宋体" w:hAnsi="宋体" w:eastAsia="宋体" w:cs="宋体"/>
          <w:sz w:val="24"/>
          <w:szCs w:val="24"/>
          <w:highlight w:val="none"/>
        </w:rPr>
      </w:pPr>
      <w:bookmarkStart w:id="374" w:name="heading_3"/>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条</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考核原则</w:t>
      </w:r>
      <w:bookmarkEnd w:id="374"/>
    </w:p>
    <w:p w14:paraId="6FF1405E">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b/>
          <w:sz w:val="24"/>
          <w:szCs w:val="24"/>
          <w:highlight w:val="none"/>
        </w:rPr>
        <w:t>公开公平、客观公正</w:t>
      </w:r>
      <w:r>
        <w:rPr>
          <w:rFonts w:hint="eastAsia" w:ascii="宋体" w:hAnsi="宋体" w:eastAsia="宋体" w:cs="宋体"/>
          <w:sz w:val="24"/>
          <w:szCs w:val="24"/>
          <w:highlight w:val="none"/>
        </w:rPr>
        <w:t>：考核标准统一、流程透明、结果公开，以现场核查、台账资料、实际成效为依据，杜绝主观打分。</w:t>
      </w:r>
    </w:p>
    <w:p w14:paraId="6399C0D7">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b/>
          <w:sz w:val="24"/>
          <w:szCs w:val="24"/>
          <w:highlight w:val="none"/>
        </w:rPr>
        <w:t>日常为主、常态监管</w:t>
      </w:r>
      <w:r>
        <w:rPr>
          <w:rFonts w:hint="eastAsia" w:ascii="宋体" w:hAnsi="宋体" w:eastAsia="宋体" w:cs="宋体"/>
          <w:sz w:val="24"/>
          <w:szCs w:val="24"/>
          <w:highlight w:val="none"/>
        </w:rPr>
        <w:t>：坚持日常巡查、随机抽查、月度考核相结合，注重过程管理、问题闭环整改。</w:t>
      </w:r>
    </w:p>
    <w:p w14:paraId="7B17287F">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w:t>
      </w:r>
      <w:r>
        <w:rPr>
          <w:rFonts w:hint="eastAsia" w:ascii="宋体" w:hAnsi="宋体" w:eastAsia="宋体" w:cs="宋体"/>
          <w:b/>
          <w:sz w:val="24"/>
          <w:szCs w:val="24"/>
          <w:highlight w:val="none"/>
        </w:rPr>
        <w:t>量化考核、奖惩分明</w:t>
      </w:r>
      <w:r>
        <w:rPr>
          <w:rFonts w:hint="eastAsia" w:ascii="宋体" w:hAnsi="宋体" w:eastAsia="宋体" w:cs="宋体"/>
          <w:sz w:val="24"/>
          <w:szCs w:val="24"/>
          <w:highlight w:val="none"/>
        </w:rPr>
        <w:t>：全部考核指标量化打分，考核结果与服务费用、履约评价、续约资格直接挂钩。</w:t>
      </w:r>
    </w:p>
    <w:p w14:paraId="07D592D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w:t>
      </w:r>
      <w:r>
        <w:rPr>
          <w:rFonts w:hint="eastAsia" w:ascii="宋体" w:hAnsi="宋体" w:eastAsia="宋体" w:cs="宋体"/>
          <w:b/>
          <w:sz w:val="24"/>
          <w:szCs w:val="24"/>
          <w:highlight w:val="none"/>
        </w:rPr>
        <w:t>注重实效、闭环管理</w:t>
      </w:r>
      <w:r>
        <w:rPr>
          <w:rFonts w:hint="eastAsia" w:ascii="宋体" w:hAnsi="宋体" w:eastAsia="宋体" w:cs="宋体"/>
          <w:sz w:val="24"/>
          <w:szCs w:val="24"/>
          <w:highlight w:val="none"/>
        </w:rPr>
        <w:t>：以解决实际问题为导向，建立“发现—交办—整改—复核—销号”闭环机制。</w:t>
      </w:r>
    </w:p>
    <w:p w14:paraId="302D56CD">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1"/>
        <w:rPr>
          <w:rFonts w:hint="eastAsia" w:ascii="宋体" w:hAnsi="宋体" w:eastAsia="宋体" w:cs="宋体"/>
          <w:b/>
          <w:sz w:val="24"/>
          <w:szCs w:val="24"/>
          <w:highlight w:val="none"/>
        </w:rPr>
      </w:pPr>
      <w:bookmarkStart w:id="375" w:name="heading_5"/>
      <w:r>
        <w:rPr>
          <w:rFonts w:hint="eastAsia" w:ascii="宋体" w:hAnsi="宋体" w:eastAsia="宋体" w:cs="宋体"/>
          <w:b/>
          <w:sz w:val="24"/>
          <w:szCs w:val="24"/>
          <w:highlight w:val="none"/>
        </w:rPr>
        <w:t>第二章 考核组织与职责</w:t>
      </w:r>
      <w:bookmarkEnd w:id="375"/>
    </w:p>
    <w:p w14:paraId="6D2ECA6A">
      <w:pPr>
        <w:keepNext w:val="0"/>
        <w:keepLines w:val="0"/>
        <w:pageBreakBefore w:val="0"/>
        <w:widowControl w:val="0"/>
        <w:kinsoku/>
        <w:wordWrap/>
        <w:overflowPunct/>
        <w:topLinePunct w:val="0"/>
        <w:autoSpaceDE/>
        <w:autoSpaceDN/>
        <w:bidi w:val="0"/>
        <w:adjustRightInd w:val="0"/>
        <w:snapToGrid w:val="0"/>
        <w:spacing w:line="480" w:lineRule="exact"/>
        <w:ind w:left="0"/>
        <w:jc w:val="both"/>
        <w:textAlignment w:val="auto"/>
        <w:outlineLvl w:val="2"/>
        <w:rPr>
          <w:rFonts w:hint="eastAsia" w:ascii="宋体" w:hAnsi="宋体" w:eastAsia="宋体" w:cs="宋体"/>
          <w:sz w:val="24"/>
          <w:szCs w:val="24"/>
          <w:highlight w:val="none"/>
        </w:rPr>
      </w:pPr>
      <w:bookmarkStart w:id="376" w:name="heading_6"/>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条 考核组织单位</w:t>
      </w:r>
      <w:bookmarkEnd w:id="376"/>
    </w:p>
    <w:p w14:paraId="554D230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由</w:t>
      </w:r>
      <w:r>
        <w:rPr>
          <w:rFonts w:hint="eastAsia" w:ascii="宋体" w:hAnsi="宋体" w:eastAsia="宋体" w:cs="宋体"/>
          <w:sz w:val="24"/>
          <w:szCs w:val="24"/>
          <w:highlight w:val="none"/>
          <w:lang w:val="en-US" w:eastAsia="zh-CN"/>
        </w:rPr>
        <w:t>易门县综合行政执法局</w:t>
      </w:r>
      <w:r>
        <w:rPr>
          <w:rFonts w:hint="eastAsia" w:ascii="宋体" w:hAnsi="宋体" w:eastAsia="宋体" w:cs="宋体"/>
          <w:sz w:val="24"/>
          <w:szCs w:val="24"/>
          <w:highlight w:val="none"/>
        </w:rPr>
        <w:t>牵头组织成立市政</w:t>
      </w:r>
      <w:r>
        <w:rPr>
          <w:rFonts w:hint="eastAsia" w:ascii="宋体" w:hAnsi="宋体" w:eastAsia="宋体" w:cs="宋体"/>
          <w:sz w:val="24"/>
          <w:szCs w:val="24"/>
          <w:highlight w:val="none"/>
          <w:lang w:val="en-US" w:eastAsia="zh-CN"/>
        </w:rPr>
        <w:t>公用</w:t>
      </w:r>
      <w:r>
        <w:rPr>
          <w:rFonts w:hint="eastAsia" w:ascii="宋体" w:hAnsi="宋体" w:eastAsia="宋体" w:cs="宋体"/>
          <w:sz w:val="24"/>
          <w:szCs w:val="24"/>
          <w:highlight w:val="none"/>
        </w:rPr>
        <w:t>设施管护考核工作小组，负责考核计划制定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日常巡查、现场核查、台账资料审核、月度考评、问题督办、结果汇总及结果运用工作。</w:t>
      </w:r>
      <w:r>
        <w:rPr>
          <w:rFonts w:hint="eastAsia" w:ascii="宋体" w:hAnsi="宋体" w:eastAsia="宋体" w:cs="宋体"/>
          <w:sz w:val="24"/>
          <w:szCs w:val="24"/>
          <w:highlight w:val="none"/>
          <w:lang w:val="en-US" w:eastAsia="zh-CN"/>
        </w:rPr>
        <w:t>市政公用设施</w:t>
      </w:r>
      <w:r>
        <w:rPr>
          <w:rFonts w:hint="eastAsia" w:ascii="宋体" w:hAnsi="宋体" w:eastAsia="宋体" w:cs="宋体"/>
          <w:sz w:val="24"/>
          <w:szCs w:val="24"/>
          <w:highlight w:val="none"/>
        </w:rPr>
        <w:t>运维</w:t>
      </w:r>
      <w:r>
        <w:rPr>
          <w:rFonts w:hint="eastAsia" w:ascii="宋体" w:hAnsi="宋体" w:eastAsia="宋体" w:cs="宋体"/>
          <w:sz w:val="24"/>
          <w:szCs w:val="24"/>
          <w:highlight w:val="none"/>
          <w:lang w:val="en-US" w:eastAsia="zh-CN"/>
        </w:rPr>
        <w:t>企业</w:t>
      </w:r>
      <w:r>
        <w:rPr>
          <w:rFonts w:hint="eastAsia" w:ascii="宋体" w:hAnsi="宋体" w:eastAsia="宋体" w:cs="宋体"/>
          <w:sz w:val="24"/>
          <w:szCs w:val="24"/>
          <w:highlight w:val="none"/>
        </w:rPr>
        <w:t>为被考核</w:t>
      </w:r>
      <w:r>
        <w:rPr>
          <w:rFonts w:hint="eastAsia" w:ascii="宋体" w:hAnsi="宋体" w:eastAsia="宋体" w:cs="宋体"/>
          <w:sz w:val="24"/>
          <w:szCs w:val="24"/>
          <w:highlight w:val="none"/>
          <w:lang w:val="en-US" w:eastAsia="zh-CN"/>
        </w:rPr>
        <w:t>责任</w:t>
      </w:r>
      <w:r>
        <w:rPr>
          <w:rFonts w:hint="eastAsia" w:ascii="宋体" w:hAnsi="宋体" w:eastAsia="宋体" w:cs="宋体"/>
          <w:sz w:val="24"/>
          <w:szCs w:val="24"/>
          <w:highlight w:val="none"/>
        </w:rPr>
        <w:t>主体，落实日常运维整改、资料上报、自查自纠工作。</w:t>
      </w:r>
    </w:p>
    <w:p w14:paraId="670A5102">
      <w:pPr>
        <w:keepNext w:val="0"/>
        <w:keepLines w:val="0"/>
        <w:pageBreakBefore w:val="0"/>
        <w:widowControl w:val="0"/>
        <w:kinsoku/>
        <w:wordWrap/>
        <w:overflowPunct/>
        <w:topLinePunct w:val="0"/>
        <w:autoSpaceDE/>
        <w:autoSpaceDN/>
        <w:bidi w:val="0"/>
        <w:adjustRightInd w:val="0"/>
        <w:snapToGrid w:val="0"/>
        <w:spacing w:line="480" w:lineRule="exact"/>
        <w:ind w:left="0"/>
        <w:jc w:val="both"/>
        <w:textAlignment w:val="auto"/>
        <w:outlineLvl w:val="2"/>
        <w:rPr>
          <w:rFonts w:hint="eastAsia" w:ascii="宋体" w:hAnsi="宋体" w:eastAsia="宋体" w:cs="宋体"/>
          <w:sz w:val="24"/>
          <w:szCs w:val="24"/>
          <w:highlight w:val="none"/>
        </w:rPr>
      </w:pPr>
      <w:bookmarkStart w:id="377" w:name="heading_7"/>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rPr>
        <w:t>条</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w:t>
      </w:r>
      <w:r>
        <w:rPr>
          <w:rFonts w:hint="eastAsia" w:ascii="宋体" w:hAnsi="宋体" w:eastAsia="宋体" w:cs="宋体"/>
          <w:b/>
          <w:bCs/>
          <w:sz w:val="24"/>
          <w:szCs w:val="24"/>
          <w:highlight w:val="none"/>
        </w:rPr>
        <w:t>市政</w:t>
      </w:r>
      <w:r>
        <w:rPr>
          <w:rFonts w:hint="eastAsia" w:ascii="宋体" w:hAnsi="宋体" w:eastAsia="宋体" w:cs="宋体"/>
          <w:b/>
          <w:bCs/>
          <w:sz w:val="24"/>
          <w:szCs w:val="24"/>
          <w:highlight w:val="none"/>
          <w:lang w:val="en-US" w:eastAsia="zh-CN"/>
        </w:rPr>
        <w:t>公用</w:t>
      </w:r>
      <w:r>
        <w:rPr>
          <w:rFonts w:hint="eastAsia" w:ascii="宋体" w:hAnsi="宋体" w:eastAsia="宋体" w:cs="宋体"/>
          <w:b/>
          <w:bCs/>
          <w:sz w:val="24"/>
          <w:szCs w:val="24"/>
          <w:highlight w:val="none"/>
        </w:rPr>
        <w:t>设施管护考核工作小组主要工作职责</w:t>
      </w:r>
      <w:bookmarkEnd w:id="377"/>
    </w:p>
    <w:p w14:paraId="57F5689D">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1.负责制定、修订考核标准及实施方案，规范考核流程；</w:t>
      </w:r>
    </w:p>
    <w:p w14:paraId="0A821C5C">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2.开展日常巡查、随机抽查、专项检查，如实记录问题、留存佐证资料；</w:t>
      </w:r>
    </w:p>
    <w:p w14:paraId="1DAADB6B">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3.按月组织集中考核打分，汇总考核成绩，建立</w:t>
      </w:r>
      <w:r>
        <w:rPr>
          <w:rFonts w:hint="eastAsia" w:ascii="宋体" w:hAnsi="宋体" w:eastAsia="宋体" w:cs="宋体"/>
          <w:sz w:val="24"/>
          <w:szCs w:val="24"/>
          <w:highlight w:val="none"/>
          <w:lang w:val="en-US" w:eastAsia="zh-CN"/>
        </w:rPr>
        <w:t>运维</w:t>
      </w:r>
      <w:r>
        <w:rPr>
          <w:rFonts w:hint="eastAsia" w:ascii="宋体" w:hAnsi="宋体" w:eastAsia="宋体" w:cs="宋体"/>
          <w:sz w:val="24"/>
          <w:szCs w:val="24"/>
          <w:highlight w:val="none"/>
        </w:rPr>
        <w:t>企业考核台账；</w:t>
      </w:r>
    </w:p>
    <w:p w14:paraId="79ADA745">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4.对考核发现问题下达整改通知，跟踪督办、复核销号；</w:t>
      </w:r>
    </w:p>
    <w:p w14:paraId="315548E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负责考核结果公示、解释、归档及月度、年度履约评价运用。</w:t>
      </w:r>
    </w:p>
    <w:p w14:paraId="688F8D85">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1"/>
        <w:rPr>
          <w:rFonts w:hint="eastAsia" w:ascii="宋体" w:hAnsi="宋体" w:eastAsia="宋体" w:cs="宋体"/>
          <w:b/>
          <w:sz w:val="24"/>
          <w:szCs w:val="24"/>
          <w:highlight w:val="none"/>
        </w:rPr>
      </w:pPr>
      <w:bookmarkStart w:id="378" w:name="heading_8"/>
      <w:r>
        <w:rPr>
          <w:rFonts w:hint="eastAsia" w:ascii="宋体" w:hAnsi="宋体" w:eastAsia="宋体" w:cs="宋体"/>
          <w:b/>
          <w:sz w:val="24"/>
          <w:szCs w:val="24"/>
          <w:highlight w:val="none"/>
        </w:rPr>
        <w:t>第三章</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考核方式与周期</w:t>
      </w:r>
      <w:bookmarkEnd w:id="378"/>
    </w:p>
    <w:p w14:paraId="7FFCB09D">
      <w:pPr>
        <w:keepNext w:val="0"/>
        <w:keepLines w:val="0"/>
        <w:pageBreakBefore w:val="0"/>
        <w:widowControl w:val="0"/>
        <w:kinsoku/>
        <w:wordWrap/>
        <w:overflowPunct/>
        <w:topLinePunct w:val="0"/>
        <w:autoSpaceDE/>
        <w:autoSpaceDN/>
        <w:bidi w:val="0"/>
        <w:adjustRightInd w:val="0"/>
        <w:snapToGrid w:val="0"/>
        <w:spacing w:line="480" w:lineRule="exact"/>
        <w:ind w:left="0"/>
        <w:jc w:val="both"/>
        <w:textAlignment w:val="auto"/>
        <w:outlineLvl w:val="2"/>
        <w:rPr>
          <w:rFonts w:hint="eastAsia" w:ascii="宋体" w:hAnsi="宋体" w:eastAsia="宋体" w:cs="宋体"/>
          <w:sz w:val="24"/>
          <w:szCs w:val="24"/>
          <w:highlight w:val="none"/>
        </w:rPr>
      </w:pPr>
      <w:bookmarkStart w:id="379" w:name="heading_9"/>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rPr>
        <w:t>条 考核方式</w:t>
      </w:r>
      <w:bookmarkEnd w:id="379"/>
    </w:p>
    <w:p w14:paraId="2BB13D7E">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采取</w:t>
      </w:r>
      <w:r>
        <w:rPr>
          <w:rFonts w:hint="eastAsia" w:ascii="宋体" w:hAnsi="宋体" w:eastAsia="宋体" w:cs="宋体"/>
          <w:b/>
          <w:sz w:val="24"/>
          <w:szCs w:val="24"/>
          <w:highlight w:val="none"/>
        </w:rPr>
        <w:t>日常巡查+现场核查+台账查阅+投诉核查+视频抽查+专项检查</w:t>
      </w:r>
      <w:r>
        <w:rPr>
          <w:rFonts w:hint="eastAsia" w:ascii="宋体" w:hAnsi="宋体" w:eastAsia="宋体" w:cs="宋体"/>
          <w:sz w:val="24"/>
          <w:szCs w:val="24"/>
          <w:highlight w:val="none"/>
        </w:rPr>
        <w:t>相结合</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方式，全方位、全过程考核企业管护履约情况。</w:t>
      </w:r>
    </w:p>
    <w:p w14:paraId="7854623B">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1.现场核查：实地检查道路、管网设施完好状况、养护作业质量、现场环境卫生；</w:t>
      </w:r>
    </w:p>
    <w:p w14:paraId="0A5C8E27">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2.台账核查：审核巡查记录、维修台账、清淤记录、隐患整改资料、工作计划报表；</w:t>
      </w:r>
    </w:p>
    <w:p w14:paraId="70533ED3">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3.随机抽查：不定时、不定路段突击检查日常运维履职情况；</w:t>
      </w:r>
    </w:p>
    <w:p w14:paraId="1CD258DF">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4.群众反馈核查：核实</w:t>
      </w:r>
      <w:r>
        <w:rPr>
          <w:rFonts w:hint="eastAsia" w:ascii="宋体" w:hAnsi="宋体" w:eastAsia="宋体" w:cs="宋体"/>
          <w:sz w:val="24"/>
          <w:szCs w:val="24"/>
          <w:highlight w:val="none"/>
          <w:lang w:val="en-US" w:eastAsia="zh-CN"/>
        </w:rPr>
        <w:t>群众</w:t>
      </w:r>
      <w:r>
        <w:rPr>
          <w:rFonts w:hint="eastAsia" w:ascii="宋体" w:hAnsi="宋体" w:eastAsia="宋体" w:cs="宋体"/>
          <w:sz w:val="24"/>
          <w:szCs w:val="24"/>
          <w:highlight w:val="none"/>
        </w:rPr>
        <w:t>投诉、舆情反馈、部门转办的设施问题整改情况。</w:t>
      </w:r>
    </w:p>
    <w:p w14:paraId="646691F9">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outlineLvl w:val="2"/>
        <w:rPr>
          <w:rFonts w:hint="eastAsia" w:ascii="宋体" w:hAnsi="宋体" w:eastAsia="宋体" w:cs="宋体"/>
          <w:b/>
          <w:sz w:val="24"/>
          <w:szCs w:val="24"/>
          <w:highlight w:val="none"/>
        </w:rPr>
      </w:pPr>
      <w:bookmarkStart w:id="380" w:name="heading_10"/>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九</w:t>
      </w:r>
      <w:r>
        <w:rPr>
          <w:rFonts w:hint="eastAsia" w:ascii="宋体" w:hAnsi="宋体" w:eastAsia="宋体" w:cs="宋体"/>
          <w:b/>
          <w:sz w:val="24"/>
          <w:szCs w:val="24"/>
          <w:highlight w:val="none"/>
        </w:rPr>
        <w:t>条 考核周期</w:t>
      </w:r>
      <w:bookmarkEnd w:id="380"/>
    </w:p>
    <w:p w14:paraId="0E36FD9D">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1.日常考核：每日常态化巡查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每日随机抽查，随时记录问题、动态扣分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每周专项巡检；</w:t>
      </w:r>
    </w:p>
    <w:p w14:paraId="05C24198">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2.月度考核：每月末至次月5日前开展一次全面综合考核，汇总当月日常问题、整改情况、服务成效，形成月度考核</w:t>
      </w:r>
      <w:r>
        <w:rPr>
          <w:rFonts w:hint="eastAsia" w:ascii="宋体" w:hAnsi="宋体" w:eastAsia="宋体" w:cs="宋体"/>
          <w:sz w:val="24"/>
          <w:szCs w:val="24"/>
          <w:highlight w:val="none"/>
          <w:lang w:val="en-US" w:eastAsia="zh-CN"/>
        </w:rPr>
        <w:t>评分</w:t>
      </w:r>
      <w:r>
        <w:rPr>
          <w:rFonts w:hint="eastAsia" w:ascii="宋体" w:hAnsi="宋体" w:eastAsia="宋体" w:cs="宋体"/>
          <w:sz w:val="24"/>
          <w:szCs w:val="24"/>
          <w:highlight w:val="none"/>
        </w:rPr>
        <w:t>；</w:t>
      </w:r>
    </w:p>
    <w:p w14:paraId="7946C601">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3.年度考核：每年12月底</w:t>
      </w:r>
      <w:r>
        <w:rPr>
          <w:rFonts w:hint="eastAsia" w:ascii="宋体" w:hAnsi="宋体" w:eastAsia="宋体" w:cs="宋体"/>
          <w:sz w:val="24"/>
          <w:szCs w:val="24"/>
          <w:highlight w:val="none"/>
          <w:lang w:val="en-US" w:eastAsia="zh-CN"/>
        </w:rPr>
        <w:t>至次年1月10日前</w:t>
      </w:r>
      <w:r>
        <w:rPr>
          <w:rFonts w:hint="eastAsia" w:ascii="宋体" w:hAnsi="宋体" w:eastAsia="宋体" w:cs="宋体"/>
          <w:sz w:val="24"/>
          <w:szCs w:val="24"/>
          <w:highlight w:val="none"/>
        </w:rPr>
        <w:t>结合月度考核结果、专项检查结果综合评定，月度考核占年度总</w:t>
      </w:r>
      <w:r>
        <w:rPr>
          <w:rFonts w:hint="eastAsia" w:ascii="宋体" w:hAnsi="宋体" w:eastAsia="宋体" w:cs="宋体"/>
          <w:sz w:val="24"/>
          <w:szCs w:val="24"/>
          <w:highlight w:val="none"/>
          <w:lang w:val="en-US" w:eastAsia="zh-CN"/>
        </w:rPr>
        <w:t>评分的</w:t>
      </w:r>
      <w:r>
        <w:rPr>
          <w:rFonts w:hint="eastAsia" w:ascii="宋体" w:hAnsi="宋体" w:eastAsia="宋体" w:cs="宋体"/>
          <w:sz w:val="24"/>
          <w:szCs w:val="24"/>
          <w:highlight w:val="none"/>
        </w:rPr>
        <w:t>80%，年度专项考核占20%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汇总计算后</w:t>
      </w:r>
      <w:r>
        <w:rPr>
          <w:rFonts w:hint="eastAsia" w:ascii="宋体" w:hAnsi="宋体" w:eastAsia="宋体" w:cs="宋体"/>
          <w:sz w:val="24"/>
          <w:szCs w:val="24"/>
          <w:highlight w:val="none"/>
        </w:rPr>
        <w:t>作为年度履约评价最终</w:t>
      </w:r>
      <w:r>
        <w:rPr>
          <w:rFonts w:hint="eastAsia" w:ascii="宋体" w:hAnsi="宋体" w:eastAsia="宋体" w:cs="宋体"/>
          <w:sz w:val="24"/>
          <w:szCs w:val="24"/>
          <w:highlight w:val="none"/>
          <w:lang w:val="en-US" w:eastAsia="zh-CN"/>
        </w:rPr>
        <w:t>评分</w:t>
      </w:r>
      <w:r>
        <w:rPr>
          <w:rFonts w:hint="eastAsia" w:ascii="宋体" w:hAnsi="宋体" w:eastAsia="宋体" w:cs="宋体"/>
          <w:sz w:val="24"/>
          <w:szCs w:val="24"/>
          <w:highlight w:val="none"/>
        </w:rPr>
        <w:t>。</w:t>
      </w:r>
    </w:p>
    <w:p w14:paraId="7525DCCF">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第十条 </w:t>
      </w:r>
      <w:r>
        <w:rPr>
          <w:rFonts w:hint="eastAsia" w:ascii="宋体" w:hAnsi="宋体" w:eastAsia="宋体" w:cs="宋体"/>
          <w:b/>
          <w:bCs/>
          <w:sz w:val="24"/>
          <w:szCs w:val="24"/>
          <w:highlight w:val="none"/>
        </w:rPr>
        <w:t>考核总分及构成</w:t>
      </w:r>
    </w:p>
    <w:p w14:paraId="557EF198">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月度考核基础总分100分，由</w:t>
      </w:r>
      <w:r>
        <w:rPr>
          <w:rFonts w:hint="eastAsia" w:ascii="宋体" w:hAnsi="宋体" w:eastAsia="宋体" w:cs="宋体"/>
          <w:sz w:val="24"/>
          <w:szCs w:val="24"/>
          <w:highlight w:val="none"/>
          <w:lang w:val="en-US" w:eastAsia="zh-CN"/>
        </w:rPr>
        <w:t>市政道路管护、市政管网维护、污水提升泵站维护、内业资料与综合管理、应急管理</w:t>
      </w:r>
      <w:r>
        <w:rPr>
          <w:rFonts w:hint="eastAsia" w:ascii="宋体" w:hAnsi="宋体" w:eastAsia="宋体" w:cs="宋体"/>
          <w:sz w:val="24"/>
          <w:szCs w:val="24"/>
          <w:highlight w:val="none"/>
        </w:rPr>
        <w:t>四</w:t>
      </w:r>
      <w:r>
        <w:rPr>
          <w:rFonts w:hint="eastAsia" w:ascii="宋体" w:hAnsi="宋体" w:eastAsia="宋体" w:cs="宋体"/>
          <w:sz w:val="24"/>
          <w:szCs w:val="24"/>
          <w:highlight w:val="none"/>
          <w:lang w:val="en-US" w:eastAsia="zh-CN"/>
        </w:rPr>
        <w:t>个</w:t>
      </w:r>
      <w:r>
        <w:rPr>
          <w:rFonts w:hint="eastAsia" w:ascii="宋体" w:hAnsi="宋体" w:eastAsia="宋体" w:cs="宋体"/>
          <w:sz w:val="24"/>
          <w:szCs w:val="24"/>
          <w:highlight w:val="none"/>
        </w:rPr>
        <w:t>板块构成，同时设置加分项、一票否决项。</w:t>
      </w:r>
    </w:p>
    <w:p w14:paraId="3ECA08D1">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1.市政道路管护</w:t>
      </w:r>
      <w:r>
        <w:rPr>
          <w:rFonts w:hint="eastAsia" w:ascii="宋体" w:hAnsi="宋体" w:eastAsia="宋体" w:cs="宋体"/>
          <w:sz w:val="24"/>
          <w:szCs w:val="24"/>
          <w:highlight w:val="none"/>
          <w:lang w:val="en-US" w:eastAsia="zh-CN"/>
        </w:rPr>
        <w:t>考核</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45分</w:t>
      </w:r>
    </w:p>
    <w:p w14:paraId="112E57BD">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市政管网维护考核</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分</w:t>
      </w:r>
    </w:p>
    <w:p w14:paraId="7A3B8E2B">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3.</w:t>
      </w:r>
      <w:r>
        <w:rPr>
          <w:rFonts w:hint="eastAsia" w:ascii="宋体" w:hAnsi="宋体" w:eastAsia="宋体" w:cs="宋体"/>
          <w:b w:val="0"/>
          <w:bCs w:val="0"/>
          <w:sz w:val="24"/>
          <w:szCs w:val="24"/>
          <w:highlight w:val="none"/>
          <w:lang w:val="en-US" w:eastAsia="zh-CN"/>
        </w:rPr>
        <w:t>污水提升泵站维护：5分</w:t>
      </w:r>
    </w:p>
    <w:p w14:paraId="6EC2DECF">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内业资料与综合管理考核</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rPr>
        <w:t>分</w:t>
      </w:r>
    </w:p>
    <w:p w14:paraId="52CC632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5.应急管理：5分</w:t>
      </w:r>
    </w:p>
    <w:p w14:paraId="0313B6F8">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总分可叠加加分（最高+5分），总分封顶100分。</w:t>
      </w:r>
    </w:p>
    <w:p w14:paraId="1D22D373">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四</w:t>
      </w:r>
      <w:r>
        <w:rPr>
          <w:rFonts w:hint="eastAsia" w:ascii="宋体" w:hAnsi="宋体" w:eastAsia="宋体" w:cs="宋体"/>
          <w:b/>
          <w:sz w:val="24"/>
          <w:szCs w:val="24"/>
          <w:highlight w:val="none"/>
        </w:rPr>
        <w:t>章</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分项考核细则（100分）</w:t>
      </w:r>
    </w:p>
    <w:p w14:paraId="5750B783">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第十一条 市政道路维护考核（45分） </w:t>
      </w:r>
    </w:p>
    <w:p w14:paraId="129EFD23">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一、车行道养护（15分） </w:t>
      </w:r>
    </w:p>
    <w:p w14:paraId="71F31E5D">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1.沥青路面：无坑槽、翻浆、沉陷、拥包、松散、波浪、泛油、重度车辙、裂缝等病害。出现轻微裂缝未及时处置每处扣0.5分，出现坑槽、沉陷、车辙等影响通行病害每处扣1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2分，大面积破损未整改扣3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5分。</w:t>
      </w:r>
    </w:p>
    <w:p w14:paraId="731E187E">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2.水泥路面：无沉陷、拱起、板块破碎、坑洞、板角断裂、露筋、错台等问题。板块破损、错台每处扣1分，大面积破损、路面塌陷未处置每处扣3分。</w:t>
      </w:r>
    </w:p>
    <w:p w14:paraId="0D107937">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3.路面积水：雨后无深度15cm以上、大面积长期积水区域，积水未及时排查疏通、处置每处扣2分。</w:t>
      </w:r>
    </w:p>
    <w:p w14:paraId="1C1ED16C">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4.维修质量：路面维修修补平整、压实达标，材质、色泽与原路面一致，无二次破损、接缝开裂，维修不规范、观感差每处扣1分，维修后短期内再次破损加倍扣分。 </w:t>
      </w:r>
    </w:p>
    <w:p w14:paraId="5246873D">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二、人行道及附属设施养护（15分） </w:t>
      </w:r>
    </w:p>
    <w:p w14:paraId="3B014C25">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1.人行道板：路面平整，无破损、缺失、错台、凸起、凹陷、松动现象。单块破损、松动每处扣0.5分，破损面积超0.5㎡、塌陷面积超1㎡每处扣1分，大面积破损未整改扣3分。</w:t>
      </w:r>
    </w:p>
    <w:p w14:paraId="0835418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2.消火栓管护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保持消火栓完好，确保无部件缺损、生锈、油漆剥落等情形；（</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）确保开关、闷盖开启灵活，无锈蚀、堵塞、漏水等情况，每个扣0.5分。（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）保持消火栓外观及标志清晰、完好，每季度至少进行1次外观和标志检查，确保无遮挡、无埋压、无圈占，且周边无影响使用的障碍物。（</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）每半年至少进行1次启闭测试、压力测试和排放余水，确保消火栓在火灾时能正常出水，且压力符合标准（平时运行工作压力≥0.14MPa，火灾时最不利点出流量≥15L/s，动压≥0.10MPa）。（</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）接到消火栓被撞断、严重倾斜、栓体严重漏水等不能正常使用的反馈后，必须在24小时内完成紧急抢修。</w:t>
      </w:r>
    </w:p>
    <w:p w14:paraId="60EBAAE3">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盲道设施：盲道砖完整、顺直、无遮挡、无障碍，无破损、缺失、错位，占用、破损、缺失每处扣1分，影响通行安全扣2分。</w:t>
      </w:r>
    </w:p>
    <w:p w14:paraId="3317CA2D">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.路缘石：完整顺直、无断裂、倾斜、缺失、沉降，勾缝饱满。轻微破损每处扣0.5分，断裂、倾斜、缺失每处扣1分。</w:t>
      </w:r>
    </w:p>
    <w:p w14:paraId="2790EA36">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.边坡及挡土墙：无明显开裂、滑移、下沉、坍塌隐患，墙体无破损脱落，出现隐患未排查登记、未整改每处扣2分，出现坍塌险情未及时处置扣5分。</w:t>
      </w:r>
    </w:p>
    <w:p w14:paraId="3CEB241C">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三、道路日常管护与作业规范（15分） </w:t>
      </w:r>
    </w:p>
    <w:p w14:paraId="205B863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1.日常巡查：常规天气每日巡查1次，汛期、大风、雨雪恶劣天气每日不少于2次，夜间巡查每月不少于1次，巡查频次不足、无巡查记录每次扣1分。</w:t>
      </w:r>
    </w:p>
    <w:p w14:paraId="7453F84B">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2.作业规范：道路维修、养护作业设置标准警示标识、围挡，做好安全防护，无违规作业、占道施工不围挡情况，违规一次扣2分。</w:t>
      </w:r>
    </w:p>
    <w:p w14:paraId="596B158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3.环境卫生：道路养护后现场干净整洁，无建筑垃圾、废弃物料堆积，作业遗留垃圾未清理每处扣1分。</w:t>
      </w:r>
    </w:p>
    <w:p w14:paraId="0AB18E86">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4.病害处置时效：一般性道路病害48小时内处置完毕，重大隐患2小时内到场管控、24小时内制定整改方案，超时未处置每处扣2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3分。 </w:t>
      </w:r>
    </w:p>
    <w:p w14:paraId="66632E4E">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第十二条 </w:t>
      </w:r>
      <w:r>
        <w:rPr>
          <w:rFonts w:hint="eastAsia" w:ascii="宋体" w:hAnsi="宋体" w:eastAsia="宋体" w:cs="宋体"/>
          <w:b/>
          <w:bCs/>
          <w:sz w:val="24"/>
          <w:szCs w:val="24"/>
          <w:highlight w:val="none"/>
        </w:rPr>
        <w:t>市政管网维护考核（40分）</w:t>
      </w:r>
    </w:p>
    <w:p w14:paraId="1C87AD05">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一、管网日常巡查管护（12分）</w:t>
      </w:r>
    </w:p>
    <w:p w14:paraId="536D5C31">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1.全覆盖巡查：辖区雨、污水管网、检查井、雨水篦</w:t>
      </w:r>
      <w:r>
        <w:rPr>
          <w:rFonts w:hint="eastAsia" w:ascii="宋体" w:hAnsi="宋体" w:eastAsia="宋体" w:cs="宋体"/>
          <w:sz w:val="24"/>
          <w:szCs w:val="24"/>
          <w:highlight w:val="none"/>
          <w:lang w:val="en-US" w:eastAsia="zh-CN"/>
        </w:rPr>
        <w:t>子</w:t>
      </w:r>
      <w:r>
        <w:rPr>
          <w:rFonts w:hint="eastAsia" w:ascii="宋体" w:hAnsi="宋体" w:eastAsia="宋体" w:cs="宋体"/>
          <w:sz w:val="24"/>
          <w:szCs w:val="24"/>
          <w:highlight w:val="none"/>
        </w:rPr>
        <w:t>、出水口实现全覆盖巡查，无遗漏路段、无盲区，漏巡一处扣1分。</w:t>
      </w:r>
    </w:p>
    <w:p w14:paraId="0DE3814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2.设施完好性：检查井、雨水篦</w:t>
      </w:r>
      <w:r>
        <w:rPr>
          <w:rFonts w:hint="eastAsia" w:ascii="宋体" w:hAnsi="宋体" w:eastAsia="宋体" w:cs="宋体"/>
          <w:sz w:val="24"/>
          <w:szCs w:val="24"/>
          <w:highlight w:val="none"/>
          <w:lang w:val="en-US" w:eastAsia="zh-CN"/>
        </w:rPr>
        <w:t>子</w:t>
      </w:r>
      <w:r>
        <w:rPr>
          <w:rFonts w:hint="eastAsia" w:ascii="宋体" w:hAnsi="宋体" w:eastAsia="宋体" w:cs="宋体"/>
          <w:sz w:val="24"/>
          <w:szCs w:val="24"/>
          <w:highlight w:val="none"/>
        </w:rPr>
        <w:t>盖板完整、安装牢固，无破损、缺失、松动、移位、沉降、井盖高低差超标问题。盖板松动、轻微破损每处扣0.5分，缺失、破损、移位影响安全每处扣2分。</w:t>
      </w:r>
    </w:p>
    <w:p w14:paraId="57752EA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3.管网外观：管网沿线无明显塌陷、沉降、破损、渗漏、溢水痕迹，发现病害未登记上报每处扣1分，溢水、渗漏未处置每处扣3分。</w:t>
      </w:r>
    </w:p>
    <w:p w14:paraId="6166653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4.特殊时段巡查：汛期、雨季加密巡查频次，重点排查低洼路段、老旧管网，未落实专项巡查每次扣2分。</w:t>
      </w:r>
    </w:p>
    <w:p w14:paraId="3DA90CA8">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二、管网清淤疏通（12分）</w:t>
      </w:r>
    </w:p>
    <w:p w14:paraId="56A9E50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1.常规清掏：按月、季度完成管网、检查井、雨水篦</w:t>
      </w:r>
      <w:r>
        <w:rPr>
          <w:rFonts w:hint="eastAsia" w:ascii="宋体" w:hAnsi="宋体" w:eastAsia="宋体" w:cs="宋体"/>
          <w:sz w:val="24"/>
          <w:szCs w:val="24"/>
          <w:highlight w:val="none"/>
          <w:lang w:val="en-US" w:eastAsia="zh-CN"/>
        </w:rPr>
        <w:t>子</w:t>
      </w:r>
      <w:r>
        <w:rPr>
          <w:rFonts w:hint="eastAsia" w:ascii="宋体" w:hAnsi="宋体" w:eastAsia="宋体" w:cs="宋体"/>
          <w:sz w:val="24"/>
          <w:szCs w:val="24"/>
          <w:highlight w:val="none"/>
        </w:rPr>
        <w:t>清淤清掏工作，无淤积、堵塞、积泥杂物堆积，清掏不彻底、留有杂物每处扣0.5分。</w:t>
      </w:r>
    </w:p>
    <w:p w14:paraId="3C76A26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2.堵塞处置：管网、雨水篦子堵塞导致排水不畅、积水淤积，未及时疏通每处扣2分，反复堵塞未溯源整改扣3分。</w:t>
      </w:r>
    </w:p>
    <w:p w14:paraId="0ABEE4C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3.清淤台账：清淤位置、时间、工程量、前后对比影像资料齐全，台账缺失、记录不实每次扣1分。</w:t>
      </w:r>
    </w:p>
    <w:p w14:paraId="13A84E1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4.出水口管护：管网出水口畅通、无杂物堵塞、无淤积堆积，保障排水通畅，堵塞、淤积未清理每处扣1分。</w:t>
      </w:r>
    </w:p>
    <w:p w14:paraId="457A42C4">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三、管网维修整改（8分）</w:t>
      </w:r>
    </w:p>
    <w:p w14:paraId="392B224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1.维修质量：管网破损、渗漏、脱节、错位等病害维修规范，接口严密、回填夯实，无二次渗漏、塌陷隐患，维修不规范每处扣1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2分。</w:t>
      </w:r>
    </w:p>
    <w:p w14:paraId="5D4E885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2.隐患闭环：排查发现的管网结构性、功能性隐患建立台账，限期闭环整改，隐患漏改、整改不到位每处扣2分。</w:t>
      </w:r>
    </w:p>
    <w:p w14:paraId="5E5B6DA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3.窨井养护：井壁完好、井内无杂物、井底无严重积泥，井周路面无破损塌陷，养护不到位每处扣0.5分。 </w:t>
      </w:r>
    </w:p>
    <w:p w14:paraId="4147C5F4">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四、排水保障效能（8分）</w:t>
      </w:r>
    </w:p>
    <w:p w14:paraId="0BCD165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1.汛期排水：汛期、暴雨天气管网排水通畅，无大面积、长时间积水内涝，因运维不到位导致积水内涝每次扣3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5分。</w:t>
      </w:r>
    </w:p>
    <w:p w14:paraId="6F8777C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2.污水运维：污水管网无长期溢流、倒灌现象，出现溢流倒灌未及时处置每次扣3分。</w:t>
      </w:r>
    </w:p>
    <w:p w14:paraId="378CBCF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3.应急保障：管网突发堵塞、破损、溢水险情，快速到场处置，未及时响应、处置迟缓每次扣2分。 </w:t>
      </w:r>
    </w:p>
    <w:p w14:paraId="5A934D1A">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第十三条 污水提升泵站运营管护（5分）</w:t>
      </w:r>
    </w:p>
    <w:p w14:paraId="1013D25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1.污水提升泵站设备运维（3分）：设备定期保养、运行台账齐全，带病运行、台账混乱扣1—3分。</w:t>
      </w:r>
    </w:p>
    <w:p w14:paraId="1A46B29E">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2.污水提升泵站运行安全（2分）：泵站安防设施、操作规程、安全警示标牌齐全。违章作业、安全缺失扣1—2分。</w:t>
      </w:r>
    </w:p>
    <w:p w14:paraId="5E196631">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第十四条 </w:t>
      </w:r>
      <w:r>
        <w:rPr>
          <w:rFonts w:hint="eastAsia" w:ascii="宋体" w:hAnsi="宋体" w:eastAsia="宋体" w:cs="宋体"/>
          <w:b/>
          <w:bCs/>
          <w:sz w:val="24"/>
          <w:szCs w:val="24"/>
          <w:highlight w:val="none"/>
        </w:rPr>
        <w:t>内业资料与综合管理考核（</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分）</w:t>
      </w:r>
    </w:p>
    <w:p w14:paraId="61A84D53">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一、工作计划与报表上报（</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分）</w:t>
      </w:r>
    </w:p>
    <w:p w14:paraId="48F165A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1.每月3日前按时上报上月运维完成工作量、工作总结，每月25日前上报下月养护工作计划，迟报、漏报每次扣1分，未报每次扣2分。</w:t>
      </w:r>
    </w:p>
    <w:p w14:paraId="0D5377F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2.每日按要求上报当日维修工作内容、作业范围，未按时上报每次扣0.5分。</w:t>
      </w:r>
    </w:p>
    <w:p w14:paraId="441FF86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3.报表数据真实准确、内容完整，无虚报、漏报、错报，数据不实每次扣1分。 </w:t>
      </w:r>
    </w:p>
    <w:p w14:paraId="745DDD45">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二、台账资料管理（</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分）</w:t>
      </w:r>
    </w:p>
    <w:p w14:paraId="03216E5D">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1.建立完整的巡查台账、维修台账、清淤台账、隐患台账、问题整改台账，分类归档、清晰规范，台账缺失、混乱每项扣1分。</w:t>
      </w:r>
    </w:p>
    <w:p w14:paraId="1AF52395">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2.所有运维工作留存图文影像资料，做到一事项一档案，资料不全、无存档每次扣0.5分。</w:t>
      </w:r>
    </w:p>
    <w:p w14:paraId="61A2D485">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3.基础数据动态更新，管网、道路设施底数清晰、信息准确，数据更新不及时、信息错误每次扣1分。 </w:t>
      </w:r>
    </w:p>
    <w:p w14:paraId="2BB64070">
      <w:pPr>
        <w:keepNext w:val="0"/>
        <w:keepLines w:val="0"/>
        <w:pageBreakBefore w:val="0"/>
        <w:widowControl w:val="0"/>
        <w:kinsoku/>
        <w:wordWrap/>
        <w:overflowPunct/>
        <w:topLinePunct w:val="0"/>
        <w:autoSpaceDE/>
        <w:autoSpaceDN/>
        <w:bidi w:val="0"/>
        <w:adjustRightInd w:val="0"/>
        <w:snapToGrid w:val="0"/>
        <w:spacing w:line="480" w:lineRule="exact"/>
        <w:ind w:left="0"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三、应急处置与投诉整改（5分）</w:t>
      </w:r>
    </w:p>
    <w:p w14:paraId="58AFA90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1.突发市政设施险情、突发事件响应迅速、处置规范、闭环到位，处置不当、拖延滞后每次扣2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3分。</w:t>
      </w:r>
    </w:p>
    <w:p w14:paraId="2ED06AFA">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群众</w:t>
      </w:r>
      <w:r>
        <w:rPr>
          <w:rFonts w:hint="eastAsia" w:ascii="宋体" w:hAnsi="宋体" w:eastAsia="宋体" w:cs="宋体"/>
          <w:sz w:val="24"/>
          <w:szCs w:val="24"/>
          <w:highlight w:val="none"/>
        </w:rPr>
        <w:t>投诉、上级转办、舆情反馈问题，按时限整改回复，超时整改、整改不彻底、重复投诉每次扣1分。</w:t>
      </w:r>
    </w:p>
    <w:p w14:paraId="184B2C96">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3.严禁未经许可擅自开展道路、管网开挖维修作业，违规作业每次扣10分。</w:t>
      </w:r>
    </w:p>
    <w:p w14:paraId="07D7D87A">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章 一票否决与加分</w:t>
      </w:r>
    </w:p>
    <w:p w14:paraId="0403D5C0">
      <w:pPr>
        <w:keepNext w:val="0"/>
        <w:keepLines w:val="0"/>
        <w:pageBreakBefore w:val="0"/>
        <w:widowControl w:val="0"/>
        <w:kinsoku/>
        <w:wordWrap/>
        <w:overflowPunct/>
        <w:topLinePunct w:val="0"/>
        <w:autoSpaceDE/>
        <w:autoSpaceDN/>
        <w:bidi w:val="0"/>
        <w:adjustRightInd w:val="0"/>
        <w:snapToGrid w:val="0"/>
        <w:spacing w:line="480" w:lineRule="exact"/>
        <w:ind w:left="0"/>
        <w:jc w:val="both"/>
        <w:textAlignment w:val="auto"/>
        <w:outlineLvl w:val="2"/>
        <w:rPr>
          <w:rFonts w:hint="eastAsia" w:ascii="宋体" w:hAnsi="宋体" w:eastAsia="宋体" w:cs="宋体"/>
          <w:b/>
          <w:sz w:val="24"/>
          <w:szCs w:val="24"/>
          <w:highlight w:val="none"/>
        </w:rPr>
      </w:pPr>
      <w:r>
        <w:rPr>
          <w:rFonts w:hint="eastAsia" w:ascii="宋体" w:hAnsi="宋体" w:eastAsia="宋体" w:cs="宋体"/>
          <w:b/>
          <w:color w:val="auto"/>
          <w:sz w:val="24"/>
          <w:szCs w:val="24"/>
          <w:highlight w:val="none"/>
          <w:lang w:val="en-US" w:eastAsia="zh-CN"/>
        </w:rPr>
        <w:t>第十五条</w:t>
      </w:r>
      <w:r>
        <w:rPr>
          <w:rFonts w:hint="eastAsia" w:ascii="宋体" w:hAnsi="宋体" w:eastAsia="宋体" w:cs="宋体"/>
          <w:b/>
          <w:color w:val="auto"/>
          <w:sz w:val="24"/>
          <w:szCs w:val="24"/>
          <w:highlight w:val="none"/>
        </w:rPr>
        <w:t xml:space="preserve"> </w:t>
      </w:r>
      <w:r>
        <w:rPr>
          <w:rFonts w:hint="eastAsia" w:ascii="宋体" w:hAnsi="宋体" w:eastAsia="宋体" w:cs="宋体"/>
          <w:b/>
          <w:sz w:val="24"/>
          <w:szCs w:val="24"/>
          <w:highlight w:val="none"/>
        </w:rPr>
        <w:t>一票否决项（当月考核直接不合格）</w:t>
      </w:r>
    </w:p>
    <w:p w14:paraId="32157127">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1.因运维缺失、隐患未处置，引发道路塌陷、管网爆裂、人员伤亡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重大安全生产责任事故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重大环境污染事故等事故；</w:t>
      </w:r>
    </w:p>
    <w:p w14:paraId="19852495">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2.因管护失职引发严重城市内涝、污水大面积溢流、管网大面积瘫痪，造成恶劣社会舆情</w:t>
      </w:r>
      <w:r>
        <w:rPr>
          <w:rFonts w:hint="eastAsia" w:ascii="宋体" w:hAnsi="宋体" w:eastAsia="宋体" w:cs="宋体"/>
          <w:sz w:val="24"/>
          <w:szCs w:val="24"/>
          <w:highlight w:val="none"/>
          <w:lang w:val="en-US" w:eastAsia="zh-CN"/>
        </w:rPr>
        <w:t>事件</w:t>
      </w:r>
      <w:r>
        <w:rPr>
          <w:rFonts w:hint="eastAsia" w:ascii="宋体" w:hAnsi="宋体" w:eastAsia="宋体" w:cs="宋体"/>
          <w:sz w:val="24"/>
          <w:szCs w:val="24"/>
          <w:highlight w:val="none"/>
        </w:rPr>
        <w:t>或上级通报批评。</w:t>
      </w:r>
    </w:p>
    <w:p w14:paraId="0DE58001">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虚报瞒报重大设施隐患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伪造运维台账</w:t>
      </w:r>
      <w:r>
        <w:rPr>
          <w:rFonts w:hint="eastAsia" w:ascii="宋体" w:hAnsi="宋体" w:eastAsia="宋体" w:cs="宋体"/>
          <w:sz w:val="24"/>
          <w:szCs w:val="24"/>
          <w:highlight w:val="none"/>
          <w:lang w:val="en-US" w:eastAsia="zh-CN"/>
        </w:rPr>
        <w:t>数据</w:t>
      </w:r>
      <w:r>
        <w:rPr>
          <w:rFonts w:hint="eastAsia" w:ascii="宋体" w:hAnsi="宋体" w:eastAsia="宋体" w:cs="宋体"/>
          <w:sz w:val="24"/>
          <w:szCs w:val="24"/>
          <w:highlight w:val="none"/>
        </w:rPr>
        <w:t>资料、整改资料严重造假，情节严重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拒不服从</w:t>
      </w:r>
      <w:r>
        <w:rPr>
          <w:rFonts w:hint="eastAsia" w:ascii="宋体" w:hAnsi="宋体" w:eastAsia="宋体" w:cs="宋体"/>
          <w:sz w:val="24"/>
          <w:szCs w:val="24"/>
          <w:highlight w:val="none"/>
          <w:lang w:val="en-US" w:eastAsia="zh-CN"/>
        </w:rPr>
        <w:t>易门县综合行政执法局</w:t>
      </w:r>
      <w:r>
        <w:rPr>
          <w:rFonts w:hint="eastAsia" w:ascii="宋体" w:hAnsi="宋体" w:eastAsia="宋体" w:cs="宋体"/>
          <w:sz w:val="24"/>
          <w:szCs w:val="24"/>
          <w:highlight w:val="none"/>
        </w:rPr>
        <w:t>监管、拒不落实整改要求；</w:t>
      </w:r>
    </w:p>
    <w:p w14:paraId="6A86F1C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4.违规施工、野蛮作业，造成公共设施大面积损坏、严重交通影响。 </w:t>
      </w:r>
    </w:p>
    <w:p w14:paraId="5978B40E">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w:t>
      </w: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rPr>
        <w:t>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加分条款（总分上限100分） </w:t>
      </w:r>
    </w:p>
    <w:p w14:paraId="4FD02F0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1.主动排查</w:t>
      </w:r>
      <w:r>
        <w:rPr>
          <w:rFonts w:hint="eastAsia" w:ascii="宋体" w:hAnsi="宋体" w:eastAsia="宋体" w:cs="宋体"/>
          <w:sz w:val="24"/>
          <w:szCs w:val="24"/>
          <w:highlight w:val="none"/>
          <w:lang w:val="en-US" w:eastAsia="zh-CN"/>
        </w:rPr>
        <w:t>消除</w:t>
      </w:r>
      <w:r>
        <w:rPr>
          <w:rFonts w:hint="eastAsia" w:ascii="宋体" w:hAnsi="宋体" w:eastAsia="宋体" w:cs="宋体"/>
          <w:sz w:val="24"/>
          <w:szCs w:val="24"/>
          <w:highlight w:val="none"/>
        </w:rPr>
        <w:t>重大隐蔽</w:t>
      </w:r>
      <w:r>
        <w:rPr>
          <w:rFonts w:hint="eastAsia" w:ascii="宋体" w:hAnsi="宋体" w:eastAsia="宋体" w:cs="宋体"/>
          <w:sz w:val="24"/>
          <w:szCs w:val="24"/>
          <w:highlight w:val="none"/>
          <w:lang w:val="en-US" w:eastAsia="zh-CN"/>
        </w:rPr>
        <w:t>安全</w:t>
      </w:r>
      <w:r>
        <w:rPr>
          <w:rFonts w:hint="eastAsia" w:ascii="宋体" w:hAnsi="宋体" w:eastAsia="宋体" w:cs="宋体"/>
          <w:sz w:val="24"/>
          <w:szCs w:val="24"/>
          <w:highlight w:val="none"/>
        </w:rPr>
        <w:t>隐患，避免安全事故的，高效处置重大突发险情，成效显著，加1—3分；</w:t>
      </w:r>
    </w:p>
    <w:p w14:paraId="09F088C3">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2.管护工作获</w:t>
      </w:r>
      <w:r>
        <w:rPr>
          <w:rFonts w:hint="eastAsia" w:ascii="宋体" w:hAnsi="宋体" w:eastAsia="宋体" w:cs="宋体"/>
          <w:sz w:val="24"/>
          <w:szCs w:val="24"/>
          <w:highlight w:val="none"/>
          <w:lang w:val="en-US" w:eastAsia="zh-CN"/>
        </w:rPr>
        <w:t>县</w:t>
      </w:r>
      <w:r>
        <w:rPr>
          <w:rFonts w:hint="eastAsia" w:ascii="宋体" w:hAnsi="宋体" w:eastAsia="宋体" w:cs="宋体"/>
          <w:sz w:val="24"/>
          <w:szCs w:val="24"/>
          <w:highlight w:val="none"/>
        </w:rPr>
        <w:t>级</w:t>
      </w:r>
      <w:r>
        <w:rPr>
          <w:rFonts w:hint="eastAsia" w:ascii="宋体" w:hAnsi="宋体" w:eastAsia="宋体" w:cs="宋体"/>
          <w:sz w:val="24"/>
          <w:szCs w:val="24"/>
          <w:highlight w:val="none"/>
          <w:lang w:val="en-US" w:eastAsia="zh-CN"/>
        </w:rPr>
        <w:t>以上</w:t>
      </w:r>
      <w:r>
        <w:rPr>
          <w:rFonts w:hint="eastAsia" w:ascii="宋体" w:hAnsi="宋体" w:eastAsia="宋体" w:cs="宋体"/>
          <w:sz w:val="24"/>
          <w:szCs w:val="24"/>
          <w:highlight w:val="none"/>
        </w:rPr>
        <w:t>通报表彰、县级以上主流媒体正面报道，加2—5分；</w:t>
      </w:r>
    </w:p>
    <w:p w14:paraId="4AE6EB14">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3.创新管护举措、提升运维质效、节约管护成本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形成可推广经验的，加2分。</w:t>
      </w:r>
    </w:p>
    <w:p w14:paraId="2969A05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加分不累计叠加，单月总分最高100分。</w:t>
      </w:r>
    </w:p>
    <w:p w14:paraId="2A791363">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章 考核等级与结果运用</w:t>
      </w:r>
    </w:p>
    <w:p w14:paraId="17D7B505">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w:t>
      </w:r>
      <w:r>
        <w:rPr>
          <w:rFonts w:hint="eastAsia" w:ascii="宋体" w:hAnsi="宋体" w:eastAsia="宋体" w:cs="宋体"/>
          <w:b/>
          <w:bCs/>
          <w:sz w:val="24"/>
          <w:szCs w:val="24"/>
          <w:highlight w:val="none"/>
          <w:lang w:val="en-US" w:eastAsia="zh-CN"/>
        </w:rPr>
        <w:t>七</w:t>
      </w:r>
      <w:r>
        <w:rPr>
          <w:rFonts w:hint="eastAsia" w:ascii="宋体" w:hAnsi="宋体" w:eastAsia="宋体" w:cs="宋体"/>
          <w:b/>
          <w:bCs/>
          <w:sz w:val="24"/>
          <w:szCs w:val="24"/>
          <w:highlight w:val="none"/>
        </w:rPr>
        <w:t>条 考核等级设定</w:t>
      </w:r>
    </w:p>
    <w:p w14:paraId="1A5CA3A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考核总分100分，实行扣分制，扣完为止，无负分。考核结果分为四个等级： </w:t>
      </w:r>
    </w:p>
    <w:p w14:paraId="7D9CC72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1.优秀：9</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分及以上；</w:t>
      </w:r>
    </w:p>
    <w:p w14:paraId="3EA412E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合格</w:t>
      </w:r>
      <w:r>
        <w:rPr>
          <w:rFonts w:hint="eastAsia" w:ascii="宋体" w:hAnsi="宋体" w:eastAsia="宋体" w:cs="宋体"/>
          <w:sz w:val="24"/>
          <w:szCs w:val="24"/>
          <w:highlight w:val="none"/>
        </w:rPr>
        <w:t>：8</w:t>
      </w:r>
      <w:r>
        <w:rPr>
          <w:rFonts w:hint="eastAsia" w:ascii="宋体" w:hAnsi="宋体" w:eastAsia="宋体" w:cs="宋体"/>
          <w:sz w:val="24"/>
          <w:szCs w:val="24"/>
          <w:highlight w:val="none"/>
          <w:lang w:val="en-US" w:eastAsia="zh-CN"/>
        </w:rPr>
        <w:t>0—89</w:t>
      </w:r>
      <w:r>
        <w:rPr>
          <w:rFonts w:hint="eastAsia" w:ascii="宋体" w:hAnsi="宋体" w:eastAsia="宋体" w:cs="宋体"/>
          <w:sz w:val="24"/>
          <w:szCs w:val="24"/>
          <w:highlight w:val="none"/>
        </w:rPr>
        <w:t>分；</w:t>
      </w:r>
    </w:p>
    <w:p w14:paraId="368B0DCA">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合格：</w:t>
      </w:r>
      <w:r>
        <w:rPr>
          <w:rFonts w:hint="eastAsia" w:ascii="宋体" w:hAnsi="宋体" w:eastAsia="宋体" w:cs="宋体"/>
          <w:sz w:val="24"/>
          <w:szCs w:val="24"/>
          <w:highlight w:val="none"/>
          <w:lang w:val="en-US" w:eastAsia="zh-CN"/>
        </w:rPr>
        <w:t>70—79</w:t>
      </w:r>
      <w:r>
        <w:rPr>
          <w:rFonts w:hint="eastAsia" w:ascii="宋体" w:hAnsi="宋体" w:eastAsia="宋体" w:cs="宋体"/>
          <w:sz w:val="24"/>
          <w:szCs w:val="24"/>
          <w:highlight w:val="none"/>
        </w:rPr>
        <w:t>分；</w:t>
      </w:r>
    </w:p>
    <w:p w14:paraId="59BD89F1">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4.不合格：</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0分及以下（含一票否决情形）。</w:t>
      </w:r>
    </w:p>
    <w:p w14:paraId="2FBD3346">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w:t>
      </w:r>
      <w:r>
        <w:rPr>
          <w:rFonts w:hint="eastAsia" w:ascii="宋体" w:hAnsi="宋体" w:eastAsia="宋体" w:cs="宋体"/>
          <w:b/>
          <w:bCs/>
          <w:sz w:val="24"/>
          <w:szCs w:val="24"/>
          <w:highlight w:val="none"/>
          <w:lang w:val="en-US" w:eastAsia="zh-CN"/>
        </w:rPr>
        <w:t>八</w:t>
      </w:r>
      <w:r>
        <w:rPr>
          <w:rFonts w:hint="eastAsia" w:ascii="宋体" w:hAnsi="宋体" w:eastAsia="宋体" w:cs="宋体"/>
          <w:b/>
          <w:bCs/>
          <w:sz w:val="24"/>
          <w:szCs w:val="24"/>
          <w:highlight w:val="none"/>
        </w:rPr>
        <w:t>条 考核结果运用（履约奖惩）</w:t>
      </w:r>
    </w:p>
    <w:p w14:paraId="0C5E2507">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1.优秀等次：全额拨付当月应付服务费用，纳入年度优秀履约企业名单，优先作为续约、新增</w:t>
      </w:r>
      <w:r>
        <w:rPr>
          <w:rFonts w:hint="eastAsia" w:ascii="宋体" w:hAnsi="宋体" w:eastAsia="宋体" w:cs="宋体"/>
          <w:sz w:val="24"/>
          <w:szCs w:val="24"/>
          <w:highlight w:val="none"/>
          <w:lang w:val="en-US" w:eastAsia="zh-CN"/>
        </w:rPr>
        <w:t>管护</w:t>
      </w:r>
      <w:r>
        <w:rPr>
          <w:rFonts w:hint="eastAsia" w:ascii="宋体" w:hAnsi="宋体" w:eastAsia="宋体" w:cs="宋体"/>
          <w:sz w:val="24"/>
          <w:szCs w:val="24"/>
          <w:highlight w:val="none"/>
        </w:rPr>
        <w:t>项目合作参考对象。</w:t>
      </w:r>
    </w:p>
    <w:p w14:paraId="6A0EF277">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2.合格等次：全额拨付当月</w:t>
      </w:r>
      <w:r>
        <w:rPr>
          <w:rFonts w:hint="eastAsia" w:ascii="宋体" w:hAnsi="宋体" w:eastAsia="宋体" w:cs="宋体"/>
          <w:sz w:val="24"/>
          <w:szCs w:val="24"/>
          <w:highlight w:val="none"/>
          <w:lang w:val="en-US" w:eastAsia="zh-CN"/>
        </w:rPr>
        <w:t>应付</w:t>
      </w:r>
      <w:r>
        <w:rPr>
          <w:rFonts w:hint="eastAsia" w:ascii="宋体" w:hAnsi="宋体" w:eastAsia="宋体" w:cs="宋体"/>
          <w:sz w:val="24"/>
          <w:szCs w:val="24"/>
          <w:highlight w:val="none"/>
        </w:rPr>
        <w:t>服务费用，正常履约，不作扣分扣款。</w:t>
      </w:r>
    </w:p>
    <w:p w14:paraId="1720CC18">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3.基本合格等次：责令限期整改，提交书面整改报告，当月服务费酌情扣减</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%—10%，连续</w:t>
      </w:r>
      <w:r>
        <w:rPr>
          <w:rFonts w:hint="eastAsia" w:ascii="宋体" w:hAnsi="宋体" w:eastAsia="宋体" w:cs="宋体"/>
          <w:sz w:val="24"/>
          <w:szCs w:val="24"/>
          <w:highlight w:val="none"/>
          <w:lang w:eastAsia="zh-CN"/>
        </w:rPr>
        <w:t>两个</w:t>
      </w:r>
      <w:r>
        <w:rPr>
          <w:rFonts w:hint="eastAsia" w:ascii="宋体" w:hAnsi="宋体" w:eastAsia="宋体" w:cs="宋体"/>
          <w:sz w:val="24"/>
          <w:szCs w:val="24"/>
          <w:highlight w:val="none"/>
        </w:rPr>
        <w:t>月基本合格按不合格处理。</w:t>
      </w:r>
    </w:p>
    <w:p w14:paraId="2589FB4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4.不合格等次：</w:t>
      </w:r>
    </w:p>
    <w:p w14:paraId="3783FEF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（1）当月扣减</w:t>
      </w:r>
      <w:r>
        <w:rPr>
          <w:rFonts w:hint="eastAsia" w:ascii="宋体" w:hAnsi="宋体" w:eastAsia="宋体" w:cs="宋体"/>
          <w:sz w:val="24"/>
          <w:szCs w:val="24"/>
          <w:highlight w:val="none"/>
          <w:lang w:val="en-US" w:eastAsia="zh-CN"/>
        </w:rPr>
        <w:t>应付</w:t>
      </w:r>
      <w:r>
        <w:rPr>
          <w:rFonts w:hint="eastAsia" w:ascii="宋体" w:hAnsi="宋体" w:eastAsia="宋体" w:cs="宋体"/>
          <w:sz w:val="24"/>
          <w:szCs w:val="24"/>
          <w:highlight w:val="none"/>
        </w:rPr>
        <w:t>服务费</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20</w:t>
      </w:r>
      <w:r>
        <w:rPr>
          <w:rFonts w:hint="eastAsia" w:ascii="宋体" w:hAnsi="宋体" w:eastAsia="宋体" w:cs="宋体"/>
          <w:sz w:val="24"/>
          <w:szCs w:val="24"/>
          <w:highlight w:val="none"/>
        </w:rPr>
        <w:t>%；</w:t>
      </w:r>
    </w:p>
    <w:p w14:paraId="5B4AB20F">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（2）约谈企业负责人、通报批评；</w:t>
      </w:r>
    </w:p>
    <w:p w14:paraId="46C53773">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（3）连续两个月不合格，启动合同违约追责、限期整改、暂停履约款项；</w:t>
      </w:r>
    </w:p>
    <w:p w14:paraId="125FEF9F">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（4）年度累计3个月及以上不合格，纳入不良信用名单，取消续约资格、终止服务合同。</w:t>
      </w:r>
    </w:p>
    <w:p w14:paraId="33CB133E">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rPr>
        <w:t>章 问题整改与闭环管理</w:t>
      </w:r>
    </w:p>
    <w:p w14:paraId="338366F5">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w:t>
      </w:r>
      <w:r>
        <w:rPr>
          <w:rFonts w:hint="eastAsia" w:ascii="宋体" w:hAnsi="宋体" w:eastAsia="宋体" w:cs="宋体"/>
          <w:b/>
          <w:bCs/>
          <w:sz w:val="24"/>
          <w:szCs w:val="24"/>
          <w:highlight w:val="none"/>
          <w:lang w:val="en-US" w:eastAsia="zh-CN"/>
        </w:rPr>
        <w:t>九</w:t>
      </w:r>
      <w:r>
        <w:rPr>
          <w:rFonts w:hint="eastAsia" w:ascii="宋体" w:hAnsi="宋体" w:eastAsia="宋体" w:cs="宋体"/>
          <w:b/>
          <w:bCs/>
          <w:sz w:val="24"/>
          <w:szCs w:val="24"/>
          <w:highlight w:val="none"/>
        </w:rPr>
        <w:t>条 问题交办机制</w:t>
      </w:r>
    </w:p>
    <w:p w14:paraId="37CE8140">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考核小组对巡查、考核发现的问题，以口头提醒、工作群交办、书面整改</w:t>
      </w:r>
      <w:r>
        <w:rPr>
          <w:rFonts w:hint="eastAsia" w:ascii="宋体" w:hAnsi="宋体" w:eastAsia="宋体" w:cs="宋体"/>
          <w:sz w:val="24"/>
          <w:szCs w:val="24"/>
          <w:highlight w:val="none"/>
          <w:lang w:val="en-US" w:eastAsia="zh-CN"/>
        </w:rPr>
        <w:t>通知</w:t>
      </w:r>
      <w:r>
        <w:rPr>
          <w:rFonts w:hint="eastAsia" w:ascii="宋体" w:hAnsi="宋体" w:eastAsia="宋体" w:cs="宋体"/>
          <w:sz w:val="24"/>
          <w:szCs w:val="24"/>
          <w:highlight w:val="none"/>
        </w:rPr>
        <w:t>单等形式告知</w:t>
      </w:r>
      <w:r>
        <w:rPr>
          <w:rFonts w:hint="eastAsia" w:ascii="宋体" w:hAnsi="宋体" w:eastAsia="宋体" w:cs="宋体"/>
          <w:sz w:val="24"/>
          <w:szCs w:val="24"/>
          <w:highlight w:val="none"/>
          <w:lang w:val="en-US" w:eastAsia="zh-CN"/>
        </w:rPr>
        <w:t>管护</w:t>
      </w:r>
      <w:r>
        <w:rPr>
          <w:rFonts w:hint="eastAsia" w:ascii="宋体" w:hAnsi="宋体" w:eastAsia="宋体" w:cs="宋体"/>
          <w:sz w:val="24"/>
          <w:szCs w:val="24"/>
          <w:highlight w:val="none"/>
        </w:rPr>
        <w:t>企业，明确整改内容、整改标准、完成时限。</w:t>
      </w:r>
    </w:p>
    <w:p w14:paraId="7402ECBD">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十条 限时整改要求</w:t>
      </w:r>
    </w:p>
    <w:p w14:paraId="1059469C">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1.一般性市容、设施小问题：24小时内整改完毕、闭环反馈；</w:t>
      </w:r>
    </w:p>
    <w:p w14:paraId="0DD1C23A">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2.一般性病害、淤积、轻微隐患：3日内整改完毕；</w:t>
      </w:r>
    </w:p>
    <w:p w14:paraId="0E099B6B">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3.重大隐患、大型病害、系统性问题：立即围挡防护、制定整改方案、按期分步整改，期间每日报送整改进度。</w:t>
      </w:r>
    </w:p>
    <w:p w14:paraId="070272A0">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条 复核销号制度</w:t>
      </w:r>
    </w:p>
    <w:p w14:paraId="33C81DD2">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所有问题实行“一事一号、整改复核、销号归档”，未按期整改、整改不到位、问题反弹的，加倍扣分并加重履约处罚。</w:t>
      </w:r>
    </w:p>
    <w:p w14:paraId="6AE02C29">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rPr>
        <w:t>章 考核纪律与监督</w:t>
      </w:r>
    </w:p>
    <w:p w14:paraId="76FF6616">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条 考核工作纪律</w:t>
      </w:r>
    </w:p>
    <w:p w14:paraId="0B3414D9">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考核人员须严格公正、实事求是，严禁人情打分、随意打分、弄虚作假；严格留存巡查照片、视频、台账记录、整改截图等考核佐证，确保考核可追溯、可复核。</w:t>
      </w:r>
    </w:p>
    <w:p w14:paraId="56F4A616">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 xml:space="preserve">条 </w:t>
      </w:r>
      <w:r>
        <w:rPr>
          <w:rFonts w:hint="eastAsia" w:ascii="宋体" w:hAnsi="宋体" w:eastAsia="宋体" w:cs="宋体"/>
          <w:b/>
          <w:bCs/>
          <w:sz w:val="24"/>
          <w:szCs w:val="24"/>
          <w:highlight w:val="none"/>
          <w:lang w:val="en-US" w:eastAsia="zh-CN"/>
        </w:rPr>
        <w:t>管护</w:t>
      </w:r>
      <w:r>
        <w:rPr>
          <w:rFonts w:hint="eastAsia" w:ascii="宋体" w:hAnsi="宋体" w:eastAsia="宋体" w:cs="宋体"/>
          <w:b/>
          <w:bCs/>
          <w:sz w:val="24"/>
          <w:szCs w:val="24"/>
          <w:highlight w:val="none"/>
        </w:rPr>
        <w:t>企业配合义务</w:t>
      </w:r>
    </w:p>
    <w:p w14:paraId="7B9990A6">
      <w:pPr>
        <w:keepNext w:val="0"/>
        <w:keepLines w:val="0"/>
        <w:pageBreakBefore w:val="0"/>
        <w:widowControl w:val="0"/>
        <w:kinsoku/>
        <w:wordWrap/>
        <w:overflowPunct/>
        <w:topLinePunct w:val="0"/>
        <w:autoSpaceDE/>
        <w:autoSpaceDN/>
        <w:bidi w:val="0"/>
        <w:adjustRightInd w:val="0"/>
        <w:snapToGrid w:val="0"/>
        <w:spacing w:line="4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被考核</w:t>
      </w:r>
      <w:r>
        <w:rPr>
          <w:rFonts w:hint="eastAsia" w:ascii="宋体" w:hAnsi="宋体" w:eastAsia="宋体" w:cs="宋体"/>
          <w:sz w:val="24"/>
          <w:szCs w:val="24"/>
          <w:highlight w:val="none"/>
          <w:lang w:val="en-US" w:eastAsia="zh-CN"/>
        </w:rPr>
        <w:t>管护</w:t>
      </w:r>
      <w:r>
        <w:rPr>
          <w:rFonts w:hint="eastAsia" w:ascii="宋体" w:hAnsi="宋体" w:eastAsia="宋体" w:cs="宋体"/>
          <w:sz w:val="24"/>
          <w:szCs w:val="24"/>
          <w:highlight w:val="none"/>
        </w:rPr>
        <w:t>企业须主动配合日常检查、资料调取、现场复核，不得推诿、拒绝、阻挠考核工作，否则直接按不合格扣分并通报。</w:t>
      </w:r>
    </w:p>
    <w:p w14:paraId="7FE0A1EC">
      <w:pPr>
        <w:keepNext w:val="0"/>
        <w:keepLines w:val="0"/>
        <w:pageBreakBefore w:val="0"/>
        <w:widowControl w:val="0"/>
        <w:kinsoku/>
        <w:wordWrap/>
        <w:overflowPunct/>
        <w:topLinePunct w:val="0"/>
        <w:autoSpaceDE/>
        <w:autoSpaceDN/>
        <w:bidi w:val="0"/>
        <w:adjustRightInd w:val="0"/>
        <w:snapToGrid w:val="0"/>
        <w:spacing w:line="480" w:lineRule="exact"/>
        <w:ind w:left="0"/>
        <w:jc w:val="center"/>
        <w:textAlignment w:val="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九</w:t>
      </w:r>
      <w:r>
        <w:rPr>
          <w:rFonts w:hint="eastAsia" w:ascii="宋体" w:hAnsi="宋体" w:eastAsia="宋体" w:cs="宋体"/>
          <w:b/>
          <w:sz w:val="24"/>
          <w:szCs w:val="24"/>
          <w:highlight w:val="none"/>
        </w:rPr>
        <w:t>章 附则</w:t>
      </w:r>
    </w:p>
    <w:p w14:paraId="76AC6BFE">
      <w:pPr>
        <w:keepNext w:val="0"/>
        <w:keepLines w:val="0"/>
        <w:pageBreakBefore w:val="0"/>
        <w:widowControl w:val="0"/>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第二十</w:t>
      </w: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 xml:space="preserve">条 </w:t>
      </w:r>
      <w:r>
        <w:rPr>
          <w:rFonts w:hint="eastAsia" w:ascii="宋体" w:hAnsi="宋体" w:eastAsia="宋体" w:cs="宋体"/>
          <w:sz w:val="24"/>
          <w:szCs w:val="24"/>
          <w:highlight w:val="none"/>
        </w:rPr>
        <w:t>本方案由易门县综合行政执法局负责解释，将根据上级政策调整、行业标准更新及市政公用设施管护工作实际情况，适时修订完善。</w:t>
      </w:r>
    </w:p>
    <w:p w14:paraId="0962C21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80" w:lineRule="exact"/>
        <w:jc w:val="left"/>
        <w:textAlignment w:val="auto"/>
        <w:rPr>
          <w:rFonts w:hint="eastAsia" w:ascii="宋体" w:hAnsi="宋体" w:eastAsia="宋体" w:cs="宋体"/>
          <w:sz w:val="24"/>
          <w:szCs w:val="24"/>
          <w:highlight w:val="none"/>
        </w:rPr>
        <w:sectPr>
          <w:footerReference r:id="rId13" w:type="first"/>
          <w:footerReference r:id="rId12" w:type="default"/>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b/>
          <w:bCs/>
          <w:sz w:val="24"/>
          <w:szCs w:val="24"/>
          <w:highlight w:val="none"/>
        </w:rPr>
        <w:t>第二十</w:t>
      </w: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rPr>
        <w:t>条</w:t>
      </w:r>
      <w:r>
        <w:rPr>
          <w:rFonts w:hint="eastAsia" w:ascii="宋体" w:hAnsi="宋体" w:eastAsia="宋体" w:cs="宋体"/>
          <w:sz w:val="24"/>
          <w:szCs w:val="24"/>
          <w:highlight w:val="none"/>
        </w:rPr>
        <w:t xml:space="preserve"> 本方案自印发之日起正式试行。本局以往出台的相关市政公用设施管护考核管理规定、办法与本方案内容不一致的，一律以本方案为准。</w:t>
      </w:r>
    </w:p>
    <w:p w14:paraId="13F4A9A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80" w:lineRule="exact"/>
        <w:jc w:val="left"/>
        <w:textAlignment w:val="auto"/>
        <w:rPr>
          <w:rFonts w:hint="eastAsia" w:ascii="宋体" w:hAnsi="宋体" w:eastAsia="宋体" w:cs="宋体"/>
          <w:sz w:val="24"/>
          <w:szCs w:val="24"/>
          <w:highlight w:val="none"/>
        </w:rPr>
      </w:pPr>
    </w:p>
    <w:tbl>
      <w:tblPr>
        <w:tblStyle w:val="28"/>
        <w:tblW w:w="13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86"/>
        <w:gridCol w:w="909"/>
        <w:gridCol w:w="963"/>
        <w:gridCol w:w="1506"/>
        <w:gridCol w:w="644"/>
        <w:gridCol w:w="6290"/>
        <w:gridCol w:w="1074"/>
        <w:gridCol w:w="2588"/>
      </w:tblGrid>
      <w:tr w14:paraId="25A8E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3880" w:type="dxa"/>
            <w:gridSpan w:val="8"/>
            <w:shd w:val="clear" w:color="auto" w:fill="auto"/>
            <w:noWrap/>
            <w:vAlign w:val="center"/>
          </w:tcPr>
          <w:p w14:paraId="2D15FB1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易门县市政公用设施管护工作考核评分表</w:t>
            </w:r>
          </w:p>
        </w:tc>
      </w:tr>
      <w:tr w14:paraId="4844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69" w:hRule="atLeast"/>
          <w:jc w:val="center"/>
        </w:trPr>
        <w:tc>
          <w:tcPr>
            <w:tcW w:w="13880" w:type="dxa"/>
            <w:gridSpan w:val="8"/>
            <w:shd w:val="clear" w:color="auto" w:fill="auto"/>
            <w:vAlign w:val="center"/>
          </w:tcPr>
          <w:p w14:paraId="7204852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考核单位：</w:t>
            </w:r>
            <w:r>
              <w:rPr>
                <w:rStyle w:val="69"/>
                <w:rFonts w:hint="eastAsia" w:ascii="宋体" w:hAnsi="宋体" w:eastAsia="宋体" w:cs="宋体"/>
                <w:color w:val="auto"/>
                <w:sz w:val="24"/>
                <w:szCs w:val="24"/>
                <w:highlight w:val="none"/>
                <w:lang w:val="en-US" w:eastAsia="zh-CN" w:bidi="ar"/>
              </w:rPr>
              <w:t>易门县综合行政执法局</w:t>
            </w:r>
            <w:r>
              <w:rPr>
                <w:rStyle w:val="70"/>
                <w:rFonts w:hint="eastAsia" w:ascii="宋体" w:hAnsi="宋体" w:eastAsia="宋体" w:cs="宋体"/>
                <w:color w:val="auto"/>
                <w:sz w:val="24"/>
                <w:szCs w:val="24"/>
                <w:highlight w:val="none"/>
                <w:lang w:val="en-US" w:eastAsia="zh-CN" w:bidi="ar"/>
              </w:rPr>
              <w:t xml:space="preserve"> </w:t>
            </w:r>
            <w:r>
              <w:rPr>
                <w:rStyle w:val="71"/>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被考核企业：</w:t>
            </w:r>
            <w:r>
              <w:rPr>
                <w:rStyle w:val="71"/>
                <w:rFonts w:hint="eastAsia" w:ascii="宋体" w:hAnsi="宋体" w:eastAsia="宋体" w:cs="宋体"/>
                <w:color w:val="auto"/>
                <w:sz w:val="24"/>
                <w:szCs w:val="24"/>
                <w:highlight w:val="none"/>
                <w:lang w:val="en-US" w:eastAsia="zh-CN" w:bidi="ar"/>
              </w:rPr>
              <w:t xml:space="preserve">____________________             </w:t>
            </w:r>
            <w:r>
              <w:rPr>
                <w:rStyle w:val="71"/>
                <w:rFonts w:hint="eastAsia" w:ascii="宋体" w:hAnsi="宋体" w:eastAsia="宋体" w:cs="宋体"/>
                <w:color w:val="auto"/>
                <w:sz w:val="24"/>
                <w:szCs w:val="24"/>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考核周期：</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年</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月</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日</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年</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月</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日</w:t>
            </w:r>
            <w:r>
              <w:rPr>
                <w:rStyle w:val="71"/>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考核日期：</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年</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月</w:t>
            </w:r>
            <w:r>
              <w:rPr>
                <w:rStyle w:val="71"/>
                <w:rFonts w:hint="eastAsia" w:ascii="宋体" w:hAnsi="宋体" w:eastAsia="宋体" w:cs="宋体"/>
                <w:color w:val="auto"/>
                <w:sz w:val="24"/>
                <w:szCs w:val="24"/>
                <w:highlight w:val="none"/>
                <w:lang w:val="en-US" w:eastAsia="zh-CN" w:bidi="ar"/>
              </w:rPr>
              <w:t>____</w:t>
            </w:r>
            <w:r>
              <w:rPr>
                <w:rFonts w:hint="eastAsia" w:ascii="宋体" w:hAnsi="宋体" w:eastAsia="宋体" w:cs="宋体"/>
                <w:i w:val="0"/>
                <w:iCs w:val="0"/>
                <w:color w:val="auto"/>
                <w:kern w:val="0"/>
                <w:sz w:val="24"/>
                <w:szCs w:val="24"/>
                <w:highlight w:val="none"/>
                <w:u w:val="none"/>
                <w:lang w:val="en-US" w:eastAsia="zh-CN" w:bidi="ar"/>
              </w:rPr>
              <w:t>日</w:t>
            </w:r>
            <w:r>
              <w:rPr>
                <w:rStyle w:val="71"/>
                <w:rFonts w:hint="eastAsia" w:ascii="宋体" w:hAnsi="宋体" w:eastAsia="宋体" w:cs="宋体"/>
                <w:color w:val="auto"/>
                <w:sz w:val="24"/>
                <w:szCs w:val="24"/>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考核总分：</w:t>
            </w:r>
            <w:r>
              <w:rPr>
                <w:rStyle w:val="71"/>
                <w:rFonts w:hint="eastAsia" w:ascii="宋体" w:hAnsi="宋体" w:eastAsia="宋体" w:cs="宋体"/>
                <w:color w:val="auto"/>
                <w:sz w:val="24"/>
                <w:szCs w:val="24"/>
                <w:highlight w:val="none"/>
                <w:lang w:val="en-US" w:eastAsia="zh-CN" w:bidi="ar"/>
              </w:rPr>
              <w:t>100</w:t>
            </w:r>
            <w:r>
              <w:rPr>
                <w:rFonts w:hint="eastAsia" w:ascii="宋体" w:hAnsi="宋体" w:eastAsia="宋体" w:cs="宋体"/>
                <w:i w:val="0"/>
                <w:iCs w:val="0"/>
                <w:color w:val="auto"/>
                <w:kern w:val="0"/>
                <w:sz w:val="24"/>
                <w:szCs w:val="24"/>
                <w:highlight w:val="none"/>
                <w:u w:val="none"/>
                <w:lang w:val="en-US" w:eastAsia="zh-CN" w:bidi="ar"/>
              </w:rPr>
              <w:t>分</w:t>
            </w:r>
            <w:r>
              <w:rPr>
                <w:rStyle w:val="71"/>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考核方式：日常巡查、现场核查、台账查阅、群众投诉核查、视频抽查等方式</w:t>
            </w:r>
          </w:p>
        </w:tc>
      </w:tr>
      <w:tr w14:paraId="607F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22" w:hRule="atLeast"/>
          <w:jc w:val="center"/>
        </w:trPr>
        <w:tc>
          <w:tcPr>
            <w:tcW w:w="13880" w:type="dxa"/>
            <w:gridSpan w:val="8"/>
            <w:shd w:val="clear" w:color="auto" w:fill="auto"/>
            <w:vAlign w:val="center"/>
          </w:tcPr>
          <w:p w14:paraId="145BA90B">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考核说明：</w:t>
            </w:r>
            <w:r>
              <w:rPr>
                <w:rStyle w:val="71"/>
                <w:rFonts w:hint="eastAsia" w:ascii="宋体" w:hAnsi="宋体" w:eastAsia="宋体" w:cs="宋体"/>
                <w:color w:val="auto"/>
                <w:sz w:val="24"/>
                <w:szCs w:val="24"/>
                <w:highlight w:val="none"/>
                <w:lang w:val="en-US" w:eastAsia="zh-CN" w:bidi="ar"/>
              </w:rPr>
              <w:t xml:space="preserve">1. </w:t>
            </w:r>
            <w:r>
              <w:rPr>
                <w:rFonts w:hint="eastAsia" w:ascii="宋体" w:hAnsi="宋体" w:eastAsia="宋体" w:cs="宋体"/>
                <w:i w:val="0"/>
                <w:iCs w:val="0"/>
                <w:color w:val="auto"/>
                <w:kern w:val="0"/>
                <w:sz w:val="24"/>
                <w:szCs w:val="24"/>
                <w:highlight w:val="none"/>
                <w:u w:val="none"/>
                <w:lang w:val="en-US" w:eastAsia="zh-CN" w:bidi="ar"/>
              </w:rPr>
              <w:t>本表格适用于市政公用设施管护服务企业日常绩效考核；</w:t>
            </w:r>
            <w:r>
              <w:rPr>
                <w:rStyle w:val="71"/>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val="0"/>
                <w:iCs w:val="0"/>
                <w:color w:val="auto"/>
                <w:kern w:val="0"/>
                <w:sz w:val="24"/>
                <w:szCs w:val="24"/>
                <w:highlight w:val="none"/>
                <w:u w:val="none"/>
                <w:lang w:val="en-US" w:eastAsia="zh-CN" w:bidi="ar"/>
              </w:rPr>
              <w:t>考核扣分以单项分值扣完为止，不重复累计扣分；</w:t>
            </w:r>
            <w:r>
              <w:rPr>
                <w:rStyle w:val="71"/>
                <w:rFonts w:hint="eastAsia" w:ascii="宋体" w:hAnsi="宋体" w:eastAsia="宋体" w:cs="宋体"/>
                <w:color w:val="auto"/>
                <w:sz w:val="24"/>
                <w:szCs w:val="24"/>
                <w:highlight w:val="none"/>
                <w:lang w:val="en-US" w:eastAsia="zh-CN" w:bidi="ar"/>
              </w:rPr>
              <w:t xml:space="preserve">3. </w:t>
            </w:r>
            <w:r>
              <w:rPr>
                <w:rFonts w:hint="eastAsia" w:ascii="宋体" w:hAnsi="宋体" w:eastAsia="宋体" w:cs="宋体"/>
                <w:i w:val="0"/>
                <w:iCs w:val="0"/>
                <w:color w:val="auto"/>
                <w:kern w:val="0"/>
                <w:sz w:val="24"/>
                <w:szCs w:val="24"/>
                <w:highlight w:val="none"/>
                <w:u w:val="none"/>
                <w:lang w:val="en-US" w:eastAsia="zh-CN" w:bidi="ar"/>
              </w:rPr>
              <w:t>考核等级划分：</w:t>
            </w:r>
            <w:r>
              <w:rPr>
                <w:rStyle w:val="71"/>
                <w:rFonts w:hint="eastAsia" w:ascii="宋体" w:hAnsi="宋体" w:eastAsia="宋体" w:cs="宋体"/>
                <w:color w:val="auto"/>
                <w:sz w:val="24"/>
                <w:szCs w:val="24"/>
                <w:highlight w:val="none"/>
                <w:lang w:val="en-US" w:eastAsia="zh-CN" w:bidi="ar"/>
              </w:rPr>
              <w:t>90</w:t>
            </w:r>
            <w:r>
              <w:rPr>
                <w:rFonts w:hint="eastAsia" w:ascii="宋体" w:hAnsi="宋体" w:eastAsia="宋体" w:cs="宋体"/>
                <w:i w:val="0"/>
                <w:iCs w:val="0"/>
                <w:color w:val="auto"/>
                <w:kern w:val="0"/>
                <w:sz w:val="24"/>
                <w:szCs w:val="24"/>
                <w:highlight w:val="none"/>
                <w:u w:val="none"/>
                <w:lang w:val="en-US" w:eastAsia="zh-CN" w:bidi="ar"/>
              </w:rPr>
              <w:t>分及以上为优秀、</w:t>
            </w:r>
            <w:r>
              <w:rPr>
                <w:rStyle w:val="71"/>
                <w:rFonts w:hint="eastAsia" w:ascii="宋体" w:hAnsi="宋体" w:eastAsia="宋体" w:cs="宋体"/>
                <w:color w:val="auto"/>
                <w:sz w:val="24"/>
                <w:szCs w:val="24"/>
                <w:highlight w:val="none"/>
                <w:lang w:val="en-US" w:eastAsia="zh-CN" w:bidi="ar"/>
              </w:rPr>
              <w:t>80-89</w:t>
            </w:r>
            <w:r>
              <w:rPr>
                <w:rFonts w:hint="eastAsia" w:ascii="宋体" w:hAnsi="宋体" w:eastAsia="宋体" w:cs="宋体"/>
                <w:i w:val="0"/>
                <w:iCs w:val="0"/>
                <w:color w:val="auto"/>
                <w:kern w:val="0"/>
                <w:sz w:val="24"/>
                <w:szCs w:val="24"/>
                <w:highlight w:val="none"/>
                <w:u w:val="none"/>
                <w:lang w:val="en-US" w:eastAsia="zh-CN" w:bidi="ar"/>
              </w:rPr>
              <w:t>分为合格、</w:t>
            </w:r>
            <w:r>
              <w:rPr>
                <w:rStyle w:val="71"/>
                <w:rFonts w:hint="eastAsia" w:ascii="宋体" w:hAnsi="宋体" w:eastAsia="宋体" w:cs="宋体"/>
                <w:color w:val="auto"/>
                <w:sz w:val="24"/>
                <w:szCs w:val="24"/>
                <w:highlight w:val="none"/>
                <w:lang w:val="en-US" w:eastAsia="zh-CN" w:bidi="ar"/>
              </w:rPr>
              <w:t>70-79</w:t>
            </w:r>
            <w:r>
              <w:rPr>
                <w:rFonts w:hint="eastAsia" w:ascii="宋体" w:hAnsi="宋体" w:eastAsia="宋体" w:cs="宋体"/>
                <w:i w:val="0"/>
                <w:iCs w:val="0"/>
                <w:color w:val="auto"/>
                <w:kern w:val="0"/>
                <w:sz w:val="24"/>
                <w:szCs w:val="24"/>
                <w:highlight w:val="none"/>
                <w:u w:val="none"/>
                <w:lang w:val="en-US" w:eastAsia="zh-CN" w:bidi="ar"/>
              </w:rPr>
              <w:t>分为基本合格、</w:t>
            </w:r>
            <w:r>
              <w:rPr>
                <w:rStyle w:val="71"/>
                <w:rFonts w:hint="eastAsia" w:ascii="宋体" w:hAnsi="宋体" w:eastAsia="宋体" w:cs="宋体"/>
                <w:color w:val="auto"/>
                <w:sz w:val="24"/>
                <w:szCs w:val="24"/>
                <w:highlight w:val="none"/>
                <w:lang w:val="en-US" w:eastAsia="zh-CN" w:bidi="ar"/>
              </w:rPr>
              <w:t>70</w:t>
            </w:r>
            <w:r>
              <w:rPr>
                <w:rFonts w:hint="eastAsia" w:ascii="宋体" w:hAnsi="宋体" w:eastAsia="宋体" w:cs="宋体"/>
                <w:i w:val="0"/>
                <w:iCs w:val="0"/>
                <w:color w:val="auto"/>
                <w:kern w:val="0"/>
                <w:sz w:val="24"/>
                <w:szCs w:val="24"/>
                <w:highlight w:val="none"/>
                <w:u w:val="none"/>
                <w:lang w:val="en-US" w:eastAsia="zh-CN" w:bidi="ar"/>
              </w:rPr>
              <w:t>分以下为不合格；</w:t>
            </w:r>
            <w:r>
              <w:rPr>
                <w:rStyle w:val="71"/>
                <w:rFonts w:hint="eastAsia" w:ascii="宋体" w:hAnsi="宋体" w:eastAsia="宋体" w:cs="宋体"/>
                <w:color w:val="auto"/>
                <w:sz w:val="24"/>
                <w:szCs w:val="24"/>
                <w:highlight w:val="none"/>
                <w:lang w:val="en-US" w:eastAsia="zh-CN" w:bidi="ar"/>
              </w:rPr>
              <w:t xml:space="preserve">4. </w:t>
            </w:r>
            <w:r>
              <w:rPr>
                <w:rFonts w:hint="eastAsia" w:ascii="宋体" w:hAnsi="宋体" w:eastAsia="宋体" w:cs="宋体"/>
                <w:i w:val="0"/>
                <w:iCs w:val="0"/>
                <w:color w:val="auto"/>
                <w:kern w:val="0"/>
                <w:sz w:val="24"/>
                <w:szCs w:val="24"/>
                <w:highlight w:val="none"/>
                <w:u w:val="none"/>
                <w:lang w:val="en-US" w:eastAsia="zh-CN" w:bidi="ar"/>
              </w:rPr>
              <w:t>考核结果与企业服务费拨付、续约资格直接挂钩；</w:t>
            </w:r>
            <w:r>
              <w:rPr>
                <w:rStyle w:val="71"/>
                <w:rFonts w:hint="eastAsia" w:ascii="宋体" w:hAnsi="宋体" w:eastAsia="宋体" w:cs="宋体"/>
                <w:color w:val="auto"/>
                <w:sz w:val="24"/>
                <w:szCs w:val="24"/>
                <w:highlight w:val="none"/>
                <w:lang w:val="en-US" w:eastAsia="zh-CN" w:bidi="ar"/>
              </w:rPr>
              <w:t xml:space="preserve">5. </w:t>
            </w:r>
            <w:r>
              <w:rPr>
                <w:rFonts w:hint="eastAsia" w:ascii="宋体" w:hAnsi="宋体" w:eastAsia="宋体" w:cs="宋体"/>
                <w:i w:val="0"/>
                <w:iCs w:val="0"/>
                <w:color w:val="auto"/>
                <w:kern w:val="0"/>
                <w:sz w:val="24"/>
                <w:szCs w:val="24"/>
                <w:highlight w:val="none"/>
                <w:u w:val="none"/>
                <w:lang w:val="en-US" w:eastAsia="zh-CN" w:bidi="ar"/>
              </w:rPr>
              <w:t>重大安全隐患、突发事故处置不力、弄虚作假等情况，可实行单次一票否决，直接判定月度考核不合格。</w:t>
            </w:r>
          </w:p>
        </w:tc>
      </w:tr>
      <w:tr w14:paraId="180FE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5" w:hRule="atLeast"/>
          <w:jc w:val="center"/>
        </w:trPr>
        <w:tc>
          <w:tcPr>
            <w:tcW w:w="548" w:type="dxa"/>
            <w:shd w:val="clear" w:color="auto" w:fill="auto"/>
            <w:vAlign w:val="center"/>
          </w:tcPr>
          <w:p w14:paraId="2A74B30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Style w:val="72"/>
                <w:rFonts w:hint="eastAsia" w:ascii="宋体" w:hAnsi="宋体" w:eastAsia="宋体" w:cs="宋体"/>
                <w:color w:val="auto"/>
                <w:sz w:val="24"/>
                <w:szCs w:val="24"/>
                <w:highlight w:val="none"/>
                <w:lang w:val="en-US" w:eastAsia="zh-CN" w:bidi="ar"/>
              </w:rPr>
              <w:t>序号</w:t>
            </w:r>
          </w:p>
        </w:tc>
        <w:tc>
          <w:tcPr>
            <w:tcW w:w="859" w:type="dxa"/>
            <w:shd w:val="clear" w:color="auto" w:fill="auto"/>
            <w:vAlign w:val="center"/>
          </w:tcPr>
          <w:p w14:paraId="3A42D94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Style w:val="72"/>
                <w:rFonts w:hint="eastAsia" w:ascii="宋体" w:hAnsi="宋体" w:eastAsia="宋体" w:cs="宋体"/>
                <w:color w:val="auto"/>
                <w:sz w:val="24"/>
                <w:szCs w:val="24"/>
                <w:highlight w:val="none"/>
                <w:lang w:val="en-US" w:eastAsia="zh-CN" w:bidi="ar"/>
              </w:rPr>
              <w:t>考核板块</w:t>
            </w:r>
          </w:p>
        </w:tc>
        <w:tc>
          <w:tcPr>
            <w:tcW w:w="911" w:type="dxa"/>
            <w:shd w:val="clear" w:color="auto" w:fill="auto"/>
            <w:vAlign w:val="center"/>
          </w:tcPr>
          <w:p w14:paraId="3DD4D983">
            <w:pPr>
              <w:keepLines w:val="0"/>
              <w:pageBreakBefore w:val="0"/>
              <w:kinsoku/>
              <w:wordWrap/>
              <w:overflowPunct/>
              <w:topLinePunct w:val="0"/>
              <w:autoSpaceDE/>
              <w:autoSpaceDN/>
              <w:bidi w:val="0"/>
              <w:spacing w:line="480" w:lineRule="exact"/>
              <w:jc w:val="center"/>
              <w:rPr>
                <w:rFonts w:hint="eastAsia" w:ascii="宋体" w:hAnsi="宋体" w:eastAsia="宋体" w:cs="宋体"/>
                <w:b/>
                <w:bCs/>
                <w:i w:val="0"/>
                <w:iCs w:val="0"/>
                <w:color w:val="auto"/>
                <w:sz w:val="24"/>
                <w:szCs w:val="24"/>
                <w:highlight w:val="none"/>
                <w:u w:val="none"/>
              </w:rPr>
            </w:pPr>
          </w:p>
        </w:tc>
        <w:tc>
          <w:tcPr>
            <w:tcW w:w="1433" w:type="dxa"/>
            <w:shd w:val="clear" w:color="auto" w:fill="auto"/>
            <w:vAlign w:val="center"/>
          </w:tcPr>
          <w:p w14:paraId="5E76D95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Style w:val="72"/>
                <w:rFonts w:hint="eastAsia" w:ascii="宋体" w:hAnsi="宋体" w:eastAsia="宋体" w:cs="宋体"/>
                <w:color w:val="auto"/>
                <w:sz w:val="24"/>
                <w:szCs w:val="24"/>
                <w:highlight w:val="none"/>
                <w:lang w:val="en-US" w:eastAsia="zh-CN" w:bidi="ar"/>
              </w:rPr>
              <w:t>考核项目</w:t>
            </w:r>
          </w:p>
        </w:tc>
        <w:tc>
          <w:tcPr>
            <w:tcW w:w="604" w:type="dxa"/>
            <w:shd w:val="clear" w:color="auto" w:fill="auto"/>
            <w:vAlign w:val="center"/>
          </w:tcPr>
          <w:p w14:paraId="5A07793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Style w:val="72"/>
                <w:rFonts w:hint="eastAsia" w:ascii="宋体" w:hAnsi="宋体" w:eastAsia="宋体" w:cs="宋体"/>
                <w:color w:val="auto"/>
                <w:sz w:val="24"/>
                <w:szCs w:val="24"/>
                <w:highlight w:val="none"/>
                <w:lang w:val="en-US" w:eastAsia="zh-CN" w:bidi="ar"/>
              </w:rPr>
              <w:t>分值</w:t>
            </w:r>
          </w:p>
        </w:tc>
        <w:tc>
          <w:tcPr>
            <w:tcW w:w="6034" w:type="dxa"/>
            <w:shd w:val="clear" w:color="auto" w:fill="auto"/>
            <w:vAlign w:val="center"/>
          </w:tcPr>
          <w:p w14:paraId="120B1ED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Style w:val="72"/>
                <w:rFonts w:hint="eastAsia" w:ascii="宋体" w:hAnsi="宋体" w:eastAsia="宋体" w:cs="宋体"/>
                <w:color w:val="auto"/>
                <w:sz w:val="24"/>
                <w:szCs w:val="24"/>
                <w:highlight w:val="none"/>
                <w:lang w:val="en-US" w:eastAsia="zh-CN" w:bidi="ar"/>
              </w:rPr>
              <w:t>考核评分标准</w:t>
            </w:r>
          </w:p>
        </w:tc>
        <w:tc>
          <w:tcPr>
            <w:tcW w:w="1018" w:type="dxa"/>
            <w:shd w:val="clear" w:color="auto" w:fill="auto"/>
            <w:vAlign w:val="center"/>
          </w:tcPr>
          <w:p w14:paraId="62035D9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Style w:val="72"/>
                <w:rFonts w:hint="eastAsia" w:ascii="宋体" w:hAnsi="宋体" w:eastAsia="宋体" w:cs="宋体"/>
                <w:color w:val="auto"/>
                <w:sz w:val="24"/>
                <w:szCs w:val="24"/>
                <w:highlight w:val="none"/>
                <w:lang w:val="en-US" w:eastAsia="zh-CN" w:bidi="ar"/>
              </w:rPr>
              <w:t>扣分</w:t>
            </w:r>
            <w:r>
              <w:rPr>
                <w:rFonts w:hint="eastAsia" w:ascii="宋体" w:hAnsi="宋体" w:eastAsia="宋体" w:cs="宋体"/>
                <w:b/>
                <w:bCs/>
                <w:i w:val="0"/>
                <w:iCs w:val="0"/>
                <w:color w:val="auto"/>
                <w:kern w:val="0"/>
                <w:sz w:val="24"/>
                <w:szCs w:val="24"/>
                <w:highlight w:val="none"/>
                <w:u w:val="none"/>
                <w:lang w:val="en-US" w:eastAsia="zh-CN" w:bidi="ar"/>
              </w:rPr>
              <w:t>/</w:t>
            </w:r>
            <w:r>
              <w:rPr>
                <w:rStyle w:val="72"/>
                <w:rFonts w:hint="eastAsia" w:ascii="宋体" w:hAnsi="宋体" w:eastAsia="宋体" w:cs="宋体"/>
                <w:color w:val="auto"/>
                <w:sz w:val="24"/>
                <w:szCs w:val="24"/>
                <w:highlight w:val="none"/>
                <w:lang w:val="en-US" w:eastAsia="zh-CN" w:bidi="ar"/>
              </w:rPr>
              <w:t>得分</w:t>
            </w:r>
          </w:p>
        </w:tc>
        <w:tc>
          <w:tcPr>
            <w:tcW w:w="2473" w:type="dxa"/>
            <w:shd w:val="clear" w:color="auto" w:fill="auto"/>
            <w:vAlign w:val="center"/>
          </w:tcPr>
          <w:p w14:paraId="5B56569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Style w:val="72"/>
                <w:rFonts w:hint="eastAsia" w:ascii="宋体" w:hAnsi="宋体" w:eastAsia="宋体" w:cs="宋体"/>
                <w:color w:val="auto"/>
                <w:sz w:val="24"/>
                <w:szCs w:val="24"/>
                <w:highlight w:val="none"/>
                <w:lang w:val="en-US" w:eastAsia="zh-CN" w:bidi="ar"/>
              </w:rPr>
              <w:t>备注（问题描述、佐证）</w:t>
            </w:r>
          </w:p>
        </w:tc>
      </w:tr>
      <w:tr w14:paraId="20217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1" w:hRule="atLeast"/>
          <w:jc w:val="center"/>
        </w:trPr>
        <w:tc>
          <w:tcPr>
            <w:tcW w:w="2318" w:type="dxa"/>
            <w:gridSpan w:val="3"/>
            <w:shd w:val="clear" w:color="auto" w:fill="auto"/>
            <w:vAlign w:val="center"/>
          </w:tcPr>
          <w:p w14:paraId="7D80408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一、市政道路管护（45分）</w:t>
            </w:r>
          </w:p>
        </w:tc>
        <w:tc>
          <w:tcPr>
            <w:tcW w:w="0" w:type="auto"/>
            <w:shd w:val="clear" w:color="auto" w:fill="auto"/>
            <w:noWrap/>
            <w:vAlign w:val="center"/>
          </w:tcPr>
          <w:p w14:paraId="1D7F569F">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105A5E3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787DD536">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334A062E">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644C5BE6">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r>
      <w:tr w14:paraId="76F15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548" w:type="dxa"/>
            <w:shd w:val="clear" w:color="auto" w:fill="auto"/>
            <w:vAlign w:val="center"/>
          </w:tcPr>
          <w:p w14:paraId="187AAC3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859" w:type="dxa"/>
            <w:vMerge w:val="restart"/>
            <w:shd w:val="clear" w:color="auto" w:fill="auto"/>
            <w:vAlign w:val="center"/>
          </w:tcPr>
          <w:p w14:paraId="40668A8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市政道路管护（45</w:t>
            </w:r>
            <w:r>
              <w:rPr>
                <w:rStyle w:val="73"/>
                <w:rFonts w:hint="eastAsia" w:ascii="宋体" w:hAnsi="宋体" w:eastAsia="宋体" w:cs="宋体"/>
                <w:color w:val="auto"/>
                <w:sz w:val="24"/>
                <w:szCs w:val="24"/>
                <w:highlight w:val="none"/>
                <w:lang w:val="en-US" w:eastAsia="zh-CN" w:bidi="ar"/>
              </w:rPr>
              <w:t>分</w:t>
            </w:r>
            <w:r>
              <w:rPr>
                <w:rFonts w:hint="eastAsia" w:ascii="宋体" w:hAnsi="宋体" w:eastAsia="宋体" w:cs="宋体"/>
                <w:i w:val="0"/>
                <w:iCs w:val="0"/>
                <w:color w:val="auto"/>
                <w:kern w:val="0"/>
                <w:sz w:val="24"/>
                <w:szCs w:val="24"/>
                <w:highlight w:val="none"/>
                <w:u w:val="none"/>
                <w:lang w:val="en-US" w:eastAsia="zh-CN" w:bidi="ar"/>
              </w:rPr>
              <w:t>）</w:t>
            </w:r>
          </w:p>
        </w:tc>
        <w:tc>
          <w:tcPr>
            <w:tcW w:w="911" w:type="dxa"/>
            <w:vMerge w:val="restart"/>
            <w:shd w:val="clear" w:color="auto" w:fill="auto"/>
            <w:vAlign w:val="center"/>
          </w:tcPr>
          <w:p w14:paraId="2EE1253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车行道养护（15分）</w:t>
            </w:r>
          </w:p>
        </w:tc>
        <w:tc>
          <w:tcPr>
            <w:tcW w:w="1433" w:type="dxa"/>
            <w:shd w:val="clear" w:color="auto" w:fill="auto"/>
            <w:vAlign w:val="center"/>
          </w:tcPr>
          <w:p w14:paraId="26E0A82B">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沥青路面</w:t>
            </w:r>
          </w:p>
        </w:tc>
        <w:tc>
          <w:tcPr>
            <w:tcW w:w="604" w:type="dxa"/>
            <w:vMerge w:val="restart"/>
            <w:shd w:val="clear" w:color="auto" w:fill="auto"/>
            <w:vAlign w:val="center"/>
          </w:tcPr>
          <w:p w14:paraId="3822DCB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6034" w:type="dxa"/>
            <w:shd w:val="clear" w:color="auto" w:fill="auto"/>
            <w:vAlign w:val="center"/>
          </w:tcPr>
          <w:p w14:paraId="655E56C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无坑槽、翻浆、沉陷、拥包、松散、波浪、泛油、重度车辙、裂缝等病害。出现轻微裂缝未及时处置每处扣0.5分，出现坑槽、沉陷、车辙等影响通行病害每处扣1—2分，大面积破损未整改扣3—5分。</w:t>
            </w:r>
          </w:p>
        </w:tc>
        <w:tc>
          <w:tcPr>
            <w:tcW w:w="0" w:type="auto"/>
            <w:shd w:val="clear" w:color="auto" w:fill="auto"/>
            <w:noWrap/>
            <w:vAlign w:val="center"/>
          </w:tcPr>
          <w:p w14:paraId="0BAB6E83">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7B1B077B">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r>
      <w:tr w14:paraId="4D6C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1" w:hRule="atLeast"/>
          <w:jc w:val="center"/>
        </w:trPr>
        <w:tc>
          <w:tcPr>
            <w:tcW w:w="548" w:type="dxa"/>
            <w:shd w:val="clear" w:color="auto" w:fill="auto"/>
            <w:vAlign w:val="center"/>
          </w:tcPr>
          <w:p w14:paraId="6BD7891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859" w:type="dxa"/>
            <w:vMerge w:val="continue"/>
            <w:shd w:val="clear" w:color="auto" w:fill="auto"/>
            <w:vAlign w:val="center"/>
          </w:tcPr>
          <w:p w14:paraId="399C585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6DC1DDD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6A7CD18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水泥路面</w:t>
            </w:r>
          </w:p>
        </w:tc>
        <w:tc>
          <w:tcPr>
            <w:tcW w:w="604" w:type="dxa"/>
            <w:vMerge w:val="continue"/>
            <w:shd w:val="clear" w:color="auto" w:fill="auto"/>
            <w:vAlign w:val="center"/>
          </w:tcPr>
          <w:p w14:paraId="2268FB2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6034" w:type="dxa"/>
            <w:shd w:val="clear" w:color="auto" w:fill="auto"/>
            <w:vAlign w:val="center"/>
          </w:tcPr>
          <w:p w14:paraId="4BD1C886">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无沉陷、拱起、板块破碎、坑洞、板角断裂、露筋、错台等问题。板块破损、错台每处扣1分，大面积破损、路面塌陷未处置每处扣3分。</w:t>
            </w:r>
          </w:p>
        </w:tc>
        <w:tc>
          <w:tcPr>
            <w:tcW w:w="1018" w:type="dxa"/>
            <w:shd w:val="clear" w:color="auto" w:fill="auto"/>
            <w:vAlign w:val="center"/>
          </w:tcPr>
          <w:p w14:paraId="2B65AB9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0BE717C5">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1222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548" w:type="dxa"/>
            <w:shd w:val="clear" w:color="auto" w:fill="auto"/>
            <w:vAlign w:val="center"/>
          </w:tcPr>
          <w:p w14:paraId="019B896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859" w:type="dxa"/>
            <w:vMerge w:val="continue"/>
            <w:shd w:val="clear" w:color="auto" w:fill="auto"/>
            <w:vAlign w:val="center"/>
          </w:tcPr>
          <w:p w14:paraId="6D0AF9B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7F3D7EC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3264390B">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路面积水</w:t>
            </w:r>
          </w:p>
        </w:tc>
        <w:tc>
          <w:tcPr>
            <w:tcW w:w="604" w:type="dxa"/>
            <w:shd w:val="clear" w:color="auto" w:fill="auto"/>
            <w:vAlign w:val="center"/>
          </w:tcPr>
          <w:p w14:paraId="3E0960B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2209FE3C">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雨后无深度15cm以上、大面积长期积水区域，积水未及时排查疏通、处置每处扣2分。</w:t>
            </w:r>
          </w:p>
        </w:tc>
        <w:tc>
          <w:tcPr>
            <w:tcW w:w="1018" w:type="dxa"/>
            <w:shd w:val="clear" w:color="auto" w:fill="auto"/>
            <w:vAlign w:val="center"/>
          </w:tcPr>
          <w:p w14:paraId="387183A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43D6A520">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7AA99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52" w:hRule="atLeast"/>
          <w:jc w:val="center"/>
        </w:trPr>
        <w:tc>
          <w:tcPr>
            <w:tcW w:w="548" w:type="dxa"/>
            <w:shd w:val="clear" w:color="auto" w:fill="auto"/>
            <w:vAlign w:val="center"/>
          </w:tcPr>
          <w:p w14:paraId="552B937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859" w:type="dxa"/>
            <w:vMerge w:val="continue"/>
            <w:shd w:val="clear" w:color="auto" w:fill="auto"/>
            <w:vAlign w:val="center"/>
          </w:tcPr>
          <w:p w14:paraId="580F43E0">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0BAABFF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5B39BF01">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维修质量</w:t>
            </w:r>
          </w:p>
        </w:tc>
        <w:tc>
          <w:tcPr>
            <w:tcW w:w="604" w:type="dxa"/>
            <w:shd w:val="clear" w:color="auto" w:fill="auto"/>
            <w:vAlign w:val="center"/>
          </w:tcPr>
          <w:p w14:paraId="3610AF3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034" w:type="dxa"/>
            <w:shd w:val="clear" w:color="auto" w:fill="auto"/>
            <w:vAlign w:val="center"/>
          </w:tcPr>
          <w:p w14:paraId="58EC933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路面维修修补平整、压实达标，材质、色泽与原路面一致，无二次破损、接缝开裂，维修不规范、观感差每处扣1分，维修后短期内再次破损加倍扣分。</w:t>
            </w:r>
          </w:p>
        </w:tc>
        <w:tc>
          <w:tcPr>
            <w:tcW w:w="1018" w:type="dxa"/>
            <w:shd w:val="clear" w:color="auto" w:fill="auto"/>
            <w:vAlign w:val="center"/>
          </w:tcPr>
          <w:p w14:paraId="7DF0CA9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5B71253F">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61B7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2" w:hRule="atLeast"/>
          <w:jc w:val="center"/>
        </w:trPr>
        <w:tc>
          <w:tcPr>
            <w:tcW w:w="548" w:type="dxa"/>
            <w:shd w:val="clear" w:color="auto" w:fill="auto"/>
            <w:vAlign w:val="center"/>
          </w:tcPr>
          <w:p w14:paraId="56CB873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859" w:type="dxa"/>
            <w:vMerge w:val="continue"/>
            <w:shd w:val="clear" w:color="auto" w:fill="auto"/>
            <w:vAlign w:val="center"/>
          </w:tcPr>
          <w:p w14:paraId="0051194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restart"/>
            <w:shd w:val="clear" w:color="auto" w:fill="auto"/>
            <w:vAlign w:val="center"/>
          </w:tcPr>
          <w:p w14:paraId="4224F09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人行道及附属设施养护（15分）</w:t>
            </w:r>
          </w:p>
        </w:tc>
        <w:tc>
          <w:tcPr>
            <w:tcW w:w="0" w:type="auto"/>
            <w:shd w:val="clear" w:color="auto" w:fill="auto"/>
            <w:noWrap/>
            <w:vAlign w:val="center"/>
          </w:tcPr>
          <w:p w14:paraId="40069C90">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人行道板</w:t>
            </w:r>
          </w:p>
        </w:tc>
        <w:tc>
          <w:tcPr>
            <w:tcW w:w="604" w:type="dxa"/>
            <w:shd w:val="clear" w:color="auto" w:fill="auto"/>
            <w:vAlign w:val="center"/>
          </w:tcPr>
          <w:p w14:paraId="3990D6D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6034" w:type="dxa"/>
            <w:shd w:val="clear" w:color="auto" w:fill="auto"/>
            <w:vAlign w:val="center"/>
          </w:tcPr>
          <w:p w14:paraId="1B8FECFB">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路面平整，无破损、缺失、错台、凸起、凹陷、松动现象。单块破损、松动每处扣0.5分，破损面积超0.5㎡、塌陷面积超1㎡每处扣1分，大面积破损未整改扣3分。</w:t>
            </w:r>
          </w:p>
        </w:tc>
        <w:tc>
          <w:tcPr>
            <w:tcW w:w="1018" w:type="dxa"/>
            <w:shd w:val="clear" w:color="auto" w:fill="auto"/>
            <w:vAlign w:val="center"/>
          </w:tcPr>
          <w:p w14:paraId="0B14F4A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E88765F">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62D3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34" w:hRule="atLeast"/>
          <w:jc w:val="center"/>
        </w:trPr>
        <w:tc>
          <w:tcPr>
            <w:tcW w:w="548" w:type="dxa"/>
            <w:shd w:val="clear" w:color="auto" w:fill="auto"/>
            <w:vAlign w:val="center"/>
          </w:tcPr>
          <w:p w14:paraId="021085B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859" w:type="dxa"/>
            <w:vMerge w:val="continue"/>
            <w:shd w:val="clear" w:color="auto" w:fill="auto"/>
            <w:vAlign w:val="center"/>
          </w:tcPr>
          <w:p w14:paraId="54AAD487">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5D014E0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57C86477">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消火栓管护</w:t>
            </w:r>
          </w:p>
        </w:tc>
        <w:tc>
          <w:tcPr>
            <w:tcW w:w="604" w:type="dxa"/>
            <w:shd w:val="clear" w:color="auto" w:fill="auto"/>
            <w:vAlign w:val="center"/>
          </w:tcPr>
          <w:p w14:paraId="597422E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6034" w:type="dxa"/>
            <w:shd w:val="clear" w:color="auto" w:fill="auto"/>
            <w:vAlign w:val="center"/>
          </w:tcPr>
          <w:p w14:paraId="6CED3B5D">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1.保持消火栓完好，确保无部件缺损、生锈、油漆剥落等情形；2.确保开关、闷盖开启灵活，无锈蚀、堵塞、漏水等情况，每个扣0.5</w:t>
            </w:r>
            <w:r>
              <w:rPr>
                <w:rStyle w:val="73"/>
                <w:rFonts w:hint="eastAsia" w:ascii="宋体" w:hAnsi="宋体" w:eastAsia="宋体" w:cs="宋体"/>
                <w:color w:val="auto"/>
                <w:sz w:val="24"/>
                <w:szCs w:val="24"/>
                <w:highlight w:val="none"/>
                <w:lang w:val="en-US" w:eastAsia="zh-CN" w:bidi="ar"/>
              </w:rPr>
              <w:t>分</w:t>
            </w:r>
            <w:r>
              <w:rPr>
                <w:rFonts w:hint="eastAsia" w:ascii="宋体" w:hAnsi="宋体" w:eastAsia="宋体" w:cs="宋体"/>
                <w:i w:val="0"/>
                <w:iCs w:val="0"/>
                <w:color w:val="auto"/>
                <w:kern w:val="0"/>
                <w:sz w:val="24"/>
                <w:szCs w:val="24"/>
                <w:highlight w:val="none"/>
                <w:u w:val="none"/>
                <w:lang w:val="en-US" w:eastAsia="zh-CN" w:bidi="ar"/>
              </w:rPr>
              <w:t>。3.保持消火栓外观及标志清晰、完好，每季度至少进行1次外观和标志检查，确保无遮挡、无埋压、无圈占，且周边无影响使用的障碍物。4.每半年至少进行1次启闭测试、压力测试和排放余水，确保消火栓在火灾时能正常出水，且压力符合标准（平时运行工作压力≥0.14MPa，火灾时最不利点出流量≥15L/s，动压≥0.10MPa）。5.接到消火栓被撞断、严重倾斜、栓体严重漏水等不能正常使用的反馈后，必须在24小时内完成紧急抢修。</w:t>
            </w:r>
          </w:p>
        </w:tc>
        <w:tc>
          <w:tcPr>
            <w:tcW w:w="1018" w:type="dxa"/>
            <w:shd w:val="clear" w:color="auto" w:fill="auto"/>
            <w:vAlign w:val="center"/>
          </w:tcPr>
          <w:p w14:paraId="648F698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5AF141F9">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68DA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8" w:hRule="atLeast"/>
          <w:jc w:val="center"/>
        </w:trPr>
        <w:tc>
          <w:tcPr>
            <w:tcW w:w="548" w:type="dxa"/>
            <w:shd w:val="clear" w:color="auto" w:fill="auto"/>
            <w:vAlign w:val="center"/>
          </w:tcPr>
          <w:p w14:paraId="32F2B01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7</w:t>
            </w:r>
          </w:p>
        </w:tc>
        <w:tc>
          <w:tcPr>
            <w:tcW w:w="859" w:type="dxa"/>
            <w:vMerge w:val="continue"/>
            <w:shd w:val="clear" w:color="auto" w:fill="auto"/>
            <w:vAlign w:val="center"/>
          </w:tcPr>
          <w:p w14:paraId="47A9017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2CF2BDF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36FE6821">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盲道设施</w:t>
            </w:r>
          </w:p>
        </w:tc>
        <w:tc>
          <w:tcPr>
            <w:tcW w:w="604" w:type="dxa"/>
            <w:shd w:val="clear" w:color="auto" w:fill="auto"/>
            <w:vAlign w:val="center"/>
          </w:tcPr>
          <w:p w14:paraId="6F05766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61EB1319">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盲道砖完整、顺直、无遮挡、无障碍，无破损、缺失、错位，占用、破损、缺失每处扣1分，影响通行安全扣2分。</w:t>
            </w:r>
          </w:p>
        </w:tc>
        <w:tc>
          <w:tcPr>
            <w:tcW w:w="1018" w:type="dxa"/>
            <w:shd w:val="clear" w:color="auto" w:fill="auto"/>
            <w:vAlign w:val="center"/>
          </w:tcPr>
          <w:p w14:paraId="46E78C9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7B71AE36">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B5E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0" w:hRule="atLeast"/>
          <w:jc w:val="center"/>
        </w:trPr>
        <w:tc>
          <w:tcPr>
            <w:tcW w:w="548" w:type="dxa"/>
            <w:shd w:val="clear" w:color="auto" w:fill="auto"/>
            <w:vAlign w:val="center"/>
          </w:tcPr>
          <w:p w14:paraId="29A0E73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8</w:t>
            </w:r>
          </w:p>
        </w:tc>
        <w:tc>
          <w:tcPr>
            <w:tcW w:w="859" w:type="dxa"/>
            <w:vMerge w:val="continue"/>
            <w:shd w:val="clear" w:color="auto" w:fill="auto"/>
            <w:vAlign w:val="center"/>
          </w:tcPr>
          <w:p w14:paraId="4099191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0DDB76C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617E7806">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路缘石</w:t>
            </w:r>
          </w:p>
        </w:tc>
        <w:tc>
          <w:tcPr>
            <w:tcW w:w="604" w:type="dxa"/>
            <w:shd w:val="clear" w:color="auto" w:fill="auto"/>
            <w:vAlign w:val="center"/>
          </w:tcPr>
          <w:p w14:paraId="7483AAE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582DD5EA">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完整顺直、无断裂、倾斜、缺失、沉降，勾缝饱满。轻微破损每处扣0.5分，断裂、倾斜、缺失每处扣1分。</w:t>
            </w:r>
          </w:p>
        </w:tc>
        <w:tc>
          <w:tcPr>
            <w:tcW w:w="1018" w:type="dxa"/>
            <w:shd w:val="clear" w:color="auto" w:fill="auto"/>
            <w:vAlign w:val="center"/>
          </w:tcPr>
          <w:p w14:paraId="30599657">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24A4616">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4AE73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548" w:type="dxa"/>
            <w:shd w:val="clear" w:color="auto" w:fill="auto"/>
            <w:vAlign w:val="center"/>
          </w:tcPr>
          <w:p w14:paraId="68D1A54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9</w:t>
            </w:r>
          </w:p>
        </w:tc>
        <w:tc>
          <w:tcPr>
            <w:tcW w:w="859" w:type="dxa"/>
            <w:vMerge w:val="continue"/>
            <w:shd w:val="clear" w:color="auto" w:fill="auto"/>
            <w:vAlign w:val="center"/>
          </w:tcPr>
          <w:p w14:paraId="34EBD5A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6C3B81D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0F87ACDE">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边坡及挡土墙</w:t>
            </w:r>
          </w:p>
        </w:tc>
        <w:tc>
          <w:tcPr>
            <w:tcW w:w="604" w:type="dxa"/>
            <w:shd w:val="clear" w:color="auto" w:fill="auto"/>
            <w:vAlign w:val="center"/>
          </w:tcPr>
          <w:p w14:paraId="2487A45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5CC7B93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无明显开裂、滑移、下沉、坍塌隐患，墙体无破损脱落，出现隐患未排查登记、未整改每处扣2分，出现坍塌险情未及时处置扣5分。</w:t>
            </w:r>
          </w:p>
        </w:tc>
        <w:tc>
          <w:tcPr>
            <w:tcW w:w="1018" w:type="dxa"/>
            <w:shd w:val="clear" w:color="auto" w:fill="auto"/>
            <w:vAlign w:val="center"/>
          </w:tcPr>
          <w:p w14:paraId="3F4237B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493FF360">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7118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548" w:type="dxa"/>
            <w:shd w:val="clear" w:color="auto" w:fill="auto"/>
            <w:vAlign w:val="center"/>
          </w:tcPr>
          <w:p w14:paraId="059F734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10</w:t>
            </w:r>
          </w:p>
        </w:tc>
        <w:tc>
          <w:tcPr>
            <w:tcW w:w="859" w:type="dxa"/>
            <w:vMerge w:val="continue"/>
            <w:shd w:val="clear" w:color="auto" w:fill="auto"/>
            <w:vAlign w:val="center"/>
          </w:tcPr>
          <w:p w14:paraId="583EC417">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restart"/>
            <w:shd w:val="clear" w:color="auto" w:fill="auto"/>
            <w:vAlign w:val="center"/>
          </w:tcPr>
          <w:p w14:paraId="3164825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道路日常管护与作业规范（15分） </w:t>
            </w:r>
          </w:p>
        </w:tc>
        <w:tc>
          <w:tcPr>
            <w:tcW w:w="1433" w:type="dxa"/>
            <w:shd w:val="clear" w:color="auto" w:fill="auto"/>
            <w:vAlign w:val="center"/>
          </w:tcPr>
          <w:p w14:paraId="1422FC5B">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日常巡查</w:t>
            </w:r>
          </w:p>
        </w:tc>
        <w:tc>
          <w:tcPr>
            <w:tcW w:w="604" w:type="dxa"/>
            <w:shd w:val="clear" w:color="auto" w:fill="auto"/>
            <w:vAlign w:val="center"/>
          </w:tcPr>
          <w:p w14:paraId="5860F2E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034" w:type="dxa"/>
            <w:shd w:val="clear" w:color="auto" w:fill="auto"/>
            <w:vAlign w:val="center"/>
          </w:tcPr>
          <w:p w14:paraId="7A69763C">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常规天气每日巡查1次，汛期、大风、雨雪恶劣天气每日不少于2次，夜间巡查每月不少于1次，巡查频次不足、无巡查记录每次扣1分。</w:t>
            </w:r>
          </w:p>
        </w:tc>
        <w:tc>
          <w:tcPr>
            <w:tcW w:w="1018" w:type="dxa"/>
            <w:shd w:val="clear" w:color="auto" w:fill="auto"/>
            <w:vAlign w:val="center"/>
          </w:tcPr>
          <w:p w14:paraId="177C6427">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5CFA538F">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523D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548" w:type="dxa"/>
            <w:shd w:val="clear" w:color="auto" w:fill="auto"/>
            <w:vAlign w:val="center"/>
          </w:tcPr>
          <w:p w14:paraId="5F8C326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11</w:t>
            </w:r>
          </w:p>
        </w:tc>
        <w:tc>
          <w:tcPr>
            <w:tcW w:w="859" w:type="dxa"/>
            <w:vMerge w:val="continue"/>
            <w:shd w:val="clear" w:color="auto" w:fill="auto"/>
            <w:vAlign w:val="center"/>
          </w:tcPr>
          <w:p w14:paraId="3DAFAFAF">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4FB4796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7B260014">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作业规范</w:t>
            </w:r>
          </w:p>
        </w:tc>
        <w:tc>
          <w:tcPr>
            <w:tcW w:w="604" w:type="dxa"/>
            <w:shd w:val="clear" w:color="auto" w:fill="auto"/>
            <w:vAlign w:val="center"/>
          </w:tcPr>
          <w:p w14:paraId="17D251F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4FB22DF7">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道路维修、养护作业设置标准警示标识、围挡，做好安全防护，无违规作业、占道施工不围挡情况，违规一次扣2分。</w:t>
            </w:r>
          </w:p>
        </w:tc>
        <w:tc>
          <w:tcPr>
            <w:tcW w:w="1018" w:type="dxa"/>
            <w:shd w:val="clear" w:color="auto" w:fill="auto"/>
            <w:vAlign w:val="center"/>
          </w:tcPr>
          <w:p w14:paraId="1E6A3A1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48210B15">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289C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548" w:type="dxa"/>
            <w:shd w:val="clear" w:color="auto" w:fill="auto"/>
            <w:vAlign w:val="center"/>
          </w:tcPr>
          <w:p w14:paraId="2F9EF73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12</w:t>
            </w:r>
          </w:p>
        </w:tc>
        <w:tc>
          <w:tcPr>
            <w:tcW w:w="859" w:type="dxa"/>
            <w:vMerge w:val="continue"/>
            <w:shd w:val="clear" w:color="auto" w:fill="auto"/>
            <w:vAlign w:val="center"/>
          </w:tcPr>
          <w:p w14:paraId="25EE74D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7C3B492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4A60444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环境卫生</w:t>
            </w:r>
          </w:p>
        </w:tc>
        <w:tc>
          <w:tcPr>
            <w:tcW w:w="604" w:type="dxa"/>
            <w:shd w:val="clear" w:color="auto" w:fill="auto"/>
            <w:vAlign w:val="center"/>
          </w:tcPr>
          <w:p w14:paraId="0596B93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74891508">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道路养护后现场干净整洁，无建筑垃圾、废弃物料堆积，作业遗留垃圾未清理每处扣1分。</w:t>
            </w:r>
          </w:p>
        </w:tc>
        <w:tc>
          <w:tcPr>
            <w:tcW w:w="1018" w:type="dxa"/>
            <w:shd w:val="clear" w:color="auto" w:fill="auto"/>
            <w:vAlign w:val="center"/>
          </w:tcPr>
          <w:p w14:paraId="4E804E3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1A2B96AA">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724C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6" w:hRule="atLeast"/>
          <w:jc w:val="center"/>
        </w:trPr>
        <w:tc>
          <w:tcPr>
            <w:tcW w:w="548" w:type="dxa"/>
            <w:shd w:val="clear" w:color="auto" w:fill="auto"/>
            <w:vAlign w:val="center"/>
          </w:tcPr>
          <w:p w14:paraId="40055C9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13</w:t>
            </w:r>
          </w:p>
        </w:tc>
        <w:tc>
          <w:tcPr>
            <w:tcW w:w="859" w:type="dxa"/>
            <w:vMerge w:val="continue"/>
            <w:shd w:val="clear" w:color="auto" w:fill="auto"/>
            <w:vAlign w:val="center"/>
          </w:tcPr>
          <w:p w14:paraId="5A565A0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6828AB7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2B59D970">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病害处置时效</w:t>
            </w:r>
          </w:p>
        </w:tc>
        <w:tc>
          <w:tcPr>
            <w:tcW w:w="604" w:type="dxa"/>
            <w:shd w:val="clear" w:color="auto" w:fill="auto"/>
            <w:vAlign w:val="center"/>
          </w:tcPr>
          <w:p w14:paraId="3ED4B11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034" w:type="dxa"/>
            <w:shd w:val="clear" w:color="auto" w:fill="auto"/>
            <w:vAlign w:val="center"/>
          </w:tcPr>
          <w:p w14:paraId="3E91E8F6">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一般性道路病害48小时内处置完毕，重大隐患2小时内到场管控、24小时内制定整改方案，超时未处置每处扣2—3分。 </w:t>
            </w:r>
          </w:p>
        </w:tc>
        <w:tc>
          <w:tcPr>
            <w:tcW w:w="1018" w:type="dxa"/>
            <w:shd w:val="clear" w:color="auto" w:fill="auto"/>
            <w:vAlign w:val="center"/>
          </w:tcPr>
          <w:p w14:paraId="685E046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1893AFB1">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5B2D4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548" w:type="dxa"/>
            <w:shd w:val="clear" w:color="auto" w:fill="auto"/>
            <w:vAlign w:val="center"/>
          </w:tcPr>
          <w:p w14:paraId="740B120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14</w:t>
            </w:r>
          </w:p>
        </w:tc>
        <w:tc>
          <w:tcPr>
            <w:tcW w:w="859" w:type="dxa"/>
            <w:vMerge w:val="restart"/>
            <w:shd w:val="clear" w:color="auto" w:fill="auto"/>
            <w:vAlign w:val="center"/>
          </w:tcPr>
          <w:p w14:paraId="4FA33CD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市政管网维护考核（40分） </w:t>
            </w:r>
          </w:p>
        </w:tc>
        <w:tc>
          <w:tcPr>
            <w:tcW w:w="911" w:type="dxa"/>
            <w:vMerge w:val="restart"/>
            <w:shd w:val="clear" w:color="auto" w:fill="auto"/>
            <w:vAlign w:val="center"/>
          </w:tcPr>
          <w:p w14:paraId="475C51F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管网日常巡查管护（12分）</w:t>
            </w:r>
          </w:p>
        </w:tc>
        <w:tc>
          <w:tcPr>
            <w:tcW w:w="1433" w:type="dxa"/>
            <w:shd w:val="clear" w:color="auto" w:fill="auto"/>
            <w:vAlign w:val="center"/>
          </w:tcPr>
          <w:p w14:paraId="61C77617">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全覆盖巡查</w:t>
            </w:r>
          </w:p>
        </w:tc>
        <w:tc>
          <w:tcPr>
            <w:tcW w:w="604" w:type="dxa"/>
            <w:shd w:val="clear" w:color="auto" w:fill="auto"/>
            <w:vAlign w:val="center"/>
          </w:tcPr>
          <w:p w14:paraId="2C9760C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558947D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辖区雨、污水管网、检查井、雨水篦子、出水口实现全覆盖巡查，无遗漏路段、无盲区，漏巡一处扣1分。</w:t>
            </w:r>
          </w:p>
        </w:tc>
        <w:tc>
          <w:tcPr>
            <w:tcW w:w="1018" w:type="dxa"/>
            <w:shd w:val="clear" w:color="auto" w:fill="auto"/>
            <w:vAlign w:val="center"/>
          </w:tcPr>
          <w:p w14:paraId="4E5067D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7607F6A1">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7C6AA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548" w:type="dxa"/>
            <w:shd w:val="clear" w:color="auto" w:fill="auto"/>
            <w:vAlign w:val="center"/>
          </w:tcPr>
          <w:p w14:paraId="58B9D28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15</w:t>
            </w:r>
          </w:p>
        </w:tc>
        <w:tc>
          <w:tcPr>
            <w:tcW w:w="859" w:type="dxa"/>
            <w:vMerge w:val="continue"/>
            <w:shd w:val="clear" w:color="auto" w:fill="auto"/>
            <w:vAlign w:val="center"/>
          </w:tcPr>
          <w:p w14:paraId="72AED4D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6890485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706704A8">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设施完好性</w:t>
            </w:r>
          </w:p>
        </w:tc>
        <w:tc>
          <w:tcPr>
            <w:tcW w:w="604" w:type="dxa"/>
            <w:shd w:val="clear" w:color="auto" w:fill="auto"/>
            <w:vAlign w:val="center"/>
          </w:tcPr>
          <w:p w14:paraId="6D99D91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034" w:type="dxa"/>
            <w:shd w:val="clear" w:color="auto" w:fill="auto"/>
            <w:vAlign w:val="center"/>
          </w:tcPr>
          <w:p w14:paraId="790791B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检查井、雨水篦子盖板完整、安装牢固，无破损、缺失、松动、移位、沉降、井盖高低差超标问题。盖板松动、轻微破损每处扣0.5分，缺失、破损、移位影响安全每处扣2分。</w:t>
            </w:r>
          </w:p>
        </w:tc>
        <w:tc>
          <w:tcPr>
            <w:tcW w:w="1018" w:type="dxa"/>
            <w:shd w:val="clear" w:color="auto" w:fill="auto"/>
            <w:vAlign w:val="center"/>
          </w:tcPr>
          <w:p w14:paraId="6590B2E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082D8977">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5B7B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6" w:hRule="atLeast"/>
          <w:jc w:val="center"/>
        </w:trPr>
        <w:tc>
          <w:tcPr>
            <w:tcW w:w="548" w:type="dxa"/>
            <w:shd w:val="clear" w:color="auto" w:fill="auto"/>
            <w:vAlign w:val="center"/>
          </w:tcPr>
          <w:p w14:paraId="1A333DD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16</w:t>
            </w:r>
          </w:p>
        </w:tc>
        <w:tc>
          <w:tcPr>
            <w:tcW w:w="859" w:type="dxa"/>
            <w:vMerge w:val="continue"/>
            <w:shd w:val="clear" w:color="auto" w:fill="auto"/>
            <w:vAlign w:val="center"/>
          </w:tcPr>
          <w:p w14:paraId="2733FB3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7A719F9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539AFC61">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管网外观</w:t>
            </w:r>
          </w:p>
        </w:tc>
        <w:tc>
          <w:tcPr>
            <w:tcW w:w="604" w:type="dxa"/>
            <w:shd w:val="clear" w:color="auto" w:fill="auto"/>
            <w:vAlign w:val="center"/>
          </w:tcPr>
          <w:p w14:paraId="6B2AFCB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6034" w:type="dxa"/>
            <w:shd w:val="clear" w:color="auto" w:fill="auto"/>
            <w:vAlign w:val="center"/>
          </w:tcPr>
          <w:p w14:paraId="4370B3DE">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管网沿线无明显塌陷、沉降、破损、渗漏、溢水痕迹，发现病害未登记上报每处扣1分，溢水、渗漏未处置每处扣3分。</w:t>
            </w:r>
          </w:p>
        </w:tc>
        <w:tc>
          <w:tcPr>
            <w:tcW w:w="1018" w:type="dxa"/>
            <w:shd w:val="clear" w:color="auto" w:fill="auto"/>
            <w:vAlign w:val="center"/>
          </w:tcPr>
          <w:p w14:paraId="4C2B2F1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66004F7D">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26AF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548" w:type="dxa"/>
            <w:shd w:val="clear" w:color="auto" w:fill="auto"/>
            <w:vAlign w:val="center"/>
          </w:tcPr>
          <w:p w14:paraId="16E1BD8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17</w:t>
            </w:r>
          </w:p>
        </w:tc>
        <w:tc>
          <w:tcPr>
            <w:tcW w:w="859" w:type="dxa"/>
            <w:vMerge w:val="continue"/>
            <w:shd w:val="clear" w:color="auto" w:fill="auto"/>
            <w:vAlign w:val="center"/>
          </w:tcPr>
          <w:p w14:paraId="1A510B3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42612C9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4545C86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特殊时段巡查</w:t>
            </w:r>
          </w:p>
        </w:tc>
        <w:tc>
          <w:tcPr>
            <w:tcW w:w="604" w:type="dxa"/>
            <w:shd w:val="clear" w:color="auto" w:fill="auto"/>
            <w:vAlign w:val="center"/>
          </w:tcPr>
          <w:p w14:paraId="17FD21E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378643F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汛期、雨季加密巡查频次，重点排查低洼路段、老旧管网，未落实专项巡查每次扣2分。 </w:t>
            </w:r>
          </w:p>
        </w:tc>
        <w:tc>
          <w:tcPr>
            <w:tcW w:w="1018" w:type="dxa"/>
            <w:shd w:val="clear" w:color="auto" w:fill="auto"/>
            <w:vAlign w:val="center"/>
          </w:tcPr>
          <w:p w14:paraId="59B0071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2580FA4A">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492F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6" w:hRule="atLeast"/>
          <w:jc w:val="center"/>
        </w:trPr>
        <w:tc>
          <w:tcPr>
            <w:tcW w:w="548" w:type="dxa"/>
            <w:shd w:val="clear" w:color="auto" w:fill="auto"/>
            <w:vAlign w:val="center"/>
          </w:tcPr>
          <w:p w14:paraId="5479129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18</w:t>
            </w:r>
          </w:p>
        </w:tc>
        <w:tc>
          <w:tcPr>
            <w:tcW w:w="859" w:type="dxa"/>
            <w:vMerge w:val="continue"/>
            <w:shd w:val="clear" w:color="auto" w:fill="auto"/>
            <w:vAlign w:val="center"/>
          </w:tcPr>
          <w:p w14:paraId="7C1DFC0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restart"/>
            <w:shd w:val="clear" w:color="auto" w:fill="auto"/>
            <w:vAlign w:val="center"/>
          </w:tcPr>
          <w:p w14:paraId="5669568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管网清淤疏通（12分） </w:t>
            </w:r>
          </w:p>
        </w:tc>
        <w:tc>
          <w:tcPr>
            <w:tcW w:w="1433" w:type="dxa"/>
            <w:shd w:val="clear" w:color="auto" w:fill="auto"/>
            <w:vAlign w:val="center"/>
          </w:tcPr>
          <w:p w14:paraId="21C33CF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常规清掏</w:t>
            </w:r>
          </w:p>
        </w:tc>
        <w:tc>
          <w:tcPr>
            <w:tcW w:w="604" w:type="dxa"/>
            <w:shd w:val="clear" w:color="auto" w:fill="auto"/>
            <w:vAlign w:val="center"/>
          </w:tcPr>
          <w:p w14:paraId="65C6C0A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034" w:type="dxa"/>
            <w:shd w:val="clear" w:color="auto" w:fill="auto"/>
            <w:vAlign w:val="center"/>
          </w:tcPr>
          <w:p w14:paraId="0554A55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按月、季度完成管网、检查井、雨水篦子清淤清掏工作，无淤积、堵塞、积泥杂物堆积，清掏不彻底、留有杂物每处扣0.5分。</w:t>
            </w:r>
          </w:p>
        </w:tc>
        <w:tc>
          <w:tcPr>
            <w:tcW w:w="1018" w:type="dxa"/>
            <w:shd w:val="clear" w:color="auto" w:fill="auto"/>
            <w:vAlign w:val="center"/>
          </w:tcPr>
          <w:p w14:paraId="01CD795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80FC6C8">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3C10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548" w:type="dxa"/>
            <w:shd w:val="clear" w:color="auto" w:fill="auto"/>
            <w:vAlign w:val="center"/>
          </w:tcPr>
          <w:p w14:paraId="4AE4049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19</w:t>
            </w:r>
          </w:p>
        </w:tc>
        <w:tc>
          <w:tcPr>
            <w:tcW w:w="859" w:type="dxa"/>
            <w:vMerge w:val="continue"/>
            <w:shd w:val="clear" w:color="auto" w:fill="auto"/>
            <w:vAlign w:val="center"/>
          </w:tcPr>
          <w:p w14:paraId="09F87A7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7350A7A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1667711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堵塞处置</w:t>
            </w:r>
          </w:p>
        </w:tc>
        <w:tc>
          <w:tcPr>
            <w:tcW w:w="604" w:type="dxa"/>
            <w:shd w:val="clear" w:color="auto" w:fill="auto"/>
            <w:vAlign w:val="center"/>
          </w:tcPr>
          <w:p w14:paraId="662B347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034" w:type="dxa"/>
            <w:shd w:val="clear" w:color="auto" w:fill="auto"/>
            <w:vAlign w:val="center"/>
          </w:tcPr>
          <w:p w14:paraId="1E66E740">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管网、雨水篦子堵塞导致排水不畅、积水淤积，未及时疏通每处扣2分，反复堵塞未溯源整改扣3分。</w:t>
            </w:r>
          </w:p>
        </w:tc>
        <w:tc>
          <w:tcPr>
            <w:tcW w:w="1018" w:type="dxa"/>
            <w:shd w:val="clear" w:color="auto" w:fill="auto"/>
            <w:vAlign w:val="center"/>
          </w:tcPr>
          <w:p w14:paraId="03CB695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0A65DBE4">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2455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548" w:type="dxa"/>
            <w:shd w:val="clear" w:color="auto" w:fill="auto"/>
            <w:vAlign w:val="center"/>
          </w:tcPr>
          <w:p w14:paraId="6AC211A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w:t>
            </w:r>
          </w:p>
        </w:tc>
        <w:tc>
          <w:tcPr>
            <w:tcW w:w="859" w:type="dxa"/>
            <w:vMerge w:val="continue"/>
            <w:shd w:val="clear" w:color="auto" w:fill="auto"/>
            <w:vAlign w:val="center"/>
          </w:tcPr>
          <w:p w14:paraId="1E1B1BB7">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334B8DB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2936C52C">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Style w:val="74"/>
                <w:rFonts w:hint="eastAsia" w:ascii="宋体" w:hAnsi="宋体" w:eastAsia="宋体" w:cs="宋体"/>
                <w:color w:val="auto"/>
                <w:sz w:val="24"/>
                <w:szCs w:val="24"/>
                <w:highlight w:val="none"/>
                <w:lang w:val="en-US" w:eastAsia="zh-CN" w:bidi="ar"/>
              </w:rPr>
              <w:t>清淤台账</w:t>
            </w:r>
          </w:p>
        </w:tc>
        <w:tc>
          <w:tcPr>
            <w:tcW w:w="0" w:type="auto"/>
            <w:shd w:val="clear" w:color="auto" w:fill="auto"/>
            <w:noWrap/>
            <w:vAlign w:val="center"/>
          </w:tcPr>
          <w:p w14:paraId="30D8A9D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71884CA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Style w:val="74"/>
                <w:rFonts w:hint="eastAsia" w:ascii="宋体" w:hAnsi="宋体" w:eastAsia="宋体" w:cs="宋体"/>
                <w:color w:val="auto"/>
                <w:sz w:val="24"/>
                <w:szCs w:val="24"/>
                <w:highlight w:val="none"/>
                <w:lang w:val="en-US" w:eastAsia="zh-CN" w:bidi="ar"/>
              </w:rPr>
              <w:t>清淤位置、时间、工程量、前后对比影像资料齐全，台账缺失、记录不实每次扣</w:t>
            </w:r>
            <w:r>
              <w:rPr>
                <w:rFonts w:hint="eastAsia" w:ascii="宋体" w:hAnsi="宋体" w:eastAsia="宋体" w:cs="宋体"/>
                <w:i w:val="0"/>
                <w:iCs w:val="0"/>
                <w:color w:val="auto"/>
                <w:kern w:val="0"/>
                <w:sz w:val="24"/>
                <w:szCs w:val="24"/>
                <w:highlight w:val="none"/>
                <w:u w:val="none"/>
                <w:lang w:val="en-US" w:eastAsia="zh-CN" w:bidi="ar"/>
              </w:rPr>
              <w:t>1</w:t>
            </w:r>
            <w:r>
              <w:rPr>
                <w:rStyle w:val="74"/>
                <w:rFonts w:hint="eastAsia" w:ascii="宋体" w:hAnsi="宋体" w:eastAsia="宋体" w:cs="宋体"/>
                <w:color w:val="auto"/>
                <w:sz w:val="24"/>
                <w:szCs w:val="24"/>
                <w:highlight w:val="none"/>
                <w:lang w:val="en-US" w:eastAsia="zh-CN" w:bidi="ar"/>
              </w:rPr>
              <w:t>分。</w:t>
            </w:r>
          </w:p>
        </w:tc>
        <w:tc>
          <w:tcPr>
            <w:tcW w:w="1018" w:type="dxa"/>
            <w:shd w:val="clear" w:color="auto" w:fill="auto"/>
            <w:vAlign w:val="center"/>
          </w:tcPr>
          <w:p w14:paraId="721AF72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5E00D09">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7A04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548" w:type="dxa"/>
            <w:shd w:val="clear" w:color="auto" w:fill="auto"/>
            <w:vAlign w:val="center"/>
          </w:tcPr>
          <w:p w14:paraId="0F41594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21</w:t>
            </w:r>
          </w:p>
        </w:tc>
        <w:tc>
          <w:tcPr>
            <w:tcW w:w="859" w:type="dxa"/>
            <w:vMerge w:val="continue"/>
            <w:shd w:val="clear" w:color="auto" w:fill="auto"/>
            <w:vAlign w:val="center"/>
          </w:tcPr>
          <w:p w14:paraId="3A0084C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67CE48A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10727EB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出水口管护</w:t>
            </w:r>
          </w:p>
        </w:tc>
        <w:tc>
          <w:tcPr>
            <w:tcW w:w="604" w:type="dxa"/>
            <w:shd w:val="clear" w:color="auto" w:fill="auto"/>
            <w:vAlign w:val="center"/>
          </w:tcPr>
          <w:p w14:paraId="2B149A2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3EE8FD4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管网出水口畅通、无杂物堵塞、无淤积堆积，保障排水通畅，堵塞、淤积未清理每处扣1分。 </w:t>
            </w:r>
          </w:p>
        </w:tc>
        <w:tc>
          <w:tcPr>
            <w:tcW w:w="1018" w:type="dxa"/>
            <w:shd w:val="clear" w:color="auto" w:fill="auto"/>
            <w:vAlign w:val="center"/>
          </w:tcPr>
          <w:p w14:paraId="02DD991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4246F00B">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1B74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548" w:type="dxa"/>
            <w:shd w:val="clear" w:color="auto" w:fill="auto"/>
            <w:vAlign w:val="center"/>
          </w:tcPr>
          <w:p w14:paraId="265CEA4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22</w:t>
            </w:r>
          </w:p>
        </w:tc>
        <w:tc>
          <w:tcPr>
            <w:tcW w:w="859" w:type="dxa"/>
            <w:vMerge w:val="continue"/>
            <w:shd w:val="clear" w:color="auto" w:fill="auto"/>
            <w:vAlign w:val="center"/>
          </w:tcPr>
          <w:p w14:paraId="00F4407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restart"/>
            <w:shd w:val="clear" w:color="auto" w:fill="auto"/>
            <w:vAlign w:val="bottom"/>
          </w:tcPr>
          <w:p w14:paraId="324786B6">
            <w:pPr>
              <w:keepNext w:val="0"/>
              <w:keepLines w:val="0"/>
              <w:pageBreakBefore w:val="0"/>
              <w:widowControl/>
              <w:suppressLineNumbers w:val="0"/>
              <w:kinsoku/>
              <w:wordWrap/>
              <w:overflowPunct/>
              <w:topLinePunct w:val="0"/>
              <w:autoSpaceDE/>
              <w:autoSpaceDN/>
              <w:bidi w:val="0"/>
              <w:spacing w:line="480" w:lineRule="exact"/>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管网维修整改（</w:t>
            </w:r>
            <w:r>
              <w:rPr>
                <w:rStyle w:val="71"/>
                <w:rFonts w:hint="eastAsia" w:ascii="宋体" w:hAnsi="宋体" w:eastAsia="宋体" w:cs="宋体"/>
                <w:color w:val="auto"/>
                <w:sz w:val="24"/>
                <w:szCs w:val="24"/>
                <w:highlight w:val="none"/>
                <w:lang w:val="en-US" w:eastAsia="zh-CN" w:bidi="ar"/>
              </w:rPr>
              <w:t>8</w:t>
            </w:r>
            <w:r>
              <w:rPr>
                <w:rFonts w:hint="eastAsia" w:ascii="宋体" w:hAnsi="宋体" w:eastAsia="宋体" w:cs="宋体"/>
                <w:i w:val="0"/>
                <w:iCs w:val="0"/>
                <w:color w:val="auto"/>
                <w:kern w:val="0"/>
                <w:sz w:val="24"/>
                <w:szCs w:val="24"/>
                <w:highlight w:val="none"/>
                <w:u w:val="none"/>
                <w:lang w:val="en-US" w:eastAsia="zh-CN" w:bidi="ar"/>
              </w:rPr>
              <w:t>分）</w:t>
            </w:r>
          </w:p>
        </w:tc>
        <w:tc>
          <w:tcPr>
            <w:tcW w:w="1433" w:type="dxa"/>
            <w:shd w:val="clear" w:color="auto" w:fill="auto"/>
            <w:vAlign w:val="center"/>
          </w:tcPr>
          <w:p w14:paraId="3E20C2BC">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维修质量</w:t>
            </w:r>
          </w:p>
        </w:tc>
        <w:tc>
          <w:tcPr>
            <w:tcW w:w="604" w:type="dxa"/>
            <w:shd w:val="clear" w:color="auto" w:fill="auto"/>
            <w:vAlign w:val="center"/>
          </w:tcPr>
          <w:p w14:paraId="7A3421A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6034" w:type="dxa"/>
            <w:shd w:val="clear" w:color="auto" w:fill="auto"/>
            <w:vAlign w:val="center"/>
          </w:tcPr>
          <w:p w14:paraId="1929C2F3">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管网破损、渗漏、脱节、错位等病害维修规范，接口严密、回填夯实，无二次渗漏、塌陷隐患，维修不规范每处扣1—2分。</w:t>
            </w:r>
          </w:p>
        </w:tc>
        <w:tc>
          <w:tcPr>
            <w:tcW w:w="1018" w:type="dxa"/>
            <w:shd w:val="clear" w:color="auto" w:fill="auto"/>
            <w:vAlign w:val="center"/>
          </w:tcPr>
          <w:p w14:paraId="3FEE96D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09444163">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59AD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6" w:hRule="atLeast"/>
          <w:jc w:val="center"/>
        </w:trPr>
        <w:tc>
          <w:tcPr>
            <w:tcW w:w="548" w:type="dxa"/>
            <w:shd w:val="clear" w:color="auto" w:fill="auto"/>
            <w:vAlign w:val="center"/>
          </w:tcPr>
          <w:p w14:paraId="2BD4931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23</w:t>
            </w:r>
          </w:p>
        </w:tc>
        <w:tc>
          <w:tcPr>
            <w:tcW w:w="859" w:type="dxa"/>
            <w:vMerge w:val="continue"/>
            <w:shd w:val="clear" w:color="auto" w:fill="auto"/>
            <w:vAlign w:val="center"/>
          </w:tcPr>
          <w:p w14:paraId="245E1FA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bottom"/>
          </w:tcPr>
          <w:p w14:paraId="1B2C101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37556C77">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隐患闭环</w:t>
            </w:r>
          </w:p>
        </w:tc>
        <w:tc>
          <w:tcPr>
            <w:tcW w:w="604" w:type="dxa"/>
            <w:shd w:val="clear" w:color="auto" w:fill="auto"/>
            <w:vAlign w:val="center"/>
          </w:tcPr>
          <w:p w14:paraId="4F7D4A2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3D1B3048">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排查发现的管网结构性、功能性隐患建立台账，限期闭环整改，隐患漏改、整改不到位每处扣2分。</w:t>
            </w:r>
          </w:p>
        </w:tc>
        <w:tc>
          <w:tcPr>
            <w:tcW w:w="1018" w:type="dxa"/>
            <w:shd w:val="clear" w:color="auto" w:fill="auto"/>
            <w:vAlign w:val="center"/>
          </w:tcPr>
          <w:p w14:paraId="64DF777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452D208A">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7F205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8" w:hRule="atLeast"/>
          <w:jc w:val="center"/>
        </w:trPr>
        <w:tc>
          <w:tcPr>
            <w:tcW w:w="548" w:type="dxa"/>
            <w:shd w:val="clear" w:color="auto" w:fill="auto"/>
            <w:vAlign w:val="center"/>
          </w:tcPr>
          <w:p w14:paraId="6A91514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24</w:t>
            </w:r>
          </w:p>
        </w:tc>
        <w:tc>
          <w:tcPr>
            <w:tcW w:w="859" w:type="dxa"/>
            <w:vMerge w:val="continue"/>
            <w:shd w:val="clear" w:color="auto" w:fill="auto"/>
            <w:vAlign w:val="center"/>
          </w:tcPr>
          <w:p w14:paraId="3327E33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bottom"/>
          </w:tcPr>
          <w:p w14:paraId="6A6830D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48E4CC31">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窨井养护</w:t>
            </w:r>
          </w:p>
        </w:tc>
        <w:tc>
          <w:tcPr>
            <w:tcW w:w="604" w:type="dxa"/>
            <w:shd w:val="clear" w:color="auto" w:fill="auto"/>
            <w:vAlign w:val="center"/>
          </w:tcPr>
          <w:p w14:paraId="4D78593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6034" w:type="dxa"/>
            <w:shd w:val="clear" w:color="auto" w:fill="auto"/>
            <w:vAlign w:val="center"/>
          </w:tcPr>
          <w:p w14:paraId="6CAF1EC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井壁完好、井内无杂物、井底无严重积泥，井周路面无破损塌陷，养护不到位每处扣0.5分。 </w:t>
            </w:r>
          </w:p>
        </w:tc>
        <w:tc>
          <w:tcPr>
            <w:tcW w:w="1018" w:type="dxa"/>
            <w:shd w:val="clear" w:color="auto" w:fill="auto"/>
            <w:vAlign w:val="center"/>
          </w:tcPr>
          <w:p w14:paraId="2C3454D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58404C94">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03C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32" w:hRule="atLeast"/>
          <w:jc w:val="center"/>
        </w:trPr>
        <w:tc>
          <w:tcPr>
            <w:tcW w:w="548" w:type="dxa"/>
            <w:shd w:val="clear" w:color="auto" w:fill="auto"/>
            <w:vAlign w:val="center"/>
          </w:tcPr>
          <w:p w14:paraId="239BB31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25</w:t>
            </w:r>
          </w:p>
        </w:tc>
        <w:tc>
          <w:tcPr>
            <w:tcW w:w="859" w:type="dxa"/>
            <w:vMerge w:val="continue"/>
            <w:shd w:val="clear" w:color="auto" w:fill="auto"/>
            <w:vAlign w:val="center"/>
          </w:tcPr>
          <w:p w14:paraId="6CAECADF">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restart"/>
            <w:shd w:val="clear" w:color="auto" w:fill="auto"/>
            <w:vAlign w:val="bottom"/>
          </w:tcPr>
          <w:p w14:paraId="06A22FD8">
            <w:pPr>
              <w:keepNext w:val="0"/>
              <w:keepLines w:val="0"/>
              <w:pageBreakBefore w:val="0"/>
              <w:widowControl/>
              <w:suppressLineNumbers w:val="0"/>
              <w:kinsoku/>
              <w:wordWrap/>
              <w:overflowPunct/>
              <w:topLinePunct w:val="0"/>
              <w:autoSpaceDE/>
              <w:autoSpaceDN/>
              <w:bidi w:val="0"/>
              <w:spacing w:line="480" w:lineRule="exact"/>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排水保障效能（</w:t>
            </w:r>
            <w:r>
              <w:rPr>
                <w:rStyle w:val="71"/>
                <w:rFonts w:hint="eastAsia" w:ascii="宋体" w:hAnsi="宋体" w:eastAsia="宋体" w:cs="宋体"/>
                <w:color w:val="auto"/>
                <w:sz w:val="24"/>
                <w:szCs w:val="24"/>
                <w:highlight w:val="none"/>
                <w:lang w:val="en-US" w:eastAsia="zh-CN" w:bidi="ar"/>
              </w:rPr>
              <w:t>8</w:t>
            </w:r>
            <w:r>
              <w:rPr>
                <w:rFonts w:hint="eastAsia" w:ascii="宋体" w:hAnsi="宋体" w:eastAsia="宋体" w:cs="宋体"/>
                <w:i w:val="0"/>
                <w:iCs w:val="0"/>
                <w:color w:val="auto"/>
                <w:kern w:val="0"/>
                <w:sz w:val="24"/>
                <w:szCs w:val="24"/>
                <w:highlight w:val="none"/>
                <w:u w:val="none"/>
                <w:lang w:val="en-US" w:eastAsia="zh-CN" w:bidi="ar"/>
              </w:rPr>
              <w:t>分）</w:t>
            </w:r>
            <w:r>
              <w:rPr>
                <w:rStyle w:val="71"/>
                <w:rFonts w:hint="eastAsia" w:ascii="宋体" w:hAnsi="宋体" w:eastAsia="宋体" w:cs="宋体"/>
                <w:color w:val="auto"/>
                <w:sz w:val="24"/>
                <w:szCs w:val="24"/>
                <w:highlight w:val="none"/>
                <w:lang w:val="en-US" w:eastAsia="zh-CN" w:bidi="ar"/>
              </w:rPr>
              <w:t xml:space="preserve"> </w:t>
            </w:r>
          </w:p>
        </w:tc>
        <w:tc>
          <w:tcPr>
            <w:tcW w:w="1433" w:type="dxa"/>
            <w:shd w:val="clear" w:color="auto" w:fill="auto"/>
            <w:vAlign w:val="center"/>
          </w:tcPr>
          <w:p w14:paraId="34688379">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汛期排水</w:t>
            </w:r>
          </w:p>
        </w:tc>
        <w:tc>
          <w:tcPr>
            <w:tcW w:w="604" w:type="dxa"/>
            <w:shd w:val="clear" w:color="auto" w:fill="auto"/>
            <w:vAlign w:val="center"/>
          </w:tcPr>
          <w:p w14:paraId="06B8942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034" w:type="dxa"/>
            <w:shd w:val="clear" w:color="auto" w:fill="auto"/>
            <w:vAlign w:val="center"/>
          </w:tcPr>
          <w:p w14:paraId="6D65CFEE">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汛期、暴雨天气管网排水通畅，无大面积、长时间积水内涝。风险等级：高（积水超50cm、退水超1小时/车辆被困，管网无排水出路，经常积水）；中（积水15—50cm，退水30—60分钟，通行受阻）；低（积水＜15cm，半小时内排净；仅大暴雨短时积水，不影响通行），因运维不到位导致积水内涝每次扣3—5分。</w:t>
            </w:r>
          </w:p>
        </w:tc>
        <w:tc>
          <w:tcPr>
            <w:tcW w:w="1018" w:type="dxa"/>
            <w:shd w:val="clear" w:color="auto" w:fill="auto"/>
            <w:vAlign w:val="center"/>
          </w:tcPr>
          <w:p w14:paraId="294BEFC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54B052BE">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629D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8" w:hRule="atLeast"/>
          <w:jc w:val="center"/>
        </w:trPr>
        <w:tc>
          <w:tcPr>
            <w:tcW w:w="548" w:type="dxa"/>
            <w:shd w:val="clear" w:color="auto" w:fill="auto"/>
            <w:vAlign w:val="center"/>
          </w:tcPr>
          <w:p w14:paraId="4BB4230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26</w:t>
            </w:r>
          </w:p>
        </w:tc>
        <w:tc>
          <w:tcPr>
            <w:tcW w:w="859" w:type="dxa"/>
            <w:vMerge w:val="continue"/>
            <w:shd w:val="clear" w:color="auto" w:fill="auto"/>
            <w:vAlign w:val="center"/>
          </w:tcPr>
          <w:p w14:paraId="17B72E4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bottom"/>
          </w:tcPr>
          <w:p w14:paraId="0B2ED93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7AF0FCCC">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污水运维</w:t>
            </w:r>
          </w:p>
        </w:tc>
        <w:tc>
          <w:tcPr>
            <w:tcW w:w="604" w:type="dxa"/>
            <w:shd w:val="clear" w:color="auto" w:fill="auto"/>
            <w:vAlign w:val="center"/>
          </w:tcPr>
          <w:p w14:paraId="2356BDB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360F91EE">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污水管网无长期溢流、倒灌现象，出现溢流倒灌未及时处置每次扣3分。</w:t>
            </w:r>
          </w:p>
        </w:tc>
        <w:tc>
          <w:tcPr>
            <w:tcW w:w="1018" w:type="dxa"/>
            <w:shd w:val="clear" w:color="auto" w:fill="auto"/>
            <w:vAlign w:val="center"/>
          </w:tcPr>
          <w:p w14:paraId="565B0F5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4A1A89E0">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C393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548" w:type="dxa"/>
            <w:shd w:val="clear" w:color="auto" w:fill="auto"/>
            <w:vAlign w:val="center"/>
          </w:tcPr>
          <w:p w14:paraId="6BEC4A3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27</w:t>
            </w:r>
          </w:p>
        </w:tc>
        <w:tc>
          <w:tcPr>
            <w:tcW w:w="859" w:type="dxa"/>
            <w:vMerge w:val="continue"/>
            <w:shd w:val="clear" w:color="auto" w:fill="auto"/>
            <w:vAlign w:val="center"/>
          </w:tcPr>
          <w:p w14:paraId="1526D12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bottom"/>
          </w:tcPr>
          <w:p w14:paraId="71DF9A0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1DCBF7DA">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应急保障</w:t>
            </w:r>
          </w:p>
        </w:tc>
        <w:tc>
          <w:tcPr>
            <w:tcW w:w="604" w:type="dxa"/>
            <w:shd w:val="clear" w:color="auto" w:fill="auto"/>
            <w:vAlign w:val="center"/>
          </w:tcPr>
          <w:p w14:paraId="4BDB2F6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438E987B">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管网突发堵塞、破损、溢水险情，快速到场处置，未及时响应、处置迟缓每次扣2分。 </w:t>
            </w:r>
          </w:p>
        </w:tc>
        <w:tc>
          <w:tcPr>
            <w:tcW w:w="1018" w:type="dxa"/>
            <w:shd w:val="clear" w:color="auto" w:fill="auto"/>
            <w:vAlign w:val="center"/>
          </w:tcPr>
          <w:p w14:paraId="163FD1E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728E46C9">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6979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1" w:hRule="atLeast"/>
          <w:jc w:val="center"/>
        </w:trPr>
        <w:tc>
          <w:tcPr>
            <w:tcW w:w="548" w:type="dxa"/>
            <w:shd w:val="clear" w:color="auto" w:fill="auto"/>
            <w:vAlign w:val="center"/>
          </w:tcPr>
          <w:p w14:paraId="2A6BF0D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28</w:t>
            </w:r>
          </w:p>
        </w:tc>
        <w:tc>
          <w:tcPr>
            <w:tcW w:w="859" w:type="dxa"/>
            <w:vMerge w:val="restart"/>
            <w:shd w:val="clear" w:color="auto" w:fill="auto"/>
            <w:vAlign w:val="center"/>
          </w:tcPr>
          <w:p w14:paraId="47A7B35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污水提升泵站运维（5</w:t>
            </w:r>
            <w:r>
              <w:rPr>
                <w:rStyle w:val="73"/>
                <w:rFonts w:hint="eastAsia" w:ascii="宋体" w:hAnsi="宋体" w:eastAsia="宋体" w:cs="宋体"/>
                <w:color w:val="auto"/>
                <w:sz w:val="24"/>
                <w:szCs w:val="24"/>
                <w:highlight w:val="none"/>
                <w:lang w:val="en-US" w:eastAsia="zh-CN" w:bidi="ar"/>
              </w:rPr>
              <w:t>分</w:t>
            </w:r>
            <w:r>
              <w:rPr>
                <w:rFonts w:hint="eastAsia" w:ascii="宋体" w:hAnsi="宋体" w:eastAsia="宋体" w:cs="宋体"/>
                <w:i w:val="0"/>
                <w:iCs w:val="0"/>
                <w:color w:val="auto"/>
                <w:kern w:val="0"/>
                <w:sz w:val="24"/>
                <w:szCs w:val="24"/>
                <w:highlight w:val="none"/>
                <w:u w:val="none"/>
                <w:lang w:val="en-US" w:eastAsia="zh-CN" w:bidi="ar"/>
              </w:rPr>
              <w:t>）</w:t>
            </w:r>
          </w:p>
        </w:tc>
        <w:tc>
          <w:tcPr>
            <w:tcW w:w="911" w:type="dxa"/>
            <w:vMerge w:val="restart"/>
            <w:shd w:val="clear" w:color="auto" w:fill="auto"/>
            <w:vAlign w:val="center"/>
          </w:tcPr>
          <w:p w14:paraId="296DFB5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Style w:val="71"/>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污水提升泵站运营管护（</w:t>
            </w:r>
            <w:r>
              <w:rPr>
                <w:rStyle w:val="71"/>
                <w:rFonts w:hint="eastAsia" w:ascii="宋体" w:hAnsi="宋体" w:eastAsia="宋体" w:cs="宋体"/>
                <w:color w:val="auto"/>
                <w:sz w:val="24"/>
                <w:szCs w:val="24"/>
                <w:highlight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分）</w:t>
            </w:r>
          </w:p>
        </w:tc>
        <w:tc>
          <w:tcPr>
            <w:tcW w:w="1433" w:type="dxa"/>
            <w:shd w:val="clear" w:color="auto" w:fill="auto"/>
            <w:vAlign w:val="center"/>
          </w:tcPr>
          <w:p w14:paraId="370C641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泵站设备运维</w:t>
            </w:r>
          </w:p>
        </w:tc>
        <w:tc>
          <w:tcPr>
            <w:tcW w:w="604" w:type="dxa"/>
            <w:shd w:val="clear" w:color="auto" w:fill="auto"/>
            <w:vAlign w:val="center"/>
          </w:tcPr>
          <w:p w14:paraId="4C91F52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6034" w:type="dxa"/>
            <w:shd w:val="clear" w:color="auto" w:fill="auto"/>
            <w:vAlign w:val="center"/>
          </w:tcPr>
          <w:p w14:paraId="496C12F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设备定期保养、运行台账齐全，带病运行、台账混乱扣1—3分。</w:t>
            </w:r>
          </w:p>
        </w:tc>
        <w:tc>
          <w:tcPr>
            <w:tcW w:w="1018" w:type="dxa"/>
            <w:shd w:val="clear" w:color="auto" w:fill="auto"/>
            <w:vAlign w:val="center"/>
          </w:tcPr>
          <w:p w14:paraId="0D9F41C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05A5A3D">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1CF56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0" w:hRule="atLeast"/>
          <w:jc w:val="center"/>
        </w:trPr>
        <w:tc>
          <w:tcPr>
            <w:tcW w:w="548" w:type="dxa"/>
            <w:shd w:val="clear" w:color="auto" w:fill="auto"/>
            <w:vAlign w:val="center"/>
          </w:tcPr>
          <w:p w14:paraId="7AA8B89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29</w:t>
            </w:r>
          </w:p>
        </w:tc>
        <w:tc>
          <w:tcPr>
            <w:tcW w:w="859" w:type="dxa"/>
            <w:vMerge w:val="continue"/>
            <w:shd w:val="clear" w:color="auto" w:fill="auto"/>
            <w:vAlign w:val="center"/>
          </w:tcPr>
          <w:p w14:paraId="691EBDC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17AB8F9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2200F453">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泵站运行安全</w:t>
            </w:r>
          </w:p>
        </w:tc>
        <w:tc>
          <w:tcPr>
            <w:tcW w:w="604" w:type="dxa"/>
            <w:shd w:val="clear" w:color="auto" w:fill="auto"/>
            <w:vAlign w:val="center"/>
          </w:tcPr>
          <w:p w14:paraId="43D973D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08A46403">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泵站安防设施、操作规程、安全警示标牌齐全。违章作业、安全缺失扣1—2分。</w:t>
            </w:r>
          </w:p>
        </w:tc>
        <w:tc>
          <w:tcPr>
            <w:tcW w:w="1018" w:type="dxa"/>
            <w:shd w:val="clear" w:color="auto" w:fill="auto"/>
            <w:vAlign w:val="center"/>
          </w:tcPr>
          <w:p w14:paraId="346A6C9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5798B71D">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2C53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8" w:hRule="atLeast"/>
          <w:jc w:val="center"/>
        </w:trPr>
        <w:tc>
          <w:tcPr>
            <w:tcW w:w="548" w:type="dxa"/>
            <w:shd w:val="clear" w:color="auto" w:fill="auto"/>
            <w:vAlign w:val="center"/>
          </w:tcPr>
          <w:p w14:paraId="6001B6D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30</w:t>
            </w:r>
          </w:p>
        </w:tc>
        <w:tc>
          <w:tcPr>
            <w:tcW w:w="859" w:type="dxa"/>
            <w:vMerge w:val="restart"/>
            <w:shd w:val="clear" w:color="auto" w:fill="auto"/>
            <w:vAlign w:val="center"/>
          </w:tcPr>
          <w:p w14:paraId="1C2E629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内业资料与综合管理考核（5分）</w:t>
            </w:r>
          </w:p>
        </w:tc>
        <w:tc>
          <w:tcPr>
            <w:tcW w:w="911" w:type="dxa"/>
            <w:vMerge w:val="restart"/>
            <w:shd w:val="clear" w:color="auto" w:fill="auto"/>
            <w:vAlign w:val="center"/>
          </w:tcPr>
          <w:p w14:paraId="45CF6C2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工作计划与报表报送（</w:t>
            </w:r>
            <w:r>
              <w:rPr>
                <w:rStyle w:val="71"/>
                <w:rFonts w:hint="eastAsia" w:ascii="宋体" w:hAnsi="宋体" w:eastAsia="宋体" w:cs="宋体"/>
                <w:color w:val="auto"/>
                <w:sz w:val="24"/>
                <w:szCs w:val="24"/>
                <w:highlight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分</w:t>
            </w:r>
          </w:p>
        </w:tc>
        <w:tc>
          <w:tcPr>
            <w:tcW w:w="1433" w:type="dxa"/>
            <w:shd w:val="clear" w:color="auto" w:fill="auto"/>
            <w:vAlign w:val="center"/>
          </w:tcPr>
          <w:p w14:paraId="27923720">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计划总结报送</w:t>
            </w:r>
          </w:p>
        </w:tc>
        <w:tc>
          <w:tcPr>
            <w:tcW w:w="604" w:type="dxa"/>
            <w:shd w:val="clear" w:color="auto" w:fill="auto"/>
            <w:vAlign w:val="center"/>
          </w:tcPr>
          <w:p w14:paraId="0A63134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2656CA44">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每月3日前按时上报上月运维完成工作量、工作总结，每月25日前上报下月养护工作计划，迟报、漏报每次扣1分，未报每次扣2分。</w:t>
            </w:r>
          </w:p>
        </w:tc>
        <w:tc>
          <w:tcPr>
            <w:tcW w:w="1018" w:type="dxa"/>
            <w:shd w:val="clear" w:color="auto" w:fill="auto"/>
            <w:vAlign w:val="center"/>
          </w:tcPr>
          <w:p w14:paraId="1434EE1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74B48F3E">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1320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8" w:hRule="atLeast"/>
          <w:jc w:val="center"/>
        </w:trPr>
        <w:tc>
          <w:tcPr>
            <w:tcW w:w="548" w:type="dxa"/>
            <w:shd w:val="clear" w:color="auto" w:fill="auto"/>
            <w:vAlign w:val="center"/>
          </w:tcPr>
          <w:p w14:paraId="38C1D2A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31</w:t>
            </w:r>
          </w:p>
        </w:tc>
        <w:tc>
          <w:tcPr>
            <w:tcW w:w="859" w:type="dxa"/>
            <w:vMerge w:val="continue"/>
            <w:shd w:val="clear" w:color="auto" w:fill="auto"/>
            <w:vAlign w:val="center"/>
          </w:tcPr>
          <w:p w14:paraId="4574349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275AE9F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2FFA8661">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当天工作报送</w:t>
            </w:r>
          </w:p>
        </w:tc>
        <w:tc>
          <w:tcPr>
            <w:tcW w:w="604" w:type="dxa"/>
            <w:shd w:val="clear" w:color="auto" w:fill="auto"/>
            <w:vAlign w:val="center"/>
          </w:tcPr>
          <w:p w14:paraId="09AD6BA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w:t>
            </w:r>
          </w:p>
        </w:tc>
        <w:tc>
          <w:tcPr>
            <w:tcW w:w="6034" w:type="dxa"/>
            <w:shd w:val="clear" w:color="auto" w:fill="auto"/>
            <w:vAlign w:val="center"/>
          </w:tcPr>
          <w:p w14:paraId="1DF3A7E6">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每日按要求上报当日维修工作内容、作业范围，未按时上报每次扣0.5分。</w:t>
            </w:r>
          </w:p>
        </w:tc>
        <w:tc>
          <w:tcPr>
            <w:tcW w:w="1018" w:type="dxa"/>
            <w:shd w:val="clear" w:color="auto" w:fill="auto"/>
            <w:vAlign w:val="center"/>
          </w:tcPr>
          <w:p w14:paraId="6DD329BF">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1F0C7468">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59CA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548" w:type="dxa"/>
            <w:shd w:val="clear" w:color="auto" w:fill="auto"/>
            <w:vAlign w:val="center"/>
          </w:tcPr>
          <w:p w14:paraId="0809950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32</w:t>
            </w:r>
          </w:p>
        </w:tc>
        <w:tc>
          <w:tcPr>
            <w:tcW w:w="859" w:type="dxa"/>
            <w:vMerge w:val="continue"/>
            <w:shd w:val="clear" w:color="auto" w:fill="auto"/>
            <w:vAlign w:val="center"/>
          </w:tcPr>
          <w:p w14:paraId="19BCCEB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46D8162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75E04AA1">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统计报表报送</w:t>
            </w:r>
          </w:p>
        </w:tc>
        <w:tc>
          <w:tcPr>
            <w:tcW w:w="604" w:type="dxa"/>
            <w:shd w:val="clear" w:color="auto" w:fill="auto"/>
            <w:vAlign w:val="center"/>
          </w:tcPr>
          <w:p w14:paraId="5701643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3B0AD99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报表数据真实准确、内容完整，无虚报、漏报、错报，数据不实每次扣1分。 </w:t>
            </w:r>
          </w:p>
        </w:tc>
        <w:tc>
          <w:tcPr>
            <w:tcW w:w="1018" w:type="dxa"/>
            <w:shd w:val="clear" w:color="auto" w:fill="auto"/>
            <w:vAlign w:val="center"/>
          </w:tcPr>
          <w:p w14:paraId="775F6F4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675CD0B">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5564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1" w:hRule="atLeast"/>
          <w:jc w:val="center"/>
        </w:trPr>
        <w:tc>
          <w:tcPr>
            <w:tcW w:w="548" w:type="dxa"/>
            <w:shd w:val="clear" w:color="auto" w:fill="auto"/>
            <w:vAlign w:val="center"/>
          </w:tcPr>
          <w:p w14:paraId="120EB18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33</w:t>
            </w:r>
          </w:p>
        </w:tc>
        <w:tc>
          <w:tcPr>
            <w:tcW w:w="859" w:type="dxa"/>
            <w:vMerge w:val="continue"/>
            <w:shd w:val="clear" w:color="auto" w:fill="auto"/>
            <w:vAlign w:val="center"/>
          </w:tcPr>
          <w:p w14:paraId="46ED44D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restart"/>
            <w:shd w:val="clear" w:color="auto" w:fill="auto"/>
            <w:vAlign w:val="center"/>
          </w:tcPr>
          <w:p w14:paraId="1466C83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台账资料管理（</w:t>
            </w:r>
            <w:r>
              <w:rPr>
                <w:rStyle w:val="71"/>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分）</w:t>
            </w:r>
            <w:r>
              <w:rPr>
                <w:rStyle w:val="71"/>
                <w:rFonts w:hint="eastAsia" w:ascii="宋体" w:hAnsi="宋体" w:eastAsia="宋体" w:cs="宋体"/>
                <w:color w:val="auto"/>
                <w:sz w:val="24"/>
                <w:szCs w:val="24"/>
                <w:highlight w:val="none"/>
                <w:lang w:val="en-US" w:eastAsia="zh-CN" w:bidi="ar"/>
              </w:rPr>
              <w:t xml:space="preserve"> </w:t>
            </w:r>
          </w:p>
        </w:tc>
        <w:tc>
          <w:tcPr>
            <w:tcW w:w="1433" w:type="dxa"/>
            <w:shd w:val="clear" w:color="auto" w:fill="auto"/>
            <w:vAlign w:val="center"/>
          </w:tcPr>
          <w:p w14:paraId="4C47CE6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台账管理</w:t>
            </w:r>
          </w:p>
        </w:tc>
        <w:tc>
          <w:tcPr>
            <w:tcW w:w="604" w:type="dxa"/>
            <w:shd w:val="clear" w:color="auto" w:fill="auto"/>
            <w:vAlign w:val="center"/>
          </w:tcPr>
          <w:p w14:paraId="6067F19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034" w:type="dxa"/>
            <w:shd w:val="clear" w:color="auto" w:fill="auto"/>
            <w:vAlign w:val="center"/>
          </w:tcPr>
          <w:p w14:paraId="12A747A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建立完整的巡查台账、维修台账、清淤台账、隐患台账、问题整改台账，分类归档、清晰规范，台账缺失、混乱每项扣1分。</w:t>
            </w:r>
          </w:p>
        </w:tc>
        <w:tc>
          <w:tcPr>
            <w:tcW w:w="1018" w:type="dxa"/>
            <w:shd w:val="clear" w:color="auto" w:fill="auto"/>
            <w:vAlign w:val="center"/>
          </w:tcPr>
          <w:p w14:paraId="3B57BF8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4F7AA09">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1580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8" w:hRule="atLeast"/>
          <w:jc w:val="center"/>
        </w:trPr>
        <w:tc>
          <w:tcPr>
            <w:tcW w:w="548" w:type="dxa"/>
            <w:shd w:val="clear" w:color="auto" w:fill="auto"/>
            <w:vAlign w:val="center"/>
          </w:tcPr>
          <w:p w14:paraId="3417A8B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34</w:t>
            </w:r>
          </w:p>
        </w:tc>
        <w:tc>
          <w:tcPr>
            <w:tcW w:w="859" w:type="dxa"/>
            <w:vMerge w:val="continue"/>
            <w:shd w:val="clear" w:color="auto" w:fill="auto"/>
            <w:vAlign w:val="center"/>
          </w:tcPr>
          <w:p w14:paraId="3340285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29C11C3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0738061E">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工作痕迹</w:t>
            </w:r>
          </w:p>
        </w:tc>
        <w:tc>
          <w:tcPr>
            <w:tcW w:w="604" w:type="dxa"/>
            <w:shd w:val="clear" w:color="auto" w:fill="auto"/>
            <w:vAlign w:val="center"/>
          </w:tcPr>
          <w:p w14:paraId="4EA312C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484215B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所有运维工作留存图文影像资料，做到一事项一档案，资料不全、无存档每次扣0.5分。</w:t>
            </w:r>
          </w:p>
        </w:tc>
        <w:tc>
          <w:tcPr>
            <w:tcW w:w="1018" w:type="dxa"/>
            <w:shd w:val="clear" w:color="auto" w:fill="auto"/>
            <w:vAlign w:val="center"/>
          </w:tcPr>
          <w:p w14:paraId="2BA0E52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6858D119">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7E6A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8" w:hRule="atLeast"/>
          <w:jc w:val="center"/>
        </w:trPr>
        <w:tc>
          <w:tcPr>
            <w:tcW w:w="548" w:type="dxa"/>
            <w:shd w:val="clear" w:color="auto" w:fill="auto"/>
            <w:vAlign w:val="center"/>
          </w:tcPr>
          <w:p w14:paraId="347C8E4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35</w:t>
            </w:r>
          </w:p>
        </w:tc>
        <w:tc>
          <w:tcPr>
            <w:tcW w:w="859" w:type="dxa"/>
            <w:vMerge w:val="continue"/>
            <w:shd w:val="clear" w:color="auto" w:fill="auto"/>
            <w:vAlign w:val="center"/>
          </w:tcPr>
          <w:p w14:paraId="0F7649C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52F99FD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714284EE">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数据更新</w:t>
            </w:r>
          </w:p>
        </w:tc>
        <w:tc>
          <w:tcPr>
            <w:tcW w:w="604" w:type="dxa"/>
            <w:shd w:val="clear" w:color="auto" w:fill="auto"/>
            <w:vAlign w:val="center"/>
          </w:tcPr>
          <w:p w14:paraId="7B6A536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0.5</w:t>
            </w:r>
          </w:p>
        </w:tc>
        <w:tc>
          <w:tcPr>
            <w:tcW w:w="6034" w:type="dxa"/>
            <w:shd w:val="clear" w:color="auto" w:fill="auto"/>
            <w:vAlign w:val="center"/>
          </w:tcPr>
          <w:p w14:paraId="4FC4652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基础数据动态更新，管网、道路设施底数清晰、信息准确，数据更新不及时、信息错误每次扣0.5分。 </w:t>
            </w:r>
          </w:p>
        </w:tc>
        <w:tc>
          <w:tcPr>
            <w:tcW w:w="1018" w:type="dxa"/>
            <w:shd w:val="clear" w:color="auto" w:fill="auto"/>
            <w:vAlign w:val="center"/>
          </w:tcPr>
          <w:p w14:paraId="52355EC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137595C4">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2A18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3" w:hRule="atLeast"/>
          <w:jc w:val="center"/>
        </w:trPr>
        <w:tc>
          <w:tcPr>
            <w:tcW w:w="548" w:type="dxa"/>
            <w:shd w:val="clear" w:color="auto" w:fill="auto"/>
            <w:vAlign w:val="center"/>
          </w:tcPr>
          <w:p w14:paraId="6602473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36</w:t>
            </w:r>
          </w:p>
        </w:tc>
        <w:tc>
          <w:tcPr>
            <w:tcW w:w="859" w:type="dxa"/>
            <w:vMerge w:val="restart"/>
            <w:shd w:val="clear" w:color="auto" w:fill="auto"/>
            <w:vAlign w:val="center"/>
          </w:tcPr>
          <w:p w14:paraId="32BC5BD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应急管理</w:t>
            </w:r>
          </w:p>
        </w:tc>
        <w:tc>
          <w:tcPr>
            <w:tcW w:w="911" w:type="dxa"/>
            <w:vMerge w:val="restart"/>
            <w:shd w:val="clear" w:color="auto" w:fill="auto"/>
            <w:vAlign w:val="center"/>
          </w:tcPr>
          <w:p w14:paraId="62D0D6C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应急处置与投诉整改（</w:t>
            </w:r>
            <w:r>
              <w:rPr>
                <w:rStyle w:val="71"/>
                <w:rFonts w:hint="eastAsia" w:ascii="宋体" w:hAnsi="宋体" w:eastAsia="宋体" w:cs="宋体"/>
                <w:color w:val="auto"/>
                <w:sz w:val="24"/>
                <w:szCs w:val="24"/>
                <w:highlight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分）</w:t>
            </w:r>
          </w:p>
        </w:tc>
        <w:tc>
          <w:tcPr>
            <w:tcW w:w="1433" w:type="dxa"/>
            <w:shd w:val="clear" w:color="auto" w:fill="auto"/>
            <w:vAlign w:val="center"/>
          </w:tcPr>
          <w:p w14:paraId="58B72074">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应急响应</w:t>
            </w:r>
          </w:p>
        </w:tc>
        <w:tc>
          <w:tcPr>
            <w:tcW w:w="604" w:type="dxa"/>
            <w:shd w:val="clear" w:color="auto" w:fill="auto"/>
            <w:vAlign w:val="center"/>
          </w:tcPr>
          <w:p w14:paraId="4521483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6034" w:type="dxa"/>
            <w:shd w:val="clear" w:color="auto" w:fill="auto"/>
            <w:vAlign w:val="center"/>
          </w:tcPr>
          <w:p w14:paraId="3A814D7A">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突发市政设施险情、突发事件响应迅速、处置规范、闭环到位，处置不当、拖延滞后每次扣2—3分。</w:t>
            </w:r>
          </w:p>
        </w:tc>
        <w:tc>
          <w:tcPr>
            <w:tcW w:w="1018" w:type="dxa"/>
            <w:shd w:val="clear" w:color="auto" w:fill="auto"/>
            <w:vAlign w:val="center"/>
          </w:tcPr>
          <w:p w14:paraId="7CC5171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31097289">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0640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8" w:hRule="atLeast"/>
          <w:jc w:val="center"/>
        </w:trPr>
        <w:tc>
          <w:tcPr>
            <w:tcW w:w="548" w:type="dxa"/>
            <w:shd w:val="clear" w:color="auto" w:fill="auto"/>
            <w:vAlign w:val="center"/>
          </w:tcPr>
          <w:p w14:paraId="312E797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37</w:t>
            </w:r>
          </w:p>
        </w:tc>
        <w:tc>
          <w:tcPr>
            <w:tcW w:w="859" w:type="dxa"/>
            <w:vMerge w:val="continue"/>
            <w:shd w:val="clear" w:color="auto" w:fill="auto"/>
            <w:vAlign w:val="center"/>
          </w:tcPr>
          <w:p w14:paraId="3A3F7A1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664FC20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01960D5D">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问题处置</w:t>
            </w:r>
          </w:p>
        </w:tc>
        <w:tc>
          <w:tcPr>
            <w:tcW w:w="604" w:type="dxa"/>
            <w:shd w:val="clear" w:color="auto" w:fill="auto"/>
            <w:vAlign w:val="center"/>
          </w:tcPr>
          <w:p w14:paraId="418B292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69583532">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群众投诉、上级转办、舆情反馈问题，按时限整改回复，超时整改、整改不彻底、重复投诉每次扣1分。</w:t>
            </w:r>
          </w:p>
        </w:tc>
        <w:tc>
          <w:tcPr>
            <w:tcW w:w="1018" w:type="dxa"/>
            <w:shd w:val="clear" w:color="auto" w:fill="auto"/>
            <w:vAlign w:val="center"/>
          </w:tcPr>
          <w:p w14:paraId="5FDFAF20">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7FCF9130">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0872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48" w:type="dxa"/>
            <w:shd w:val="clear" w:color="auto" w:fill="auto"/>
            <w:vAlign w:val="center"/>
          </w:tcPr>
          <w:p w14:paraId="6CD64D5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38</w:t>
            </w:r>
          </w:p>
        </w:tc>
        <w:tc>
          <w:tcPr>
            <w:tcW w:w="859" w:type="dxa"/>
            <w:vMerge w:val="continue"/>
            <w:shd w:val="clear" w:color="auto" w:fill="auto"/>
            <w:vAlign w:val="center"/>
          </w:tcPr>
          <w:p w14:paraId="5711921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911" w:type="dxa"/>
            <w:vMerge w:val="continue"/>
            <w:shd w:val="clear" w:color="auto" w:fill="auto"/>
            <w:vAlign w:val="center"/>
          </w:tcPr>
          <w:p w14:paraId="5F60408F">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1433" w:type="dxa"/>
            <w:shd w:val="clear" w:color="auto" w:fill="auto"/>
            <w:vAlign w:val="center"/>
          </w:tcPr>
          <w:p w14:paraId="732678BA">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审批管理</w:t>
            </w:r>
          </w:p>
        </w:tc>
        <w:tc>
          <w:tcPr>
            <w:tcW w:w="604" w:type="dxa"/>
            <w:shd w:val="clear" w:color="auto" w:fill="auto"/>
            <w:vAlign w:val="center"/>
          </w:tcPr>
          <w:p w14:paraId="76121DF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034" w:type="dxa"/>
            <w:shd w:val="clear" w:color="auto" w:fill="auto"/>
            <w:vAlign w:val="center"/>
          </w:tcPr>
          <w:p w14:paraId="2FAD210F">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严禁未经许可擅自开展道路、管网开挖维修作业，违规作业每次扣1分。 </w:t>
            </w:r>
          </w:p>
        </w:tc>
        <w:tc>
          <w:tcPr>
            <w:tcW w:w="1018" w:type="dxa"/>
            <w:shd w:val="clear" w:color="auto" w:fill="auto"/>
            <w:vAlign w:val="center"/>
          </w:tcPr>
          <w:p w14:paraId="0F93AD5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auto"/>
                <w:sz w:val="24"/>
                <w:szCs w:val="24"/>
                <w:highlight w:val="none"/>
                <w:u w:val="none"/>
              </w:rPr>
            </w:pPr>
          </w:p>
        </w:tc>
        <w:tc>
          <w:tcPr>
            <w:tcW w:w="2473" w:type="dxa"/>
            <w:shd w:val="clear" w:color="auto" w:fill="auto"/>
            <w:vAlign w:val="center"/>
          </w:tcPr>
          <w:p w14:paraId="588B46CF">
            <w:pPr>
              <w:keepLines w:val="0"/>
              <w:pageBreakBefore w:val="0"/>
              <w:kinsoku/>
              <w:wordWrap/>
              <w:overflowPunct/>
              <w:topLinePunct w:val="0"/>
              <w:autoSpaceDE/>
              <w:autoSpaceDN/>
              <w:bidi w:val="0"/>
              <w:spacing w:line="480" w:lineRule="exact"/>
              <w:jc w:val="left"/>
              <w:rPr>
                <w:rFonts w:hint="eastAsia" w:ascii="宋体" w:hAnsi="宋体" w:eastAsia="宋体" w:cs="宋体"/>
                <w:i w:val="0"/>
                <w:iCs w:val="0"/>
                <w:color w:val="auto"/>
                <w:sz w:val="24"/>
                <w:szCs w:val="24"/>
                <w:highlight w:val="none"/>
                <w:u w:val="none"/>
              </w:rPr>
            </w:pPr>
          </w:p>
        </w:tc>
      </w:tr>
      <w:tr w14:paraId="3318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5" w:hRule="atLeast"/>
          <w:jc w:val="center"/>
        </w:trPr>
        <w:tc>
          <w:tcPr>
            <w:tcW w:w="4355" w:type="dxa"/>
            <w:gridSpan w:val="5"/>
            <w:shd w:val="clear" w:color="auto" w:fill="auto"/>
            <w:vAlign w:val="center"/>
          </w:tcPr>
          <w:p w14:paraId="3AF01526">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合计总分（100分）</w:t>
            </w:r>
          </w:p>
        </w:tc>
        <w:tc>
          <w:tcPr>
            <w:tcW w:w="0" w:type="auto"/>
            <w:shd w:val="clear" w:color="auto" w:fill="auto"/>
            <w:noWrap/>
            <w:vAlign w:val="center"/>
          </w:tcPr>
          <w:p w14:paraId="19E4FCBE">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c>
          <w:tcPr>
            <w:tcW w:w="1018" w:type="dxa"/>
            <w:shd w:val="clear" w:color="auto" w:fill="auto"/>
            <w:vAlign w:val="center"/>
          </w:tcPr>
          <w:p w14:paraId="022D7E52">
            <w:pPr>
              <w:keepLines w:val="0"/>
              <w:pageBreakBefore w:val="0"/>
              <w:kinsoku/>
              <w:wordWrap/>
              <w:overflowPunct/>
              <w:topLinePunct w:val="0"/>
              <w:autoSpaceDE/>
              <w:autoSpaceDN/>
              <w:bidi w:val="0"/>
              <w:spacing w:line="480" w:lineRule="exact"/>
              <w:jc w:val="center"/>
              <w:rPr>
                <w:rFonts w:hint="eastAsia" w:ascii="宋体" w:hAnsi="宋体" w:eastAsia="宋体" w:cs="宋体"/>
                <w:b/>
                <w:bCs/>
                <w:i w:val="0"/>
                <w:iCs w:val="0"/>
                <w:color w:val="auto"/>
                <w:sz w:val="24"/>
                <w:szCs w:val="24"/>
                <w:highlight w:val="none"/>
                <w:u w:val="none"/>
              </w:rPr>
            </w:pPr>
          </w:p>
        </w:tc>
        <w:tc>
          <w:tcPr>
            <w:tcW w:w="0" w:type="auto"/>
            <w:shd w:val="clear" w:color="auto" w:fill="auto"/>
            <w:noWrap/>
            <w:vAlign w:val="center"/>
          </w:tcPr>
          <w:p w14:paraId="4AC30343">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r>
      <w:tr w14:paraId="4D67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32" w:hRule="atLeast"/>
          <w:jc w:val="center"/>
        </w:trPr>
        <w:tc>
          <w:tcPr>
            <w:tcW w:w="4355" w:type="dxa"/>
            <w:gridSpan w:val="5"/>
            <w:shd w:val="clear" w:color="auto" w:fill="auto"/>
            <w:vAlign w:val="center"/>
          </w:tcPr>
          <w:p w14:paraId="70C6835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加分项（最高+5分）</w:t>
            </w:r>
          </w:p>
        </w:tc>
        <w:tc>
          <w:tcPr>
            <w:tcW w:w="6034" w:type="dxa"/>
            <w:shd w:val="clear" w:color="auto" w:fill="auto"/>
            <w:vAlign w:val="center"/>
          </w:tcPr>
          <w:p w14:paraId="7B615FA4">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Style w:val="71"/>
                <w:rFonts w:hint="eastAsia" w:ascii="宋体" w:hAnsi="宋体" w:eastAsia="宋体" w:cs="宋体"/>
                <w:color w:val="auto"/>
                <w:sz w:val="24"/>
                <w:szCs w:val="24"/>
                <w:highlight w:val="none"/>
                <w:lang w:val="en-US" w:eastAsia="zh-CN" w:bidi="ar"/>
              </w:rPr>
              <w:t xml:space="preserve">1. </w:t>
            </w:r>
            <w:r>
              <w:rPr>
                <w:rFonts w:hint="eastAsia" w:ascii="宋体" w:hAnsi="宋体" w:eastAsia="宋体" w:cs="宋体"/>
                <w:i w:val="0"/>
                <w:iCs w:val="0"/>
                <w:color w:val="auto"/>
                <w:kern w:val="0"/>
                <w:sz w:val="24"/>
                <w:szCs w:val="24"/>
                <w:highlight w:val="none"/>
                <w:u w:val="none"/>
                <w:lang w:val="en-US" w:eastAsia="zh-CN" w:bidi="ar"/>
              </w:rPr>
              <w:t>主动排查消除重大隐蔽安全隐患，避免安全事故的，高效处置重大突发险情，成效显著，加</w:t>
            </w:r>
            <w:r>
              <w:rPr>
                <w:rStyle w:val="71"/>
                <w:rFonts w:hint="eastAsia" w:ascii="宋体" w:hAnsi="宋体" w:eastAsia="宋体" w:cs="宋体"/>
                <w:color w:val="auto"/>
                <w:sz w:val="24"/>
                <w:szCs w:val="24"/>
                <w:highlight w:val="none"/>
                <w:lang w:val="en-US" w:eastAsia="zh-CN" w:bidi="ar"/>
              </w:rPr>
              <w:t>1—3</w:t>
            </w:r>
            <w:r>
              <w:rPr>
                <w:rFonts w:hint="eastAsia" w:ascii="宋体" w:hAnsi="宋体" w:eastAsia="宋体" w:cs="宋体"/>
                <w:i w:val="0"/>
                <w:iCs w:val="0"/>
                <w:color w:val="auto"/>
                <w:kern w:val="0"/>
                <w:sz w:val="24"/>
                <w:szCs w:val="24"/>
                <w:highlight w:val="none"/>
                <w:u w:val="none"/>
                <w:lang w:val="en-US" w:eastAsia="zh-CN" w:bidi="ar"/>
              </w:rPr>
              <w:t>分；</w:t>
            </w:r>
            <w:r>
              <w:rPr>
                <w:rStyle w:val="71"/>
                <w:rFonts w:hint="eastAsia" w:ascii="宋体" w:hAnsi="宋体" w:eastAsia="宋体" w:cs="宋体"/>
                <w:color w:val="auto"/>
                <w:sz w:val="24"/>
                <w:szCs w:val="24"/>
                <w:highlight w:val="none"/>
                <w:lang w:val="en-US" w:eastAsia="zh-CN" w:bidi="ar"/>
              </w:rPr>
              <w:br w:type="textWrapping"/>
            </w:r>
            <w:r>
              <w:rPr>
                <w:rStyle w:val="71"/>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val="0"/>
                <w:iCs w:val="0"/>
                <w:color w:val="auto"/>
                <w:kern w:val="0"/>
                <w:sz w:val="24"/>
                <w:szCs w:val="24"/>
                <w:highlight w:val="none"/>
                <w:u w:val="none"/>
                <w:lang w:val="en-US" w:eastAsia="zh-CN" w:bidi="ar"/>
              </w:rPr>
              <w:t>管护工作获县级以上通报表彰、县级以上主流媒体正面报道，加</w:t>
            </w:r>
            <w:r>
              <w:rPr>
                <w:rStyle w:val="71"/>
                <w:rFonts w:hint="eastAsia" w:ascii="宋体" w:hAnsi="宋体" w:eastAsia="宋体" w:cs="宋体"/>
                <w:color w:val="auto"/>
                <w:sz w:val="24"/>
                <w:szCs w:val="24"/>
                <w:highlight w:val="none"/>
                <w:lang w:val="en-US" w:eastAsia="zh-CN" w:bidi="ar"/>
              </w:rPr>
              <w:t>2—5</w:t>
            </w:r>
            <w:r>
              <w:rPr>
                <w:rFonts w:hint="eastAsia" w:ascii="宋体" w:hAnsi="宋体" w:eastAsia="宋体" w:cs="宋体"/>
                <w:i w:val="0"/>
                <w:iCs w:val="0"/>
                <w:color w:val="auto"/>
                <w:kern w:val="0"/>
                <w:sz w:val="24"/>
                <w:szCs w:val="24"/>
                <w:highlight w:val="none"/>
                <w:u w:val="none"/>
                <w:lang w:val="en-US" w:eastAsia="zh-CN" w:bidi="ar"/>
              </w:rPr>
              <w:t>分；</w:t>
            </w:r>
            <w:r>
              <w:rPr>
                <w:rStyle w:val="71"/>
                <w:rFonts w:hint="eastAsia" w:ascii="宋体" w:hAnsi="宋体" w:eastAsia="宋体" w:cs="宋体"/>
                <w:color w:val="auto"/>
                <w:sz w:val="24"/>
                <w:szCs w:val="24"/>
                <w:highlight w:val="none"/>
                <w:lang w:val="en-US" w:eastAsia="zh-CN" w:bidi="ar"/>
              </w:rPr>
              <w:br w:type="textWrapping"/>
            </w:r>
            <w:r>
              <w:rPr>
                <w:rStyle w:val="71"/>
                <w:rFonts w:hint="eastAsia" w:ascii="宋体" w:hAnsi="宋体" w:eastAsia="宋体" w:cs="宋体"/>
                <w:color w:val="auto"/>
                <w:sz w:val="24"/>
                <w:szCs w:val="24"/>
                <w:highlight w:val="none"/>
                <w:lang w:val="en-US" w:eastAsia="zh-CN" w:bidi="ar"/>
              </w:rPr>
              <w:t xml:space="preserve">3.  </w:t>
            </w:r>
            <w:r>
              <w:rPr>
                <w:rFonts w:hint="eastAsia" w:ascii="宋体" w:hAnsi="宋体" w:eastAsia="宋体" w:cs="宋体"/>
                <w:i w:val="0"/>
                <w:iCs w:val="0"/>
                <w:color w:val="auto"/>
                <w:kern w:val="0"/>
                <w:sz w:val="24"/>
                <w:szCs w:val="24"/>
                <w:highlight w:val="none"/>
                <w:u w:val="none"/>
                <w:lang w:val="en-US" w:eastAsia="zh-CN" w:bidi="ar"/>
              </w:rPr>
              <w:t>创新管护举措、提升运维质效、节约管护成本，形成可推广经验的，加</w:t>
            </w:r>
            <w:r>
              <w:rPr>
                <w:rStyle w:val="71"/>
                <w:rFonts w:hint="eastAsia" w:ascii="宋体" w:hAnsi="宋体" w:eastAsia="宋体" w:cs="宋体"/>
                <w:color w:val="auto"/>
                <w:sz w:val="24"/>
                <w:szCs w:val="24"/>
                <w:highlight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分。</w:t>
            </w:r>
          </w:p>
        </w:tc>
        <w:tc>
          <w:tcPr>
            <w:tcW w:w="0" w:type="auto"/>
            <w:shd w:val="clear" w:color="auto" w:fill="auto"/>
            <w:noWrap/>
            <w:vAlign w:val="center"/>
          </w:tcPr>
          <w:p w14:paraId="71CD02D7">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40057B14">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r>
      <w:tr w14:paraId="3390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3" w:hRule="atLeast"/>
          <w:jc w:val="center"/>
        </w:trPr>
        <w:tc>
          <w:tcPr>
            <w:tcW w:w="4355" w:type="dxa"/>
            <w:gridSpan w:val="5"/>
            <w:shd w:val="clear" w:color="auto" w:fill="auto"/>
            <w:vAlign w:val="center"/>
          </w:tcPr>
          <w:p w14:paraId="00E2FFA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一票否决项</w:t>
            </w:r>
          </w:p>
        </w:tc>
        <w:tc>
          <w:tcPr>
            <w:tcW w:w="6034" w:type="dxa"/>
            <w:shd w:val="clear" w:color="auto" w:fill="auto"/>
            <w:vAlign w:val="center"/>
          </w:tcPr>
          <w:p w14:paraId="377D27E3">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auto"/>
                <w:sz w:val="24"/>
                <w:szCs w:val="24"/>
                <w:highlight w:val="none"/>
                <w:u w:val="none"/>
              </w:rPr>
            </w:pPr>
            <w:r>
              <w:rPr>
                <w:rStyle w:val="71"/>
                <w:rFonts w:hint="eastAsia" w:ascii="宋体" w:hAnsi="宋体" w:eastAsia="宋体" w:cs="宋体"/>
                <w:color w:val="auto"/>
                <w:sz w:val="24"/>
                <w:szCs w:val="24"/>
                <w:highlight w:val="none"/>
                <w:lang w:val="en-US" w:eastAsia="zh-CN" w:bidi="ar"/>
              </w:rPr>
              <w:t xml:space="preserve">1. </w:t>
            </w:r>
            <w:r>
              <w:rPr>
                <w:rFonts w:hint="eastAsia" w:ascii="宋体" w:hAnsi="宋体" w:eastAsia="宋体" w:cs="宋体"/>
                <w:i w:val="0"/>
                <w:iCs w:val="0"/>
                <w:color w:val="auto"/>
                <w:kern w:val="0"/>
                <w:sz w:val="24"/>
                <w:szCs w:val="24"/>
                <w:highlight w:val="none"/>
                <w:u w:val="none"/>
                <w:lang w:val="en-US" w:eastAsia="zh-CN" w:bidi="ar"/>
              </w:rPr>
              <w:t>因运维缺失、隐患未处置，引发道路塌陷、管网爆裂、人员伤亡、重大安全生产责任事故、重大环境污染事故等；</w:t>
            </w:r>
            <w:r>
              <w:rPr>
                <w:rStyle w:val="71"/>
                <w:rFonts w:hint="eastAsia" w:ascii="宋体" w:hAnsi="宋体" w:eastAsia="宋体" w:cs="宋体"/>
                <w:color w:val="auto"/>
                <w:sz w:val="24"/>
                <w:szCs w:val="24"/>
                <w:highlight w:val="none"/>
                <w:lang w:val="en-US" w:eastAsia="zh-CN" w:bidi="ar"/>
              </w:rPr>
              <w:br w:type="textWrapping"/>
            </w:r>
            <w:r>
              <w:rPr>
                <w:rStyle w:val="71"/>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val="0"/>
                <w:iCs w:val="0"/>
                <w:color w:val="auto"/>
                <w:kern w:val="0"/>
                <w:sz w:val="24"/>
                <w:szCs w:val="24"/>
                <w:highlight w:val="none"/>
                <w:u w:val="none"/>
                <w:lang w:val="en-US" w:eastAsia="zh-CN" w:bidi="ar"/>
              </w:rPr>
              <w:t>因管护失职引发严重城市内涝、污水大面积溢流、管网大面积瘫痪，造成恶劣社会舆情事件或上级通报批评。</w:t>
            </w:r>
            <w:r>
              <w:rPr>
                <w:rStyle w:val="71"/>
                <w:rFonts w:hint="eastAsia" w:ascii="宋体" w:hAnsi="宋体" w:eastAsia="宋体" w:cs="宋体"/>
                <w:color w:val="auto"/>
                <w:sz w:val="24"/>
                <w:szCs w:val="24"/>
                <w:highlight w:val="none"/>
                <w:lang w:val="en-US" w:eastAsia="zh-CN" w:bidi="ar"/>
              </w:rPr>
              <w:br w:type="textWrapping"/>
            </w:r>
            <w:r>
              <w:rPr>
                <w:rStyle w:val="71"/>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虚报瞒报重大设施隐患、伪造运维台账数据资料、整改资料严重造假，情节严重，拒不服从易门县综合行政执法局监管、拒不落实整改要求；</w:t>
            </w:r>
            <w:r>
              <w:rPr>
                <w:rStyle w:val="71"/>
                <w:rFonts w:hint="eastAsia" w:ascii="宋体" w:hAnsi="宋体" w:eastAsia="宋体" w:cs="宋体"/>
                <w:color w:val="auto"/>
                <w:sz w:val="24"/>
                <w:szCs w:val="24"/>
                <w:highlight w:val="none"/>
                <w:lang w:val="en-US" w:eastAsia="zh-CN" w:bidi="ar"/>
              </w:rPr>
              <w:br w:type="textWrapping"/>
            </w:r>
            <w:r>
              <w:rPr>
                <w:rStyle w:val="71"/>
                <w:rFonts w:hint="eastAsia" w:ascii="宋体" w:hAnsi="宋体" w:eastAsia="宋体" w:cs="宋体"/>
                <w:color w:val="auto"/>
                <w:sz w:val="24"/>
                <w:szCs w:val="24"/>
                <w:highlight w:val="none"/>
                <w:lang w:val="en-US" w:eastAsia="zh-CN" w:bidi="ar"/>
              </w:rPr>
              <w:t xml:space="preserve">4. </w:t>
            </w:r>
            <w:r>
              <w:rPr>
                <w:rFonts w:hint="eastAsia" w:ascii="宋体" w:hAnsi="宋体" w:eastAsia="宋体" w:cs="宋体"/>
                <w:i w:val="0"/>
                <w:iCs w:val="0"/>
                <w:color w:val="auto"/>
                <w:kern w:val="0"/>
                <w:sz w:val="24"/>
                <w:szCs w:val="24"/>
                <w:highlight w:val="none"/>
                <w:u w:val="none"/>
                <w:lang w:val="en-US" w:eastAsia="zh-CN" w:bidi="ar"/>
              </w:rPr>
              <w:t>违规施工、野蛮作业，造成公共设施大面积损坏、严重交通影响。</w:t>
            </w:r>
            <w:r>
              <w:rPr>
                <w:rStyle w:val="71"/>
                <w:rFonts w:hint="eastAsia" w:ascii="宋体" w:hAnsi="宋体" w:eastAsia="宋体" w:cs="宋体"/>
                <w:color w:val="auto"/>
                <w:sz w:val="24"/>
                <w:szCs w:val="24"/>
                <w:highlight w:val="none"/>
                <w:lang w:val="en-US" w:eastAsia="zh-CN" w:bidi="ar"/>
              </w:rPr>
              <w:t xml:space="preserve"> </w:t>
            </w:r>
          </w:p>
        </w:tc>
        <w:tc>
          <w:tcPr>
            <w:tcW w:w="0" w:type="auto"/>
            <w:shd w:val="clear" w:color="auto" w:fill="auto"/>
            <w:noWrap/>
            <w:vAlign w:val="center"/>
          </w:tcPr>
          <w:p w14:paraId="58B07356">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c>
          <w:tcPr>
            <w:tcW w:w="0" w:type="auto"/>
            <w:shd w:val="clear" w:color="auto" w:fill="auto"/>
            <w:noWrap/>
            <w:vAlign w:val="center"/>
          </w:tcPr>
          <w:p w14:paraId="00EBFEAA">
            <w:pPr>
              <w:keepLines w:val="0"/>
              <w:pageBreakBefore w:val="0"/>
              <w:kinsoku/>
              <w:wordWrap/>
              <w:overflowPunct/>
              <w:topLinePunct w:val="0"/>
              <w:autoSpaceDE/>
              <w:autoSpaceDN/>
              <w:bidi w:val="0"/>
              <w:spacing w:line="480" w:lineRule="exact"/>
              <w:rPr>
                <w:rFonts w:hint="eastAsia" w:ascii="宋体" w:hAnsi="宋体" w:eastAsia="宋体" w:cs="宋体"/>
                <w:i w:val="0"/>
                <w:iCs w:val="0"/>
                <w:color w:val="auto"/>
                <w:sz w:val="24"/>
                <w:szCs w:val="24"/>
                <w:highlight w:val="none"/>
                <w:u w:val="none"/>
              </w:rPr>
            </w:pPr>
          </w:p>
        </w:tc>
      </w:tr>
      <w:tr w14:paraId="5C82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0" w:type="auto"/>
            <w:gridSpan w:val="8"/>
            <w:shd w:val="clear" w:color="auto" w:fill="auto"/>
            <w:noWrap/>
            <w:vAlign w:val="center"/>
          </w:tcPr>
          <w:p w14:paraId="4E7D82C5">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考核结论：□优秀（90分及以上） □合格（80—89分） □基本合格（70—79分） □不合格（70分以下）</w:t>
            </w:r>
          </w:p>
        </w:tc>
      </w:tr>
      <w:tr w14:paraId="4252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96" w:hRule="atLeast"/>
          <w:jc w:val="center"/>
        </w:trPr>
        <w:tc>
          <w:tcPr>
            <w:tcW w:w="13880" w:type="dxa"/>
            <w:gridSpan w:val="8"/>
            <w:shd w:val="clear" w:color="auto" w:fill="auto"/>
            <w:vAlign w:val="center"/>
          </w:tcPr>
          <w:p w14:paraId="682C503E">
            <w:pPr>
              <w:keepNext w:val="0"/>
              <w:keepLines w:val="0"/>
              <w:pageBreakBefore w:val="0"/>
              <w:widowControl/>
              <w:suppressLineNumbers w:val="0"/>
              <w:kinsoku/>
              <w:wordWrap/>
              <w:overflowPunct/>
              <w:topLinePunct w:val="0"/>
              <w:autoSpaceDE/>
              <w:autoSpaceDN/>
              <w:bidi w:val="0"/>
              <w:spacing w:line="480" w:lineRule="exact"/>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存在主要问题及整改要求：</w:t>
            </w:r>
            <w:r>
              <w:rPr>
                <w:rStyle w:val="71"/>
                <w:rFonts w:hint="eastAsia" w:ascii="宋体" w:hAnsi="宋体" w:eastAsia="宋体" w:cs="宋体"/>
                <w:sz w:val="24"/>
                <w:szCs w:val="24"/>
                <w:highlight w:val="none"/>
                <w:lang w:val="en-US" w:eastAsia="zh-CN" w:bidi="ar"/>
              </w:rPr>
              <w:br w:type="textWrapping"/>
            </w:r>
            <w:r>
              <w:rPr>
                <w:rStyle w:val="71"/>
                <w:rFonts w:hint="eastAsia" w:ascii="宋体" w:hAnsi="宋体" w:eastAsia="宋体" w:cs="宋体"/>
                <w:sz w:val="24"/>
                <w:szCs w:val="24"/>
                <w:highlight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主要问题：</w:t>
            </w:r>
            <w:r>
              <w:rPr>
                <w:rStyle w:val="71"/>
                <w:rFonts w:hint="eastAsia" w:ascii="宋体" w:hAnsi="宋体" w:eastAsia="宋体" w:cs="宋体"/>
                <w:sz w:val="24"/>
                <w:szCs w:val="24"/>
                <w:highlight w:val="none"/>
                <w:lang w:val="en-US" w:eastAsia="zh-CN" w:bidi="ar"/>
              </w:rPr>
              <w:t xml:space="preserve">________________________________________________________________________________________________________________________________ </w:t>
            </w:r>
            <w:r>
              <w:rPr>
                <w:rStyle w:val="71"/>
                <w:rFonts w:hint="eastAsia" w:ascii="宋体" w:hAnsi="宋体" w:eastAsia="宋体" w:cs="宋体"/>
                <w:sz w:val="24"/>
                <w:szCs w:val="24"/>
                <w:highlight w:val="none"/>
                <w:lang w:val="en-US" w:eastAsia="zh-CN" w:bidi="ar"/>
              </w:rPr>
              <w:br w:type="textWrapping"/>
            </w:r>
            <w:r>
              <w:rPr>
                <w:rStyle w:val="71"/>
                <w:rFonts w:hint="eastAsia" w:ascii="宋体" w:hAnsi="宋体" w:eastAsia="宋体" w:cs="宋体"/>
                <w:sz w:val="24"/>
                <w:szCs w:val="24"/>
                <w:highlight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整改措施：</w:t>
            </w:r>
            <w:r>
              <w:rPr>
                <w:rStyle w:val="71"/>
                <w:rFonts w:hint="eastAsia" w:ascii="宋体" w:hAnsi="宋体" w:eastAsia="宋体" w:cs="宋体"/>
                <w:sz w:val="24"/>
                <w:szCs w:val="24"/>
                <w:highlight w:val="none"/>
                <w:lang w:val="en-US" w:eastAsia="zh-CN" w:bidi="ar"/>
              </w:rPr>
              <w:t>________________________________________________________________</w:t>
            </w:r>
            <w:r>
              <w:rPr>
                <w:rStyle w:val="71"/>
                <w:rFonts w:hint="eastAsia" w:ascii="宋体" w:hAnsi="宋体" w:eastAsia="宋体" w:cs="宋体"/>
                <w:sz w:val="24"/>
                <w:szCs w:val="24"/>
                <w:highlight w:val="none"/>
                <w:lang w:val="en-US" w:eastAsia="zh-CN" w:bidi="ar"/>
              </w:rPr>
              <w:br w:type="textWrapping"/>
            </w:r>
            <w:r>
              <w:rPr>
                <w:rStyle w:val="71"/>
                <w:rFonts w:hint="eastAsia" w:ascii="宋体" w:hAnsi="宋体" w:eastAsia="宋体" w:cs="宋体"/>
                <w:sz w:val="24"/>
                <w:szCs w:val="24"/>
                <w:highlight w:val="none"/>
                <w:lang w:val="en-US" w:eastAsia="zh-CN" w:bidi="ar"/>
              </w:rPr>
              <w:t xml:space="preserve">   </w:t>
            </w:r>
            <w:r>
              <w:rPr>
                <w:rFonts w:hint="eastAsia" w:ascii="宋体" w:hAnsi="宋体" w:eastAsia="宋体" w:cs="宋体"/>
                <w:i w:val="0"/>
                <w:iCs w:val="0"/>
                <w:color w:val="000000"/>
                <w:kern w:val="0"/>
                <w:sz w:val="24"/>
                <w:szCs w:val="24"/>
                <w:highlight w:val="none"/>
                <w:u w:val="none"/>
                <w:lang w:val="en-US" w:eastAsia="zh-CN" w:bidi="ar"/>
              </w:rPr>
              <w:t>整改完成时限：</w:t>
            </w:r>
            <w:r>
              <w:rPr>
                <w:rStyle w:val="71"/>
                <w:rFonts w:hint="eastAsia" w:ascii="宋体" w:hAnsi="宋体" w:eastAsia="宋体" w:cs="宋体"/>
                <w:sz w:val="24"/>
                <w:szCs w:val="24"/>
                <w:highlight w:val="none"/>
                <w:lang w:val="en-US" w:eastAsia="zh-CN" w:bidi="ar"/>
              </w:rPr>
              <w:t>____</w:t>
            </w:r>
            <w:r>
              <w:rPr>
                <w:rFonts w:hint="eastAsia" w:ascii="宋体" w:hAnsi="宋体" w:eastAsia="宋体" w:cs="宋体"/>
                <w:i w:val="0"/>
                <w:iCs w:val="0"/>
                <w:color w:val="000000"/>
                <w:kern w:val="0"/>
                <w:sz w:val="24"/>
                <w:szCs w:val="24"/>
                <w:highlight w:val="none"/>
                <w:u w:val="none"/>
                <w:lang w:val="en-US" w:eastAsia="zh-CN" w:bidi="ar"/>
              </w:rPr>
              <w:t>年</w:t>
            </w:r>
            <w:r>
              <w:rPr>
                <w:rStyle w:val="71"/>
                <w:rFonts w:hint="eastAsia" w:ascii="宋体" w:hAnsi="宋体" w:eastAsia="宋体" w:cs="宋体"/>
                <w:sz w:val="24"/>
                <w:szCs w:val="24"/>
                <w:highlight w:val="none"/>
                <w:lang w:val="en-US" w:eastAsia="zh-CN" w:bidi="ar"/>
              </w:rPr>
              <w:t>____</w:t>
            </w:r>
            <w:r>
              <w:rPr>
                <w:rFonts w:hint="eastAsia" w:ascii="宋体" w:hAnsi="宋体" w:eastAsia="宋体" w:cs="宋体"/>
                <w:i w:val="0"/>
                <w:iCs w:val="0"/>
                <w:color w:val="000000"/>
                <w:kern w:val="0"/>
                <w:sz w:val="24"/>
                <w:szCs w:val="24"/>
                <w:highlight w:val="none"/>
                <w:u w:val="none"/>
                <w:lang w:val="en-US" w:eastAsia="zh-CN" w:bidi="ar"/>
              </w:rPr>
              <w:t>月</w:t>
            </w:r>
            <w:r>
              <w:rPr>
                <w:rStyle w:val="71"/>
                <w:rFonts w:hint="eastAsia" w:ascii="宋体" w:hAnsi="宋体" w:eastAsia="宋体" w:cs="宋体"/>
                <w:sz w:val="24"/>
                <w:szCs w:val="24"/>
                <w:highlight w:val="none"/>
                <w:lang w:val="en-US" w:eastAsia="zh-CN" w:bidi="ar"/>
              </w:rPr>
              <w:t>____</w:t>
            </w:r>
            <w:r>
              <w:rPr>
                <w:rFonts w:hint="eastAsia" w:ascii="宋体" w:hAnsi="宋体" w:eastAsia="宋体" w:cs="宋体"/>
                <w:i w:val="0"/>
                <w:iCs w:val="0"/>
                <w:color w:val="000000"/>
                <w:kern w:val="0"/>
                <w:sz w:val="24"/>
                <w:szCs w:val="24"/>
                <w:highlight w:val="none"/>
                <w:u w:val="none"/>
                <w:lang w:val="en-US" w:eastAsia="zh-CN" w:bidi="ar"/>
              </w:rPr>
              <w:t>日</w:t>
            </w:r>
            <w:r>
              <w:rPr>
                <w:rStyle w:val="71"/>
                <w:rFonts w:hint="eastAsia" w:ascii="宋体" w:hAnsi="宋体" w:eastAsia="宋体" w:cs="宋体"/>
                <w:sz w:val="24"/>
                <w:szCs w:val="24"/>
                <w:highlight w:val="none"/>
                <w:lang w:val="en-US" w:eastAsia="zh-CN" w:bidi="ar"/>
              </w:rPr>
              <w:t xml:space="preserve">                                           </w:t>
            </w:r>
            <w:r>
              <w:rPr>
                <w:rFonts w:hint="eastAsia" w:ascii="宋体" w:hAnsi="宋体" w:eastAsia="宋体" w:cs="宋体"/>
                <w:i w:val="0"/>
                <w:iCs w:val="0"/>
                <w:color w:val="000000"/>
                <w:kern w:val="0"/>
                <w:sz w:val="24"/>
                <w:szCs w:val="24"/>
                <w:highlight w:val="none"/>
                <w:u w:val="none"/>
                <w:lang w:val="en-US" w:eastAsia="zh-CN" w:bidi="ar"/>
              </w:rPr>
              <w:t>复查结果：</w:t>
            </w:r>
            <w:r>
              <w:rPr>
                <w:rStyle w:val="71"/>
                <w:rFonts w:hint="eastAsia" w:ascii="宋体" w:hAnsi="宋体" w:eastAsia="宋体" w:cs="宋体"/>
                <w:sz w:val="24"/>
                <w:szCs w:val="24"/>
                <w:highlight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合格</w:t>
            </w:r>
            <w:r>
              <w:rPr>
                <w:rStyle w:val="71"/>
                <w:rFonts w:hint="eastAsia" w:ascii="宋体" w:hAnsi="宋体" w:eastAsia="宋体" w:cs="宋体"/>
                <w:sz w:val="24"/>
                <w:szCs w:val="24"/>
                <w:highlight w:val="none"/>
                <w:lang w:val="en-US" w:eastAsia="zh-CN" w:bidi="ar"/>
              </w:rPr>
              <w:t xml:space="preserve"> □</w:t>
            </w:r>
            <w:r>
              <w:rPr>
                <w:rFonts w:hint="eastAsia" w:ascii="宋体" w:hAnsi="宋体" w:eastAsia="宋体" w:cs="宋体"/>
                <w:i w:val="0"/>
                <w:iCs w:val="0"/>
                <w:color w:val="000000"/>
                <w:kern w:val="0"/>
                <w:sz w:val="24"/>
                <w:szCs w:val="24"/>
                <w:highlight w:val="none"/>
                <w:u w:val="none"/>
                <w:lang w:val="en-US" w:eastAsia="zh-CN" w:bidi="ar"/>
              </w:rPr>
              <w:t>不合格</w:t>
            </w:r>
          </w:p>
        </w:tc>
      </w:tr>
    </w:tbl>
    <w:p w14:paraId="521BF8B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80" w:lineRule="exact"/>
        <w:jc w:val="left"/>
        <w:textAlignment w:val="auto"/>
        <w:rPr>
          <w:rFonts w:hint="eastAsia" w:ascii="宋体" w:hAnsi="宋体" w:eastAsia="宋体" w:cs="宋体"/>
          <w:sz w:val="24"/>
          <w:szCs w:val="24"/>
          <w:highlight w:val="none"/>
          <w:lang w:val="en-US" w:eastAsia="zh-CN"/>
        </w:rPr>
        <w:sectPr>
          <w:pgSz w:w="16838" w:h="11906" w:orient="landscape"/>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p>
    <w:p w14:paraId="61531FCC">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highlight w:val="none"/>
          <w:lang w:eastAsia="zh-CN"/>
        </w:rPr>
      </w:pPr>
      <w:r>
        <w:rPr>
          <w:rFonts w:hint="eastAsia" w:ascii="宋体" w:hAnsi="宋体" w:eastAsia="宋体" w:cs="宋体"/>
          <w:b/>
          <w:bCs/>
          <w:kern w:val="0"/>
          <w:sz w:val="28"/>
          <w:szCs w:val="28"/>
          <w:highlight w:val="none"/>
          <w:lang w:val="en-US" w:eastAsia="zh-CN" w:bidi="ar"/>
        </w:rPr>
        <w:t>（</w:t>
      </w:r>
      <w:r>
        <w:rPr>
          <w:rFonts w:hint="eastAsia" w:ascii="宋体" w:hAnsi="宋体" w:cs="宋体"/>
          <w:b/>
          <w:bCs/>
          <w:kern w:val="0"/>
          <w:sz w:val="28"/>
          <w:szCs w:val="28"/>
          <w:highlight w:val="none"/>
          <w:lang w:val="en-US" w:eastAsia="zh-CN" w:bidi="ar"/>
        </w:rPr>
        <w:t>九</w:t>
      </w:r>
      <w:r>
        <w:rPr>
          <w:rFonts w:hint="eastAsia" w:ascii="宋体" w:hAnsi="宋体" w:eastAsia="宋体" w:cs="宋体"/>
          <w:b/>
          <w:bCs/>
          <w:kern w:val="0"/>
          <w:sz w:val="28"/>
          <w:szCs w:val="28"/>
          <w:highlight w:val="none"/>
          <w:lang w:val="en-US" w:eastAsia="zh-CN" w:bidi="ar"/>
        </w:rPr>
        <w:t>）综合扣分条款（适用于所有考核项目）</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405"/>
        <w:gridCol w:w="3717"/>
        <w:gridCol w:w="5320"/>
      </w:tblGrid>
      <w:tr w14:paraId="0DFDA43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18F4A81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序号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846D2F4">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b/>
                <w:bCs/>
                <w:highlight w:val="none"/>
              </w:rPr>
            </w:pPr>
            <w:r>
              <w:rPr>
                <w:rFonts w:ascii="宋体" w:hAnsi="宋体" w:eastAsia="宋体" w:cs="宋体"/>
                <w:b/>
                <w:bCs/>
                <w:kern w:val="0"/>
                <w:sz w:val="24"/>
                <w:szCs w:val="24"/>
                <w:highlight w:val="none"/>
                <w:lang w:val="en-US" w:eastAsia="zh-CN" w:bidi="ar"/>
              </w:rPr>
              <w:t>情形</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DC62293">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b/>
                <w:bCs/>
                <w:highlight w:val="none"/>
              </w:rPr>
            </w:pPr>
            <w:r>
              <w:rPr>
                <w:rFonts w:ascii="宋体" w:hAnsi="宋体" w:eastAsia="宋体" w:cs="宋体"/>
                <w:b/>
                <w:bCs/>
                <w:kern w:val="0"/>
                <w:sz w:val="24"/>
                <w:szCs w:val="24"/>
                <w:highlight w:val="none"/>
                <w:lang w:val="en-US" w:eastAsia="zh-CN" w:bidi="ar"/>
              </w:rPr>
              <w:t>扣分/扣款标准</w:t>
            </w:r>
          </w:p>
        </w:tc>
      </w:tr>
      <w:tr w14:paraId="7009368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F8C0DB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DE4054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重大节假日、卫生大检查期间 </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299837D">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对应标准3倍扣分 </w:t>
            </w:r>
          </w:p>
        </w:tc>
      </w:tr>
      <w:tr w14:paraId="2C0CD5A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B419B8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DB793A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乙方拒不整改或整改不到位，屡教不改三次（含三次）以上 </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1BA436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每项按对应扣分项3倍扣分 </w:t>
            </w:r>
          </w:p>
        </w:tc>
      </w:tr>
      <w:tr w14:paraId="78298A1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3F552A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A94BCE7">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上级和各部门检查考核工作不到位 </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045E1C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对应标准3倍扣分 </w:t>
            </w:r>
          </w:p>
        </w:tc>
      </w:tr>
      <w:tr w14:paraId="149506D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43874B4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99F933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被省、市、县、主管部门领导、环卫站领导点名（经查实） </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3382DC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分别按80分基础分扣2分/次、1.6分/次、1.2分/次、0.8分/次、0.4分/次扣分 </w:t>
            </w:r>
          </w:p>
        </w:tc>
      </w:tr>
      <w:tr w14:paraId="6C959F7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093138F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6AE2F6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受到省级通报 </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0FBC3FB">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扣款5000元/次 </w:t>
            </w:r>
          </w:p>
        </w:tc>
      </w:tr>
      <w:tr w14:paraId="5F8823E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89F3F9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DCB37F2">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受到市级通报</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0410591">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扣款1000元/次 </w:t>
            </w:r>
          </w:p>
        </w:tc>
      </w:tr>
      <w:tr w14:paraId="362CF0B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54A5EFF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7</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0C31966">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管理人员故意欺骗、弄虚作假 </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1FEAAE0">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每发现一次按80分基准扣2分/次 </w:t>
            </w:r>
          </w:p>
        </w:tc>
      </w:tr>
      <w:tr w14:paraId="2FEC4FD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5D9CB9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8</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762B799">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 xml:space="preserve">承包方汇报和承诺未兑现或情况不属实 </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A446DCA">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highlight w:val="none"/>
              </w:rPr>
            </w:pPr>
            <w:r>
              <w:rPr>
                <w:rFonts w:ascii="宋体" w:hAnsi="宋体" w:eastAsia="宋体" w:cs="宋体"/>
                <w:kern w:val="0"/>
                <w:sz w:val="24"/>
                <w:szCs w:val="24"/>
                <w:highlight w:val="none"/>
                <w:lang w:val="en-US" w:eastAsia="zh-CN" w:bidi="ar"/>
              </w:rPr>
              <w:t>视情况每次扣款500-50000元（按项目分别适用）</w:t>
            </w:r>
          </w:p>
        </w:tc>
      </w:tr>
    </w:tbl>
    <w:p w14:paraId="460AB8A5">
      <w:pPr>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ascii="宋体" w:hAnsi="宋体" w:eastAsia="宋体" w:cs="宋体"/>
          <w:b/>
          <w:bCs/>
          <w:kern w:val="0"/>
          <w:sz w:val="28"/>
          <w:szCs w:val="28"/>
          <w:highlight w:val="none"/>
          <w:lang w:val="en-US" w:eastAsia="zh-CN" w:bidi="ar"/>
        </w:rPr>
      </w:pPr>
      <w:r>
        <w:rPr>
          <w:rFonts w:hint="eastAsia" w:ascii="宋体" w:hAnsi="宋体" w:eastAsia="宋体" w:cs="宋体"/>
          <w:b/>
          <w:bCs/>
          <w:kern w:val="0"/>
          <w:sz w:val="28"/>
          <w:szCs w:val="28"/>
          <w:highlight w:val="none"/>
          <w:lang w:val="en-US" w:eastAsia="zh-CN" w:bidi="ar"/>
        </w:rPr>
        <w:t>（十）考核办法</w:t>
      </w:r>
    </w:p>
    <w:p w14:paraId="5794093E">
      <w:pPr>
        <w:pStyle w:val="4"/>
        <w:keepNext w:val="0"/>
        <w:keepLines w:val="0"/>
        <w:pageBreakBefore w:val="0"/>
        <w:widowControl/>
        <w:suppressLineNumbers w:val="0"/>
        <w:kinsoku/>
        <w:wordWrap/>
        <w:overflowPunct/>
        <w:topLinePunct w:val="0"/>
        <w:autoSpaceDE/>
        <w:autoSpaceDN/>
        <w:bidi w:val="0"/>
        <w:spacing w:beforeAutospacing="0" w:afterAutospacing="0" w:line="48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（一）清扫保洁、公厕、洗手台考核办法</w:t>
      </w:r>
    </w:p>
    <w:p w14:paraId="608A2378">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left="36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环卫站负责组织对承包方服务质量进行检查指导、量化考核。</w:t>
      </w:r>
    </w:p>
    <w:p w14:paraId="341475C8">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left="36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Style w:val="31"/>
          <w:rFonts w:hint="eastAsia" w:ascii="宋体" w:hAnsi="宋体" w:eastAsia="宋体" w:cs="宋体"/>
          <w:sz w:val="24"/>
          <w:szCs w:val="24"/>
          <w:highlight w:val="none"/>
        </w:rPr>
        <w:t>日考核</w:t>
      </w:r>
      <w:r>
        <w:rPr>
          <w:rFonts w:hint="eastAsia" w:ascii="宋体" w:hAnsi="宋体" w:eastAsia="宋体" w:cs="宋体"/>
          <w:sz w:val="24"/>
          <w:szCs w:val="24"/>
          <w:highlight w:val="none"/>
        </w:rPr>
        <w:t>：市政巡查人员每天跟班巡查，根据标准进行量化日考核，甲乙双方签字认可，日考核占月考评分值的60%。日考核按80分及以上为合格；得分70</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79分的，每分扣款标准按各项目规定执行；得分60</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69分的，每分扣款标准按各项目规定执行</w:t>
      </w:r>
      <w:r>
        <w:rPr>
          <w:rFonts w:hint="eastAsia" w:ascii="宋体" w:hAnsi="宋体" w:eastAsia="宋体" w:cs="宋体"/>
          <w:sz w:val="24"/>
          <w:szCs w:val="24"/>
          <w:highlight w:val="none"/>
          <w:lang w:eastAsia="zh-CN"/>
        </w:rPr>
        <w:t>。</w:t>
      </w:r>
    </w:p>
    <w:p w14:paraId="21C3BEF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left="360" w:leftChars="0" w:firstLine="482" w:firstLineChars="200"/>
        <w:textAlignment w:val="auto"/>
        <w:rPr>
          <w:rFonts w:hint="eastAsia" w:ascii="宋体" w:hAnsi="宋体" w:eastAsia="宋体" w:cs="宋体"/>
          <w:sz w:val="24"/>
          <w:szCs w:val="24"/>
          <w:highlight w:val="none"/>
        </w:rPr>
      </w:pPr>
      <w:r>
        <w:rPr>
          <w:rStyle w:val="31"/>
          <w:rFonts w:hint="eastAsia" w:ascii="宋体" w:hAnsi="宋体" w:eastAsia="宋体" w:cs="宋体"/>
          <w:sz w:val="24"/>
          <w:szCs w:val="24"/>
          <w:highlight w:val="none"/>
          <w:lang w:val="en-US" w:eastAsia="zh-CN"/>
        </w:rPr>
        <w:t>3.</w:t>
      </w:r>
      <w:r>
        <w:rPr>
          <w:rStyle w:val="31"/>
          <w:rFonts w:hint="eastAsia" w:ascii="宋体" w:hAnsi="宋体" w:eastAsia="宋体" w:cs="宋体"/>
          <w:sz w:val="24"/>
          <w:szCs w:val="24"/>
          <w:highlight w:val="none"/>
        </w:rPr>
        <w:t>集中考核</w:t>
      </w:r>
      <w:r>
        <w:rPr>
          <w:rFonts w:hint="eastAsia" w:ascii="宋体" w:hAnsi="宋体" w:eastAsia="宋体" w:cs="宋体"/>
          <w:sz w:val="24"/>
          <w:szCs w:val="24"/>
          <w:highlight w:val="none"/>
        </w:rPr>
        <w:t>：由甲乙双方代表组成考核组，每月不少于三次集中检查量化考核，占月考评分值的40%。</w:t>
      </w:r>
    </w:p>
    <w:p w14:paraId="076DD7B8">
      <w:pPr>
        <w:pStyle w:val="4"/>
        <w:keepNext w:val="0"/>
        <w:keepLines w:val="0"/>
        <w:pageBreakBefore w:val="0"/>
        <w:widowControl/>
        <w:suppressLineNumbers w:val="0"/>
        <w:kinsoku/>
        <w:wordWrap/>
        <w:overflowPunct/>
        <w:topLinePunct w:val="0"/>
        <w:autoSpaceDE/>
        <w:autoSpaceDN/>
        <w:bidi w:val="0"/>
        <w:spacing w:beforeAutospacing="0" w:afterAutospacing="0" w:line="48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（二）路灯管护考核办法</w:t>
      </w:r>
    </w:p>
    <w:p w14:paraId="5CC58D8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当月所有暗查考核得分的平均分占月度考核分值的30%，月度正式考核占当月考核分值的70%。</w:t>
      </w:r>
    </w:p>
    <w:p w14:paraId="5A19A7B4">
      <w:pPr>
        <w:pStyle w:val="4"/>
        <w:keepNext w:val="0"/>
        <w:keepLines w:val="0"/>
        <w:pageBreakBefore w:val="0"/>
        <w:widowControl/>
        <w:suppressLineNumbers w:val="0"/>
        <w:kinsoku/>
        <w:wordWrap/>
        <w:overflowPunct/>
        <w:topLinePunct w:val="0"/>
        <w:autoSpaceDE/>
        <w:autoSpaceDN/>
        <w:bidi w:val="0"/>
        <w:spacing w:beforeAutospacing="0" w:afterAutospacing="0" w:line="48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（三）垃圾转运与填埋场处理考核办法</w:t>
      </w:r>
    </w:p>
    <w:p w14:paraId="78885187">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由甲方每月对乙方服务情况进行考核，现场签字认可考核结果。</w:t>
      </w:r>
    </w:p>
    <w:p w14:paraId="286A0298">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textAlignment w:val="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（四）考核结果运用</w:t>
      </w:r>
    </w:p>
    <w:p w14:paraId="2C49C16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4.1</w:t>
      </w:r>
      <w:r>
        <w:rPr>
          <w:rFonts w:hint="eastAsia" w:ascii="宋体" w:hAnsi="宋体" w:eastAsia="宋体" w:cs="宋体"/>
          <w:sz w:val="24"/>
          <w:szCs w:val="24"/>
          <w:highlight w:val="none"/>
          <w:lang w:val="en-US" w:eastAsia="zh-CN"/>
        </w:rPr>
        <w:t>月度经费拨付挂钩</w:t>
      </w:r>
    </w:p>
    <w:p w14:paraId="4D023312">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1.</w:t>
      </w:r>
      <w:r>
        <w:rPr>
          <w:rFonts w:hint="eastAsia" w:ascii="宋体" w:hAnsi="宋体" w:eastAsia="宋体" w:cs="宋体"/>
          <w:b w:val="0"/>
          <w:bCs w:val="0"/>
          <w:highlight w:val="none"/>
          <w:lang w:val="en-US" w:eastAsia="zh-CN"/>
        </w:rPr>
        <w:t>优秀（≥90分）：全额拨付当月服务费，纳入年度优质服务商名录，后续新增项目、年度续约优先考虑；</w:t>
      </w:r>
    </w:p>
    <w:p w14:paraId="2602C0A1">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2.</w:t>
      </w:r>
      <w:r>
        <w:rPr>
          <w:rFonts w:hint="eastAsia" w:ascii="宋体" w:hAnsi="宋体" w:eastAsia="宋体" w:cs="宋体"/>
          <w:b w:val="0"/>
          <w:bCs w:val="0"/>
          <w:highlight w:val="none"/>
          <w:lang w:val="en-US" w:eastAsia="zh-CN"/>
        </w:rPr>
        <w:t>合格（80—89分）：全额拨付，无扣款，正常履约；</w:t>
      </w:r>
    </w:p>
    <w:p w14:paraId="356E2963">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3.</w:t>
      </w:r>
      <w:r>
        <w:rPr>
          <w:rFonts w:hint="eastAsia" w:ascii="宋体" w:hAnsi="宋体" w:eastAsia="宋体" w:cs="宋体"/>
          <w:b w:val="0"/>
          <w:bCs w:val="0"/>
          <w:highlight w:val="none"/>
          <w:lang w:val="en-US" w:eastAsia="zh-CN"/>
        </w:rPr>
        <w:t>基本合格（70—79分）：当月扣减服务费</w:t>
      </w:r>
      <w:r>
        <w:rPr>
          <w:rFonts w:hint="eastAsia" w:cs="宋体"/>
          <w:b w:val="0"/>
          <w:bCs w:val="0"/>
          <w:highlight w:val="none"/>
          <w:lang w:val="en-US" w:eastAsia="zh-CN"/>
        </w:rPr>
        <w:t>1%—10%</w:t>
      </w:r>
      <w:r>
        <w:rPr>
          <w:rFonts w:hint="eastAsia" w:ascii="宋体" w:hAnsi="宋体" w:eastAsia="宋体" w:cs="宋体"/>
          <w:b w:val="0"/>
          <w:bCs w:val="0"/>
          <w:highlight w:val="none"/>
          <w:lang w:val="en-US" w:eastAsia="zh-CN"/>
        </w:rPr>
        <w:t>，企业提交专项整改方案；连续两月基本合格按不合格处理；</w:t>
      </w:r>
    </w:p>
    <w:p w14:paraId="27DAE706">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4.</w:t>
      </w:r>
      <w:r>
        <w:rPr>
          <w:rFonts w:hint="eastAsia" w:ascii="宋体" w:hAnsi="宋体" w:eastAsia="宋体" w:cs="宋体"/>
          <w:b w:val="0"/>
          <w:bCs w:val="0"/>
          <w:highlight w:val="none"/>
          <w:lang w:val="en-US" w:eastAsia="zh-CN"/>
        </w:rPr>
        <w:t>不合格（＜70分/一票否决）：当月扣减服务费</w:t>
      </w:r>
      <w:r>
        <w:rPr>
          <w:rFonts w:hint="eastAsia" w:cs="宋体"/>
          <w:b w:val="0"/>
          <w:bCs w:val="0"/>
          <w:highlight w:val="none"/>
          <w:lang w:val="en-US" w:eastAsia="zh-CN"/>
        </w:rPr>
        <w:t>10%—20%</w:t>
      </w:r>
      <w:r>
        <w:rPr>
          <w:rFonts w:hint="eastAsia" w:ascii="宋体" w:hAnsi="宋体" w:eastAsia="宋体" w:cs="宋体"/>
          <w:b w:val="0"/>
          <w:bCs w:val="0"/>
          <w:highlight w:val="none"/>
          <w:lang w:val="en-US" w:eastAsia="zh-CN"/>
        </w:rPr>
        <w:t>，约谈企业主要负责人、全县行业内通报批评。</w:t>
      </w:r>
    </w:p>
    <w:p w14:paraId="0D0ABD90">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2" w:firstLineChars="200"/>
        <w:textAlignment w:val="auto"/>
        <w:rPr>
          <w:rFonts w:hint="eastAsia" w:ascii="宋体" w:hAnsi="宋体" w:eastAsia="宋体" w:cs="宋体"/>
          <w:b w:val="0"/>
          <w:bCs w:val="0"/>
          <w:highlight w:val="none"/>
          <w:lang w:val="en-US" w:eastAsia="zh-CN"/>
        </w:rPr>
      </w:pPr>
      <w:r>
        <w:rPr>
          <w:rFonts w:hint="eastAsia" w:cs="宋体"/>
          <w:b/>
          <w:bCs/>
          <w:highlight w:val="none"/>
          <w:lang w:val="en-US" w:eastAsia="zh-CN"/>
        </w:rPr>
        <w:t>4.2</w:t>
      </w:r>
      <w:r>
        <w:rPr>
          <w:rFonts w:hint="eastAsia" w:ascii="宋体" w:hAnsi="宋体" w:eastAsia="宋体" w:cs="宋体"/>
          <w:b/>
          <w:bCs/>
          <w:highlight w:val="none"/>
          <w:lang w:val="en-US" w:eastAsia="zh-CN"/>
        </w:rPr>
        <w:t>中长期违约处置措施</w:t>
      </w:r>
    </w:p>
    <w:p w14:paraId="2FB9A9A4">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1.</w:t>
      </w:r>
      <w:r>
        <w:rPr>
          <w:rFonts w:hint="eastAsia" w:ascii="宋体" w:hAnsi="宋体" w:eastAsia="宋体" w:cs="宋体"/>
          <w:b w:val="0"/>
          <w:bCs w:val="0"/>
          <w:highlight w:val="none"/>
          <w:lang w:val="en-US" w:eastAsia="zh-CN"/>
        </w:rPr>
        <w:t>连续两个月月度考核不合格：暂停支付服务款项，启动合同违约追责，限期全面整改；</w:t>
      </w:r>
    </w:p>
    <w:p w14:paraId="081FC271">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2.</w:t>
      </w:r>
      <w:r>
        <w:rPr>
          <w:rFonts w:hint="eastAsia" w:ascii="宋体" w:hAnsi="宋体" w:eastAsia="宋体" w:cs="宋体"/>
          <w:b w:val="0"/>
          <w:bCs w:val="0"/>
          <w:highlight w:val="none"/>
          <w:lang w:val="en-US" w:eastAsia="zh-CN"/>
        </w:rPr>
        <w:t>年度累计3个月及以上不合格：将服务商纳入政府采购不良信用名单，取消次年续约资格，有权单方面终止服务合同；</w:t>
      </w:r>
    </w:p>
    <w:p w14:paraId="54D048C9">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b w:val="0"/>
          <w:bCs w:val="0"/>
          <w:highlight w:val="none"/>
          <w:lang w:val="en-US" w:eastAsia="zh-CN"/>
        </w:rPr>
      </w:pPr>
      <w:r>
        <w:rPr>
          <w:rFonts w:hint="eastAsia" w:cs="宋体"/>
          <w:b w:val="0"/>
          <w:bCs w:val="0"/>
          <w:highlight w:val="none"/>
          <w:lang w:val="en-US" w:eastAsia="zh-CN"/>
        </w:rPr>
        <w:t>3.</w:t>
      </w:r>
      <w:r>
        <w:rPr>
          <w:rFonts w:hint="eastAsia" w:ascii="宋体" w:hAnsi="宋体" w:eastAsia="宋体" w:cs="宋体"/>
          <w:b w:val="0"/>
          <w:bCs w:val="0"/>
          <w:highlight w:val="none"/>
          <w:lang w:val="en-US" w:eastAsia="zh-CN"/>
        </w:rPr>
        <w:t>专项重大处罚：被省级通报单次扣款5000.00元、市级1000.00元；发生重伤及以上安全事故、重大环保事故直接终止合同，扣除全部履约保证金。</w:t>
      </w:r>
    </w:p>
    <w:p w14:paraId="65A3CF55">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2" w:firstLineChars="200"/>
        <w:textAlignment w:val="auto"/>
        <w:rPr>
          <w:rFonts w:hint="eastAsia" w:ascii="宋体" w:hAnsi="宋体" w:eastAsia="宋体" w:cs="宋体"/>
          <w:b/>
          <w:bCs/>
          <w:highlight w:val="none"/>
          <w:lang w:val="en-US" w:eastAsia="zh-CN"/>
        </w:rPr>
      </w:pPr>
      <w:r>
        <w:rPr>
          <w:rFonts w:hint="eastAsia" w:cs="宋体"/>
          <w:b/>
          <w:bCs/>
          <w:highlight w:val="none"/>
          <w:lang w:val="en-US" w:eastAsia="zh-CN"/>
        </w:rPr>
        <w:t>4.3</w:t>
      </w:r>
      <w:r>
        <w:rPr>
          <w:rFonts w:hint="eastAsia" w:ascii="宋体" w:hAnsi="宋体" w:eastAsia="宋体" w:cs="宋体"/>
          <w:b/>
          <w:bCs/>
          <w:highlight w:val="none"/>
          <w:lang w:val="en-US" w:eastAsia="zh-CN"/>
        </w:rPr>
        <w:t>续约评判标准</w:t>
      </w:r>
    </w:p>
    <w:p w14:paraId="646B3E27">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 w:val="0"/>
          <w:bCs w:val="0"/>
          <w:highlight w:val="none"/>
          <w:lang w:val="en-US" w:eastAsia="zh-CN"/>
        </w:rPr>
        <w:t>年度综合考核80分及以上，且全年无不合格月份、无重大投诉、无安全环保事故，方可续签下一年度服务合同；年度得分低于70分直接不予续约。</w:t>
      </w:r>
    </w:p>
    <w:p w14:paraId="664EC722">
      <w:pPr>
        <w:pStyle w:val="4"/>
        <w:keepNext w:val="0"/>
        <w:keepLines w:val="0"/>
        <w:pageBreakBefore w:val="0"/>
        <w:widowControl/>
        <w:suppressLineNumbers w:val="0"/>
        <w:kinsoku/>
        <w:wordWrap/>
        <w:overflowPunct/>
        <w:topLinePunct w:val="0"/>
        <w:autoSpaceDE/>
        <w:autoSpaceDN/>
        <w:bidi w:val="0"/>
        <w:spacing w:beforeAutospacing="0" w:afterAutospacing="0" w:line="480" w:lineRule="exact"/>
        <w:jc w:val="left"/>
        <w:textAlignment w:val="auto"/>
        <w:rPr>
          <w:rFonts w:hint="eastAsia"/>
          <w:highlight w:val="none"/>
        </w:rPr>
      </w:pPr>
      <w:r>
        <w:rPr>
          <w:rFonts w:hint="eastAsia" w:ascii="宋体" w:hAnsi="宋体" w:eastAsia="宋体" w:cs="宋体"/>
          <w:sz w:val="24"/>
          <w:szCs w:val="24"/>
          <w:highlight w:val="none"/>
        </w:rPr>
        <w:t>（</w:t>
      </w:r>
      <w:r>
        <w:rPr>
          <w:rFonts w:hint="eastAsia" w:cs="宋体"/>
          <w:sz w:val="24"/>
          <w:szCs w:val="24"/>
          <w:highlight w:val="none"/>
          <w:lang w:val="en-US" w:eastAsia="zh-CN"/>
        </w:rPr>
        <w:t>五</w:t>
      </w:r>
      <w:r>
        <w:rPr>
          <w:rFonts w:hint="eastAsia" w:ascii="宋体" w:hAnsi="宋体" w:eastAsia="宋体" w:cs="宋体"/>
          <w:sz w:val="24"/>
          <w:szCs w:val="24"/>
          <w:highlight w:val="none"/>
        </w:rPr>
        <w:t>）季度满意度测评机制</w:t>
      </w:r>
    </w:p>
    <w:tbl>
      <w:tblPr>
        <w:tblStyle w:val="28"/>
        <w:tblW w:w="0" w:type="auto"/>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15" w:type="dxa"/>
          <w:left w:w="15" w:type="dxa"/>
          <w:bottom w:w="15" w:type="dxa"/>
          <w:right w:w="15" w:type="dxa"/>
        </w:tblCellMar>
      </w:tblPr>
      <w:tblGrid>
        <w:gridCol w:w="440"/>
        <w:gridCol w:w="1278"/>
        <w:gridCol w:w="1278"/>
        <w:gridCol w:w="1517"/>
        <w:gridCol w:w="1271"/>
        <w:gridCol w:w="3658"/>
      </w:tblGrid>
      <w:tr w14:paraId="339A05A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5E96C21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序号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DD804C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测评内容</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D18924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测评方式</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8367F90">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测评对象</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88F7FF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ascii="宋体" w:hAnsi="宋体" w:eastAsia="宋体" w:cs="宋体"/>
                <w:b/>
                <w:bCs/>
                <w:kern w:val="0"/>
                <w:sz w:val="24"/>
                <w:szCs w:val="24"/>
                <w:highlight w:val="none"/>
                <w:lang w:val="en-US" w:eastAsia="zh-CN" w:bidi="ar"/>
              </w:rPr>
              <w:t>分值占比</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B1E182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b/>
                <w:bCs/>
                <w:highlight w:val="none"/>
              </w:rPr>
            </w:pPr>
            <w:r>
              <w:rPr>
                <w:rFonts w:hint="eastAsia" w:ascii="宋体" w:hAnsi="宋体" w:eastAsia="宋体" w:cs="宋体"/>
                <w:b/>
                <w:bCs/>
                <w:kern w:val="0"/>
                <w:sz w:val="24"/>
                <w:szCs w:val="24"/>
                <w:highlight w:val="none"/>
                <w:lang w:val="en-US" w:eastAsia="zh-CN" w:bidi="ar"/>
              </w:rPr>
              <w:t>备注</w:t>
            </w:r>
          </w:p>
        </w:tc>
      </w:tr>
      <w:tr w14:paraId="01D7ED6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C695CF3">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9D6FC8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道路清扫干净度</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96499D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线上线下问卷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AC7B3D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市民、沿街商户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09AEB8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占总考核分10%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CB374C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每季度开展一次，测评结果纳入季度考核</w:t>
            </w:r>
          </w:p>
        </w:tc>
      </w:tr>
      <w:tr w14:paraId="0F7AF92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2B2624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E779AB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垃圾清运及时性</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9C14C3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线上线下问卷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DD51FA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市民、商户、社区</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D708EBC">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占总考核分10%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A04379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满意度低于60%的，当月考核直接认定为不合格</w:t>
            </w:r>
          </w:p>
        </w:tc>
      </w:tr>
      <w:tr w14:paraId="5BAB88B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1F85D9D">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39A1BB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公厕卫生状况</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C0DD27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二维码扫码评价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ED7954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入厕市民</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9FF76A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占总考核分10%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28887C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评价结果实时汇总，月度平均得分纳入考核</w:t>
            </w:r>
          </w:p>
        </w:tc>
      </w:tr>
      <w:tr w14:paraId="0A5A9A7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11B5F8F7">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4</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344CBCA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洗手台可用性</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8CE1DB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线上线下问卷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D3C4914">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市民</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C6DC2FE">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占总考核分10%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8D176A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评价结果实时汇总，月度平均得分纳入考核</w:t>
            </w:r>
          </w:p>
        </w:tc>
      </w:tr>
      <w:tr w14:paraId="5295D78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rPr>
          <w:trHeight w:val="549" w:hRule="atLeast"/>
        </w:trPr>
        <w:tc>
          <w:tcPr>
            <w:tcW w:w="0" w:type="auto"/>
            <w:tcBorders>
              <w:top w:val="single" w:color="000000" w:sz="2" w:space="0"/>
              <w:left w:val="single" w:color="000000" w:sz="2" w:space="0"/>
              <w:bottom w:val="single" w:color="000000" w:sz="2" w:space="0"/>
              <w:right w:val="single" w:color="000000" w:sz="2" w:space="0"/>
            </w:tcBorders>
            <w:noWrap w:val="0"/>
            <w:vAlign w:val="center"/>
          </w:tcPr>
          <w:p w14:paraId="0FAB3E1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82BF2B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路灯亮灯情况</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4FECDBA8">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线上线下问卷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777C0F6">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市民、社区</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0989368A">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占总考核分10%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5F17B01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评价结果实时汇总，月度平均得分纳入考核</w:t>
            </w:r>
          </w:p>
        </w:tc>
      </w:tr>
      <w:tr w14:paraId="137FA4B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sz="2" w:space="0"/>
              <w:left w:val="single" w:color="000000" w:sz="2" w:space="0"/>
              <w:bottom w:val="single" w:color="000000" w:sz="2" w:space="0"/>
              <w:right w:val="single" w:color="000000" w:sz="2" w:space="0"/>
            </w:tcBorders>
            <w:noWrap w:val="0"/>
            <w:vAlign w:val="center"/>
          </w:tcPr>
          <w:p w14:paraId="6DA91AA2">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6</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631B8B71">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餐厨垃圾收运</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9EFDDFB">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商户回访</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7172016F">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餐饮商户</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2D278DA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占总考核分10%</w:t>
            </w:r>
          </w:p>
        </w:tc>
        <w:tc>
          <w:tcPr>
            <w:tcW w:w="0" w:type="auto"/>
            <w:tcBorders>
              <w:top w:val="single" w:color="000000" w:sz="2" w:space="0"/>
              <w:left w:val="single" w:color="000000" w:sz="2" w:space="0"/>
              <w:bottom w:val="single" w:color="000000" w:sz="2" w:space="0"/>
              <w:right w:val="single" w:color="000000" w:sz="2" w:space="0"/>
            </w:tcBorders>
            <w:noWrap w:val="0"/>
            <w:vAlign w:val="center"/>
          </w:tcPr>
          <w:p w14:paraId="1586F315">
            <w:pPr>
              <w:keepNext w:val="0"/>
              <w:keepLines w:val="0"/>
              <w:pageBreakBefore w:val="0"/>
              <w:widowControl/>
              <w:suppressLineNumbers w:val="0"/>
              <w:kinsoku/>
              <w:wordWrap/>
              <w:overflowPunct/>
              <w:topLinePunct w:val="0"/>
              <w:autoSpaceDE/>
              <w:autoSpaceDN/>
              <w:bidi w:val="0"/>
              <w:spacing w:beforeAutospacing="0" w:afterAutospacing="0" w:line="480" w:lineRule="exact"/>
              <w:jc w:val="center"/>
              <w:textAlignment w:val="auto"/>
              <w:rPr>
                <w:highlight w:val="none"/>
              </w:rPr>
            </w:pPr>
            <w:r>
              <w:rPr>
                <w:rFonts w:ascii="宋体" w:hAnsi="宋体" w:eastAsia="宋体" w:cs="宋体"/>
                <w:kern w:val="0"/>
                <w:sz w:val="24"/>
                <w:szCs w:val="24"/>
                <w:highlight w:val="none"/>
                <w:lang w:val="en-US" w:eastAsia="zh-CN" w:bidi="ar"/>
              </w:rPr>
              <w:t>每年不少于2次回访，结果纳入季度考核</w:t>
            </w:r>
          </w:p>
        </w:tc>
      </w:tr>
    </w:tbl>
    <w:p w14:paraId="6C3E590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季度满意度测评得分计算方式</w:t>
      </w:r>
      <w:r>
        <w:rPr>
          <w:rFonts w:hint="eastAsia" w:ascii="宋体" w:hAnsi="宋体" w:eastAsia="宋体" w:cs="宋体"/>
          <w:sz w:val="24"/>
          <w:szCs w:val="24"/>
          <w:highlight w:val="none"/>
        </w:rPr>
        <w:t>：</w:t>
      </w:r>
    </w:p>
    <w:p w14:paraId="499A786A">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各项目满意度得分=（非常满意×100 + 满意×80+一般×60+ 不满意×40+非常不满意×20）÷ 有效问卷总数</w:t>
      </w:r>
    </w:p>
    <w:p w14:paraId="0841CA6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满意度调整分=季度满意度得分×10%（即满分10分）</w:t>
      </w:r>
    </w:p>
    <w:p w14:paraId="1EC41CF2">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季度考核最终得分=日常考核得分×90%+满意度调整分</w:t>
      </w:r>
    </w:p>
    <w:p w14:paraId="3AEB6A55">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满意度低于60%的处理：</w:t>
      </w:r>
    </w:p>
    <w:p w14:paraId="78CC8D05">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当季度满意度低于60%时，该季度考核直接认定为不合格；</w:t>
      </w:r>
    </w:p>
    <w:p w14:paraId="22B00943">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480" w:lineRule="exact"/>
        <w:ind w:firstLine="480" w:firstLineChars="200"/>
        <w:textAlignment w:val="auto"/>
        <w:rPr>
          <w:rFonts w:hint="eastAsia"/>
          <w:highlight w:val="none"/>
          <w:lang w:eastAsia="zh-CN"/>
        </w:rPr>
      </w:pPr>
      <w:r>
        <w:rPr>
          <w:rFonts w:hint="eastAsia" w:ascii="宋体" w:hAnsi="宋体" w:eastAsia="宋体" w:cs="宋体"/>
          <w:sz w:val="24"/>
          <w:szCs w:val="24"/>
          <w:highlight w:val="none"/>
        </w:rPr>
        <w:t>连续两个季度满意度低于60%的，甲方有权对相关承包项目进行重新招标。</w:t>
      </w:r>
    </w:p>
    <w:p w14:paraId="6A9DE2E4">
      <w:pPr>
        <w:pStyle w:val="3"/>
        <w:keepLines w:val="0"/>
        <w:pageBreakBefore w:val="0"/>
        <w:widowControl w:val="0"/>
        <w:kinsoku/>
        <w:wordWrap/>
        <w:overflowPunct/>
        <w:topLinePunct w:val="0"/>
        <w:autoSpaceDE/>
        <w:autoSpaceDN/>
        <w:bidi w:val="0"/>
        <w:adjustRightInd w:val="0"/>
        <w:snapToGrid w:val="0"/>
        <w:spacing w:line="48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四、采购人自有车辆清单</w:t>
      </w:r>
    </w:p>
    <w:tbl>
      <w:tblPr>
        <w:tblStyle w:val="28"/>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269"/>
        <w:gridCol w:w="1302"/>
        <w:gridCol w:w="1511"/>
        <w:gridCol w:w="2041"/>
        <w:gridCol w:w="1582"/>
        <w:gridCol w:w="1221"/>
      </w:tblGrid>
      <w:tr w14:paraId="56E00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vAlign w:val="center"/>
          </w:tcPr>
          <w:p w14:paraId="30F56798">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69" w:type="dxa"/>
            <w:vAlign w:val="center"/>
          </w:tcPr>
          <w:p w14:paraId="75BD8DE8">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车牌号码</w:t>
            </w:r>
          </w:p>
        </w:tc>
        <w:tc>
          <w:tcPr>
            <w:tcW w:w="1302" w:type="dxa"/>
            <w:vAlign w:val="center"/>
          </w:tcPr>
          <w:p w14:paraId="31E68AE8">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车辆类型</w:t>
            </w:r>
          </w:p>
        </w:tc>
        <w:tc>
          <w:tcPr>
            <w:tcW w:w="1511" w:type="dxa"/>
            <w:vAlign w:val="center"/>
          </w:tcPr>
          <w:p w14:paraId="7E88BC73">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使用性质</w:t>
            </w:r>
          </w:p>
        </w:tc>
        <w:tc>
          <w:tcPr>
            <w:tcW w:w="2041" w:type="dxa"/>
            <w:vAlign w:val="center"/>
          </w:tcPr>
          <w:p w14:paraId="014BA677">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w:t>
            </w:r>
          </w:p>
        </w:tc>
        <w:tc>
          <w:tcPr>
            <w:tcW w:w="1582" w:type="dxa"/>
            <w:vAlign w:val="center"/>
          </w:tcPr>
          <w:p w14:paraId="3B64D516">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注册日期</w:t>
            </w:r>
          </w:p>
        </w:tc>
        <w:tc>
          <w:tcPr>
            <w:tcW w:w="1221" w:type="dxa"/>
            <w:vAlign w:val="center"/>
          </w:tcPr>
          <w:p w14:paraId="593C7D0E">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车辆权属</w:t>
            </w:r>
          </w:p>
        </w:tc>
      </w:tr>
      <w:tr w14:paraId="0809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70" w:type="dxa"/>
            <w:vAlign w:val="center"/>
          </w:tcPr>
          <w:p w14:paraId="028515FF">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69" w:type="dxa"/>
            <w:vAlign w:val="center"/>
          </w:tcPr>
          <w:p w14:paraId="453E2E41">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云F</w:t>
            </w:r>
            <w:r>
              <w:rPr>
                <w:rFonts w:hint="eastAsia" w:ascii="宋体" w:hAnsi="宋体" w:cs="宋体"/>
                <w:color w:val="auto"/>
                <w:sz w:val="24"/>
                <w:szCs w:val="24"/>
                <w:highlight w:val="none"/>
                <w:lang w:val="en-US" w:eastAsia="zh-CN"/>
              </w:rPr>
              <w:t>92214</w:t>
            </w:r>
          </w:p>
        </w:tc>
        <w:tc>
          <w:tcPr>
            <w:tcW w:w="1302" w:type="dxa"/>
            <w:vAlign w:val="center"/>
          </w:tcPr>
          <w:p w14:paraId="2A50473D">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重型载货专项作业车</w:t>
            </w:r>
          </w:p>
        </w:tc>
        <w:tc>
          <w:tcPr>
            <w:tcW w:w="1511" w:type="dxa"/>
            <w:vAlign w:val="center"/>
          </w:tcPr>
          <w:p w14:paraId="55DC1DCF">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非营运</w:t>
            </w:r>
          </w:p>
        </w:tc>
        <w:tc>
          <w:tcPr>
            <w:tcW w:w="2041" w:type="dxa"/>
            <w:vAlign w:val="center"/>
          </w:tcPr>
          <w:p w14:paraId="201FA8F8">
            <w:pPr>
              <w:keepLines w:val="0"/>
              <w:pageBreakBefore w:val="0"/>
              <w:kinsoku/>
              <w:wordWrap/>
              <w:overflowPunct/>
              <w:topLinePunct w:val="0"/>
              <w:autoSpaceDE/>
              <w:autoSpaceDN/>
              <w:bidi w:val="0"/>
              <w:spacing w:line="48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中洁牌XZL5255TYH6</w:t>
            </w:r>
          </w:p>
          <w:p w14:paraId="3A8081F1">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洒水车</w:t>
            </w:r>
          </w:p>
        </w:tc>
        <w:tc>
          <w:tcPr>
            <w:tcW w:w="1582" w:type="dxa"/>
            <w:vAlign w:val="center"/>
          </w:tcPr>
          <w:p w14:paraId="698878D8">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2023.02.14</w:t>
            </w:r>
          </w:p>
        </w:tc>
        <w:tc>
          <w:tcPr>
            <w:tcW w:w="1221" w:type="dxa"/>
            <w:vAlign w:val="center"/>
          </w:tcPr>
          <w:p w14:paraId="0F732434">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易门县环卫站</w:t>
            </w:r>
          </w:p>
        </w:tc>
      </w:tr>
      <w:tr w14:paraId="4ECE3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vAlign w:val="center"/>
          </w:tcPr>
          <w:p w14:paraId="6D9ABEFE">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69" w:type="dxa"/>
            <w:vAlign w:val="center"/>
          </w:tcPr>
          <w:p w14:paraId="5CA70855">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云</w:t>
            </w:r>
            <w:r>
              <w:rPr>
                <w:rFonts w:hint="eastAsia" w:ascii="宋体" w:hAnsi="宋体" w:cs="宋体"/>
                <w:color w:val="auto"/>
                <w:sz w:val="24"/>
                <w:szCs w:val="24"/>
                <w:highlight w:val="none"/>
                <w:lang w:val="en-US" w:eastAsia="zh-CN"/>
              </w:rPr>
              <w:t>F89446</w:t>
            </w:r>
          </w:p>
        </w:tc>
        <w:tc>
          <w:tcPr>
            <w:tcW w:w="1302" w:type="dxa"/>
            <w:vAlign w:val="center"/>
          </w:tcPr>
          <w:p w14:paraId="25209A11">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中型载货专项作业车</w:t>
            </w:r>
          </w:p>
        </w:tc>
        <w:tc>
          <w:tcPr>
            <w:tcW w:w="1511" w:type="dxa"/>
            <w:vAlign w:val="center"/>
          </w:tcPr>
          <w:p w14:paraId="69168A96">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非营运</w:t>
            </w:r>
          </w:p>
        </w:tc>
        <w:tc>
          <w:tcPr>
            <w:tcW w:w="2041" w:type="dxa"/>
            <w:vAlign w:val="center"/>
          </w:tcPr>
          <w:p w14:paraId="23F54AFF">
            <w:pPr>
              <w:keepLines w:val="0"/>
              <w:pageBreakBefore w:val="0"/>
              <w:kinsoku/>
              <w:wordWrap/>
              <w:overflowPunct/>
              <w:topLinePunct w:val="0"/>
              <w:autoSpaceDE/>
              <w:autoSpaceDN/>
              <w:bidi w:val="0"/>
              <w:spacing w:line="48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东风牌SE5070TXS6</w:t>
            </w:r>
          </w:p>
          <w:p w14:paraId="35C9C737">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洗扫车</w:t>
            </w:r>
          </w:p>
        </w:tc>
        <w:tc>
          <w:tcPr>
            <w:tcW w:w="1582" w:type="dxa"/>
            <w:vAlign w:val="center"/>
          </w:tcPr>
          <w:p w14:paraId="7C194EDA">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2021.12.23</w:t>
            </w:r>
          </w:p>
        </w:tc>
        <w:tc>
          <w:tcPr>
            <w:tcW w:w="1221" w:type="dxa"/>
            <w:vAlign w:val="center"/>
          </w:tcPr>
          <w:p w14:paraId="0D7CD02D">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易门县环卫站</w:t>
            </w:r>
          </w:p>
        </w:tc>
      </w:tr>
      <w:tr w14:paraId="441A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vAlign w:val="center"/>
          </w:tcPr>
          <w:p w14:paraId="615761F6">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69" w:type="dxa"/>
            <w:vAlign w:val="center"/>
          </w:tcPr>
          <w:p w14:paraId="1BDA3EDD">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云F72744</w:t>
            </w:r>
          </w:p>
        </w:tc>
        <w:tc>
          <w:tcPr>
            <w:tcW w:w="1302" w:type="dxa"/>
            <w:vAlign w:val="center"/>
          </w:tcPr>
          <w:p w14:paraId="262FD779">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中型载货专项作业车</w:t>
            </w:r>
          </w:p>
        </w:tc>
        <w:tc>
          <w:tcPr>
            <w:tcW w:w="1511" w:type="dxa"/>
            <w:vAlign w:val="center"/>
          </w:tcPr>
          <w:p w14:paraId="1914F50B">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非营运</w:t>
            </w:r>
          </w:p>
        </w:tc>
        <w:tc>
          <w:tcPr>
            <w:tcW w:w="2041" w:type="dxa"/>
            <w:vAlign w:val="center"/>
          </w:tcPr>
          <w:p w14:paraId="7BB96F6C">
            <w:pPr>
              <w:keepLines w:val="0"/>
              <w:pageBreakBefore w:val="0"/>
              <w:kinsoku/>
              <w:wordWrap/>
              <w:overflowPunct/>
              <w:topLinePunct w:val="0"/>
              <w:autoSpaceDE/>
              <w:autoSpaceDN/>
              <w:bidi w:val="0"/>
              <w:spacing w:line="48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东风牌SE5070TXS6</w:t>
            </w:r>
          </w:p>
          <w:p w14:paraId="6B080AB6">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洗扫车</w:t>
            </w:r>
          </w:p>
        </w:tc>
        <w:tc>
          <w:tcPr>
            <w:tcW w:w="1582" w:type="dxa"/>
            <w:vAlign w:val="center"/>
          </w:tcPr>
          <w:p w14:paraId="1C44C2E1">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2021.12.23</w:t>
            </w:r>
          </w:p>
        </w:tc>
        <w:tc>
          <w:tcPr>
            <w:tcW w:w="1221" w:type="dxa"/>
            <w:vAlign w:val="center"/>
          </w:tcPr>
          <w:p w14:paraId="1DAA0773">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易门县环卫站</w:t>
            </w:r>
          </w:p>
        </w:tc>
      </w:tr>
      <w:tr w14:paraId="5432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vAlign w:val="center"/>
          </w:tcPr>
          <w:p w14:paraId="49B055DA">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269" w:type="dxa"/>
            <w:vAlign w:val="center"/>
          </w:tcPr>
          <w:p w14:paraId="4E1C8A72">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云F95548</w:t>
            </w:r>
          </w:p>
        </w:tc>
        <w:tc>
          <w:tcPr>
            <w:tcW w:w="1302" w:type="dxa"/>
            <w:vAlign w:val="center"/>
          </w:tcPr>
          <w:p w14:paraId="39170118">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重型特殊结构货车</w:t>
            </w:r>
          </w:p>
        </w:tc>
        <w:tc>
          <w:tcPr>
            <w:tcW w:w="1511" w:type="dxa"/>
            <w:vAlign w:val="center"/>
          </w:tcPr>
          <w:p w14:paraId="7A7E6DFD">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非营运</w:t>
            </w:r>
          </w:p>
        </w:tc>
        <w:tc>
          <w:tcPr>
            <w:tcW w:w="2041" w:type="dxa"/>
            <w:vAlign w:val="center"/>
          </w:tcPr>
          <w:p w14:paraId="7C2FCED9">
            <w:pPr>
              <w:keepLines w:val="0"/>
              <w:pageBreakBefore w:val="0"/>
              <w:kinsoku/>
              <w:wordWrap/>
              <w:overflowPunct/>
              <w:topLinePunct w:val="0"/>
              <w:autoSpaceDE/>
              <w:autoSpaceDN/>
              <w:bidi w:val="0"/>
              <w:spacing w:line="48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东风牌EQ5123ZYSS6</w:t>
            </w:r>
          </w:p>
          <w:p w14:paraId="071494CA">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压缩式垃圾车</w:t>
            </w:r>
          </w:p>
        </w:tc>
        <w:tc>
          <w:tcPr>
            <w:tcW w:w="1582" w:type="dxa"/>
            <w:vAlign w:val="center"/>
          </w:tcPr>
          <w:p w14:paraId="7DFC8D15">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2021.12.23</w:t>
            </w:r>
          </w:p>
        </w:tc>
        <w:tc>
          <w:tcPr>
            <w:tcW w:w="1221" w:type="dxa"/>
            <w:vAlign w:val="center"/>
          </w:tcPr>
          <w:p w14:paraId="447938F1">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易门县环卫站</w:t>
            </w:r>
          </w:p>
        </w:tc>
      </w:tr>
      <w:tr w14:paraId="5368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vAlign w:val="center"/>
          </w:tcPr>
          <w:p w14:paraId="0E8EC4EA">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69" w:type="dxa"/>
            <w:vAlign w:val="center"/>
          </w:tcPr>
          <w:p w14:paraId="42531E6A">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云F94255</w:t>
            </w:r>
          </w:p>
        </w:tc>
        <w:tc>
          <w:tcPr>
            <w:tcW w:w="1302" w:type="dxa"/>
            <w:vAlign w:val="center"/>
          </w:tcPr>
          <w:p w14:paraId="2D90CFBD">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中型特殊结构货车</w:t>
            </w:r>
          </w:p>
        </w:tc>
        <w:tc>
          <w:tcPr>
            <w:tcW w:w="1511" w:type="dxa"/>
            <w:vAlign w:val="center"/>
          </w:tcPr>
          <w:p w14:paraId="0F1A452F">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非营运</w:t>
            </w:r>
          </w:p>
        </w:tc>
        <w:tc>
          <w:tcPr>
            <w:tcW w:w="2041" w:type="dxa"/>
            <w:vAlign w:val="center"/>
          </w:tcPr>
          <w:p w14:paraId="316A0A19">
            <w:pPr>
              <w:keepLines w:val="0"/>
              <w:pageBreakBefore w:val="0"/>
              <w:kinsoku/>
              <w:wordWrap/>
              <w:overflowPunct/>
              <w:topLinePunct w:val="0"/>
              <w:autoSpaceDE/>
              <w:autoSpaceDN/>
              <w:bidi w:val="0"/>
              <w:spacing w:line="48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东风牌SE5083ZYS6</w:t>
            </w:r>
          </w:p>
          <w:p w14:paraId="0E88C514">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压缩式垃圾车</w:t>
            </w:r>
          </w:p>
        </w:tc>
        <w:tc>
          <w:tcPr>
            <w:tcW w:w="1582" w:type="dxa"/>
            <w:vAlign w:val="center"/>
          </w:tcPr>
          <w:p w14:paraId="66BC7938">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2021.12.23</w:t>
            </w:r>
          </w:p>
        </w:tc>
        <w:tc>
          <w:tcPr>
            <w:tcW w:w="1221" w:type="dxa"/>
            <w:vAlign w:val="center"/>
          </w:tcPr>
          <w:p w14:paraId="2BEA2FC7">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易门县环卫站</w:t>
            </w:r>
          </w:p>
        </w:tc>
      </w:tr>
      <w:tr w14:paraId="7B76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vAlign w:val="center"/>
          </w:tcPr>
          <w:p w14:paraId="42F4B134">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269" w:type="dxa"/>
            <w:vAlign w:val="center"/>
          </w:tcPr>
          <w:p w14:paraId="75619636">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云F96795</w:t>
            </w:r>
          </w:p>
        </w:tc>
        <w:tc>
          <w:tcPr>
            <w:tcW w:w="1302" w:type="dxa"/>
            <w:vAlign w:val="center"/>
          </w:tcPr>
          <w:p w14:paraId="6EBB3349">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重型载货专项作业车</w:t>
            </w:r>
          </w:p>
        </w:tc>
        <w:tc>
          <w:tcPr>
            <w:tcW w:w="1511" w:type="dxa"/>
            <w:vAlign w:val="center"/>
          </w:tcPr>
          <w:p w14:paraId="616CA9DF">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非营运</w:t>
            </w:r>
          </w:p>
        </w:tc>
        <w:tc>
          <w:tcPr>
            <w:tcW w:w="2041" w:type="dxa"/>
            <w:vAlign w:val="center"/>
          </w:tcPr>
          <w:p w14:paraId="25BB8767">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福马龙牌FLM5180TDYDF6抑尘车</w:t>
            </w:r>
          </w:p>
        </w:tc>
        <w:tc>
          <w:tcPr>
            <w:tcW w:w="1582" w:type="dxa"/>
            <w:vAlign w:val="center"/>
          </w:tcPr>
          <w:p w14:paraId="121E35A2">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2022.03.10</w:t>
            </w:r>
          </w:p>
        </w:tc>
        <w:tc>
          <w:tcPr>
            <w:tcW w:w="1221" w:type="dxa"/>
            <w:vAlign w:val="center"/>
          </w:tcPr>
          <w:p w14:paraId="2657540F">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易门县环卫站</w:t>
            </w:r>
          </w:p>
        </w:tc>
      </w:tr>
      <w:tr w14:paraId="2F80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0" w:type="dxa"/>
            <w:vAlign w:val="center"/>
          </w:tcPr>
          <w:p w14:paraId="1AFC5092">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269" w:type="dxa"/>
            <w:vAlign w:val="center"/>
          </w:tcPr>
          <w:p w14:paraId="2D530383">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云F95418</w:t>
            </w:r>
          </w:p>
        </w:tc>
        <w:tc>
          <w:tcPr>
            <w:tcW w:w="1302" w:type="dxa"/>
            <w:vAlign w:val="center"/>
          </w:tcPr>
          <w:p w14:paraId="7156F831">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重型特殊结构货车</w:t>
            </w:r>
          </w:p>
        </w:tc>
        <w:tc>
          <w:tcPr>
            <w:tcW w:w="1511" w:type="dxa"/>
            <w:vAlign w:val="center"/>
          </w:tcPr>
          <w:p w14:paraId="740AC65A">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非营运</w:t>
            </w:r>
          </w:p>
        </w:tc>
        <w:tc>
          <w:tcPr>
            <w:tcW w:w="2041" w:type="dxa"/>
            <w:vAlign w:val="center"/>
          </w:tcPr>
          <w:p w14:paraId="4C5A618B">
            <w:pPr>
              <w:keepLines w:val="0"/>
              <w:pageBreakBefore w:val="0"/>
              <w:kinsoku/>
              <w:wordWrap/>
              <w:overflowPunct/>
              <w:topLinePunct w:val="0"/>
              <w:autoSpaceDE/>
              <w:autoSpaceDN/>
              <w:bidi w:val="0"/>
              <w:spacing w:line="480" w:lineRule="exact"/>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福马龙牌FLM5250ZXXDF6车箱可卸式垃圾车</w:t>
            </w:r>
          </w:p>
        </w:tc>
        <w:tc>
          <w:tcPr>
            <w:tcW w:w="1582" w:type="dxa"/>
            <w:vAlign w:val="center"/>
          </w:tcPr>
          <w:p w14:paraId="55DF2F85">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2022.03.10</w:t>
            </w:r>
          </w:p>
        </w:tc>
        <w:tc>
          <w:tcPr>
            <w:tcW w:w="1221" w:type="dxa"/>
            <w:vAlign w:val="center"/>
          </w:tcPr>
          <w:p w14:paraId="69FFB56C">
            <w:pPr>
              <w:keepLines w:val="0"/>
              <w:pageBreakBefore w:val="0"/>
              <w:kinsoku/>
              <w:wordWrap/>
              <w:overflowPunct/>
              <w:topLinePunct w:val="0"/>
              <w:autoSpaceDE/>
              <w:autoSpaceDN/>
              <w:bidi w:val="0"/>
              <w:spacing w:line="4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易门县环卫站</w:t>
            </w:r>
          </w:p>
        </w:tc>
      </w:tr>
    </w:tbl>
    <w:p w14:paraId="72E96ACA">
      <w:pPr>
        <w:pStyle w:val="3"/>
        <w:keepLines w:val="0"/>
        <w:pageBreakBefore w:val="0"/>
        <w:widowControl w:val="0"/>
        <w:kinsoku/>
        <w:wordWrap/>
        <w:overflowPunct/>
        <w:topLinePunct w:val="0"/>
        <w:autoSpaceDE/>
        <w:autoSpaceDN/>
        <w:bidi w:val="0"/>
        <w:adjustRightInd w:val="0"/>
        <w:snapToGrid w:val="0"/>
        <w:spacing w:line="480" w:lineRule="exact"/>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五、道路清扫保洁面积统计表、易门县城公厕管理台账及街头洗手台台账、易门县城路灯情况统计表另册发放，见上传相关附件。</w:t>
      </w:r>
    </w:p>
    <w:p w14:paraId="344D72F8">
      <w:pPr>
        <w:pStyle w:val="3"/>
        <w:keepLines w:val="0"/>
        <w:pageBreakBefore w:val="0"/>
        <w:widowControl w:val="0"/>
        <w:kinsoku/>
        <w:wordWrap/>
        <w:overflowPunct/>
        <w:topLinePunct w:val="0"/>
        <w:autoSpaceDE/>
        <w:autoSpaceDN/>
        <w:bidi w:val="0"/>
        <w:adjustRightInd w:val="0"/>
        <w:snapToGrid w:val="0"/>
        <w:spacing w:line="480" w:lineRule="exact"/>
        <w:ind w:left="0" w:right="0"/>
        <w:textAlignment w:val="auto"/>
        <w:rPr>
          <w:rFonts w:hint="default" w:ascii="宋体" w:hAnsi="宋体" w:eastAsia="宋体" w:cs="宋体"/>
          <w:color w:val="auto"/>
          <w:sz w:val="24"/>
          <w:szCs w:val="24"/>
          <w:highlight w:val="none"/>
          <w:lang w:val="en-US" w:eastAsia="zh-CN"/>
        </w:rPr>
      </w:pPr>
    </w:p>
    <w:p w14:paraId="5EAFC635">
      <w:pPr>
        <w:keepLines w:val="0"/>
        <w:pageBreakBefore w:val="0"/>
        <w:widowControl w:val="0"/>
        <w:kinsoku/>
        <w:wordWrap/>
        <w:overflowPunct/>
        <w:topLinePunct w:val="0"/>
        <w:autoSpaceDE/>
        <w:autoSpaceDN/>
        <w:bidi w:val="0"/>
        <w:spacing w:line="480" w:lineRule="exact"/>
        <w:ind w:right="0"/>
        <w:jc w:val="both"/>
        <w:textAlignment w:val="auto"/>
        <w:rPr>
          <w:rFonts w:hint="default" w:ascii="宋体" w:hAnsi="宋体" w:eastAsia="宋体" w:cs="宋体"/>
          <w:color w:val="auto"/>
          <w:sz w:val="24"/>
          <w:highlight w:val="none"/>
          <w:lang w:val="en-US" w:eastAsia="zh-CN"/>
        </w:rPr>
        <w:sectPr>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p>
    <w:p w14:paraId="14B37613">
      <w:pPr>
        <w:pStyle w:val="2"/>
        <w:keepLines w:val="0"/>
        <w:pageBreakBefore w:val="0"/>
        <w:kinsoku/>
        <w:wordWrap/>
        <w:overflowPunct/>
        <w:topLinePunct w:val="0"/>
        <w:bidi w:val="0"/>
        <w:adjustRightInd w:val="0"/>
        <w:snapToGrid w:val="0"/>
        <w:spacing w:line="480" w:lineRule="exact"/>
        <w:textAlignment w:val="auto"/>
        <w:rPr>
          <w:rFonts w:hint="eastAsia" w:ascii="宋体" w:hAnsi="宋体" w:eastAsia="宋体" w:cs="宋体"/>
          <w:color w:val="auto"/>
          <w:szCs w:val="30"/>
          <w:highlight w:val="none"/>
        </w:rPr>
      </w:pPr>
      <w:bookmarkStart w:id="381" w:name="_Toc26993"/>
      <w:r>
        <w:rPr>
          <w:rFonts w:hint="eastAsia" w:cs="宋体"/>
          <w:color w:val="auto"/>
          <w:szCs w:val="30"/>
          <w:highlight w:val="none"/>
          <w:lang w:val="en-US" w:eastAsia="zh-CN"/>
        </w:rPr>
        <w:t xml:space="preserve">第七章 </w:t>
      </w:r>
      <w:r>
        <w:rPr>
          <w:rFonts w:hint="eastAsia" w:ascii="宋体" w:hAnsi="宋体" w:eastAsia="宋体" w:cs="宋体"/>
          <w:color w:val="auto"/>
          <w:szCs w:val="30"/>
          <w:highlight w:val="none"/>
        </w:rPr>
        <w:t>投标文件格式</w:t>
      </w:r>
      <w:bookmarkEnd w:id="381"/>
    </w:p>
    <w:p w14:paraId="7B99422F">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cs="宋体"/>
          <w:b/>
          <w:bCs w:val="0"/>
          <w:color w:val="auto"/>
          <w:sz w:val="52"/>
          <w:szCs w:val="52"/>
          <w:highlight w:val="none"/>
          <w:lang w:eastAsia="zh-CN"/>
        </w:rPr>
      </w:pPr>
    </w:p>
    <w:p w14:paraId="40507B18">
      <w:pPr>
        <w:spacing w:line="1200" w:lineRule="exact"/>
        <w:jc w:val="center"/>
        <w:rPr>
          <w:rFonts w:hint="eastAsia" w:ascii="宋体" w:hAnsi="宋体" w:eastAsia="宋体" w:cs="宋体"/>
          <w:b/>
          <w:color w:val="auto"/>
          <w:sz w:val="48"/>
          <w:szCs w:val="48"/>
          <w:highlight w:val="none"/>
        </w:rPr>
      </w:pPr>
      <w:r>
        <w:rPr>
          <w:rFonts w:hint="eastAsia" w:ascii="宋体" w:hAnsi="宋体" w:cs="宋体"/>
          <w:b/>
          <w:bCs w:val="0"/>
          <w:color w:val="auto"/>
          <w:sz w:val="48"/>
          <w:szCs w:val="48"/>
          <w:highlight w:val="none"/>
          <w:lang w:eastAsia="zh-CN"/>
        </w:rPr>
        <w:t>易门县环卫站购买县城环卫市政服务项目</w:t>
      </w:r>
    </w:p>
    <w:p w14:paraId="30FD6D11">
      <w:pPr>
        <w:spacing w:line="1200" w:lineRule="exact"/>
        <w:jc w:val="center"/>
        <w:rPr>
          <w:rFonts w:hint="eastAsia" w:ascii="宋体" w:hAnsi="宋体" w:eastAsia="宋体" w:cs="宋体"/>
          <w:b/>
          <w:color w:val="auto"/>
          <w:sz w:val="72"/>
          <w:szCs w:val="72"/>
          <w:highlight w:val="none"/>
        </w:rPr>
      </w:pPr>
    </w:p>
    <w:p w14:paraId="4A99F421">
      <w:pPr>
        <w:spacing w:line="1200" w:lineRule="exact"/>
        <w:jc w:val="center"/>
        <w:outlineLvl w:val="9"/>
        <w:rPr>
          <w:rFonts w:hint="eastAsia" w:ascii="宋体" w:hAnsi="宋体" w:eastAsia="宋体" w:cs="宋体"/>
          <w:b/>
          <w:color w:val="auto"/>
          <w:sz w:val="72"/>
          <w:szCs w:val="72"/>
          <w:highlight w:val="none"/>
        </w:rPr>
      </w:pPr>
      <w:bookmarkStart w:id="382" w:name="_Toc31554"/>
      <w:r>
        <w:rPr>
          <w:rFonts w:hint="eastAsia" w:ascii="宋体" w:hAnsi="宋体" w:eastAsia="宋体" w:cs="宋体"/>
          <w:b/>
          <w:color w:val="auto"/>
          <w:sz w:val="72"/>
          <w:szCs w:val="72"/>
          <w:highlight w:val="none"/>
        </w:rPr>
        <w:t>投</w:t>
      </w:r>
      <w:bookmarkEnd w:id="382"/>
    </w:p>
    <w:p w14:paraId="74620816">
      <w:pPr>
        <w:spacing w:line="12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标</w:t>
      </w:r>
    </w:p>
    <w:p w14:paraId="1B38BDBE">
      <w:pPr>
        <w:spacing w:line="12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文</w:t>
      </w:r>
    </w:p>
    <w:p w14:paraId="3688D7BC">
      <w:pPr>
        <w:spacing w:line="1200" w:lineRule="exact"/>
        <w:jc w:val="center"/>
        <w:rPr>
          <w:rFonts w:hint="eastAsia" w:ascii="宋体" w:hAnsi="宋体" w:eastAsia="宋体" w:cs="宋体"/>
          <w:b/>
          <w:color w:val="auto"/>
          <w:sz w:val="44"/>
          <w:highlight w:val="none"/>
        </w:rPr>
      </w:pPr>
      <w:r>
        <w:rPr>
          <w:rFonts w:hint="eastAsia" w:ascii="宋体" w:hAnsi="宋体" w:eastAsia="宋体" w:cs="宋体"/>
          <w:b/>
          <w:color w:val="auto"/>
          <w:sz w:val="72"/>
          <w:szCs w:val="72"/>
          <w:highlight w:val="none"/>
        </w:rPr>
        <w:t>件</w:t>
      </w:r>
    </w:p>
    <w:p w14:paraId="5BACE71F">
      <w:pPr>
        <w:spacing w:line="360" w:lineRule="auto"/>
        <w:ind w:left="720"/>
        <w:jc w:val="center"/>
        <w:rPr>
          <w:rFonts w:hint="eastAsia" w:ascii="宋体" w:hAnsi="宋体" w:eastAsia="宋体" w:cs="宋体"/>
          <w:color w:val="auto"/>
          <w:sz w:val="24"/>
          <w:highlight w:val="none"/>
          <w:u w:val="single"/>
        </w:rPr>
      </w:pPr>
      <w:r>
        <w:rPr>
          <w:rFonts w:hint="eastAsia" w:ascii="宋体" w:hAnsi="宋体" w:eastAsia="宋体" w:cs="宋体"/>
          <w:color w:val="auto"/>
          <w:sz w:val="28"/>
          <w:highlight w:val="none"/>
        </w:rPr>
        <w:t>（项目编号：）</w:t>
      </w:r>
    </w:p>
    <w:p w14:paraId="1138348C">
      <w:pPr>
        <w:pStyle w:val="5"/>
        <w:ind w:left="0" w:leftChars="0" w:firstLine="0" w:firstLineChars="0"/>
        <w:rPr>
          <w:rFonts w:hint="eastAsia" w:ascii="宋体" w:hAnsi="宋体" w:eastAsia="宋体" w:cs="宋体"/>
          <w:color w:val="auto"/>
          <w:sz w:val="28"/>
          <w:highlight w:val="none"/>
        </w:rPr>
      </w:pPr>
    </w:p>
    <w:p w14:paraId="4474055C">
      <w:pPr>
        <w:rPr>
          <w:rFonts w:hint="eastAsia" w:ascii="宋体" w:hAnsi="宋体" w:eastAsia="宋体" w:cs="宋体"/>
          <w:color w:val="auto"/>
          <w:highlight w:val="none"/>
        </w:rPr>
      </w:pPr>
    </w:p>
    <w:p w14:paraId="17B0DD0B">
      <w:pPr>
        <w:pStyle w:val="66"/>
        <w:rPr>
          <w:rFonts w:hint="eastAsia" w:ascii="宋体" w:hAnsi="宋体" w:eastAsia="宋体" w:cs="宋体"/>
          <w:color w:val="auto"/>
          <w:highlight w:val="none"/>
        </w:rPr>
      </w:pPr>
    </w:p>
    <w:p w14:paraId="63CBE98A">
      <w:pPr>
        <w:rPr>
          <w:rFonts w:hint="eastAsia"/>
          <w:highlight w:val="none"/>
        </w:rPr>
      </w:pPr>
    </w:p>
    <w:p w14:paraId="36CBD29F">
      <w:pPr>
        <w:pStyle w:val="13"/>
        <w:rPr>
          <w:rFonts w:hint="eastAsia" w:ascii="宋体" w:hAnsi="宋体" w:eastAsia="宋体" w:cs="宋体"/>
          <w:color w:val="auto"/>
          <w:highlight w:val="none"/>
        </w:rPr>
      </w:pPr>
    </w:p>
    <w:p w14:paraId="2C286D53">
      <w:pPr>
        <w:ind w:left="720"/>
        <w:jc w:val="left"/>
        <w:rPr>
          <w:rFonts w:hint="eastAsia" w:ascii="宋体" w:hAnsi="宋体" w:eastAsia="宋体" w:cs="宋体"/>
          <w:color w:val="auto"/>
          <w:sz w:val="28"/>
          <w:highlight w:val="none"/>
          <w:u w:val="single"/>
        </w:rPr>
      </w:pPr>
      <w:bookmarkStart w:id="383" w:name="_Toc16643"/>
      <w:bookmarkStart w:id="384" w:name="_Toc417632249"/>
      <w:bookmarkStart w:id="385" w:name="_Toc27030"/>
      <w:bookmarkStart w:id="386" w:name="_Toc9300"/>
      <w:bookmarkStart w:id="387" w:name="_Toc294873729"/>
      <w:bookmarkStart w:id="388" w:name="_Toc235935142"/>
      <w:bookmarkStart w:id="389" w:name="_Toc414270853"/>
      <w:bookmarkStart w:id="390" w:name="_Toc417632164"/>
      <w:bookmarkStart w:id="391" w:name="_Toc26309"/>
      <w:bookmarkStart w:id="392" w:name="_Toc28106"/>
      <w:bookmarkStart w:id="393" w:name="_Toc17550"/>
      <w:bookmarkStart w:id="394" w:name="_Toc26479"/>
      <w:bookmarkStart w:id="395" w:name="_Toc2384"/>
      <w:bookmarkStart w:id="396" w:name="_Toc294873730"/>
      <w:bookmarkStart w:id="397" w:name="_Toc235935143"/>
      <w:bookmarkStart w:id="398" w:name="_Toc417632165"/>
      <w:bookmarkStart w:id="399" w:name="_Toc414270854"/>
      <w:bookmarkStart w:id="400" w:name="_Toc417632250"/>
      <w:bookmarkStart w:id="401" w:name="_Toc29720"/>
      <w:r>
        <w:rPr>
          <w:rFonts w:hint="eastAsia" w:ascii="宋体" w:hAnsi="宋体" w:eastAsia="宋体" w:cs="宋体"/>
          <w:color w:val="auto"/>
          <w:sz w:val="28"/>
          <w:highlight w:val="none"/>
        </w:rPr>
        <w:t>投标人</w:t>
      </w:r>
      <w:r>
        <w:rPr>
          <w:rFonts w:hint="eastAsia" w:ascii="宋体" w:hAnsi="宋体" w:cs="宋体"/>
          <w:color w:val="auto"/>
          <w:sz w:val="28"/>
          <w:highlight w:val="none"/>
          <w:lang w:eastAsia="zh-CN"/>
        </w:rPr>
        <w:t>（</w:t>
      </w:r>
      <w:r>
        <w:rPr>
          <w:rFonts w:hint="eastAsia" w:ascii="宋体" w:hAnsi="宋体" w:eastAsia="宋体" w:cs="宋体"/>
          <w:color w:val="auto"/>
          <w:sz w:val="28"/>
          <w:highlight w:val="none"/>
        </w:rPr>
        <w:t>电子签章</w:t>
      </w:r>
      <w:r>
        <w:rPr>
          <w:rFonts w:hint="eastAsia" w:ascii="宋体" w:hAnsi="宋体" w:cs="宋体"/>
          <w:color w:val="auto"/>
          <w:sz w:val="28"/>
          <w:highlight w:val="none"/>
          <w:lang w:eastAsia="zh-CN"/>
        </w:rPr>
        <w:t>）：</w:t>
      </w:r>
      <w:r>
        <w:rPr>
          <w:rFonts w:hint="eastAsia" w:ascii="宋体" w:hAnsi="宋体" w:eastAsia="宋体" w:cs="宋体"/>
          <w:color w:val="auto"/>
          <w:sz w:val="28"/>
          <w:highlight w:val="none"/>
        </w:rPr>
        <w:t xml:space="preserve"> </w:t>
      </w:r>
      <w:r>
        <w:rPr>
          <w:rFonts w:hint="eastAsia" w:ascii="宋体" w:hAnsi="宋体" w:eastAsia="宋体" w:cs="宋体"/>
          <w:color w:val="auto"/>
          <w:sz w:val="28"/>
          <w:highlight w:val="none"/>
          <w:u w:val="single"/>
        </w:rPr>
        <w:t xml:space="preserve">                                </w:t>
      </w:r>
    </w:p>
    <w:p w14:paraId="4E1019C4">
      <w:pPr>
        <w:ind w:left="720"/>
        <w:jc w:val="left"/>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投标人地址：</w:t>
      </w:r>
      <w:r>
        <w:rPr>
          <w:rFonts w:hint="eastAsia" w:ascii="宋体" w:hAnsi="宋体" w:eastAsia="宋体" w:cs="宋体"/>
          <w:color w:val="auto"/>
          <w:sz w:val="28"/>
          <w:highlight w:val="none"/>
          <w:u w:val="single"/>
        </w:rPr>
        <w:t xml:space="preserve">                                  </w:t>
      </w:r>
    </w:p>
    <w:p w14:paraId="7C4BCBB0">
      <w:pPr>
        <w:ind w:left="720"/>
        <w:jc w:val="left"/>
        <w:rPr>
          <w:rFonts w:hint="eastAsia" w:ascii="宋体" w:hAnsi="宋体" w:eastAsia="宋体" w:cs="宋体"/>
          <w:color w:val="auto"/>
          <w:sz w:val="28"/>
          <w:highlight w:val="none"/>
        </w:rPr>
      </w:pPr>
      <w:r>
        <w:rPr>
          <w:rFonts w:hint="eastAsia" w:ascii="宋体" w:hAnsi="宋体" w:cs="宋体"/>
          <w:color w:val="auto"/>
          <w:sz w:val="28"/>
          <w:highlight w:val="none"/>
          <w:lang w:eastAsia="zh-CN"/>
        </w:rPr>
        <w:t>法定代表人或授权代理人（</w:t>
      </w:r>
      <w:r>
        <w:rPr>
          <w:rFonts w:hint="eastAsia" w:ascii="宋体" w:hAnsi="宋体" w:eastAsia="宋体" w:cs="宋体"/>
          <w:color w:val="auto"/>
          <w:sz w:val="28"/>
          <w:highlight w:val="none"/>
        </w:rPr>
        <w:t>电子签章或电子签名</w:t>
      </w:r>
      <w:r>
        <w:rPr>
          <w:rFonts w:hint="eastAsia" w:ascii="宋体" w:hAnsi="宋体" w:cs="宋体"/>
          <w:color w:val="auto"/>
          <w:sz w:val="28"/>
          <w:highlight w:val="none"/>
          <w:lang w:eastAsia="zh-CN"/>
        </w:rPr>
        <w:t>）：</w:t>
      </w:r>
      <w:r>
        <w:rPr>
          <w:rFonts w:hint="eastAsia" w:ascii="宋体" w:hAnsi="宋体" w:eastAsia="宋体" w:cs="宋体"/>
          <w:color w:val="auto"/>
          <w:sz w:val="28"/>
          <w:highlight w:val="none"/>
          <w:u w:val="single"/>
        </w:rPr>
        <w:t xml:space="preserve">               </w:t>
      </w:r>
    </w:p>
    <w:p w14:paraId="4B0C7356">
      <w:pPr>
        <w:jc w:val="lef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     日期</w:t>
      </w:r>
      <w:r>
        <w:rPr>
          <w:rFonts w:hint="eastAsia" w:ascii="宋体" w:hAnsi="宋体" w:cs="宋体"/>
          <w:color w:val="auto"/>
          <w:sz w:val="28"/>
          <w:highlight w:val="none"/>
          <w:lang w:eastAsia="zh-CN"/>
        </w:rPr>
        <w:t>：</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w:t>
      </w:r>
    </w:p>
    <w:p w14:paraId="511ED54F">
      <w:pPr>
        <w:rPr>
          <w:rFonts w:hint="eastAsia" w:ascii="宋体" w:hAnsi="宋体" w:eastAsia="宋体" w:cs="宋体"/>
          <w:b/>
          <w:color w:val="auto"/>
          <w:kern w:val="0"/>
          <w:sz w:val="28"/>
          <w:szCs w:val="24"/>
          <w:highlight w:val="none"/>
          <w:lang w:val="en-US" w:eastAsia="zh-CN" w:bidi="ar-SA"/>
        </w:rPr>
      </w:pPr>
      <w:bookmarkStart w:id="402" w:name="_Toc414"/>
      <w:r>
        <w:rPr>
          <w:rFonts w:hint="eastAsia" w:ascii="宋体" w:hAnsi="宋体" w:eastAsia="宋体" w:cs="宋体"/>
          <w:b/>
          <w:color w:val="auto"/>
          <w:kern w:val="0"/>
          <w:sz w:val="28"/>
          <w:szCs w:val="24"/>
          <w:highlight w:val="none"/>
          <w:lang w:val="en-US" w:eastAsia="zh-CN" w:bidi="ar-SA"/>
        </w:rPr>
        <w:br w:type="page"/>
      </w:r>
    </w:p>
    <w:p w14:paraId="11E85899">
      <w:pPr>
        <w:pStyle w:val="3"/>
        <w:numPr>
          <w:ilvl w:val="0"/>
          <w:numId w:val="0"/>
        </w:numPr>
        <w:jc w:val="center"/>
        <w:rPr>
          <w:rFonts w:hint="eastAsia" w:ascii="宋体" w:hAnsi="宋体" w:eastAsia="宋体" w:cs="宋体"/>
          <w:color w:val="auto"/>
          <w:kern w:val="0"/>
          <w:sz w:val="28"/>
          <w:highlight w:val="none"/>
        </w:rPr>
      </w:pPr>
      <w:bookmarkStart w:id="403" w:name="_Toc10702"/>
      <w:r>
        <w:rPr>
          <w:rFonts w:hint="eastAsia" w:ascii="宋体" w:hAnsi="宋体" w:eastAsia="宋体" w:cs="宋体"/>
          <w:b/>
          <w:color w:val="auto"/>
          <w:kern w:val="0"/>
          <w:sz w:val="28"/>
          <w:szCs w:val="24"/>
          <w:highlight w:val="none"/>
          <w:lang w:val="en-US" w:eastAsia="zh-CN" w:bidi="ar-SA"/>
        </w:rPr>
        <w:t>一、</w:t>
      </w:r>
      <w:r>
        <w:rPr>
          <w:rFonts w:hint="eastAsia" w:ascii="宋体" w:hAnsi="宋体" w:eastAsia="宋体" w:cs="宋体"/>
          <w:color w:val="auto"/>
          <w:kern w:val="0"/>
          <w:sz w:val="28"/>
          <w:highlight w:val="none"/>
        </w:rPr>
        <w:t>投标人资格审查部分</w:t>
      </w:r>
      <w:bookmarkEnd w:id="383"/>
      <w:bookmarkEnd w:id="402"/>
      <w:bookmarkEnd w:id="403"/>
    </w:p>
    <w:p w14:paraId="6B0DE88B">
      <w:pPr>
        <w:pStyle w:val="3"/>
        <w:jc w:val="center"/>
        <w:rPr>
          <w:rFonts w:hint="eastAsia" w:ascii="宋体" w:hAnsi="宋体" w:eastAsia="宋体" w:cs="宋体"/>
          <w:color w:val="auto"/>
          <w:sz w:val="28"/>
          <w:highlight w:val="none"/>
        </w:rPr>
      </w:pPr>
      <w:bookmarkStart w:id="404" w:name="_Toc26463"/>
      <w:bookmarkStart w:id="405" w:name="_Toc24213"/>
      <w:bookmarkStart w:id="406" w:name="_Toc24154"/>
      <w:bookmarkStart w:id="407" w:name="_Toc17375"/>
      <w:bookmarkStart w:id="408" w:name="_Toc5287"/>
      <w:bookmarkStart w:id="409" w:name="_Toc6331"/>
      <w:r>
        <w:rPr>
          <w:rFonts w:hint="eastAsia" w:ascii="宋体" w:hAnsi="宋体" w:eastAsia="宋体" w:cs="宋体"/>
          <w:color w:val="auto"/>
          <w:sz w:val="28"/>
          <w:highlight w:val="none"/>
        </w:rPr>
        <w:t>（一）投标人情况一览表</w:t>
      </w:r>
      <w:bookmarkEnd w:id="404"/>
      <w:bookmarkEnd w:id="405"/>
      <w:bookmarkEnd w:id="406"/>
      <w:bookmarkEnd w:id="407"/>
      <w:bookmarkEnd w:id="408"/>
      <w:bookmarkEnd w:id="409"/>
    </w:p>
    <w:tbl>
      <w:tblPr>
        <w:tblStyle w:val="28"/>
        <w:tblW w:w="91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52"/>
        <w:gridCol w:w="2326"/>
        <w:gridCol w:w="1418"/>
        <w:gridCol w:w="2624"/>
      </w:tblGrid>
      <w:tr w14:paraId="061B63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43606D8B">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p>
        </w:tc>
        <w:tc>
          <w:tcPr>
            <w:tcW w:w="7320" w:type="dxa"/>
            <w:gridSpan w:val="4"/>
            <w:vAlign w:val="center"/>
          </w:tcPr>
          <w:p w14:paraId="580D9C76">
            <w:pPr>
              <w:spacing w:line="480" w:lineRule="exact"/>
              <w:jc w:val="center"/>
              <w:rPr>
                <w:rFonts w:hint="eastAsia" w:ascii="宋体" w:hAnsi="宋体" w:eastAsia="宋体" w:cs="宋体"/>
                <w:color w:val="auto"/>
                <w:sz w:val="24"/>
                <w:highlight w:val="none"/>
              </w:rPr>
            </w:pPr>
          </w:p>
        </w:tc>
      </w:tr>
      <w:tr w14:paraId="721099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147748A0">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注册地址</w:t>
            </w:r>
          </w:p>
        </w:tc>
        <w:tc>
          <w:tcPr>
            <w:tcW w:w="3278" w:type="dxa"/>
            <w:gridSpan w:val="2"/>
            <w:vAlign w:val="center"/>
          </w:tcPr>
          <w:p w14:paraId="3B9E8FB6">
            <w:pPr>
              <w:spacing w:line="480" w:lineRule="exact"/>
              <w:rPr>
                <w:rFonts w:hint="eastAsia" w:ascii="宋体" w:hAnsi="宋体" w:eastAsia="宋体" w:cs="宋体"/>
                <w:color w:val="auto"/>
                <w:sz w:val="24"/>
                <w:highlight w:val="none"/>
              </w:rPr>
            </w:pPr>
          </w:p>
        </w:tc>
        <w:tc>
          <w:tcPr>
            <w:tcW w:w="1418" w:type="dxa"/>
            <w:vAlign w:val="center"/>
          </w:tcPr>
          <w:p w14:paraId="15108ED2">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2624" w:type="dxa"/>
            <w:vAlign w:val="center"/>
          </w:tcPr>
          <w:p w14:paraId="2D2CC276">
            <w:pPr>
              <w:spacing w:line="480" w:lineRule="exact"/>
              <w:jc w:val="center"/>
              <w:rPr>
                <w:rFonts w:hint="eastAsia" w:ascii="宋体" w:hAnsi="宋体" w:eastAsia="宋体" w:cs="宋体"/>
                <w:color w:val="auto"/>
                <w:sz w:val="24"/>
                <w:highlight w:val="none"/>
              </w:rPr>
            </w:pPr>
          </w:p>
        </w:tc>
      </w:tr>
      <w:tr w14:paraId="035E07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Merge w:val="restart"/>
            <w:vAlign w:val="center"/>
          </w:tcPr>
          <w:p w14:paraId="4E70AABA">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952" w:type="dxa"/>
            <w:vAlign w:val="center"/>
          </w:tcPr>
          <w:p w14:paraId="38130899">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2326" w:type="dxa"/>
            <w:vAlign w:val="center"/>
          </w:tcPr>
          <w:p w14:paraId="5564C356">
            <w:pPr>
              <w:spacing w:line="480" w:lineRule="exact"/>
              <w:rPr>
                <w:rFonts w:hint="eastAsia" w:ascii="宋体" w:hAnsi="宋体" w:eastAsia="宋体" w:cs="宋体"/>
                <w:color w:val="auto"/>
                <w:sz w:val="24"/>
                <w:highlight w:val="none"/>
              </w:rPr>
            </w:pPr>
          </w:p>
        </w:tc>
        <w:tc>
          <w:tcPr>
            <w:tcW w:w="1418" w:type="dxa"/>
            <w:vAlign w:val="center"/>
          </w:tcPr>
          <w:p w14:paraId="0489884E">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p>
        </w:tc>
        <w:tc>
          <w:tcPr>
            <w:tcW w:w="2624" w:type="dxa"/>
            <w:vAlign w:val="center"/>
          </w:tcPr>
          <w:p w14:paraId="02443B9D">
            <w:pPr>
              <w:spacing w:line="480" w:lineRule="exact"/>
              <w:jc w:val="center"/>
              <w:rPr>
                <w:rFonts w:hint="eastAsia" w:ascii="宋体" w:hAnsi="宋体" w:eastAsia="宋体" w:cs="宋体"/>
                <w:color w:val="auto"/>
                <w:sz w:val="24"/>
                <w:highlight w:val="none"/>
              </w:rPr>
            </w:pPr>
          </w:p>
        </w:tc>
      </w:tr>
      <w:tr w14:paraId="3BE4F5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Merge w:val="continue"/>
            <w:vAlign w:val="center"/>
          </w:tcPr>
          <w:p w14:paraId="487C475A">
            <w:pPr>
              <w:spacing w:line="480" w:lineRule="exact"/>
              <w:jc w:val="center"/>
              <w:rPr>
                <w:rFonts w:hint="eastAsia" w:ascii="宋体" w:hAnsi="宋体" w:eastAsia="宋体" w:cs="宋体"/>
                <w:color w:val="auto"/>
                <w:sz w:val="24"/>
                <w:highlight w:val="none"/>
              </w:rPr>
            </w:pPr>
          </w:p>
        </w:tc>
        <w:tc>
          <w:tcPr>
            <w:tcW w:w="952" w:type="dxa"/>
            <w:vAlign w:val="center"/>
          </w:tcPr>
          <w:p w14:paraId="4BF2D37A">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p>
        </w:tc>
        <w:tc>
          <w:tcPr>
            <w:tcW w:w="2326" w:type="dxa"/>
            <w:vAlign w:val="center"/>
          </w:tcPr>
          <w:p w14:paraId="64CE571B">
            <w:pPr>
              <w:spacing w:line="480" w:lineRule="exact"/>
              <w:rPr>
                <w:rFonts w:hint="eastAsia" w:ascii="宋体" w:hAnsi="宋体" w:eastAsia="宋体" w:cs="宋体"/>
                <w:color w:val="auto"/>
                <w:sz w:val="24"/>
                <w:highlight w:val="none"/>
              </w:rPr>
            </w:pPr>
          </w:p>
        </w:tc>
        <w:tc>
          <w:tcPr>
            <w:tcW w:w="1418" w:type="dxa"/>
            <w:vAlign w:val="center"/>
          </w:tcPr>
          <w:p w14:paraId="5D357492">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网    址</w:t>
            </w:r>
          </w:p>
        </w:tc>
        <w:tc>
          <w:tcPr>
            <w:tcW w:w="2624" w:type="dxa"/>
            <w:vAlign w:val="center"/>
          </w:tcPr>
          <w:p w14:paraId="012FF151">
            <w:pPr>
              <w:spacing w:line="480" w:lineRule="exact"/>
              <w:jc w:val="center"/>
              <w:rPr>
                <w:rFonts w:hint="eastAsia" w:ascii="宋体" w:hAnsi="宋体" w:eastAsia="宋体" w:cs="宋体"/>
                <w:color w:val="auto"/>
                <w:sz w:val="24"/>
                <w:highlight w:val="none"/>
              </w:rPr>
            </w:pPr>
          </w:p>
        </w:tc>
      </w:tr>
      <w:tr w14:paraId="0CAE42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6A05D2E2">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952" w:type="dxa"/>
            <w:vAlign w:val="center"/>
          </w:tcPr>
          <w:p w14:paraId="1AB7969C">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2326" w:type="dxa"/>
            <w:vAlign w:val="center"/>
          </w:tcPr>
          <w:p w14:paraId="2A563693">
            <w:pPr>
              <w:spacing w:line="480" w:lineRule="exact"/>
              <w:jc w:val="center"/>
              <w:rPr>
                <w:rFonts w:hint="eastAsia" w:ascii="宋体" w:hAnsi="宋体" w:eastAsia="宋体" w:cs="宋体"/>
                <w:color w:val="auto"/>
                <w:sz w:val="24"/>
                <w:highlight w:val="none"/>
              </w:rPr>
            </w:pPr>
          </w:p>
        </w:tc>
        <w:tc>
          <w:tcPr>
            <w:tcW w:w="1418" w:type="dxa"/>
            <w:vAlign w:val="center"/>
          </w:tcPr>
          <w:p w14:paraId="4A89499E">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2624" w:type="dxa"/>
            <w:vAlign w:val="center"/>
          </w:tcPr>
          <w:p w14:paraId="6E78DEBE">
            <w:pPr>
              <w:spacing w:line="480" w:lineRule="exact"/>
              <w:jc w:val="center"/>
              <w:rPr>
                <w:rFonts w:hint="eastAsia" w:ascii="宋体" w:hAnsi="宋体" w:eastAsia="宋体" w:cs="宋体"/>
                <w:color w:val="auto"/>
                <w:sz w:val="24"/>
                <w:highlight w:val="none"/>
              </w:rPr>
            </w:pPr>
          </w:p>
        </w:tc>
      </w:tr>
      <w:tr w14:paraId="09EB04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1843" w:type="dxa"/>
            <w:vAlign w:val="center"/>
          </w:tcPr>
          <w:p w14:paraId="4F42F08E">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p>
        </w:tc>
        <w:tc>
          <w:tcPr>
            <w:tcW w:w="3278" w:type="dxa"/>
            <w:gridSpan w:val="2"/>
            <w:vAlign w:val="center"/>
          </w:tcPr>
          <w:p w14:paraId="4B078A8B">
            <w:pPr>
              <w:spacing w:line="480" w:lineRule="exact"/>
              <w:jc w:val="center"/>
              <w:rPr>
                <w:rFonts w:hint="eastAsia" w:ascii="宋体" w:hAnsi="宋体" w:eastAsia="宋体" w:cs="宋体"/>
                <w:color w:val="auto"/>
                <w:sz w:val="24"/>
                <w:highlight w:val="none"/>
              </w:rPr>
            </w:pPr>
          </w:p>
        </w:tc>
        <w:tc>
          <w:tcPr>
            <w:tcW w:w="1418" w:type="dxa"/>
            <w:vAlign w:val="center"/>
          </w:tcPr>
          <w:p w14:paraId="0FD793AB">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员工总人数</w:t>
            </w:r>
          </w:p>
        </w:tc>
        <w:tc>
          <w:tcPr>
            <w:tcW w:w="2624" w:type="dxa"/>
            <w:vAlign w:val="center"/>
          </w:tcPr>
          <w:p w14:paraId="303B688D">
            <w:pPr>
              <w:spacing w:line="480" w:lineRule="exact"/>
              <w:rPr>
                <w:rFonts w:hint="eastAsia" w:ascii="宋体" w:hAnsi="宋体" w:eastAsia="宋体" w:cs="宋体"/>
                <w:color w:val="auto"/>
                <w:sz w:val="24"/>
                <w:highlight w:val="none"/>
              </w:rPr>
            </w:pPr>
          </w:p>
        </w:tc>
      </w:tr>
      <w:tr w14:paraId="235BE7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20F175B5">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w:t>
            </w:r>
          </w:p>
        </w:tc>
        <w:tc>
          <w:tcPr>
            <w:tcW w:w="7320" w:type="dxa"/>
            <w:gridSpan w:val="4"/>
            <w:vAlign w:val="center"/>
          </w:tcPr>
          <w:p w14:paraId="2E334A75">
            <w:pPr>
              <w:spacing w:line="480" w:lineRule="exact"/>
              <w:jc w:val="center"/>
              <w:rPr>
                <w:rFonts w:hint="eastAsia" w:ascii="宋体" w:hAnsi="宋体" w:eastAsia="宋体" w:cs="宋体"/>
                <w:color w:val="auto"/>
                <w:sz w:val="24"/>
                <w:highlight w:val="none"/>
              </w:rPr>
            </w:pPr>
          </w:p>
        </w:tc>
      </w:tr>
      <w:tr w14:paraId="3B188A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37471EF9">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注册资本金</w:t>
            </w:r>
          </w:p>
        </w:tc>
        <w:tc>
          <w:tcPr>
            <w:tcW w:w="7320" w:type="dxa"/>
            <w:gridSpan w:val="4"/>
            <w:vAlign w:val="center"/>
          </w:tcPr>
          <w:p w14:paraId="23080066">
            <w:pPr>
              <w:spacing w:line="480" w:lineRule="exact"/>
              <w:jc w:val="center"/>
              <w:rPr>
                <w:rFonts w:hint="eastAsia" w:ascii="宋体" w:hAnsi="宋体" w:eastAsia="宋体" w:cs="宋体"/>
                <w:color w:val="auto"/>
                <w:sz w:val="24"/>
                <w:highlight w:val="none"/>
              </w:rPr>
            </w:pPr>
          </w:p>
        </w:tc>
      </w:tr>
      <w:tr w14:paraId="4ED00F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2C54B3F4">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7320" w:type="dxa"/>
            <w:gridSpan w:val="4"/>
            <w:vAlign w:val="center"/>
          </w:tcPr>
          <w:p w14:paraId="7779D7B7">
            <w:pPr>
              <w:spacing w:line="480" w:lineRule="exact"/>
              <w:jc w:val="center"/>
              <w:rPr>
                <w:rFonts w:hint="eastAsia" w:ascii="宋体" w:hAnsi="宋体" w:eastAsia="宋体" w:cs="宋体"/>
                <w:color w:val="auto"/>
                <w:sz w:val="24"/>
                <w:highlight w:val="none"/>
              </w:rPr>
            </w:pPr>
          </w:p>
        </w:tc>
      </w:tr>
      <w:tr w14:paraId="7F6421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5C49DBAC">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7320" w:type="dxa"/>
            <w:gridSpan w:val="4"/>
            <w:vAlign w:val="center"/>
          </w:tcPr>
          <w:p w14:paraId="467FA838">
            <w:pPr>
              <w:spacing w:line="480" w:lineRule="exact"/>
              <w:jc w:val="center"/>
              <w:rPr>
                <w:rFonts w:hint="eastAsia" w:ascii="宋体" w:hAnsi="宋体" w:eastAsia="宋体" w:cs="宋体"/>
                <w:color w:val="auto"/>
                <w:sz w:val="24"/>
                <w:highlight w:val="none"/>
              </w:rPr>
            </w:pPr>
          </w:p>
        </w:tc>
      </w:tr>
      <w:tr w14:paraId="43E436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41AE5CF2">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7320" w:type="dxa"/>
            <w:gridSpan w:val="4"/>
            <w:vAlign w:val="center"/>
          </w:tcPr>
          <w:p w14:paraId="1E4C898A">
            <w:pPr>
              <w:spacing w:line="480" w:lineRule="exact"/>
              <w:jc w:val="center"/>
              <w:rPr>
                <w:rFonts w:hint="eastAsia" w:ascii="宋体" w:hAnsi="宋体" w:eastAsia="宋体" w:cs="宋体"/>
                <w:color w:val="auto"/>
                <w:sz w:val="24"/>
                <w:highlight w:val="none"/>
              </w:rPr>
            </w:pPr>
          </w:p>
        </w:tc>
      </w:tr>
      <w:tr w14:paraId="2B695E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1843" w:type="dxa"/>
            <w:vAlign w:val="center"/>
          </w:tcPr>
          <w:p w14:paraId="6D76B2B1">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    注</w:t>
            </w:r>
          </w:p>
        </w:tc>
        <w:tc>
          <w:tcPr>
            <w:tcW w:w="7320" w:type="dxa"/>
            <w:gridSpan w:val="4"/>
            <w:vAlign w:val="center"/>
          </w:tcPr>
          <w:p w14:paraId="08687422">
            <w:pPr>
              <w:spacing w:line="480" w:lineRule="exact"/>
              <w:jc w:val="center"/>
              <w:rPr>
                <w:rFonts w:hint="eastAsia" w:ascii="宋体" w:hAnsi="宋体" w:eastAsia="宋体" w:cs="宋体"/>
                <w:color w:val="auto"/>
                <w:sz w:val="24"/>
                <w:highlight w:val="none"/>
              </w:rPr>
            </w:pPr>
          </w:p>
        </w:tc>
      </w:tr>
    </w:tbl>
    <w:p w14:paraId="3C2C1205">
      <w:pPr>
        <w:pStyle w:val="40"/>
        <w:spacing w:line="240" w:lineRule="auto"/>
        <w:ind w:left="0" w:leftChars="0" w:firstLine="0" w:firstLineChars="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后附单位营业执照（事业单位法人证书）或</w:t>
      </w:r>
      <w:r>
        <w:rPr>
          <w:rFonts w:hint="eastAsia" w:ascii="宋体" w:hAnsi="宋体" w:eastAsia="宋体" w:cs="宋体"/>
          <w:b w:val="0"/>
          <w:bCs w:val="0"/>
          <w:color w:val="auto"/>
          <w:sz w:val="24"/>
          <w:szCs w:val="24"/>
          <w:highlight w:val="none"/>
          <w:lang w:eastAsia="zh-CN"/>
        </w:rPr>
        <w:t>其他</w:t>
      </w:r>
      <w:r>
        <w:rPr>
          <w:rFonts w:hint="eastAsia" w:ascii="宋体" w:hAnsi="宋体" w:eastAsia="宋体" w:cs="宋体"/>
          <w:b w:val="0"/>
          <w:bCs w:val="0"/>
          <w:color w:val="auto"/>
          <w:sz w:val="24"/>
          <w:szCs w:val="24"/>
          <w:highlight w:val="none"/>
        </w:rPr>
        <w:t>主体资格证明文件、开户许可证等相关资料复印件（扫描件）。</w:t>
      </w:r>
    </w:p>
    <w:p w14:paraId="1AC34AF4">
      <w:pPr>
        <w:pStyle w:val="40"/>
        <w:spacing w:line="240" w:lineRule="auto"/>
        <w:ind w:left="0" w:leftChars="0" w:firstLine="0" w:firstLineChars="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本表格中的具体内容投标人可根据实际情况进行修改，但应包含上述内容。</w:t>
      </w:r>
    </w:p>
    <w:p w14:paraId="5F2584ED">
      <w:pPr>
        <w:pStyle w:val="40"/>
        <w:spacing w:line="240" w:lineRule="auto"/>
        <w:ind w:left="0" w:leftChars="0" w:firstLine="0" w:firstLineChars="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此表所列情况应为投标人的真实情况。</w:t>
      </w:r>
    </w:p>
    <w:p w14:paraId="32E6CDF9">
      <w:pPr>
        <w:pStyle w:val="40"/>
        <w:spacing w:line="240" w:lineRule="auto"/>
        <w:ind w:left="0" w:leftChars="0" w:firstLine="0" w:firstLineChars="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4.若为联合体投标的，联合体各方均填写本表</w:t>
      </w:r>
    </w:p>
    <w:p w14:paraId="71026A2A">
      <w:pPr>
        <w:pStyle w:val="5"/>
        <w:overflowPunct w:val="0"/>
        <w:spacing w:line="560" w:lineRule="exact"/>
        <w:rPr>
          <w:rFonts w:hint="eastAsia" w:ascii="宋体" w:hAnsi="宋体" w:eastAsia="宋体" w:cs="宋体"/>
          <w:color w:val="auto"/>
          <w:sz w:val="24"/>
          <w:highlight w:val="none"/>
        </w:rPr>
      </w:pPr>
      <w:bookmarkStart w:id="410" w:name="_Toc30301"/>
      <w:bookmarkStart w:id="411" w:name="_Toc29053"/>
      <w:bookmarkStart w:id="412" w:name="_Toc8444"/>
      <w:bookmarkStart w:id="413" w:name="_Toc9027"/>
      <w:bookmarkStart w:id="414" w:name="_Toc32132"/>
      <w:bookmarkStart w:id="415" w:name="_Toc6576"/>
      <w:r>
        <w:rPr>
          <w:rFonts w:hint="eastAsia" w:ascii="宋体" w:hAnsi="宋体" w:eastAsia="宋体" w:cs="宋体"/>
          <w:color w:val="auto"/>
          <w:sz w:val="24"/>
          <w:highlight w:val="none"/>
        </w:rPr>
        <w:t>投标人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4669DCA6">
      <w:pPr>
        <w:pStyle w:val="5"/>
        <w:overflowPunct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电子签章或电子签名</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C464185">
      <w:pPr>
        <w:pStyle w:val="5"/>
        <w:overflowPunct w:val="0"/>
        <w:spacing w:line="560" w:lineRule="exact"/>
        <w:rPr>
          <w:rFonts w:hint="eastAsia" w:ascii="宋体" w:hAnsi="宋体" w:eastAsia="宋体" w:cs="宋体"/>
          <w:color w:val="auto"/>
          <w:sz w:val="28"/>
          <w:highlight w:val="none"/>
        </w:rPr>
        <w:sectPr>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B3DBC0D">
      <w:pPr>
        <w:pStyle w:val="3"/>
        <w:jc w:val="center"/>
        <w:rPr>
          <w:rFonts w:hint="eastAsia" w:ascii="宋体" w:hAnsi="宋体" w:eastAsia="宋体" w:cs="宋体"/>
          <w:color w:val="auto"/>
          <w:sz w:val="28"/>
          <w:highlight w:val="none"/>
        </w:rPr>
      </w:pPr>
      <w:r>
        <w:rPr>
          <w:rFonts w:hint="eastAsia" w:hAnsi="宋体" w:cs="宋体"/>
          <w:color w:val="auto"/>
          <w:sz w:val="28"/>
          <w:highlight w:val="none"/>
          <w:lang w:eastAsia="zh-CN"/>
        </w:rPr>
        <w:t>（</w:t>
      </w:r>
      <w:r>
        <w:rPr>
          <w:rFonts w:hint="eastAsia" w:hAnsi="宋体" w:cs="宋体"/>
          <w:color w:val="auto"/>
          <w:sz w:val="28"/>
          <w:highlight w:val="none"/>
          <w:lang w:val="en-US" w:eastAsia="zh-CN"/>
        </w:rPr>
        <w:t>二</w:t>
      </w:r>
      <w:r>
        <w:rPr>
          <w:rFonts w:hint="eastAsia" w:hAnsi="宋体" w:cs="宋体"/>
          <w:color w:val="auto"/>
          <w:sz w:val="28"/>
          <w:highlight w:val="none"/>
          <w:lang w:eastAsia="zh-CN"/>
        </w:rPr>
        <w:t>）</w:t>
      </w:r>
      <w:r>
        <w:rPr>
          <w:rFonts w:hint="eastAsia" w:ascii="宋体" w:hAnsi="宋体" w:eastAsia="宋体" w:cs="宋体"/>
          <w:color w:val="auto"/>
          <w:sz w:val="28"/>
          <w:highlight w:val="none"/>
        </w:rPr>
        <w:t>具有履行合同所必需的设备和专业技术能力</w:t>
      </w:r>
      <w:bookmarkEnd w:id="410"/>
      <w:bookmarkEnd w:id="411"/>
      <w:bookmarkEnd w:id="412"/>
      <w:bookmarkEnd w:id="413"/>
      <w:bookmarkEnd w:id="414"/>
      <w:bookmarkEnd w:id="415"/>
    </w:p>
    <w:p w14:paraId="412DB021">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（提供书面声明，格式自拟或相关证明材料</w:t>
      </w:r>
      <w:r>
        <w:rPr>
          <w:rFonts w:hint="eastAsia" w:ascii="宋体" w:hAnsi="宋体" w:cs="宋体"/>
          <w:b w:val="0"/>
          <w:bCs w:val="0"/>
          <w:color w:val="auto"/>
          <w:sz w:val="24"/>
          <w:highlight w:val="none"/>
          <w:lang w:eastAsia="zh-CN"/>
        </w:rPr>
        <w:t>；</w:t>
      </w:r>
      <w:r>
        <w:rPr>
          <w:rFonts w:hint="eastAsia" w:ascii="宋体" w:hAnsi="宋体"/>
          <w:b w:val="0"/>
          <w:bCs w:val="0"/>
          <w:sz w:val="24"/>
          <w:szCs w:val="24"/>
          <w:highlight w:val="none"/>
        </w:rPr>
        <w:t>若为联合体投标的，仅需联合体牵头人提供</w:t>
      </w:r>
      <w:r>
        <w:rPr>
          <w:rFonts w:hint="eastAsia" w:ascii="宋体" w:hAnsi="宋体"/>
          <w:b w:val="0"/>
          <w:bCs w:val="0"/>
          <w:sz w:val="24"/>
          <w:szCs w:val="24"/>
          <w:highlight w:val="none"/>
          <w:lang w:eastAsia="zh-CN"/>
        </w:rPr>
        <w:t>。</w:t>
      </w:r>
      <w:r>
        <w:rPr>
          <w:rFonts w:hint="eastAsia" w:ascii="宋体" w:hAnsi="宋体"/>
          <w:b w:val="0"/>
          <w:bCs w:val="0"/>
          <w:sz w:val="24"/>
          <w:szCs w:val="24"/>
          <w:highlight w:val="none"/>
          <w:lang w:val="en-US" w:eastAsia="zh-CN"/>
        </w:rPr>
        <w:t>）</w:t>
      </w:r>
    </w:p>
    <w:p w14:paraId="2279792D">
      <w:pPr>
        <w:rPr>
          <w:rFonts w:hint="eastAsia" w:ascii="宋体" w:hAnsi="宋体" w:eastAsia="宋体" w:cs="宋体"/>
          <w:color w:val="auto"/>
          <w:sz w:val="28"/>
          <w:highlight w:val="none"/>
        </w:rPr>
      </w:pPr>
      <w:bookmarkStart w:id="416" w:name="_Toc12661"/>
      <w:bookmarkStart w:id="417" w:name="_Toc2518"/>
      <w:bookmarkStart w:id="418" w:name="_Toc18071"/>
      <w:bookmarkStart w:id="419" w:name="_Toc21467"/>
      <w:bookmarkStart w:id="420" w:name="_Toc5717"/>
      <w:bookmarkStart w:id="421" w:name="_Toc7948"/>
      <w:r>
        <w:rPr>
          <w:rFonts w:hint="eastAsia" w:ascii="宋体" w:hAnsi="宋体" w:eastAsia="宋体" w:cs="宋体"/>
          <w:color w:val="auto"/>
          <w:sz w:val="28"/>
          <w:highlight w:val="none"/>
        </w:rPr>
        <w:br w:type="page"/>
      </w:r>
    </w:p>
    <w:p w14:paraId="4CE26754">
      <w:pPr>
        <w:pStyle w:val="3"/>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w:t>
      </w:r>
      <w:r>
        <w:rPr>
          <w:rFonts w:hint="eastAsia" w:hAnsi="宋体" w:cs="宋体"/>
          <w:color w:val="auto"/>
          <w:sz w:val="28"/>
          <w:highlight w:val="none"/>
          <w:lang w:val="en-US" w:eastAsia="zh-CN"/>
        </w:rPr>
        <w:t>三</w:t>
      </w:r>
      <w:r>
        <w:rPr>
          <w:rFonts w:hint="eastAsia" w:ascii="宋体" w:hAnsi="宋体" w:eastAsia="宋体" w:cs="宋体"/>
          <w:color w:val="auto"/>
          <w:sz w:val="28"/>
          <w:highlight w:val="none"/>
        </w:rPr>
        <w:t>）企业信誉良好</w:t>
      </w:r>
      <w:bookmarkEnd w:id="416"/>
      <w:bookmarkEnd w:id="417"/>
      <w:bookmarkEnd w:id="418"/>
      <w:bookmarkEnd w:id="419"/>
      <w:bookmarkEnd w:id="420"/>
      <w:bookmarkEnd w:id="421"/>
    </w:p>
    <w:p w14:paraId="344D17E9">
      <w:pPr>
        <w:numPr>
          <w:ilvl w:val="0"/>
          <w:numId w:val="0"/>
        </w:numPr>
        <w:spacing w:line="360" w:lineRule="auto"/>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没有被处于被责令停产，财产被冻结、接管、破产状态，近三年在经营活动中没有重大违法记录。</w:t>
      </w:r>
    </w:p>
    <w:p w14:paraId="60FFE141">
      <w:pPr>
        <w:numPr>
          <w:ilvl w:val="0"/>
          <w:numId w:val="0"/>
        </w:numPr>
        <w:spacing w:line="360" w:lineRule="auto"/>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投标人在投标截止时间前未被列入“信用中国”网站</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失信被执行人、重大税收违法失信主体及中国政府采购网 </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“政府采购严重违法失信行为信息记录”。</w:t>
      </w:r>
    </w:p>
    <w:p w14:paraId="503088E3">
      <w:pPr>
        <w:numPr>
          <w:ilvl w:val="0"/>
          <w:numId w:val="0"/>
        </w:num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注：若为联合体投标的，联合体双方均需提供。</w:t>
      </w:r>
    </w:p>
    <w:p w14:paraId="686705D3">
      <w:pPr>
        <w:pStyle w:val="3"/>
        <w:jc w:val="center"/>
        <w:rPr>
          <w:rFonts w:hint="eastAsia" w:ascii="宋体" w:hAnsi="宋体" w:eastAsia="宋体" w:cs="宋体"/>
          <w:color w:val="auto"/>
          <w:kern w:val="0"/>
          <w:highlight w:val="none"/>
        </w:rPr>
      </w:pPr>
      <w:bookmarkStart w:id="422" w:name="_Toc6130"/>
      <w:bookmarkStart w:id="423" w:name="_Toc27287"/>
      <w:bookmarkStart w:id="424" w:name="_Toc25131"/>
      <w:bookmarkStart w:id="425" w:name="_Toc24890"/>
      <w:bookmarkStart w:id="426" w:name="_Toc15954"/>
      <w:bookmarkStart w:id="427" w:name="_Toc18665"/>
      <w:bookmarkStart w:id="428" w:name="_Toc14532"/>
      <w:bookmarkStart w:id="429" w:name="_Toc21263"/>
      <w:bookmarkStart w:id="430" w:name="_Toc1699"/>
      <w:bookmarkStart w:id="431" w:name="_Toc437"/>
      <w:r>
        <w:rPr>
          <w:rFonts w:hint="eastAsia" w:ascii="宋体" w:hAnsi="宋体" w:eastAsia="宋体" w:cs="宋体"/>
          <w:color w:val="auto"/>
          <w:kern w:val="0"/>
          <w:sz w:val="28"/>
          <w:highlight w:val="none"/>
        </w:rPr>
        <w:t>附一：关于投标文件的声明</w:t>
      </w:r>
      <w:bookmarkEnd w:id="422"/>
      <w:bookmarkEnd w:id="423"/>
      <w:bookmarkEnd w:id="424"/>
      <w:bookmarkEnd w:id="425"/>
      <w:bookmarkEnd w:id="426"/>
      <w:bookmarkEnd w:id="427"/>
      <w:bookmarkEnd w:id="428"/>
      <w:bookmarkEnd w:id="429"/>
      <w:bookmarkEnd w:id="430"/>
      <w:bookmarkEnd w:id="431"/>
    </w:p>
    <w:p w14:paraId="356B3E33">
      <w:pPr>
        <w:rPr>
          <w:rFonts w:hint="eastAsia" w:ascii="宋体" w:hAnsi="宋体" w:eastAsia="宋体" w:cs="宋体"/>
          <w:color w:val="auto"/>
          <w:highlight w:val="none"/>
        </w:rPr>
      </w:pPr>
    </w:p>
    <w:p w14:paraId="468AFD8A">
      <w:pPr>
        <w:rPr>
          <w:rFonts w:hint="eastAsia" w:ascii="宋体" w:hAnsi="宋体" w:eastAsia="宋体" w:cs="宋体"/>
          <w:color w:val="auto"/>
          <w:highlight w:val="none"/>
        </w:rPr>
      </w:pPr>
    </w:p>
    <w:p w14:paraId="79882DFF">
      <w:pPr>
        <w:pStyle w:val="5"/>
        <w:overflowPunct w:val="0"/>
        <w:spacing w:line="400" w:lineRule="exact"/>
        <w:ind w:left="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u w:val="single"/>
        </w:rPr>
        <w:t>（</w:t>
      </w:r>
      <w:r>
        <w:rPr>
          <w:rFonts w:hint="eastAsia" w:ascii="宋体" w:hAnsi="宋体" w:eastAsia="宋体" w:cs="宋体"/>
          <w:color w:val="auto"/>
          <w:sz w:val="24"/>
          <w:szCs w:val="21"/>
          <w:highlight w:val="none"/>
          <w:u w:val="single"/>
          <w:lang w:eastAsia="zh-CN"/>
        </w:rPr>
        <w:t>采购人</w:t>
      </w:r>
      <w:r>
        <w:rPr>
          <w:rFonts w:hint="eastAsia" w:ascii="宋体" w:hAnsi="宋体" w:eastAsia="宋体" w:cs="宋体"/>
          <w:color w:val="auto"/>
          <w:sz w:val="24"/>
          <w:szCs w:val="21"/>
          <w:highlight w:val="none"/>
          <w:u w:val="single"/>
        </w:rPr>
        <w:t>）</w:t>
      </w:r>
      <w:r>
        <w:rPr>
          <w:rFonts w:hint="eastAsia" w:ascii="宋体" w:hAnsi="宋体" w:eastAsia="宋体" w:cs="宋体"/>
          <w:color w:val="auto"/>
          <w:szCs w:val="21"/>
          <w:highlight w:val="none"/>
        </w:rPr>
        <w:t>：</w:t>
      </w:r>
    </w:p>
    <w:p w14:paraId="64A690B3">
      <w:pPr>
        <w:pStyle w:val="5"/>
        <w:overflowPunct w:val="0"/>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公司愿就由贵单位组织实施的编号为</w:t>
      </w:r>
      <w:r>
        <w:rPr>
          <w:rFonts w:hint="eastAsia" w:ascii="宋体" w:hAnsi="宋体" w:eastAsia="宋体" w:cs="宋体"/>
          <w:color w:val="auto"/>
          <w:sz w:val="24"/>
          <w:highlight w:val="none"/>
          <w:u w:val="single"/>
        </w:rPr>
        <w:t xml:space="preserve">  （项目编号）    </w:t>
      </w:r>
      <w:r>
        <w:rPr>
          <w:rFonts w:hint="eastAsia" w:ascii="宋体" w:hAnsi="宋体" w:eastAsia="宋体" w:cs="宋体"/>
          <w:color w:val="auto"/>
          <w:sz w:val="24"/>
          <w:highlight w:val="none"/>
        </w:rPr>
        <w:t xml:space="preserve">的 </w:t>
      </w:r>
      <w:r>
        <w:rPr>
          <w:rFonts w:hint="eastAsia" w:ascii="宋体" w:hAnsi="宋体" w:eastAsia="宋体" w:cs="宋体"/>
          <w:color w:val="auto"/>
          <w:sz w:val="24"/>
          <w:highlight w:val="none"/>
          <w:u w:val="single"/>
        </w:rPr>
        <w:t xml:space="preserve">    （项目名称） </w:t>
      </w:r>
      <w:r>
        <w:rPr>
          <w:rFonts w:hint="eastAsia" w:ascii="宋体" w:hAnsi="宋体" w:eastAsia="宋体" w:cs="宋体"/>
          <w:color w:val="auto"/>
          <w:sz w:val="24"/>
          <w:highlight w:val="none"/>
        </w:rPr>
        <w:t>采购活动进行投标。本公司郑重声明：</w:t>
      </w:r>
    </w:p>
    <w:p w14:paraId="6D10438D">
      <w:pPr>
        <w:pStyle w:val="5"/>
        <w:overflowPunct w:val="0"/>
        <w:spacing w:line="560" w:lineRule="exact"/>
        <w:ind w:firstLine="480"/>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1.</w:t>
      </w:r>
      <w:r>
        <w:rPr>
          <w:rFonts w:hint="eastAsia" w:ascii="宋体" w:hAnsi="宋体" w:eastAsia="宋体" w:cs="宋体"/>
          <w:color w:val="auto"/>
          <w:sz w:val="24"/>
          <w:highlight w:val="none"/>
        </w:rPr>
        <w:t>本公司</w:t>
      </w:r>
      <w:r>
        <w:rPr>
          <w:rFonts w:hint="eastAsia" w:ascii="宋体" w:hAnsi="宋体" w:eastAsia="宋体" w:cs="宋体"/>
          <w:bCs/>
          <w:color w:val="auto"/>
          <w:sz w:val="24"/>
          <w:highlight w:val="none"/>
        </w:rPr>
        <w:t>没有被处于被责令停产，财产被冻结、接管、破产状态，近三年在经营活动中没有重大违法记录。</w:t>
      </w:r>
    </w:p>
    <w:p w14:paraId="7650B73F">
      <w:pPr>
        <w:pStyle w:val="5"/>
        <w:overflowPunct w:val="0"/>
        <w:spacing w:line="560" w:lineRule="exact"/>
        <w:ind w:firstLine="480"/>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本公司未被列入“信用中国”网站</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失信被执行人、重大税收违法失信主体及“中国政府采购网”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政府采购严重违法失信行为信息记录。</w:t>
      </w:r>
    </w:p>
    <w:p w14:paraId="6D519E4A">
      <w:pPr>
        <w:pStyle w:val="5"/>
        <w:overflowPunct w:val="0"/>
        <w:spacing w:line="560" w:lineRule="exact"/>
        <w:ind w:firstLine="480"/>
        <w:rPr>
          <w:rFonts w:hint="eastAsia" w:ascii="宋体" w:hAnsi="宋体" w:eastAsia="宋体" w:cs="宋体"/>
          <w:color w:val="auto"/>
          <w:sz w:val="24"/>
          <w:highlight w:val="none"/>
        </w:rPr>
      </w:pPr>
      <w:r>
        <w:rPr>
          <w:rFonts w:hint="eastAsia" w:ascii="宋体" w:hAnsi="宋体" w:cs="宋体"/>
          <w:bCs/>
          <w:color w:val="auto"/>
          <w:sz w:val="24"/>
          <w:highlight w:val="none"/>
          <w:lang w:eastAsia="zh-CN"/>
        </w:rPr>
        <w:t>3.</w:t>
      </w:r>
      <w:r>
        <w:rPr>
          <w:rFonts w:hint="eastAsia" w:ascii="宋体" w:hAnsi="宋体" w:eastAsia="宋体" w:cs="宋体"/>
          <w:bCs/>
          <w:color w:val="auto"/>
          <w:sz w:val="24"/>
          <w:highlight w:val="none"/>
        </w:rPr>
        <w:t>本公司</w:t>
      </w:r>
      <w:r>
        <w:rPr>
          <w:rFonts w:hint="eastAsia" w:ascii="宋体" w:hAnsi="宋体" w:eastAsia="宋体" w:cs="宋体"/>
          <w:color w:val="auto"/>
          <w:sz w:val="24"/>
          <w:highlight w:val="none"/>
        </w:rPr>
        <w:t>所提交的投标文件中所有关于投标资格的文件、证明和陈述均是真实的、准确的。若与真实情况不符，本公司愿意承担由此而产生的一切后果。</w:t>
      </w:r>
    </w:p>
    <w:p w14:paraId="7684C570">
      <w:pPr>
        <w:pStyle w:val="5"/>
        <w:overflowPunct w:val="0"/>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注：附相关网站查询结果（若有）。</w:t>
      </w:r>
    </w:p>
    <w:p w14:paraId="3D5E4DC7">
      <w:pPr>
        <w:pStyle w:val="5"/>
        <w:overflowPunct w:val="0"/>
        <w:spacing w:line="560" w:lineRule="exact"/>
        <w:ind w:firstLine="480"/>
        <w:rPr>
          <w:rFonts w:hint="eastAsia" w:ascii="宋体" w:hAnsi="宋体" w:eastAsia="宋体" w:cs="宋体"/>
          <w:color w:val="auto"/>
          <w:sz w:val="24"/>
          <w:highlight w:val="none"/>
        </w:rPr>
      </w:pPr>
    </w:p>
    <w:p w14:paraId="4C89E126">
      <w:pPr>
        <w:pStyle w:val="5"/>
        <w:overflowPunct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E66DBAC">
      <w:pPr>
        <w:pStyle w:val="5"/>
        <w:overflowPunct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电子签章或电子签名</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2DDD477F">
      <w:pPr>
        <w:pStyle w:val="5"/>
        <w:overflowPunct w:val="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4AD6767">
      <w:pPr>
        <w:spacing w:before="240"/>
        <w:jc w:val="left"/>
        <w:rPr>
          <w:rFonts w:hint="eastAsia" w:ascii="宋体" w:hAnsi="宋体" w:eastAsia="宋体" w:cs="宋体"/>
          <w:color w:val="auto"/>
          <w:sz w:val="24"/>
          <w:highlight w:val="none"/>
          <w:u w:val="single"/>
        </w:rPr>
      </w:pPr>
    </w:p>
    <w:p w14:paraId="6C5A7B77">
      <w:pPr>
        <w:spacing w:before="240"/>
        <w:rPr>
          <w:rFonts w:hint="eastAsia" w:ascii="宋体" w:hAnsi="宋体" w:eastAsia="宋体" w:cs="宋体"/>
          <w:color w:val="auto"/>
          <w:sz w:val="24"/>
          <w:highlight w:val="none"/>
          <w:u w:val="single"/>
        </w:rPr>
      </w:pPr>
    </w:p>
    <w:p w14:paraId="1D96AB65">
      <w:pPr>
        <w:pStyle w:val="3"/>
        <w:jc w:val="center"/>
        <w:rPr>
          <w:rFonts w:hint="eastAsia" w:ascii="宋体" w:hAnsi="宋体" w:eastAsia="宋体" w:cs="宋体"/>
          <w:color w:val="auto"/>
          <w:sz w:val="40"/>
          <w:highlight w:val="none"/>
          <w:u w:val="single"/>
        </w:rPr>
      </w:pPr>
      <w:r>
        <w:rPr>
          <w:rFonts w:hint="eastAsia" w:ascii="宋体" w:hAnsi="宋体" w:eastAsia="宋体" w:cs="宋体"/>
          <w:color w:val="auto"/>
          <w:highlight w:val="none"/>
          <w:u w:val="single"/>
        </w:rPr>
        <w:br w:type="page"/>
      </w:r>
      <w:bookmarkStart w:id="432" w:name="_Toc14465"/>
      <w:bookmarkStart w:id="433" w:name="_Toc26601"/>
      <w:bookmarkStart w:id="434" w:name="_Toc519"/>
      <w:bookmarkStart w:id="435" w:name="_Toc29471"/>
      <w:bookmarkStart w:id="436" w:name="_Toc8815"/>
      <w:bookmarkStart w:id="437" w:name="_Toc8093"/>
      <w:bookmarkStart w:id="438" w:name="_Toc25200"/>
      <w:bookmarkStart w:id="439" w:name="_Toc18104"/>
      <w:bookmarkStart w:id="440" w:name="_Toc18356"/>
      <w:bookmarkStart w:id="441" w:name="_Toc3467"/>
      <w:r>
        <w:rPr>
          <w:rFonts w:hint="eastAsia" w:ascii="宋体" w:hAnsi="宋体" w:eastAsia="宋体" w:cs="宋体"/>
          <w:color w:val="auto"/>
          <w:kern w:val="0"/>
          <w:sz w:val="28"/>
          <w:highlight w:val="none"/>
        </w:rPr>
        <w:t>附二：履约情况说明</w:t>
      </w:r>
      <w:bookmarkEnd w:id="432"/>
      <w:bookmarkEnd w:id="433"/>
      <w:bookmarkEnd w:id="434"/>
      <w:bookmarkEnd w:id="435"/>
      <w:bookmarkEnd w:id="436"/>
      <w:bookmarkEnd w:id="437"/>
      <w:bookmarkEnd w:id="438"/>
      <w:bookmarkEnd w:id="439"/>
      <w:bookmarkEnd w:id="440"/>
      <w:bookmarkEnd w:id="441"/>
    </w:p>
    <w:p w14:paraId="5FCE4E78">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采购人</w:t>
      </w:r>
      <w:r>
        <w:rPr>
          <w:rFonts w:hint="eastAsia" w:ascii="宋体" w:hAnsi="宋体" w:eastAsia="宋体" w:cs="宋体"/>
          <w:color w:val="auto"/>
          <w:sz w:val="24"/>
          <w:highlight w:val="none"/>
          <w:u w:val="single"/>
        </w:rPr>
        <w:t>名称）</w:t>
      </w:r>
    </w:p>
    <w:p w14:paraId="775B1B44">
      <w:pPr>
        <w:spacing w:line="600" w:lineRule="exact"/>
        <w:ind w:firstLine="437"/>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我公司参加</w:t>
      </w:r>
      <w:r>
        <w:rPr>
          <w:rFonts w:hint="eastAsia" w:ascii="宋体" w:hAnsi="宋体" w:eastAsia="宋体" w:cs="宋体"/>
          <w:color w:val="auto"/>
          <w:sz w:val="24"/>
          <w:highlight w:val="none"/>
          <w:u w:val="single"/>
        </w:rPr>
        <w:t xml:space="preserve">     （项目名称）       </w:t>
      </w:r>
      <w:r>
        <w:rPr>
          <w:rFonts w:hint="eastAsia" w:ascii="宋体" w:hAnsi="宋体" w:eastAsia="宋体" w:cs="宋体"/>
          <w:color w:val="auto"/>
          <w:sz w:val="24"/>
          <w:highlight w:val="none"/>
        </w:rPr>
        <w:t>的投标活动，当前我公司（此处填写“有”或“无”） 违约或不当履约引起的合同中止、纠纷、争议、仲裁和诉讼记录。（如有诉讼事件，投标人须承诺涉及诉讼事件不影响本投标人在本次项目的履约能力）。</w:t>
      </w:r>
    </w:p>
    <w:p w14:paraId="24978BDF">
      <w:pPr>
        <w:pStyle w:val="6"/>
        <w:rPr>
          <w:rFonts w:hint="eastAsia" w:ascii="宋体" w:hAnsi="宋体" w:eastAsia="宋体" w:cs="宋体"/>
          <w:color w:val="auto"/>
          <w:sz w:val="24"/>
          <w:szCs w:val="24"/>
          <w:highlight w:val="none"/>
        </w:rPr>
      </w:pPr>
    </w:p>
    <w:p w14:paraId="3BC110A4">
      <w:pPr>
        <w:pStyle w:val="6"/>
        <w:rPr>
          <w:rFonts w:hint="eastAsia" w:ascii="宋体" w:hAnsi="宋体" w:eastAsia="宋体" w:cs="宋体"/>
          <w:color w:val="auto"/>
          <w:sz w:val="24"/>
          <w:szCs w:val="24"/>
          <w:highlight w:val="none"/>
        </w:rPr>
      </w:pPr>
    </w:p>
    <w:p w14:paraId="316A6C00">
      <w:pPr>
        <w:pStyle w:val="6"/>
        <w:rPr>
          <w:rFonts w:hint="eastAsia" w:ascii="宋体" w:hAnsi="宋体" w:eastAsia="宋体" w:cs="宋体"/>
          <w:color w:val="auto"/>
          <w:sz w:val="24"/>
          <w:szCs w:val="24"/>
          <w:highlight w:val="none"/>
        </w:rPr>
      </w:pPr>
    </w:p>
    <w:p w14:paraId="2AEE23B8">
      <w:pPr>
        <w:pStyle w:val="6"/>
        <w:rPr>
          <w:rFonts w:hint="eastAsia" w:ascii="宋体" w:hAnsi="宋体" w:eastAsia="宋体" w:cs="宋体"/>
          <w:color w:val="auto"/>
          <w:sz w:val="24"/>
          <w:szCs w:val="24"/>
          <w:highlight w:val="none"/>
        </w:rPr>
      </w:pPr>
    </w:p>
    <w:p w14:paraId="17A951B9">
      <w:pPr>
        <w:pStyle w:val="6"/>
        <w:rPr>
          <w:rFonts w:hint="eastAsia" w:ascii="宋体" w:hAnsi="宋体" w:eastAsia="宋体" w:cs="宋体"/>
          <w:color w:val="auto"/>
          <w:sz w:val="24"/>
          <w:szCs w:val="24"/>
          <w:highlight w:val="none"/>
        </w:rPr>
      </w:pPr>
    </w:p>
    <w:p w14:paraId="32CFFB62">
      <w:pPr>
        <w:pStyle w:val="6"/>
        <w:rPr>
          <w:rFonts w:hint="eastAsia" w:ascii="宋体" w:hAnsi="宋体" w:eastAsia="宋体" w:cs="宋体"/>
          <w:color w:val="auto"/>
          <w:sz w:val="24"/>
          <w:szCs w:val="24"/>
          <w:highlight w:val="none"/>
        </w:rPr>
      </w:pPr>
    </w:p>
    <w:p w14:paraId="7247CF86">
      <w:pPr>
        <w:pStyle w:val="6"/>
        <w:rPr>
          <w:rFonts w:hint="eastAsia" w:ascii="宋体" w:hAnsi="宋体" w:eastAsia="宋体" w:cs="宋体"/>
          <w:color w:val="auto"/>
          <w:sz w:val="24"/>
          <w:szCs w:val="24"/>
          <w:highlight w:val="none"/>
        </w:rPr>
      </w:pPr>
    </w:p>
    <w:p w14:paraId="5C2D84D5">
      <w:pPr>
        <w:pStyle w:val="6"/>
        <w:rPr>
          <w:rFonts w:hint="eastAsia" w:ascii="宋体" w:hAnsi="宋体" w:eastAsia="宋体" w:cs="宋体"/>
          <w:color w:val="auto"/>
          <w:sz w:val="24"/>
          <w:szCs w:val="24"/>
          <w:highlight w:val="none"/>
        </w:rPr>
      </w:pPr>
    </w:p>
    <w:p w14:paraId="1E00D930">
      <w:pPr>
        <w:pStyle w:val="5"/>
        <w:overflowPunct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C7C4737">
      <w:pPr>
        <w:pStyle w:val="5"/>
        <w:overflowPunct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电子签章或电子签名</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23EAC13">
      <w:pPr>
        <w:pStyle w:val="5"/>
        <w:overflowPunct w:val="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ABF1305">
      <w:pPr>
        <w:pStyle w:val="6"/>
        <w:rPr>
          <w:rFonts w:hint="eastAsia" w:ascii="宋体" w:hAnsi="宋体" w:eastAsia="宋体" w:cs="宋体"/>
          <w:color w:val="auto"/>
          <w:highlight w:val="none"/>
        </w:rPr>
      </w:pPr>
    </w:p>
    <w:p w14:paraId="22ED84E0">
      <w:pPr>
        <w:pStyle w:val="6"/>
        <w:rPr>
          <w:rFonts w:hint="eastAsia" w:ascii="宋体" w:hAnsi="宋体" w:eastAsia="宋体" w:cs="宋体"/>
          <w:color w:val="auto"/>
          <w:highlight w:val="none"/>
        </w:rPr>
      </w:pPr>
    </w:p>
    <w:p w14:paraId="201E66DB">
      <w:pPr>
        <w:pStyle w:val="6"/>
        <w:rPr>
          <w:rFonts w:hint="eastAsia" w:ascii="宋体" w:hAnsi="宋体" w:eastAsia="宋体" w:cs="宋体"/>
          <w:color w:val="auto"/>
          <w:highlight w:val="none"/>
        </w:rPr>
      </w:pPr>
    </w:p>
    <w:p w14:paraId="1F00B784">
      <w:pPr>
        <w:pStyle w:val="6"/>
        <w:rPr>
          <w:rFonts w:hint="eastAsia" w:ascii="宋体" w:hAnsi="宋体" w:eastAsia="宋体" w:cs="宋体"/>
          <w:color w:val="auto"/>
          <w:highlight w:val="none"/>
        </w:rPr>
      </w:pPr>
    </w:p>
    <w:p w14:paraId="672F3065">
      <w:pPr>
        <w:pStyle w:val="6"/>
        <w:rPr>
          <w:rFonts w:hint="eastAsia" w:ascii="宋体" w:hAnsi="宋体" w:eastAsia="宋体" w:cs="宋体"/>
          <w:color w:val="auto"/>
          <w:highlight w:val="none"/>
        </w:rPr>
      </w:pPr>
    </w:p>
    <w:p w14:paraId="11952638">
      <w:pPr>
        <w:pStyle w:val="6"/>
        <w:rPr>
          <w:rFonts w:hint="eastAsia" w:ascii="宋体" w:hAnsi="宋体" w:eastAsia="宋体" w:cs="宋体"/>
          <w:color w:val="auto"/>
          <w:highlight w:val="none"/>
        </w:rPr>
      </w:pPr>
    </w:p>
    <w:p w14:paraId="338C247A">
      <w:pPr>
        <w:pStyle w:val="6"/>
        <w:rPr>
          <w:rFonts w:hint="eastAsia" w:ascii="宋体" w:hAnsi="宋体" w:eastAsia="宋体" w:cs="宋体"/>
          <w:color w:val="auto"/>
          <w:highlight w:val="none"/>
        </w:rPr>
      </w:pPr>
    </w:p>
    <w:p w14:paraId="3B4BCEE1">
      <w:pPr>
        <w:pStyle w:val="6"/>
        <w:rPr>
          <w:rFonts w:hint="eastAsia" w:ascii="宋体" w:hAnsi="宋体" w:eastAsia="宋体" w:cs="宋体"/>
          <w:color w:val="auto"/>
          <w:highlight w:val="none"/>
        </w:rPr>
      </w:pPr>
    </w:p>
    <w:p w14:paraId="26721B90">
      <w:pPr>
        <w:pStyle w:val="6"/>
        <w:rPr>
          <w:rFonts w:hint="eastAsia" w:ascii="宋体" w:hAnsi="宋体" w:eastAsia="宋体" w:cs="宋体"/>
          <w:color w:val="auto"/>
          <w:highlight w:val="none"/>
        </w:rPr>
      </w:pPr>
    </w:p>
    <w:p w14:paraId="2B610BB1">
      <w:pPr>
        <w:pStyle w:val="6"/>
        <w:rPr>
          <w:rFonts w:hint="eastAsia" w:ascii="宋体" w:hAnsi="宋体" w:eastAsia="宋体" w:cs="宋体"/>
          <w:color w:val="auto"/>
          <w:highlight w:val="none"/>
        </w:rPr>
      </w:pPr>
    </w:p>
    <w:p w14:paraId="1ACC69AE">
      <w:pPr>
        <w:pStyle w:val="6"/>
        <w:rPr>
          <w:rFonts w:hint="eastAsia" w:ascii="宋体" w:hAnsi="宋体" w:eastAsia="宋体" w:cs="宋体"/>
          <w:color w:val="auto"/>
          <w:highlight w:val="none"/>
        </w:rPr>
      </w:pPr>
    </w:p>
    <w:p w14:paraId="0CE47A3F">
      <w:pPr>
        <w:pStyle w:val="6"/>
        <w:rPr>
          <w:rFonts w:hint="eastAsia" w:ascii="宋体" w:hAnsi="宋体" w:eastAsia="宋体" w:cs="宋体"/>
          <w:color w:val="auto"/>
          <w:highlight w:val="none"/>
        </w:rPr>
      </w:pPr>
    </w:p>
    <w:p w14:paraId="5438CAE8">
      <w:pPr>
        <w:pStyle w:val="6"/>
        <w:rPr>
          <w:rFonts w:hint="eastAsia" w:ascii="宋体" w:hAnsi="宋体" w:eastAsia="宋体" w:cs="宋体"/>
          <w:color w:val="auto"/>
          <w:highlight w:val="none"/>
        </w:rPr>
      </w:pPr>
    </w:p>
    <w:p w14:paraId="46A2E0A5">
      <w:pPr>
        <w:pStyle w:val="6"/>
        <w:rPr>
          <w:rFonts w:hint="eastAsia" w:ascii="宋体" w:hAnsi="宋体" w:eastAsia="宋体" w:cs="宋体"/>
          <w:color w:val="auto"/>
          <w:highlight w:val="none"/>
        </w:rPr>
      </w:pPr>
    </w:p>
    <w:p w14:paraId="29429D3A">
      <w:pPr>
        <w:pStyle w:val="6"/>
        <w:rPr>
          <w:rFonts w:hint="eastAsia" w:ascii="宋体" w:hAnsi="宋体" w:eastAsia="宋体" w:cs="宋体"/>
          <w:color w:val="auto"/>
          <w:highlight w:val="none"/>
        </w:rPr>
      </w:pPr>
    </w:p>
    <w:p w14:paraId="73950B7B">
      <w:pPr>
        <w:pStyle w:val="6"/>
        <w:rPr>
          <w:rFonts w:hint="eastAsia" w:ascii="宋体" w:hAnsi="宋体" w:eastAsia="宋体" w:cs="宋体"/>
          <w:color w:val="auto"/>
          <w:highlight w:val="none"/>
        </w:rPr>
      </w:pPr>
    </w:p>
    <w:p w14:paraId="53A66856">
      <w:pPr>
        <w:pStyle w:val="6"/>
        <w:rPr>
          <w:rFonts w:hint="eastAsia" w:ascii="宋体" w:hAnsi="宋体" w:eastAsia="宋体" w:cs="宋体"/>
          <w:color w:val="auto"/>
          <w:highlight w:val="none"/>
        </w:rPr>
      </w:pPr>
    </w:p>
    <w:p w14:paraId="27FD5147">
      <w:pPr>
        <w:pStyle w:val="6"/>
        <w:rPr>
          <w:rFonts w:hint="eastAsia" w:ascii="宋体" w:hAnsi="宋体" w:eastAsia="宋体" w:cs="宋体"/>
          <w:color w:val="auto"/>
          <w:highlight w:val="none"/>
        </w:rPr>
      </w:pPr>
    </w:p>
    <w:p w14:paraId="13E7CCA9">
      <w:pPr>
        <w:pStyle w:val="6"/>
        <w:rPr>
          <w:rFonts w:hint="eastAsia" w:ascii="宋体" w:hAnsi="宋体" w:eastAsia="宋体" w:cs="宋体"/>
          <w:color w:val="auto"/>
          <w:highlight w:val="none"/>
        </w:rPr>
      </w:pPr>
    </w:p>
    <w:p w14:paraId="3CC4C223">
      <w:pPr>
        <w:pStyle w:val="6"/>
        <w:rPr>
          <w:rFonts w:hint="eastAsia" w:ascii="宋体" w:hAnsi="宋体" w:eastAsia="宋体" w:cs="宋体"/>
          <w:color w:val="auto"/>
          <w:highlight w:val="none"/>
        </w:rPr>
      </w:pPr>
    </w:p>
    <w:p w14:paraId="0A87F2C2">
      <w:pPr>
        <w:pStyle w:val="6"/>
        <w:rPr>
          <w:rFonts w:hint="eastAsia" w:ascii="宋体" w:hAnsi="宋体" w:eastAsia="宋体" w:cs="宋体"/>
          <w:color w:val="auto"/>
          <w:highlight w:val="none"/>
        </w:rPr>
      </w:pPr>
    </w:p>
    <w:p w14:paraId="4DAC4804">
      <w:pPr>
        <w:pStyle w:val="3"/>
        <w:jc w:val="center"/>
        <w:rPr>
          <w:rFonts w:hint="eastAsia" w:ascii="宋体" w:hAnsi="宋体" w:eastAsia="宋体" w:cs="宋体"/>
          <w:color w:val="auto"/>
          <w:sz w:val="28"/>
          <w:highlight w:val="none"/>
        </w:rPr>
      </w:pPr>
      <w:bookmarkStart w:id="442" w:name="_Toc31064"/>
      <w:bookmarkStart w:id="443" w:name="_Toc25512"/>
      <w:bookmarkStart w:id="444" w:name="_Toc20774"/>
      <w:bookmarkStart w:id="445" w:name="_Toc14240"/>
      <w:bookmarkStart w:id="446" w:name="_Toc716"/>
      <w:bookmarkStart w:id="447" w:name="_Toc26151"/>
      <w:r>
        <w:rPr>
          <w:rFonts w:hint="eastAsia" w:ascii="宋体" w:hAnsi="宋体" w:eastAsia="宋体" w:cs="宋体"/>
          <w:color w:val="auto"/>
          <w:sz w:val="28"/>
          <w:highlight w:val="none"/>
        </w:rPr>
        <w:t>（</w:t>
      </w:r>
      <w:r>
        <w:rPr>
          <w:rFonts w:hint="eastAsia" w:hAnsi="宋体" w:cs="宋体"/>
          <w:color w:val="auto"/>
          <w:sz w:val="28"/>
          <w:highlight w:val="none"/>
          <w:lang w:val="en-US" w:eastAsia="zh-CN"/>
        </w:rPr>
        <w:t>四</w:t>
      </w:r>
      <w:r>
        <w:rPr>
          <w:rFonts w:hint="eastAsia" w:ascii="宋体" w:hAnsi="宋体" w:eastAsia="宋体" w:cs="宋体"/>
          <w:color w:val="auto"/>
          <w:sz w:val="28"/>
          <w:highlight w:val="none"/>
        </w:rPr>
        <w:t>）具有良好的商业信誉和健全的财务会计制度</w:t>
      </w:r>
      <w:bookmarkEnd w:id="442"/>
      <w:bookmarkEnd w:id="443"/>
      <w:bookmarkEnd w:id="444"/>
      <w:bookmarkEnd w:id="445"/>
      <w:bookmarkEnd w:id="446"/>
      <w:bookmarkEnd w:id="447"/>
    </w:p>
    <w:p w14:paraId="6DDDD0D7">
      <w:pPr>
        <w:pStyle w:val="6"/>
        <w:rPr>
          <w:rFonts w:hint="eastAsia" w:ascii="宋体" w:hAnsi="宋体" w:eastAsia="宋体" w:cs="宋体"/>
          <w:color w:val="auto"/>
          <w:sz w:val="24"/>
          <w:highlight w:val="none"/>
        </w:rPr>
      </w:pPr>
    </w:p>
    <w:p w14:paraId="6407D125">
      <w:pPr>
        <w:pStyle w:val="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（提供相关证明材料，格式自拟</w:t>
      </w:r>
      <w:r>
        <w:rPr>
          <w:rFonts w:hint="eastAsia" w:hAnsi="宋体" w:cs="宋体"/>
          <w:color w:val="auto"/>
          <w:sz w:val="24"/>
          <w:highlight w:val="none"/>
          <w:lang w:eastAsia="zh-CN"/>
        </w:rPr>
        <w:t>；若为联合体投标的，仅需联合体牵头人提供。</w:t>
      </w:r>
      <w:r>
        <w:rPr>
          <w:rFonts w:hint="eastAsia" w:ascii="宋体" w:hAnsi="宋体" w:eastAsia="宋体" w:cs="宋体"/>
          <w:color w:val="auto"/>
          <w:sz w:val="24"/>
          <w:highlight w:val="none"/>
        </w:rPr>
        <w:t>）</w:t>
      </w:r>
    </w:p>
    <w:p w14:paraId="744FAEAF">
      <w:pPr>
        <w:pStyle w:val="6"/>
        <w:rPr>
          <w:rFonts w:hint="eastAsia" w:ascii="宋体" w:hAnsi="宋体" w:eastAsia="宋体" w:cs="宋体"/>
          <w:color w:val="auto"/>
          <w:sz w:val="24"/>
          <w:highlight w:val="none"/>
        </w:rPr>
      </w:pPr>
    </w:p>
    <w:p w14:paraId="2807CFE5">
      <w:pPr>
        <w:pStyle w:val="6"/>
        <w:rPr>
          <w:rFonts w:hint="eastAsia" w:ascii="宋体" w:hAnsi="宋体" w:eastAsia="宋体" w:cs="宋体"/>
          <w:color w:val="auto"/>
          <w:sz w:val="24"/>
          <w:highlight w:val="none"/>
        </w:rPr>
      </w:pPr>
    </w:p>
    <w:p w14:paraId="3D03EA55">
      <w:pPr>
        <w:pStyle w:val="6"/>
        <w:rPr>
          <w:rFonts w:hint="eastAsia" w:ascii="宋体" w:hAnsi="宋体" w:eastAsia="宋体" w:cs="宋体"/>
          <w:color w:val="auto"/>
          <w:sz w:val="24"/>
          <w:highlight w:val="none"/>
        </w:rPr>
      </w:pPr>
    </w:p>
    <w:p w14:paraId="14CC67B0">
      <w:pPr>
        <w:pStyle w:val="6"/>
        <w:rPr>
          <w:rFonts w:hint="eastAsia" w:ascii="宋体" w:hAnsi="宋体" w:eastAsia="宋体" w:cs="宋体"/>
          <w:color w:val="auto"/>
          <w:sz w:val="24"/>
          <w:highlight w:val="none"/>
        </w:rPr>
      </w:pPr>
    </w:p>
    <w:p w14:paraId="5F981821">
      <w:pPr>
        <w:pStyle w:val="6"/>
        <w:rPr>
          <w:rFonts w:hint="eastAsia" w:ascii="宋体" w:hAnsi="宋体" w:eastAsia="宋体" w:cs="宋体"/>
          <w:color w:val="auto"/>
          <w:sz w:val="24"/>
          <w:highlight w:val="none"/>
        </w:rPr>
      </w:pPr>
    </w:p>
    <w:p w14:paraId="0A7A3BAA">
      <w:pPr>
        <w:pStyle w:val="6"/>
        <w:rPr>
          <w:rFonts w:hint="eastAsia" w:ascii="宋体" w:hAnsi="宋体" w:eastAsia="宋体" w:cs="宋体"/>
          <w:color w:val="auto"/>
          <w:sz w:val="24"/>
          <w:highlight w:val="none"/>
        </w:rPr>
      </w:pPr>
    </w:p>
    <w:p w14:paraId="56E4F37A">
      <w:pPr>
        <w:pStyle w:val="6"/>
        <w:rPr>
          <w:rFonts w:hint="eastAsia" w:ascii="宋体" w:hAnsi="宋体" w:eastAsia="宋体" w:cs="宋体"/>
          <w:color w:val="auto"/>
          <w:sz w:val="24"/>
          <w:highlight w:val="none"/>
        </w:rPr>
      </w:pPr>
    </w:p>
    <w:p w14:paraId="2AA5ED1F">
      <w:pPr>
        <w:pStyle w:val="6"/>
        <w:rPr>
          <w:rFonts w:hint="eastAsia" w:ascii="宋体" w:hAnsi="宋体" w:eastAsia="宋体" w:cs="宋体"/>
          <w:color w:val="auto"/>
          <w:sz w:val="24"/>
          <w:highlight w:val="none"/>
        </w:rPr>
      </w:pPr>
    </w:p>
    <w:p w14:paraId="07DC0DF3">
      <w:pPr>
        <w:pStyle w:val="6"/>
        <w:rPr>
          <w:rFonts w:hint="eastAsia" w:ascii="宋体" w:hAnsi="宋体" w:eastAsia="宋体" w:cs="宋体"/>
          <w:color w:val="auto"/>
          <w:sz w:val="24"/>
          <w:highlight w:val="none"/>
        </w:rPr>
      </w:pPr>
    </w:p>
    <w:p w14:paraId="63787A02">
      <w:pPr>
        <w:pStyle w:val="6"/>
        <w:rPr>
          <w:rFonts w:hint="eastAsia" w:ascii="宋体" w:hAnsi="宋体" w:eastAsia="宋体" w:cs="宋体"/>
          <w:color w:val="auto"/>
          <w:sz w:val="24"/>
          <w:highlight w:val="none"/>
        </w:rPr>
      </w:pPr>
    </w:p>
    <w:p w14:paraId="3ABCA980">
      <w:pPr>
        <w:pStyle w:val="6"/>
        <w:rPr>
          <w:rFonts w:hint="eastAsia" w:ascii="宋体" w:hAnsi="宋体" w:eastAsia="宋体" w:cs="宋体"/>
          <w:color w:val="auto"/>
          <w:sz w:val="24"/>
          <w:highlight w:val="none"/>
        </w:rPr>
      </w:pPr>
    </w:p>
    <w:p w14:paraId="0E1B6EEC">
      <w:pPr>
        <w:pStyle w:val="6"/>
        <w:rPr>
          <w:rFonts w:hint="eastAsia" w:ascii="宋体" w:hAnsi="宋体" w:eastAsia="宋体" w:cs="宋体"/>
          <w:color w:val="auto"/>
          <w:sz w:val="24"/>
          <w:highlight w:val="none"/>
        </w:rPr>
      </w:pPr>
    </w:p>
    <w:p w14:paraId="3C7F79DB">
      <w:pPr>
        <w:pStyle w:val="6"/>
        <w:rPr>
          <w:rFonts w:hint="eastAsia" w:ascii="宋体" w:hAnsi="宋体" w:eastAsia="宋体" w:cs="宋体"/>
          <w:color w:val="auto"/>
          <w:sz w:val="24"/>
          <w:highlight w:val="none"/>
        </w:rPr>
      </w:pPr>
    </w:p>
    <w:p w14:paraId="3576433E">
      <w:pPr>
        <w:pStyle w:val="6"/>
        <w:rPr>
          <w:rFonts w:hint="eastAsia" w:ascii="宋体" w:hAnsi="宋体" w:eastAsia="宋体" w:cs="宋体"/>
          <w:color w:val="auto"/>
          <w:sz w:val="24"/>
          <w:highlight w:val="none"/>
        </w:rPr>
      </w:pPr>
    </w:p>
    <w:p w14:paraId="09AF0F8B">
      <w:pPr>
        <w:pStyle w:val="6"/>
        <w:rPr>
          <w:rFonts w:hint="eastAsia" w:ascii="宋体" w:hAnsi="宋体" w:eastAsia="宋体" w:cs="宋体"/>
          <w:color w:val="auto"/>
          <w:sz w:val="24"/>
          <w:highlight w:val="none"/>
        </w:rPr>
      </w:pPr>
    </w:p>
    <w:p w14:paraId="04CED6B0">
      <w:pPr>
        <w:pStyle w:val="6"/>
        <w:rPr>
          <w:rFonts w:hint="eastAsia" w:ascii="宋体" w:hAnsi="宋体" w:eastAsia="宋体" w:cs="宋体"/>
          <w:color w:val="auto"/>
          <w:sz w:val="24"/>
          <w:highlight w:val="none"/>
        </w:rPr>
      </w:pPr>
    </w:p>
    <w:p w14:paraId="4AE40872">
      <w:pPr>
        <w:pStyle w:val="6"/>
        <w:rPr>
          <w:rFonts w:hint="eastAsia" w:ascii="宋体" w:hAnsi="宋体" w:eastAsia="宋体" w:cs="宋体"/>
          <w:color w:val="auto"/>
          <w:sz w:val="24"/>
          <w:highlight w:val="none"/>
        </w:rPr>
      </w:pPr>
    </w:p>
    <w:p w14:paraId="59E78861">
      <w:pPr>
        <w:pStyle w:val="6"/>
        <w:rPr>
          <w:rFonts w:hint="eastAsia" w:ascii="宋体" w:hAnsi="宋体" w:eastAsia="宋体" w:cs="宋体"/>
          <w:color w:val="auto"/>
          <w:sz w:val="24"/>
          <w:highlight w:val="none"/>
        </w:rPr>
      </w:pPr>
    </w:p>
    <w:p w14:paraId="3E07D139">
      <w:pPr>
        <w:pStyle w:val="6"/>
        <w:rPr>
          <w:rFonts w:hint="eastAsia" w:ascii="宋体" w:hAnsi="宋体" w:eastAsia="宋体" w:cs="宋体"/>
          <w:color w:val="auto"/>
          <w:sz w:val="24"/>
          <w:highlight w:val="none"/>
        </w:rPr>
      </w:pPr>
    </w:p>
    <w:p w14:paraId="1D08D24C">
      <w:pPr>
        <w:pStyle w:val="6"/>
        <w:rPr>
          <w:rFonts w:hint="eastAsia" w:ascii="宋体" w:hAnsi="宋体" w:eastAsia="宋体" w:cs="宋体"/>
          <w:color w:val="auto"/>
          <w:sz w:val="24"/>
          <w:highlight w:val="none"/>
        </w:rPr>
      </w:pPr>
    </w:p>
    <w:p w14:paraId="5F1E3DE2">
      <w:pPr>
        <w:pStyle w:val="6"/>
        <w:rPr>
          <w:rFonts w:hint="eastAsia" w:ascii="宋体" w:hAnsi="宋体" w:eastAsia="宋体" w:cs="宋体"/>
          <w:color w:val="auto"/>
          <w:sz w:val="24"/>
          <w:highlight w:val="none"/>
        </w:rPr>
      </w:pPr>
    </w:p>
    <w:p w14:paraId="6ACE30E7">
      <w:pPr>
        <w:pStyle w:val="6"/>
        <w:rPr>
          <w:rFonts w:hint="eastAsia" w:ascii="宋体" w:hAnsi="宋体" w:eastAsia="宋体" w:cs="宋体"/>
          <w:color w:val="auto"/>
          <w:sz w:val="24"/>
          <w:highlight w:val="none"/>
        </w:rPr>
      </w:pPr>
    </w:p>
    <w:p w14:paraId="640FAD4A">
      <w:pPr>
        <w:pStyle w:val="6"/>
        <w:rPr>
          <w:rFonts w:hint="eastAsia" w:ascii="宋体" w:hAnsi="宋体" w:eastAsia="宋体" w:cs="宋体"/>
          <w:color w:val="auto"/>
          <w:sz w:val="24"/>
          <w:highlight w:val="none"/>
        </w:rPr>
      </w:pPr>
    </w:p>
    <w:p w14:paraId="5E731FF4">
      <w:pPr>
        <w:pStyle w:val="6"/>
        <w:rPr>
          <w:rFonts w:hint="eastAsia" w:ascii="宋体" w:hAnsi="宋体" w:eastAsia="宋体" w:cs="宋体"/>
          <w:color w:val="auto"/>
          <w:sz w:val="24"/>
          <w:highlight w:val="none"/>
        </w:rPr>
      </w:pPr>
    </w:p>
    <w:p w14:paraId="1AD8B547">
      <w:pPr>
        <w:pStyle w:val="6"/>
        <w:rPr>
          <w:rFonts w:hint="eastAsia" w:ascii="宋体" w:hAnsi="宋体" w:eastAsia="宋体" w:cs="宋体"/>
          <w:color w:val="auto"/>
          <w:sz w:val="24"/>
          <w:highlight w:val="none"/>
        </w:rPr>
      </w:pPr>
    </w:p>
    <w:p w14:paraId="19DB71E5">
      <w:pPr>
        <w:pStyle w:val="6"/>
        <w:rPr>
          <w:rFonts w:hint="eastAsia" w:ascii="宋体" w:hAnsi="宋体" w:eastAsia="宋体" w:cs="宋体"/>
          <w:color w:val="auto"/>
          <w:sz w:val="24"/>
          <w:highlight w:val="none"/>
        </w:rPr>
      </w:pPr>
    </w:p>
    <w:p w14:paraId="5B4568A3">
      <w:pPr>
        <w:pStyle w:val="6"/>
        <w:rPr>
          <w:rFonts w:hint="eastAsia" w:ascii="宋体" w:hAnsi="宋体" w:eastAsia="宋体" w:cs="宋体"/>
          <w:color w:val="auto"/>
          <w:sz w:val="24"/>
          <w:highlight w:val="none"/>
        </w:rPr>
      </w:pPr>
    </w:p>
    <w:p w14:paraId="0A3EC008">
      <w:pPr>
        <w:pStyle w:val="6"/>
        <w:rPr>
          <w:rFonts w:hint="eastAsia" w:ascii="宋体" w:hAnsi="宋体" w:eastAsia="宋体" w:cs="宋体"/>
          <w:color w:val="auto"/>
          <w:sz w:val="24"/>
          <w:highlight w:val="none"/>
        </w:rPr>
      </w:pPr>
    </w:p>
    <w:p w14:paraId="7983CB5E">
      <w:pPr>
        <w:pStyle w:val="6"/>
        <w:rPr>
          <w:rFonts w:hint="eastAsia" w:ascii="宋体" w:hAnsi="宋体" w:eastAsia="宋体" w:cs="宋体"/>
          <w:color w:val="auto"/>
          <w:sz w:val="24"/>
          <w:highlight w:val="none"/>
        </w:rPr>
      </w:pPr>
    </w:p>
    <w:p w14:paraId="5215505A">
      <w:pPr>
        <w:pStyle w:val="6"/>
        <w:rPr>
          <w:rFonts w:hint="eastAsia" w:ascii="宋体" w:hAnsi="宋体" w:eastAsia="宋体" w:cs="宋体"/>
          <w:color w:val="auto"/>
          <w:sz w:val="24"/>
          <w:highlight w:val="none"/>
        </w:rPr>
      </w:pPr>
    </w:p>
    <w:p w14:paraId="3E68147E">
      <w:pPr>
        <w:pStyle w:val="6"/>
        <w:rPr>
          <w:rFonts w:hint="eastAsia" w:ascii="宋体" w:hAnsi="宋体" w:eastAsia="宋体" w:cs="宋体"/>
          <w:color w:val="auto"/>
          <w:sz w:val="24"/>
          <w:highlight w:val="none"/>
        </w:rPr>
      </w:pPr>
    </w:p>
    <w:p w14:paraId="2C990569">
      <w:pPr>
        <w:pStyle w:val="6"/>
        <w:rPr>
          <w:rFonts w:hint="eastAsia" w:ascii="宋体" w:hAnsi="宋体" w:eastAsia="宋体" w:cs="宋体"/>
          <w:color w:val="auto"/>
          <w:sz w:val="24"/>
          <w:highlight w:val="none"/>
        </w:rPr>
      </w:pPr>
    </w:p>
    <w:p w14:paraId="3A5FC350">
      <w:pPr>
        <w:pStyle w:val="6"/>
        <w:rPr>
          <w:rFonts w:hint="eastAsia" w:ascii="宋体" w:hAnsi="宋体" w:eastAsia="宋体" w:cs="宋体"/>
          <w:color w:val="auto"/>
          <w:sz w:val="24"/>
          <w:highlight w:val="none"/>
        </w:rPr>
      </w:pPr>
    </w:p>
    <w:p w14:paraId="5C874BE9">
      <w:pPr>
        <w:pStyle w:val="6"/>
        <w:rPr>
          <w:rFonts w:hint="eastAsia" w:ascii="宋体" w:hAnsi="宋体" w:eastAsia="宋体" w:cs="宋体"/>
          <w:color w:val="auto"/>
          <w:sz w:val="24"/>
          <w:highlight w:val="none"/>
        </w:rPr>
      </w:pPr>
    </w:p>
    <w:p w14:paraId="2CB699D2">
      <w:pPr>
        <w:pStyle w:val="6"/>
        <w:rPr>
          <w:rFonts w:hint="eastAsia" w:ascii="宋体" w:hAnsi="宋体" w:eastAsia="宋体" w:cs="宋体"/>
          <w:color w:val="auto"/>
          <w:sz w:val="24"/>
          <w:highlight w:val="none"/>
        </w:rPr>
      </w:pPr>
    </w:p>
    <w:p w14:paraId="2B261335">
      <w:pPr>
        <w:pStyle w:val="6"/>
        <w:rPr>
          <w:rFonts w:hint="eastAsia" w:ascii="宋体" w:hAnsi="宋体" w:eastAsia="宋体" w:cs="宋体"/>
          <w:color w:val="auto"/>
          <w:sz w:val="24"/>
          <w:highlight w:val="none"/>
        </w:rPr>
      </w:pPr>
    </w:p>
    <w:p w14:paraId="341EBE2B">
      <w:pPr>
        <w:pStyle w:val="6"/>
        <w:rPr>
          <w:rFonts w:hint="eastAsia" w:ascii="宋体" w:hAnsi="宋体" w:eastAsia="宋体" w:cs="宋体"/>
          <w:color w:val="auto"/>
          <w:sz w:val="24"/>
          <w:highlight w:val="none"/>
        </w:rPr>
      </w:pPr>
    </w:p>
    <w:p w14:paraId="7F4002A3">
      <w:pPr>
        <w:pStyle w:val="6"/>
        <w:rPr>
          <w:rFonts w:hint="eastAsia" w:ascii="宋体" w:hAnsi="宋体" w:eastAsia="宋体" w:cs="宋体"/>
          <w:color w:val="auto"/>
          <w:sz w:val="24"/>
          <w:highlight w:val="none"/>
        </w:rPr>
      </w:pPr>
    </w:p>
    <w:p w14:paraId="18E10B81">
      <w:pPr>
        <w:pStyle w:val="6"/>
        <w:rPr>
          <w:rFonts w:hint="eastAsia" w:ascii="宋体" w:hAnsi="宋体" w:eastAsia="宋体" w:cs="宋体"/>
          <w:color w:val="auto"/>
          <w:sz w:val="24"/>
          <w:highlight w:val="none"/>
        </w:rPr>
      </w:pPr>
    </w:p>
    <w:p w14:paraId="775BA28C">
      <w:pPr>
        <w:pStyle w:val="6"/>
        <w:rPr>
          <w:rFonts w:hint="eastAsia" w:ascii="宋体" w:hAnsi="宋体" w:eastAsia="宋体" w:cs="宋体"/>
          <w:color w:val="auto"/>
          <w:sz w:val="24"/>
          <w:highlight w:val="none"/>
        </w:rPr>
      </w:pPr>
    </w:p>
    <w:p w14:paraId="3771800D">
      <w:pPr>
        <w:pStyle w:val="6"/>
        <w:rPr>
          <w:rFonts w:hint="eastAsia" w:ascii="宋体" w:hAnsi="宋体" w:eastAsia="宋体" w:cs="宋体"/>
          <w:color w:val="auto"/>
          <w:sz w:val="24"/>
          <w:highlight w:val="none"/>
        </w:rPr>
      </w:pPr>
    </w:p>
    <w:p w14:paraId="70B2D4D5">
      <w:pPr>
        <w:pStyle w:val="3"/>
        <w:jc w:val="center"/>
        <w:rPr>
          <w:rFonts w:hint="eastAsia" w:ascii="宋体" w:hAnsi="宋体" w:eastAsia="宋体" w:cs="宋体"/>
          <w:color w:val="auto"/>
          <w:sz w:val="28"/>
          <w:highlight w:val="none"/>
        </w:rPr>
      </w:pPr>
      <w:bookmarkStart w:id="448" w:name="_Toc6342"/>
      <w:bookmarkStart w:id="449" w:name="_Toc477"/>
      <w:bookmarkStart w:id="450" w:name="_Toc11767"/>
      <w:bookmarkStart w:id="451" w:name="_Toc15911"/>
      <w:bookmarkStart w:id="452" w:name="_Toc2254"/>
      <w:bookmarkStart w:id="453" w:name="_Toc29536"/>
      <w:r>
        <w:rPr>
          <w:rFonts w:hint="eastAsia" w:ascii="宋体" w:hAnsi="宋体" w:eastAsia="宋体" w:cs="宋体"/>
          <w:color w:val="auto"/>
          <w:sz w:val="28"/>
          <w:highlight w:val="none"/>
        </w:rPr>
        <w:t>（</w:t>
      </w:r>
      <w:r>
        <w:rPr>
          <w:rFonts w:hint="eastAsia" w:hAnsi="宋体" w:cs="宋体"/>
          <w:color w:val="auto"/>
          <w:sz w:val="28"/>
          <w:highlight w:val="none"/>
          <w:lang w:val="en-US" w:eastAsia="zh-CN"/>
        </w:rPr>
        <w:t>五</w:t>
      </w:r>
      <w:r>
        <w:rPr>
          <w:rFonts w:hint="eastAsia" w:ascii="宋体" w:hAnsi="宋体" w:eastAsia="宋体" w:cs="宋体"/>
          <w:color w:val="auto"/>
          <w:sz w:val="28"/>
          <w:highlight w:val="none"/>
        </w:rPr>
        <w:t>）有依法缴纳税收和社会保障资金的良好记录</w:t>
      </w:r>
      <w:bookmarkEnd w:id="448"/>
      <w:bookmarkEnd w:id="449"/>
      <w:bookmarkEnd w:id="450"/>
      <w:bookmarkEnd w:id="451"/>
      <w:bookmarkEnd w:id="452"/>
      <w:bookmarkEnd w:id="453"/>
    </w:p>
    <w:p w14:paraId="034F12C0">
      <w:pPr>
        <w:pStyle w:val="6"/>
        <w:rPr>
          <w:rFonts w:hint="eastAsia" w:ascii="宋体" w:hAnsi="宋体" w:eastAsia="宋体" w:cs="宋体"/>
          <w:color w:val="auto"/>
          <w:sz w:val="24"/>
          <w:highlight w:val="none"/>
        </w:rPr>
      </w:pPr>
    </w:p>
    <w:p w14:paraId="3D30B8D2">
      <w:pPr>
        <w:pStyle w:val="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（提供相关证明材料，格式自拟</w:t>
      </w:r>
      <w:r>
        <w:rPr>
          <w:rFonts w:hint="eastAsia" w:hAnsi="宋体" w:cs="宋体"/>
          <w:color w:val="auto"/>
          <w:sz w:val="24"/>
          <w:highlight w:val="none"/>
          <w:lang w:eastAsia="zh-CN"/>
        </w:rPr>
        <w:t>；若为联合体投标的，仅需联合体牵头人提供。</w:t>
      </w:r>
      <w:r>
        <w:rPr>
          <w:rFonts w:hint="eastAsia" w:ascii="宋体" w:hAnsi="宋体" w:eastAsia="宋体" w:cs="宋体"/>
          <w:color w:val="auto"/>
          <w:sz w:val="24"/>
          <w:highlight w:val="none"/>
        </w:rPr>
        <w:t>）</w:t>
      </w:r>
    </w:p>
    <w:p w14:paraId="7610DF3F">
      <w:pPr>
        <w:rPr>
          <w:rFonts w:hint="eastAsia" w:ascii="宋体" w:hAnsi="宋体" w:eastAsia="宋体" w:cs="宋体"/>
          <w:color w:val="auto"/>
          <w:sz w:val="28"/>
          <w:highlight w:val="none"/>
          <w:lang w:val="en-US" w:eastAsia="zh-CN"/>
        </w:rPr>
      </w:pPr>
      <w:bookmarkStart w:id="454" w:name="_Toc4398"/>
      <w:bookmarkStart w:id="455" w:name="_Toc31437"/>
      <w:bookmarkStart w:id="456" w:name="_Toc28930"/>
      <w:bookmarkStart w:id="457" w:name="_Toc19363"/>
      <w:bookmarkStart w:id="458" w:name="_Toc5877"/>
      <w:bookmarkStart w:id="459" w:name="_Toc14751"/>
      <w:bookmarkStart w:id="460" w:name="_Toc28427"/>
      <w:bookmarkStart w:id="461" w:name="_Toc30731"/>
      <w:bookmarkStart w:id="462" w:name="_Toc9082"/>
      <w:bookmarkStart w:id="463" w:name="_Toc7744"/>
      <w:bookmarkStart w:id="464" w:name="_Toc24042"/>
      <w:bookmarkStart w:id="465" w:name="_Hlk167620731"/>
      <w:r>
        <w:rPr>
          <w:rFonts w:hint="eastAsia" w:ascii="宋体" w:hAnsi="宋体" w:eastAsia="宋体" w:cs="宋体"/>
          <w:color w:val="auto"/>
          <w:sz w:val="28"/>
          <w:highlight w:val="none"/>
          <w:lang w:val="en-US" w:eastAsia="zh-CN"/>
        </w:rPr>
        <w:br w:type="page"/>
      </w:r>
    </w:p>
    <w:p w14:paraId="6AFC7566">
      <w:pPr>
        <w:pStyle w:val="3"/>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（六）</w:t>
      </w:r>
      <w:bookmarkEnd w:id="454"/>
      <w:bookmarkEnd w:id="455"/>
      <w:bookmarkEnd w:id="456"/>
      <w:bookmarkEnd w:id="457"/>
      <w:bookmarkEnd w:id="458"/>
      <w:bookmarkEnd w:id="459"/>
      <w:bookmarkEnd w:id="460"/>
      <w:r>
        <w:rPr>
          <w:rFonts w:hint="eastAsia" w:ascii="宋体" w:hAnsi="宋体" w:eastAsia="宋体" w:cs="宋体"/>
          <w:color w:val="auto"/>
          <w:sz w:val="28"/>
          <w:highlight w:val="none"/>
        </w:rPr>
        <w:t>联合体协议书（联合体适用）</w:t>
      </w:r>
    </w:p>
    <w:p w14:paraId="50A18EAC">
      <w:pPr>
        <w:spacing w:after="0"/>
        <w:rPr>
          <w:rFonts w:ascii="宋体" w:hAnsi="宋体"/>
          <w:szCs w:val="21"/>
          <w:highlight w:val="none"/>
        </w:rPr>
      </w:pPr>
    </w:p>
    <w:p w14:paraId="2F3A09D6">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（所有成员单位名称）自愿组成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（联合体名称,如A/B）联合体，共同参加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（项目名称）投标。现就联合体投标事宜订立如下协议。</w:t>
      </w:r>
    </w:p>
    <w:p w14:paraId="49A9098F">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（某成员单位名称）为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（联合体名称）牵头人。</w:t>
      </w:r>
    </w:p>
    <w:p w14:paraId="28C35911">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2.联合体各成员授权牵头人代表联合体参加投标活动，签署文件，提交和接收相关的资料、信息及指示，进行合同谈判活动，负责合同实施阶段的组织和协调工作，以及处理与本招标项目有关的一切事宜。</w:t>
      </w:r>
    </w:p>
    <w:p w14:paraId="0F09246A">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3.联合体牵头人在本项目中签署的一切文件和处理的一切事宜，联合体各成员均予以承认。联合体各成员将严格按照招标文件、投标文件和合同的要求全面履行义务，并向招标人承担连带责任。 </w:t>
      </w:r>
    </w:p>
    <w:p w14:paraId="4AA4420D">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4.联合体各成员单位内部的职责分工如下：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D98D732">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5.本协议书自所有成员单位法定代表人或其委托代理人签字</w:t>
      </w:r>
      <w:r>
        <w:rPr>
          <w:rFonts w:hint="eastAsia" w:ascii="宋体" w:hAnsi="宋体" w:cs="宋体"/>
          <w:sz w:val="24"/>
          <w:szCs w:val="24"/>
          <w:highlight w:val="none"/>
          <w:lang w:eastAsia="zh-CN"/>
        </w:rPr>
        <w:t>或加</w:t>
      </w:r>
      <w:r>
        <w:rPr>
          <w:rFonts w:hint="eastAsia" w:ascii="宋体" w:hAnsi="宋体" w:eastAsia="宋体" w:cs="宋体"/>
          <w:sz w:val="24"/>
          <w:szCs w:val="24"/>
          <w:highlight w:val="none"/>
        </w:rPr>
        <w:t>盖单</w:t>
      </w:r>
      <w:r>
        <w:rPr>
          <w:rFonts w:hint="eastAsia" w:ascii="宋体" w:hAnsi="宋体" w:eastAsia="宋体" w:cs="宋体"/>
          <w:sz w:val="24"/>
          <w:szCs w:val="24"/>
          <w:highlight w:val="none"/>
          <w:lang w:eastAsia="zh-CN"/>
        </w:rPr>
        <w:t>位公</w:t>
      </w:r>
      <w:r>
        <w:rPr>
          <w:rFonts w:hint="eastAsia" w:ascii="宋体" w:hAnsi="宋体" w:eastAsia="宋体" w:cs="宋体"/>
          <w:sz w:val="24"/>
          <w:szCs w:val="24"/>
          <w:highlight w:val="none"/>
        </w:rPr>
        <w:t xml:space="preserve">章之日起生效，合同履行完毕后自动失效。 </w:t>
      </w:r>
    </w:p>
    <w:p w14:paraId="487AEC4E">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6.本协议书一式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份，联合体成员和招标人各执一份。 </w:t>
      </w:r>
    </w:p>
    <w:p w14:paraId="26976F2D">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p>
    <w:p w14:paraId="13D42BBC">
      <w:pPr>
        <w:keepNext w:val="0"/>
        <w:keepLines w:val="0"/>
        <w:pageBreakBefore w:val="0"/>
        <w:widowControl w:val="0"/>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注：本协议书由法定代表人签字的，应附法定代表人身份证明；由委托代理人签字的，应附授权委托书。</w:t>
      </w:r>
    </w:p>
    <w:p w14:paraId="7F92D538">
      <w:pPr>
        <w:keepNext w:val="0"/>
        <w:keepLines w:val="0"/>
        <w:pageBreakBefore w:val="0"/>
        <w:widowControl w:val="0"/>
        <w:kinsoku/>
        <w:wordWrap/>
        <w:overflowPunct/>
        <w:topLinePunct w:val="0"/>
        <w:autoSpaceDE/>
        <w:autoSpaceDN/>
        <w:bidi w:val="0"/>
        <w:spacing w:after="0" w:line="480" w:lineRule="exact"/>
        <w:ind w:firstLine="480" w:firstLineChars="200"/>
        <w:textAlignment w:val="auto"/>
        <w:rPr>
          <w:rFonts w:ascii="宋体" w:hAnsi="宋体"/>
          <w:sz w:val="24"/>
          <w:szCs w:val="24"/>
          <w:highlight w:val="none"/>
        </w:rPr>
      </w:pPr>
    </w:p>
    <w:p w14:paraId="45401185">
      <w:pPr>
        <w:keepNext w:val="0"/>
        <w:keepLines w:val="0"/>
        <w:pageBreakBefore w:val="0"/>
        <w:widowControl w:val="0"/>
        <w:kinsoku/>
        <w:wordWrap/>
        <w:overflowPunct/>
        <w:topLinePunct w:val="0"/>
        <w:autoSpaceDE/>
        <w:autoSpaceDN/>
        <w:bidi w:val="0"/>
        <w:spacing w:after="0" w:line="480" w:lineRule="exact"/>
        <w:ind w:firstLine="480" w:firstLineChars="200"/>
        <w:textAlignment w:val="auto"/>
        <w:rPr>
          <w:rFonts w:ascii="宋体" w:hAnsi="宋体"/>
          <w:sz w:val="24"/>
          <w:szCs w:val="24"/>
          <w:highlight w:val="none"/>
        </w:rPr>
      </w:pPr>
      <w:r>
        <w:rPr>
          <w:rFonts w:hint="eastAsia" w:ascii="宋体" w:hAnsi="宋体"/>
          <w:sz w:val="24"/>
          <w:szCs w:val="24"/>
          <w:highlight w:val="none"/>
        </w:rPr>
        <w:t>联合体牵头人名称：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（盖单位章） </w:t>
      </w:r>
    </w:p>
    <w:p w14:paraId="2B0CCA38">
      <w:pPr>
        <w:keepNext w:val="0"/>
        <w:keepLines w:val="0"/>
        <w:pageBreakBefore w:val="0"/>
        <w:widowControl w:val="0"/>
        <w:kinsoku/>
        <w:wordWrap/>
        <w:overflowPunct/>
        <w:topLinePunct w:val="0"/>
        <w:autoSpaceDE/>
        <w:autoSpaceDN/>
        <w:bidi w:val="0"/>
        <w:spacing w:after="0" w:line="480" w:lineRule="exact"/>
        <w:ind w:firstLine="480" w:firstLineChars="200"/>
        <w:textAlignment w:val="auto"/>
        <w:rPr>
          <w:rFonts w:ascii="宋体" w:hAnsi="宋体"/>
          <w:sz w:val="24"/>
          <w:szCs w:val="24"/>
          <w:highlight w:val="none"/>
        </w:rPr>
      </w:pPr>
      <w:r>
        <w:rPr>
          <w:rFonts w:hint="eastAsia" w:ascii="宋体" w:hAnsi="宋体"/>
          <w:sz w:val="24"/>
          <w:szCs w:val="24"/>
          <w:highlight w:val="none"/>
        </w:rPr>
        <w:t>法定代表人或其委托代理人：</w:t>
      </w:r>
      <w:r>
        <w:rPr>
          <w:rFonts w:hint="eastAsia" w:ascii="宋体" w:hAnsi="宋体"/>
          <w:sz w:val="24"/>
          <w:szCs w:val="24"/>
          <w:highlight w:val="none"/>
          <w:u w:val="single"/>
        </w:rPr>
        <w:t xml:space="preserve">          </w:t>
      </w:r>
      <w:r>
        <w:rPr>
          <w:rFonts w:hint="eastAsia" w:ascii="宋体" w:hAnsi="宋体"/>
          <w:sz w:val="24"/>
          <w:szCs w:val="24"/>
          <w:highlight w:val="none"/>
        </w:rPr>
        <w:t xml:space="preserve">（签字） </w:t>
      </w:r>
    </w:p>
    <w:p w14:paraId="467D99FC">
      <w:pPr>
        <w:keepNext w:val="0"/>
        <w:keepLines w:val="0"/>
        <w:pageBreakBefore w:val="0"/>
        <w:widowControl w:val="0"/>
        <w:kinsoku/>
        <w:wordWrap/>
        <w:overflowPunct/>
        <w:topLinePunct w:val="0"/>
        <w:autoSpaceDE/>
        <w:autoSpaceDN/>
        <w:bidi w:val="0"/>
        <w:spacing w:after="0" w:line="480" w:lineRule="exact"/>
        <w:ind w:firstLine="480" w:firstLineChars="200"/>
        <w:textAlignment w:val="auto"/>
        <w:rPr>
          <w:rFonts w:ascii="宋体" w:hAnsi="宋体"/>
          <w:sz w:val="24"/>
          <w:szCs w:val="24"/>
          <w:highlight w:val="none"/>
        </w:rPr>
      </w:pPr>
      <w:r>
        <w:rPr>
          <w:rFonts w:ascii="宋体" w:hAnsi="宋体"/>
          <w:sz w:val="24"/>
          <w:szCs w:val="24"/>
          <w:highlight w:val="none"/>
        </w:rPr>
        <w:t xml:space="preserve"> </w:t>
      </w:r>
    </w:p>
    <w:p w14:paraId="5F4EDC1E">
      <w:pPr>
        <w:keepNext w:val="0"/>
        <w:keepLines w:val="0"/>
        <w:pageBreakBefore w:val="0"/>
        <w:widowControl w:val="0"/>
        <w:kinsoku/>
        <w:wordWrap/>
        <w:overflowPunct/>
        <w:topLinePunct w:val="0"/>
        <w:autoSpaceDE/>
        <w:autoSpaceDN/>
        <w:bidi w:val="0"/>
        <w:spacing w:after="0" w:line="480" w:lineRule="exact"/>
        <w:ind w:firstLine="480" w:firstLineChars="200"/>
        <w:textAlignment w:val="auto"/>
        <w:rPr>
          <w:rFonts w:ascii="宋体" w:hAnsi="宋体"/>
          <w:sz w:val="24"/>
          <w:szCs w:val="24"/>
          <w:highlight w:val="none"/>
        </w:rPr>
      </w:pPr>
      <w:r>
        <w:rPr>
          <w:rFonts w:hint="eastAsia" w:ascii="宋体" w:hAnsi="宋体"/>
          <w:sz w:val="24"/>
          <w:szCs w:val="24"/>
          <w:highlight w:val="none"/>
        </w:rPr>
        <w:t>联合体成员名称：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（盖单位章） </w:t>
      </w:r>
    </w:p>
    <w:p w14:paraId="156CE703">
      <w:pPr>
        <w:keepNext w:val="0"/>
        <w:keepLines w:val="0"/>
        <w:pageBreakBefore w:val="0"/>
        <w:widowControl w:val="0"/>
        <w:kinsoku/>
        <w:wordWrap/>
        <w:overflowPunct/>
        <w:topLinePunct w:val="0"/>
        <w:autoSpaceDE/>
        <w:autoSpaceDN/>
        <w:bidi w:val="0"/>
        <w:spacing w:after="0" w:line="480" w:lineRule="exact"/>
        <w:ind w:firstLine="480" w:firstLineChars="200"/>
        <w:textAlignment w:val="auto"/>
        <w:rPr>
          <w:rFonts w:ascii="宋体" w:hAnsi="宋体"/>
          <w:sz w:val="24"/>
          <w:szCs w:val="24"/>
          <w:highlight w:val="none"/>
        </w:rPr>
      </w:pPr>
      <w:r>
        <w:rPr>
          <w:rFonts w:hint="eastAsia" w:ascii="宋体" w:hAnsi="宋体"/>
          <w:sz w:val="24"/>
          <w:szCs w:val="24"/>
          <w:highlight w:val="none"/>
        </w:rPr>
        <w:t>法定代表人或其委托代理人：</w:t>
      </w:r>
      <w:r>
        <w:rPr>
          <w:rFonts w:hint="eastAsia" w:ascii="宋体" w:hAnsi="宋体"/>
          <w:sz w:val="24"/>
          <w:szCs w:val="24"/>
          <w:highlight w:val="none"/>
          <w:u w:val="single"/>
        </w:rPr>
        <w:t xml:space="preserve">          </w:t>
      </w:r>
      <w:r>
        <w:rPr>
          <w:rFonts w:hint="eastAsia" w:ascii="宋体" w:hAnsi="宋体"/>
          <w:sz w:val="24"/>
          <w:szCs w:val="24"/>
          <w:highlight w:val="none"/>
        </w:rPr>
        <w:t xml:space="preserve">（签字） </w:t>
      </w:r>
    </w:p>
    <w:p w14:paraId="2F50FE89">
      <w:pPr>
        <w:spacing w:after="0"/>
        <w:ind w:firstLine="480" w:firstLineChars="200"/>
        <w:rPr>
          <w:rFonts w:ascii="宋体" w:hAnsi="宋体"/>
          <w:sz w:val="24"/>
          <w:szCs w:val="24"/>
          <w:highlight w:val="none"/>
        </w:rPr>
      </w:pPr>
    </w:p>
    <w:p w14:paraId="11FDB64C">
      <w:pPr>
        <w:pStyle w:val="3"/>
        <w:jc w:val="both"/>
        <w:rPr>
          <w:rFonts w:hint="eastAsia" w:ascii="宋体" w:hAnsi="宋体"/>
          <w:sz w:val="24"/>
          <w:szCs w:val="24"/>
          <w:highlight w:val="none"/>
        </w:rPr>
      </w:pPr>
      <w:r>
        <w:rPr>
          <w:rFonts w:hint="eastAsia" w:ascii="宋体" w:hAnsi="宋体"/>
          <w:sz w:val="24"/>
          <w:szCs w:val="24"/>
          <w:highlight w:val="none"/>
        </w:rPr>
        <w:t>注：如联合体投标的，按以上格式签订联合体协议书，并附联合体协议书扫描件加盖单位公章。</w:t>
      </w:r>
    </w:p>
    <w:p w14:paraId="27799AA4">
      <w:pPr>
        <w:rPr>
          <w:rFonts w:hint="eastAsia" w:hAnsi="宋体" w:cs="宋体"/>
          <w:color w:val="auto"/>
          <w:sz w:val="28"/>
          <w:highlight w:val="none"/>
          <w:lang w:eastAsia="zh-CN"/>
        </w:rPr>
      </w:pPr>
      <w:r>
        <w:rPr>
          <w:rFonts w:hint="eastAsia" w:hAnsi="宋体" w:cs="宋体"/>
          <w:color w:val="auto"/>
          <w:sz w:val="28"/>
          <w:highlight w:val="none"/>
          <w:lang w:eastAsia="zh-CN"/>
        </w:rPr>
        <w:br w:type="page"/>
      </w:r>
    </w:p>
    <w:p w14:paraId="18D75585">
      <w:pPr>
        <w:pStyle w:val="3"/>
        <w:jc w:val="center"/>
        <w:rPr>
          <w:rFonts w:hint="eastAsia" w:ascii="宋体" w:hAnsi="宋体" w:eastAsia="宋体" w:cs="宋体"/>
          <w:color w:val="auto"/>
          <w:sz w:val="28"/>
          <w:highlight w:val="none"/>
        </w:rPr>
      </w:pPr>
      <w:r>
        <w:rPr>
          <w:rFonts w:hint="eastAsia" w:hAnsi="宋体" w:cs="宋体"/>
          <w:color w:val="auto"/>
          <w:sz w:val="28"/>
          <w:highlight w:val="none"/>
          <w:lang w:eastAsia="zh-CN"/>
        </w:rPr>
        <w:t>（</w:t>
      </w:r>
      <w:r>
        <w:rPr>
          <w:rFonts w:hint="eastAsia" w:hAnsi="宋体" w:cs="宋体"/>
          <w:color w:val="auto"/>
          <w:sz w:val="28"/>
          <w:highlight w:val="none"/>
          <w:lang w:val="en-US" w:eastAsia="zh-CN"/>
        </w:rPr>
        <w:t>七</w:t>
      </w:r>
      <w:r>
        <w:rPr>
          <w:rFonts w:hint="eastAsia" w:hAnsi="宋体" w:cs="宋体"/>
          <w:color w:val="auto"/>
          <w:sz w:val="28"/>
          <w:highlight w:val="none"/>
          <w:lang w:eastAsia="zh-CN"/>
        </w:rPr>
        <w:t>）其他</w:t>
      </w:r>
      <w:r>
        <w:rPr>
          <w:rFonts w:hint="eastAsia" w:ascii="宋体" w:hAnsi="宋体" w:eastAsia="宋体" w:cs="宋体"/>
          <w:color w:val="auto"/>
          <w:sz w:val="28"/>
          <w:highlight w:val="none"/>
        </w:rPr>
        <w:t>内容</w:t>
      </w:r>
      <w:bookmarkEnd w:id="461"/>
      <w:bookmarkEnd w:id="462"/>
      <w:bookmarkEnd w:id="463"/>
      <w:bookmarkEnd w:id="464"/>
    </w:p>
    <w:p w14:paraId="4FA5AC07">
      <w:pPr>
        <w:spacing w:after="0" w:line="360" w:lineRule="auto"/>
        <w:ind w:firstLine="480" w:firstLineChars="200"/>
        <w:jc w:val="left"/>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1.</w:t>
      </w:r>
      <w:r>
        <w:rPr>
          <w:rFonts w:hint="eastAsia" w:ascii="宋体" w:hAnsi="宋体"/>
          <w:bCs/>
          <w:color w:val="auto"/>
          <w:sz w:val="24"/>
          <w:highlight w:val="none"/>
        </w:rPr>
        <w:t>提供以下承诺</w:t>
      </w:r>
      <w:r>
        <w:rPr>
          <w:rFonts w:hint="eastAsia" w:ascii="宋体" w:hAnsi="宋体"/>
          <w:bCs/>
          <w:color w:val="auto"/>
          <w:sz w:val="24"/>
          <w:highlight w:val="none"/>
          <w:lang w:eastAsia="zh-CN"/>
        </w:rPr>
        <w:t>（注：若为联合体投标的，联合体双方均需提供。）</w:t>
      </w:r>
    </w:p>
    <w:bookmarkEnd w:id="465"/>
    <w:p w14:paraId="06BF7EFE">
      <w:pPr>
        <w:spacing w:after="0"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（1）与采购人存在利害关系可能影响招标公正性的法人、</w:t>
      </w:r>
      <w:r>
        <w:rPr>
          <w:rFonts w:hint="eastAsia" w:ascii="宋体" w:hAnsi="宋体"/>
          <w:color w:val="auto"/>
          <w:sz w:val="24"/>
          <w:highlight w:val="none"/>
          <w:lang w:eastAsia="zh-CN"/>
        </w:rPr>
        <w:t>其他</w:t>
      </w:r>
      <w:r>
        <w:rPr>
          <w:rFonts w:hint="eastAsia" w:ascii="宋体" w:hAnsi="宋体"/>
          <w:color w:val="auto"/>
          <w:sz w:val="24"/>
          <w:highlight w:val="none"/>
        </w:rPr>
        <w:t>组织或者个人，不得参加投标；</w:t>
      </w:r>
    </w:p>
    <w:p w14:paraId="7F439634">
      <w:pPr>
        <w:spacing w:after="0" w:line="360" w:lineRule="auto"/>
        <w:ind w:firstLine="480" w:firstLineChars="200"/>
        <w:jc w:val="left"/>
        <w:rPr>
          <w:rFonts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单位负责人为同一人或者存在控股、管理关系的不同单位，不得参加同一招标项目（或同一标段）投标。</w:t>
      </w:r>
    </w:p>
    <w:p w14:paraId="7FA0A460">
      <w:pPr>
        <w:spacing w:after="0"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lang w:eastAsia="zh-CN"/>
        </w:rPr>
        <w:t>2.</w:t>
      </w:r>
      <w:r>
        <w:rPr>
          <w:rFonts w:hint="eastAsia" w:ascii="宋体" w:hAnsi="宋体"/>
          <w:bCs/>
          <w:color w:val="auto"/>
          <w:sz w:val="24"/>
          <w:highlight w:val="none"/>
        </w:rPr>
        <w:t>根据</w:t>
      </w:r>
      <w:r>
        <w:rPr>
          <w:rFonts w:ascii="宋体" w:hAnsi="宋体"/>
          <w:bCs/>
          <w:color w:val="auto"/>
          <w:sz w:val="24"/>
          <w:highlight w:val="none"/>
        </w:rPr>
        <w:t>“</w:t>
      </w:r>
      <w:r>
        <w:rPr>
          <w:rFonts w:hint="eastAsia" w:ascii="宋体" w:hAnsi="宋体"/>
          <w:bCs/>
          <w:color w:val="auto"/>
          <w:sz w:val="24"/>
          <w:highlight w:val="none"/>
        </w:rPr>
        <w:t>招标文件</w:t>
      </w:r>
      <w:r>
        <w:rPr>
          <w:rFonts w:ascii="宋体" w:hAnsi="宋体"/>
          <w:bCs/>
          <w:color w:val="auto"/>
          <w:sz w:val="24"/>
          <w:highlight w:val="none"/>
        </w:rPr>
        <w:t>”</w:t>
      </w:r>
      <w:r>
        <w:rPr>
          <w:rFonts w:hint="eastAsia" w:ascii="宋体" w:hAnsi="宋体"/>
          <w:bCs/>
          <w:color w:val="auto"/>
          <w:sz w:val="24"/>
          <w:highlight w:val="none"/>
          <w:lang w:val="en-US" w:eastAsia="zh-CN"/>
        </w:rPr>
        <w:t>资格</w:t>
      </w:r>
      <w:r>
        <w:rPr>
          <w:rFonts w:hint="eastAsia" w:ascii="宋体" w:hAnsi="宋体"/>
          <w:bCs/>
          <w:color w:val="auto"/>
          <w:sz w:val="24"/>
          <w:highlight w:val="none"/>
        </w:rPr>
        <w:t>要求</w:t>
      </w:r>
      <w:r>
        <w:rPr>
          <w:rFonts w:ascii="宋体" w:hAnsi="宋体"/>
          <w:bCs/>
          <w:color w:val="auto"/>
          <w:sz w:val="24"/>
          <w:highlight w:val="none"/>
        </w:rPr>
        <w:t>，</w:t>
      </w:r>
      <w:r>
        <w:rPr>
          <w:rFonts w:hint="eastAsia" w:ascii="宋体" w:hAnsi="宋体"/>
          <w:bCs/>
          <w:color w:val="auto"/>
          <w:sz w:val="24"/>
          <w:highlight w:val="none"/>
        </w:rPr>
        <w:t>投标人认为需要提供的。</w:t>
      </w:r>
      <w:r>
        <w:rPr>
          <w:rFonts w:ascii="宋体" w:hAnsi="宋体"/>
          <w:bCs/>
          <w:color w:val="auto"/>
          <w:sz w:val="24"/>
          <w:highlight w:val="none"/>
        </w:rPr>
        <w:t>有格式的请按给定格式填写，无格式要求的请自拟格式</w:t>
      </w:r>
      <w:r>
        <w:rPr>
          <w:rFonts w:hint="eastAsia" w:ascii="宋体" w:hAnsi="宋体"/>
          <w:bCs/>
          <w:color w:val="auto"/>
          <w:sz w:val="24"/>
          <w:highlight w:val="none"/>
        </w:rPr>
        <w:t>。</w:t>
      </w:r>
    </w:p>
    <w:p w14:paraId="5DB4392B">
      <w:pPr>
        <w:pStyle w:val="6"/>
        <w:rPr>
          <w:rFonts w:hint="eastAsia" w:ascii="宋体" w:hAnsi="宋体" w:eastAsia="宋体" w:cs="宋体"/>
          <w:color w:val="auto"/>
          <w:sz w:val="24"/>
          <w:highlight w:val="none"/>
        </w:rPr>
      </w:pPr>
    </w:p>
    <w:p w14:paraId="58C7B63C">
      <w:pPr>
        <w:pStyle w:val="6"/>
        <w:rPr>
          <w:rFonts w:hint="eastAsia" w:ascii="宋体" w:hAnsi="宋体" w:eastAsia="宋体" w:cs="宋体"/>
          <w:color w:val="auto"/>
          <w:sz w:val="24"/>
          <w:highlight w:val="none"/>
        </w:rPr>
      </w:pPr>
    </w:p>
    <w:p w14:paraId="23087C8B">
      <w:pPr>
        <w:pStyle w:val="6"/>
        <w:rPr>
          <w:rFonts w:hint="eastAsia" w:ascii="宋体" w:hAnsi="宋体" w:eastAsia="宋体" w:cs="宋体"/>
          <w:color w:val="auto"/>
          <w:sz w:val="24"/>
          <w:highlight w:val="none"/>
        </w:rPr>
      </w:pPr>
    </w:p>
    <w:p w14:paraId="325A396A">
      <w:pPr>
        <w:pStyle w:val="6"/>
        <w:rPr>
          <w:rFonts w:hint="eastAsia" w:ascii="宋体" w:hAnsi="宋体" w:eastAsia="宋体" w:cs="宋体"/>
          <w:color w:val="auto"/>
          <w:sz w:val="24"/>
          <w:highlight w:val="none"/>
        </w:rPr>
      </w:pPr>
    </w:p>
    <w:p w14:paraId="4EF905F2">
      <w:pPr>
        <w:pStyle w:val="6"/>
        <w:rPr>
          <w:rFonts w:hint="eastAsia" w:ascii="宋体" w:hAnsi="宋体" w:eastAsia="宋体" w:cs="宋体"/>
          <w:color w:val="auto"/>
          <w:sz w:val="24"/>
          <w:highlight w:val="none"/>
        </w:rPr>
      </w:pPr>
    </w:p>
    <w:p w14:paraId="227C57ED">
      <w:pPr>
        <w:pStyle w:val="6"/>
        <w:rPr>
          <w:rFonts w:hint="eastAsia" w:ascii="宋体" w:hAnsi="宋体" w:eastAsia="宋体" w:cs="宋体"/>
          <w:color w:val="auto"/>
          <w:sz w:val="24"/>
          <w:highlight w:val="none"/>
        </w:rPr>
      </w:pPr>
    </w:p>
    <w:p w14:paraId="57B8D731">
      <w:pPr>
        <w:pStyle w:val="6"/>
        <w:rPr>
          <w:rFonts w:hint="eastAsia" w:ascii="宋体" w:hAnsi="宋体" w:eastAsia="宋体" w:cs="宋体"/>
          <w:color w:val="auto"/>
          <w:sz w:val="24"/>
          <w:highlight w:val="none"/>
        </w:rPr>
      </w:pPr>
    </w:p>
    <w:p w14:paraId="06A0DA50">
      <w:pPr>
        <w:pStyle w:val="6"/>
        <w:rPr>
          <w:rFonts w:hint="eastAsia" w:ascii="宋体" w:hAnsi="宋体" w:eastAsia="宋体" w:cs="宋体"/>
          <w:color w:val="auto"/>
          <w:sz w:val="24"/>
          <w:highlight w:val="none"/>
        </w:rPr>
      </w:pPr>
    </w:p>
    <w:p w14:paraId="16224F90">
      <w:pPr>
        <w:pStyle w:val="6"/>
        <w:rPr>
          <w:rFonts w:hint="eastAsia" w:ascii="宋体" w:hAnsi="宋体" w:eastAsia="宋体" w:cs="宋体"/>
          <w:color w:val="auto"/>
          <w:sz w:val="24"/>
          <w:highlight w:val="none"/>
        </w:rPr>
      </w:pPr>
    </w:p>
    <w:p w14:paraId="216ECFF3">
      <w:pPr>
        <w:pStyle w:val="6"/>
        <w:rPr>
          <w:rFonts w:hint="eastAsia" w:ascii="宋体" w:hAnsi="宋体" w:eastAsia="宋体" w:cs="宋体"/>
          <w:color w:val="auto"/>
          <w:sz w:val="24"/>
          <w:highlight w:val="none"/>
        </w:rPr>
      </w:pPr>
    </w:p>
    <w:p w14:paraId="3C9ABFEB">
      <w:pPr>
        <w:pStyle w:val="6"/>
        <w:rPr>
          <w:rFonts w:hint="eastAsia" w:ascii="宋体" w:hAnsi="宋体" w:eastAsia="宋体" w:cs="宋体"/>
          <w:color w:val="auto"/>
          <w:sz w:val="24"/>
          <w:highlight w:val="none"/>
        </w:rPr>
      </w:pPr>
    </w:p>
    <w:p w14:paraId="5180759D">
      <w:pPr>
        <w:pStyle w:val="6"/>
        <w:rPr>
          <w:rFonts w:hint="eastAsia" w:ascii="宋体" w:hAnsi="宋体" w:eastAsia="宋体" w:cs="宋体"/>
          <w:color w:val="auto"/>
          <w:sz w:val="24"/>
          <w:highlight w:val="none"/>
        </w:rPr>
      </w:pPr>
    </w:p>
    <w:p w14:paraId="5718572E">
      <w:pPr>
        <w:pStyle w:val="3"/>
        <w:jc w:val="center"/>
        <w:outlineLvl w:val="9"/>
        <w:rPr>
          <w:rFonts w:hint="eastAsia" w:ascii="宋体" w:hAnsi="宋体" w:eastAsia="宋体" w:cs="宋体"/>
          <w:color w:val="auto"/>
          <w:sz w:val="28"/>
          <w:highlight w:val="none"/>
        </w:rPr>
        <w:sectPr>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pPr>
      <w:bookmarkStart w:id="466" w:name="_Toc107998362"/>
      <w:bookmarkStart w:id="467" w:name="_Toc23065"/>
      <w:bookmarkStart w:id="468" w:name="_Toc107998820"/>
    </w:p>
    <w:bookmarkEnd w:id="466"/>
    <w:bookmarkEnd w:id="467"/>
    <w:bookmarkEnd w:id="468"/>
    <w:p w14:paraId="145F92D4">
      <w:pPr>
        <w:pStyle w:val="3"/>
        <w:numPr>
          <w:ilvl w:val="0"/>
          <w:numId w:val="0"/>
        </w:numPr>
        <w:jc w:val="center"/>
        <w:rPr>
          <w:rFonts w:hint="eastAsia" w:ascii="宋体" w:hAnsi="宋体" w:eastAsia="宋体" w:cs="宋体"/>
          <w:color w:val="auto"/>
          <w:kern w:val="0"/>
          <w:sz w:val="30"/>
          <w:szCs w:val="30"/>
          <w:highlight w:val="none"/>
        </w:rPr>
      </w:pPr>
      <w:bookmarkStart w:id="469" w:name="_Toc21257"/>
      <w:bookmarkStart w:id="470" w:name="_Toc28968"/>
      <w:bookmarkStart w:id="471" w:name="_Toc23907"/>
      <w:r>
        <w:rPr>
          <w:rFonts w:hint="eastAsia" w:ascii="宋体" w:hAnsi="宋体" w:eastAsia="宋体" w:cs="宋体"/>
          <w:b/>
          <w:color w:val="auto"/>
          <w:kern w:val="0"/>
          <w:sz w:val="30"/>
          <w:szCs w:val="30"/>
          <w:highlight w:val="none"/>
          <w:lang w:val="en-US" w:eastAsia="zh-CN" w:bidi="ar-SA"/>
        </w:rPr>
        <w:t>二、</w:t>
      </w:r>
      <w:r>
        <w:rPr>
          <w:rFonts w:hint="eastAsia" w:ascii="宋体" w:hAnsi="宋体" w:eastAsia="宋体" w:cs="宋体"/>
          <w:color w:val="auto"/>
          <w:kern w:val="0"/>
          <w:sz w:val="30"/>
          <w:szCs w:val="30"/>
          <w:highlight w:val="none"/>
        </w:rPr>
        <w:t>投标文件商务部分</w:t>
      </w:r>
      <w:bookmarkEnd w:id="469"/>
      <w:bookmarkEnd w:id="470"/>
      <w:bookmarkEnd w:id="471"/>
    </w:p>
    <w:p w14:paraId="4FAD1257">
      <w:pPr>
        <w:pStyle w:val="3"/>
        <w:jc w:val="center"/>
        <w:rPr>
          <w:rFonts w:hint="eastAsia" w:ascii="宋体" w:hAnsi="宋体" w:eastAsia="宋体" w:cs="宋体"/>
          <w:bCs/>
          <w:color w:val="auto"/>
          <w:kern w:val="0"/>
          <w:sz w:val="28"/>
          <w:highlight w:val="none"/>
        </w:rPr>
      </w:pPr>
      <w:bookmarkStart w:id="472" w:name="_Toc11843"/>
      <w:bookmarkStart w:id="473" w:name="_Toc7530"/>
      <w:bookmarkStart w:id="474" w:name="_Toc21762"/>
      <w:bookmarkStart w:id="475" w:name="_Toc18290"/>
      <w:bookmarkStart w:id="476" w:name="_Toc10449"/>
      <w:bookmarkStart w:id="477" w:name="_Toc25887"/>
      <w:r>
        <w:rPr>
          <w:rFonts w:hint="eastAsia" w:ascii="宋体" w:hAnsi="宋体" w:eastAsia="宋体" w:cs="宋体"/>
          <w:bCs/>
          <w:color w:val="auto"/>
          <w:kern w:val="0"/>
          <w:sz w:val="28"/>
          <w:highlight w:val="none"/>
        </w:rPr>
        <w:t>（一）投标报价（唱标）一览表</w:t>
      </w:r>
      <w:bookmarkEnd w:id="472"/>
      <w:bookmarkEnd w:id="473"/>
      <w:bookmarkEnd w:id="474"/>
      <w:bookmarkEnd w:id="475"/>
      <w:bookmarkEnd w:id="476"/>
      <w:bookmarkEnd w:id="477"/>
    </w:p>
    <w:bookmarkEnd w:id="384"/>
    <w:bookmarkEnd w:id="385"/>
    <w:bookmarkEnd w:id="386"/>
    <w:bookmarkEnd w:id="387"/>
    <w:bookmarkEnd w:id="388"/>
    <w:bookmarkEnd w:id="389"/>
    <w:bookmarkEnd w:id="390"/>
    <w:bookmarkEnd w:id="391"/>
    <w:bookmarkEnd w:id="392"/>
    <w:p w14:paraId="73CC0CB4">
      <w:pPr>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p>
    <w:tbl>
      <w:tblPr>
        <w:tblStyle w:val="28"/>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5"/>
        <w:gridCol w:w="7048"/>
      </w:tblGrid>
      <w:tr w14:paraId="39C96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jc w:val="center"/>
        </w:trPr>
        <w:tc>
          <w:tcPr>
            <w:tcW w:w="2515" w:type="dxa"/>
            <w:vAlign w:val="center"/>
          </w:tcPr>
          <w:p w14:paraId="728F671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7048" w:type="dxa"/>
            <w:vAlign w:val="center"/>
          </w:tcPr>
          <w:p w14:paraId="5516D31E">
            <w:pPr>
              <w:rPr>
                <w:rFonts w:hint="default" w:ascii="宋体" w:hAnsi="宋体" w:eastAsia="宋体" w:cs="宋体"/>
                <w:color w:val="auto"/>
                <w:sz w:val="24"/>
                <w:highlight w:val="none"/>
                <w:lang w:val="en-US"/>
              </w:rPr>
            </w:pPr>
          </w:p>
        </w:tc>
      </w:tr>
      <w:tr w14:paraId="6D8E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2515" w:type="dxa"/>
            <w:vAlign w:val="center"/>
          </w:tcPr>
          <w:p w14:paraId="1051CFF9">
            <w:pPr>
              <w:pStyle w:val="1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0"/>
                <w:sz w:val="24"/>
                <w:szCs w:val="24"/>
                <w:highlight w:val="none"/>
                <w:lang w:eastAsia="zh-CN"/>
              </w:rPr>
              <w:t>投标报价</w:t>
            </w:r>
          </w:p>
        </w:tc>
        <w:tc>
          <w:tcPr>
            <w:tcW w:w="7048" w:type="dxa"/>
            <w:vAlign w:val="center"/>
          </w:tcPr>
          <w:p w14:paraId="1E609B23">
            <w:pPr>
              <w:pStyle w:val="1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小写：</w:t>
            </w:r>
          </w:p>
          <w:p w14:paraId="3BB91D7C">
            <w:pPr>
              <w:pStyle w:val="10"/>
              <w:jc w:val="left"/>
              <w:rPr>
                <w:rFonts w:hint="default" w:ascii="宋体" w:hAnsi="宋体" w:cs="宋体"/>
                <w:color w:val="auto"/>
                <w:sz w:val="24"/>
                <w:szCs w:val="24"/>
                <w:highlight w:val="none"/>
                <w:u w:val="single"/>
                <w:lang w:val="en-US" w:eastAsia="zh-CN"/>
              </w:rPr>
            </w:pPr>
            <w:r>
              <w:rPr>
                <w:rFonts w:hint="eastAsia" w:ascii="宋体" w:hAnsi="宋体" w:eastAsia="宋体" w:cs="宋体"/>
                <w:color w:val="auto"/>
                <w:kern w:val="0"/>
                <w:sz w:val="24"/>
                <w:szCs w:val="24"/>
                <w:highlight w:val="none"/>
                <w:lang w:val="en-US" w:eastAsia="zh-CN"/>
              </w:rPr>
              <w:t>大写：</w:t>
            </w:r>
          </w:p>
        </w:tc>
      </w:tr>
      <w:tr w14:paraId="1342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2515" w:type="dxa"/>
            <w:vAlign w:val="center"/>
          </w:tcPr>
          <w:p w14:paraId="665587CB">
            <w:pPr>
              <w:tabs>
                <w:tab w:val="left" w:pos="480"/>
              </w:tabs>
              <w:autoSpaceDE w:val="0"/>
              <w:autoSpaceDN w:val="0"/>
              <w:adjustRightIn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合同履行期限</w:t>
            </w:r>
          </w:p>
        </w:tc>
        <w:tc>
          <w:tcPr>
            <w:tcW w:w="7048" w:type="dxa"/>
            <w:vAlign w:val="center"/>
          </w:tcPr>
          <w:p w14:paraId="0E7F15E9">
            <w:pPr>
              <w:widowControl/>
              <w:adjustRightInd w:val="0"/>
              <w:snapToGrid w:val="0"/>
              <w:rPr>
                <w:rFonts w:hint="eastAsia" w:ascii="宋体" w:hAnsi="宋体" w:eastAsia="宋体" w:cs="宋体"/>
                <w:color w:val="auto"/>
                <w:sz w:val="24"/>
                <w:highlight w:val="none"/>
              </w:rPr>
            </w:pPr>
          </w:p>
        </w:tc>
      </w:tr>
      <w:tr w14:paraId="6FD2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2515" w:type="dxa"/>
            <w:vAlign w:val="center"/>
          </w:tcPr>
          <w:p w14:paraId="3843C7D7">
            <w:pPr>
              <w:pStyle w:val="1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项目负责人</w:t>
            </w:r>
          </w:p>
        </w:tc>
        <w:tc>
          <w:tcPr>
            <w:tcW w:w="7048" w:type="dxa"/>
            <w:vAlign w:val="center"/>
          </w:tcPr>
          <w:p w14:paraId="7C191D3A">
            <w:pPr>
              <w:pStyle w:val="1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姓名：</w:t>
            </w:r>
          </w:p>
          <w:p w14:paraId="7CF41F06">
            <w:pPr>
              <w:pStyle w:val="1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联系方式：</w:t>
            </w:r>
          </w:p>
        </w:tc>
      </w:tr>
      <w:tr w14:paraId="13FD3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2515" w:type="dxa"/>
            <w:vAlign w:val="center"/>
          </w:tcPr>
          <w:p w14:paraId="687ADFBA">
            <w:pPr>
              <w:tabs>
                <w:tab w:val="left" w:pos="480"/>
              </w:tabs>
              <w:autoSpaceDE w:val="0"/>
              <w:autoSpaceDN w:val="0"/>
              <w:adjustRightIn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质量承诺</w:t>
            </w:r>
          </w:p>
        </w:tc>
        <w:tc>
          <w:tcPr>
            <w:tcW w:w="7048" w:type="dxa"/>
            <w:vAlign w:val="center"/>
          </w:tcPr>
          <w:p w14:paraId="1773CA7B">
            <w:pPr>
              <w:widowControl/>
              <w:adjustRightInd w:val="0"/>
              <w:snapToGrid w:val="0"/>
              <w:rPr>
                <w:rFonts w:hint="eastAsia" w:ascii="宋体" w:hAnsi="宋体" w:eastAsia="宋体" w:cs="宋体"/>
                <w:color w:val="auto"/>
                <w:sz w:val="24"/>
                <w:highlight w:val="none"/>
              </w:rPr>
            </w:pPr>
          </w:p>
        </w:tc>
      </w:tr>
      <w:tr w14:paraId="2200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8" w:hRule="atLeast"/>
          <w:jc w:val="center"/>
        </w:trPr>
        <w:tc>
          <w:tcPr>
            <w:tcW w:w="2515" w:type="dxa"/>
            <w:vAlign w:val="center"/>
          </w:tcPr>
          <w:p w14:paraId="5D1100F5">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投标保证金</w:t>
            </w:r>
            <w:r>
              <w:rPr>
                <w:rFonts w:hint="eastAsia" w:ascii="宋体" w:hAnsi="宋体" w:cs="宋体"/>
                <w:color w:val="auto"/>
                <w:sz w:val="24"/>
                <w:highlight w:val="none"/>
                <w:lang w:val="en-US" w:eastAsia="zh-CN"/>
              </w:rPr>
              <w:t>及缴纳方式</w:t>
            </w:r>
          </w:p>
        </w:tc>
        <w:tc>
          <w:tcPr>
            <w:tcW w:w="7048" w:type="dxa"/>
            <w:vAlign w:val="center"/>
          </w:tcPr>
          <w:p w14:paraId="4C8251F8">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tc>
      </w:tr>
      <w:tr w14:paraId="3CEF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jc w:val="center"/>
        </w:trPr>
        <w:tc>
          <w:tcPr>
            <w:tcW w:w="2515" w:type="dxa"/>
            <w:vAlign w:val="center"/>
          </w:tcPr>
          <w:p w14:paraId="733469E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048" w:type="dxa"/>
            <w:vAlign w:val="center"/>
          </w:tcPr>
          <w:p w14:paraId="1B626417">
            <w:pPr>
              <w:tabs>
                <w:tab w:val="left" w:pos="480"/>
              </w:tabs>
              <w:autoSpaceDE w:val="0"/>
              <w:autoSpaceDN w:val="0"/>
              <w:adjustRightInd w:val="0"/>
              <w:jc w:val="left"/>
              <w:rPr>
                <w:rFonts w:hint="eastAsia" w:ascii="宋体" w:hAnsi="宋体" w:eastAsia="宋体" w:cs="宋体"/>
                <w:color w:val="auto"/>
                <w:sz w:val="24"/>
                <w:highlight w:val="none"/>
              </w:rPr>
            </w:pPr>
          </w:p>
        </w:tc>
      </w:tr>
    </w:tbl>
    <w:p w14:paraId="7C400F50">
      <w:pPr>
        <w:spacing w:line="360" w:lineRule="auto"/>
        <w:jc w:val="left"/>
        <w:rPr>
          <w:rFonts w:hint="eastAsia" w:ascii="宋体" w:hAnsi="宋体" w:eastAsia="宋体" w:cs="宋体"/>
          <w:b/>
          <w:color w:val="auto"/>
          <w:sz w:val="24"/>
          <w:highlight w:val="none"/>
        </w:rPr>
      </w:pPr>
    </w:p>
    <w:p w14:paraId="6405B8D0">
      <w:pPr>
        <w:rPr>
          <w:rFonts w:hint="eastAsia" w:ascii="宋体" w:hAnsi="宋体" w:eastAsia="宋体" w:cs="宋体"/>
          <w:color w:val="auto"/>
          <w:sz w:val="24"/>
          <w:highlight w:val="none"/>
        </w:rPr>
      </w:pPr>
    </w:p>
    <w:p w14:paraId="4D6692EB">
      <w:pPr>
        <w:rPr>
          <w:rFonts w:hint="eastAsia" w:ascii="宋体" w:hAnsi="宋体" w:eastAsia="宋体" w:cs="宋体"/>
          <w:color w:val="auto"/>
          <w:sz w:val="24"/>
          <w:highlight w:val="none"/>
        </w:rPr>
      </w:pPr>
    </w:p>
    <w:p w14:paraId="3D2ECC46">
      <w:pPr>
        <w:pStyle w:val="5"/>
        <w:overflowPunct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9C904C3">
      <w:pPr>
        <w:pStyle w:val="5"/>
        <w:overflowPunct w:val="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电子签章或电子签名</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20BCEF7">
      <w:pPr>
        <w:pStyle w:val="5"/>
        <w:overflowPunct w:val="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21B68EC">
      <w:pPr>
        <w:pStyle w:val="3"/>
        <w:jc w:val="center"/>
        <w:rPr>
          <w:rFonts w:hint="eastAsia" w:ascii="宋体" w:hAnsi="宋体" w:eastAsia="宋体" w:cs="宋体"/>
          <w:color w:val="auto"/>
          <w:kern w:val="0"/>
          <w:highlight w:val="none"/>
        </w:rPr>
      </w:pPr>
      <w:r>
        <w:rPr>
          <w:rFonts w:hint="eastAsia" w:ascii="宋体" w:hAnsi="宋体" w:eastAsia="宋体" w:cs="宋体"/>
          <w:color w:val="auto"/>
          <w:highlight w:val="none"/>
        </w:rPr>
        <w:br w:type="page"/>
      </w:r>
      <w:bookmarkStart w:id="478" w:name="_Toc27849"/>
      <w:bookmarkStart w:id="479" w:name="_Toc25997"/>
      <w:bookmarkStart w:id="480" w:name="_Toc19034"/>
      <w:bookmarkStart w:id="481" w:name="_Toc15701"/>
      <w:bookmarkStart w:id="482" w:name="_Toc21202"/>
      <w:bookmarkStart w:id="483" w:name="_Toc6884"/>
      <w:bookmarkStart w:id="484" w:name="_Toc4306"/>
      <w:bookmarkStart w:id="485" w:name="_Toc27446"/>
      <w:bookmarkStart w:id="486" w:name="_Toc11039"/>
      <w:r>
        <w:rPr>
          <w:rFonts w:hint="eastAsia" w:ascii="宋体" w:hAnsi="宋体" w:eastAsia="宋体" w:cs="宋体"/>
          <w:bCs/>
          <w:color w:val="auto"/>
          <w:kern w:val="0"/>
          <w:sz w:val="28"/>
          <w:highlight w:val="none"/>
        </w:rPr>
        <w:t>（二）投标函</w:t>
      </w:r>
      <w:bookmarkEnd w:id="478"/>
      <w:bookmarkEnd w:id="479"/>
      <w:bookmarkEnd w:id="480"/>
      <w:bookmarkEnd w:id="481"/>
      <w:bookmarkEnd w:id="482"/>
      <w:bookmarkEnd w:id="483"/>
      <w:bookmarkEnd w:id="484"/>
      <w:bookmarkEnd w:id="485"/>
      <w:bookmarkEnd w:id="486"/>
    </w:p>
    <w:p w14:paraId="1BC1794B">
      <w:pPr>
        <w:spacing w:after="12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致：</w:t>
      </w:r>
      <w:r>
        <w:rPr>
          <w:rFonts w:hint="eastAsia" w:ascii="宋体" w:hAnsi="宋体" w:eastAsia="宋体" w:cs="宋体"/>
          <w:bCs/>
          <w:color w:val="auto"/>
          <w:sz w:val="24"/>
          <w:highlight w:val="none"/>
          <w:u w:val="single"/>
        </w:rPr>
        <w:t>（</w:t>
      </w:r>
      <w:r>
        <w:rPr>
          <w:rFonts w:hint="eastAsia" w:ascii="宋体" w:hAnsi="宋体" w:eastAsia="宋体" w:cs="宋体"/>
          <w:bCs/>
          <w:color w:val="auto"/>
          <w:sz w:val="24"/>
          <w:highlight w:val="none"/>
          <w:u w:val="single"/>
          <w:lang w:eastAsia="zh-CN"/>
        </w:rPr>
        <w:t>采购人</w:t>
      </w:r>
      <w:r>
        <w:rPr>
          <w:rFonts w:hint="eastAsia" w:ascii="宋体" w:hAnsi="宋体" w:eastAsia="宋体" w:cs="宋体"/>
          <w:bCs/>
          <w:color w:val="auto"/>
          <w:sz w:val="24"/>
          <w:highlight w:val="none"/>
          <w:u w:val="single"/>
        </w:rPr>
        <w:t>）</w:t>
      </w:r>
    </w:p>
    <w:p w14:paraId="76B2A755">
      <w:pPr>
        <w:spacing w:line="360" w:lineRule="auto"/>
        <w:ind w:firstLine="510"/>
        <w:jc w:val="left"/>
        <w:rPr>
          <w:rFonts w:hint="eastAsia" w:ascii="宋体" w:hAnsi="宋体" w:eastAsia="宋体" w:cs="宋体"/>
          <w:color w:val="auto"/>
          <w:sz w:val="24"/>
          <w:highlight w:val="none"/>
        </w:rPr>
      </w:pPr>
    </w:p>
    <w:p w14:paraId="15871EA0">
      <w:pPr>
        <w:pStyle w:val="16"/>
        <w:numPr>
          <w:ilvl w:val="0"/>
          <w:numId w:val="0"/>
        </w:numPr>
        <w:spacing w:line="480" w:lineRule="exact"/>
        <w:ind w:firstLine="480" w:firstLineChars="200"/>
        <w:jc w:val="left"/>
        <w:rPr>
          <w:rFonts w:hint="eastAsia" w:ascii="宋体" w:hAnsi="宋体" w:eastAsia="宋体" w:cs="宋体"/>
          <w:bCs/>
          <w:color w:val="auto"/>
          <w:sz w:val="24"/>
          <w:szCs w:val="24"/>
          <w:highlight w:val="none"/>
        </w:rPr>
      </w:pPr>
      <w:r>
        <w:rPr>
          <w:rFonts w:hint="eastAsia" w:hAnsi="宋体"/>
          <w:color w:val="auto"/>
          <w:sz w:val="24"/>
          <w:szCs w:val="24"/>
          <w:highlight w:val="none"/>
          <w:lang w:val="en-US" w:eastAsia="zh-CN"/>
        </w:rPr>
        <w:t>1.</w:t>
      </w:r>
      <w:r>
        <w:rPr>
          <w:rFonts w:hint="eastAsia" w:hAnsi="宋体"/>
          <w:color w:val="auto"/>
          <w:sz w:val="24"/>
          <w:szCs w:val="24"/>
          <w:highlight w:val="none"/>
        </w:rPr>
        <w:t>我方已仔细研究了</w:t>
      </w:r>
      <w:r>
        <w:rPr>
          <w:rFonts w:hint="eastAsia" w:hAnsi="宋体"/>
          <w:color w:val="auto"/>
          <w:sz w:val="24"/>
          <w:highlight w:val="none"/>
          <w:u w:val="single"/>
        </w:rPr>
        <w:t>（项目名称）（项目编号）</w:t>
      </w:r>
      <w:r>
        <w:rPr>
          <w:rFonts w:hint="eastAsia" w:hAnsi="宋体"/>
          <w:color w:val="auto"/>
          <w:sz w:val="24"/>
          <w:szCs w:val="24"/>
          <w:highlight w:val="none"/>
        </w:rPr>
        <w:t>招标文件的全部内容</w:t>
      </w:r>
      <w:r>
        <w:rPr>
          <w:rFonts w:hint="eastAsia" w:hAnsi="宋体"/>
          <w:bCs/>
          <w:color w:val="auto"/>
          <w:sz w:val="24"/>
          <w:szCs w:val="24"/>
          <w:highlight w:val="none"/>
        </w:rPr>
        <w:t>，完全响应招标文件要求，</w:t>
      </w:r>
      <w:r>
        <w:rPr>
          <w:rFonts w:hint="eastAsia" w:hAnsi="宋体"/>
          <w:bCs/>
          <w:color w:val="auto"/>
          <w:sz w:val="24"/>
          <w:szCs w:val="24"/>
          <w:highlight w:val="none"/>
          <w:lang w:eastAsia="zh-CN"/>
        </w:rPr>
        <w:t>愿意</w:t>
      </w:r>
      <w:r>
        <w:rPr>
          <w:rFonts w:hint="eastAsia" w:hAnsi="宋体"/>
          <w:bCs/>
          <w:color w:val="auto"/>
          <w:sz w:val="24"/>
          <w:szCs w:val="24"/>
          <w:highlight w:val="none"/>
          <w:lang w:val="en-US" w:eastAsia="zh-CN"/>
        </w:rPr>
        <w:t>以</w:t>
      </w:r>
      <w:r>
        <w:rPr>
          <w:rFonts w:hint="eastAsia" w:hAnsi="宋体"/>
          <w:bCs/>
          <w:color w:val="auto"/>
          <w:sz w:val="24"/>
          <w:szCs w:val="24"/>
          <w:highlight w:val="none"/>
          <w:u w:val="single"/>
          <w:lang w:val="en-US" w:eastAsia="zh-CN"/>
        </w:rPr>
        <w:t xml:space="preserve">         </w:t>
      </w:r>
      <w:r>
        <w:rPr>
          <w:rFonts w:hint="eastAsia" w:hAnsi="宋体"/>
          <w:bCs/>
          <w:color w:val="auto"/>
          <w:sz w:val="24"/>
          <w:szCs w:val="24"/>
          <w:highlight w:val="none"/>
        </w:rPr>
        <w:t>作为投标总报价，</w:t>
      </w:r>
      <w:r>
        <w:rPr>
          <w:rFonts w:hint="eastAsia" w:hAnsi="宋体"/>
          <w:color w:val="auto"/>
          <w:sz w:val="24"/>
          <w:szCs w:val="24"/>
          <w:highlight w:val="none"/>
        </w:rPr>
        <w:t>保证按招标文件的规定和投标文件的承诺以及合同约定完成本项目服务工作</w:t>
      </w:r>
      <w:r>
        <w:rPr>
          <w:rFonts w:hint="eastAsia" w:hAnsi="宋体"/>
          <w:bCs/>
          <w:color w:val="auto"/>
          <w:sz w:val="24"/>
          <w:szCs w:val="24"/>
          <w:highlight w:val="none"/>
        </w:rPr>
        <w:t>。</w:t>
      </w:r>
    </w:p>
    <w:p w14:paraId="25570887">
      <w:pPr>
        <w:pStyle w:val="16"/>
        <w:spacing w:line="480" w:lineRule="exact"/>
        <w:ind w:firstLine="480" w:firstLineChars="200"/>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2.</w:t>
      </w:r>
      <w:r>
        <w:rPr>
          <w:rFonts w:hint="eastAsia" w:ascii="宋体" w:hAnsi="宋体" w:eastAsia="宋体" w:cs="宋体"/>
          <w:color w:val="auto"/>
          <w:sz w:val="24"/>
          <w:szCs w:val="24"/>
          <w:highlight w:val="none"/>
        </w:rPr>
        <w:t>我方承诺在招标文件规定的投标有效期（90日历天）内不撤销投标文件。</w:t>
      </w:r>
    </w:p>
    <w:p w14:paraId="325C7481">
      <w:pPr>
        <w:pStyle w:val="16"/>
        <w:spacing w:line="480" w:lineRule="exact"/>
        <w:ind w:firstLine="480" w:firstLineChars="200"/>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3.</w:t>
      </w:r>
      <w:r>
        <w:rPr>
          <w:rFonts w:hint="eastAsia" w:ascii="宋体" w:hAnsi="宋体" w:eastAsia="宋体" w:cs="宋体"/>
          <w:color w:val="auto"/>
          <w:sz w:val="24"/>
          <w:szCs w:val="24"/>
          <w:highlight w:val="none"/>
        </w:rPr>
        <w:t>如我方中标，我方承诺：</w:t>
      </w:r>
    </w:p>
    <w:p w14:paraId="07CDBFC1">
      <w:pPr>
        <w:spacing w:line="480" w:lineRule="exact"/>
        <w:ind w:firstLine="960" w:firstLineChars="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（1）在收到中标通知书后，在中标通知书规定的期限内与你方签订合同；</w:t>
      </w:r>
    </w:p>
    <w:p w14:paraId="71F45137">
      <w:pPr>
        <w:spacing w:line="480" w:lineRule="exact"/>
        <w:ind w:firstLine="960" w:firstLineChars="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（2）在签订合同时不向你方提出附加条件；</w:t>
      </w:r>
    </w:p>
    <w:p w14:paraId="5E4F5501">
      <w:pPr>
        <w:spacing w:line="480" w:lineRule="exact"/>
        <w:ind w:firstLine="960" w:firstLineChars="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（3）在合同约定的期限内完成合同规定的全部义务。</w:t>
      </w:r>
    </w:p>
    <w:p w14:paraId="095DB58F">
      <w:pPr>
        <w:pStyle w:val="16"/>
        <w:spacing w:line="480" w:lineRule="exact"/>
        <w:ind w:firstLine="480" w:firstLineChars="200"/>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4.</w:t>
      </w:r>
      <w:r>
        <w:rPr>
          <w:rFonts w:hint="eastAsia" w:ascii="宋体" w:hAnsi="宋体" w:eastAsia="宋体" w:cs="宋体"/>
          <w:color w:val="auto"/>
          <w:sz w:val="24"/>
          <w:szCs w:val="24"/>
          <w:highlight w:val="none"/>
        </w:rPr>
        <w:t>如果在投标文件有效期内撤回投标或者有</w:t>
      </w:r>
      <w:r>
        <w:rPr>
          <w:rFonts w:hint="eastAsia" w:hAnsi="宋体" w:cs="宋体"/>
          <w:color w:val="auto"/>
          <w:sz w:val="24"/>
          <w:szCs w:val="24"/>
          <w:highlight w:val="none"/>
          <w:lang w:eastAsia="zh-CN"/>
        </w:rPr>
        <w:t>其他</w:t>
      </w:r>
      <w:r>
        <w:rPr>
          <w:rFonts w:hint="eastAsia" w:ascii="宋体" w:hAnsi="宋体" w:eastAsia="宋体" w:cs="宋体"/>
          <w:color w:val="auto"/>
          <w:sz w:val="24"/>
          <w:szCs w:val="24"/>
          <w:highlight w:val="none"/>
        </w:rPr>
        <w:t>违约行为，我方的投标保证金可被贵方全部或部分没收</w:t>
      </w:r>
      <w:r>
        <w:rPr>
          <w:rFonts w:hint="eastAsia" w:hAnsi="宋体" w:cs="宋体"/>
          <w:color w:val="auto"/>
          <w:sz w:val="24"/>
          <w:szCs w:val="24"/>
          <w:highlight w:val="none"/>
          <w:lang w:val="en-US" w:eastAsia="zh-CN"/>
        </w:rPr>
        <w:t>并</w:t>
      </w:r>
      <w:r>
        <w:rPr>
          <w:rFonts w:hint="eastAsia" w:hAnsi="宋体"/>
          <w:color w:val="auto"/>
          <w:sz w:val="24"/>
          <w:szCs w:val="24"/>
          <w:highlight w:val="none"/>
        </w:rPr>
        <w:t>承担</w:t>
      </w:r>
      <w:r>
        <w:rPr>
          <w:rFonts w:hint="eastAsia" w:hAnsi="宋体"/>
          <w:color w:val="auto"/>
          <w:sz w:val="24"/>
          <w:szCs w:val="24"/>
          <w:highlight w:val="none"/>
          <w:lang w:val="en-US" w:eastAsia="zh-CN"/>
        </w:rPr>
        <w:t>相应</w:t>
      </w:r>
      <w:r>
        <w:rPr>
          <w:rFonts w:hint="eastAsia" w:hAnsi="宋体"/>
          <w:color w:val="auto"/>
          <w:sz w:val="24"/>
          <w:szCs w:val="24"/>
          <w:highlight w:val="none"/>
        </w:rPr>
        <w:t>的法律责任</w:t>
      </w:r>
      <w:r>
        <w:rPr>
          <w:rFonts w:hint="eastAsia" w:ascii="宋体" w:hAnsi="宋体" w:eastAsia="宋体" w:cs="宋体"/>
          <w:color w:val="auto"/>
          <w:sz w:val="24"/>
          <w:szCs w:val="24"/>
          <w:highlight w:val="none"/>
        </w:rPr>
        <w:t>。</w:t>
      </w:r>
    </w:p>
    <w:p w14:paraId="7B1B434C">
      <w:pPr>
        <w:pStyle w:val="16"/>
        <w:spacing w:line="480" w:lineRule="exact"/>
        <w:ind w:firstLine="480" w:firstLineChars="200"/>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5.</w:t>
      </w:r>
      <w:r>
        <w:rPr>
          <w:rFonts w:hint="eastAsia" w:ascii="宋体" w:hAnsi="宋体" w:eastAsia="宋体" w:cs="宋体"/>
          <w:color w:val="auto"/>
          <w:sz w:val="24"/>
          <w:szCs w:val="24"/>
          <w:highlight w:val="none"/>
        </w:rPr>
        <w:t>我方完全理解贵方不一定要接受最低报价的投标人为中标人的行为。</w:t>
      </w:r>
    </w:p>
    <w:p w14:paraId="6E8304C8">
      <w:pPr>
        <w:pStyle w:val="16"/>
        <w:spacing w:line="480" w:lineRule="exact"/>
        <w:ind w:firstLine="480" w:firstLineChars="200"/>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6.</w:t>
      </w:r>
      <w:r>
        <w:rPr>
          <w:rFonts w:hint="eastAsia" w:ascii="宋体" w:hAnsi="宋体" w:eastAsia="宋体" w:cs="宋体"/>
          <w:color w:val="auto"/>
          <w:sz w:val="24"/>
          <w:szCs w:val="24"/>
          <w:highlight w:val="none"/>
        </w:rPr>
        <w:t>同意应贵方要求提供与</w:t>
      </w:r>
      <w:r>
        <w:rPr>
          <w:rFonts w:hint="eastAsia" w:hAnsi="宋体" w:cs="宋体"/>
          <w:color w:val="auto"/>
          <w:sz w:val="24"/>
          <w:szCs w:val="24"/>
          <w:highlight w:val="none"/>
          <w:lang w:eastAsia="zh-CN"/>
        </w:rPr>
        <w:t>本次</w:t>
      </w:r>
      <w:r>
        <w:rPr>
          <w:rFonts w:hint="eastAsia" w:ascii="宋体" w:hAnsi="宋体" w:eastAsia="宋体" w:cs="宋体"/>
          <w:color w:val="auto"/>
          <w:sz w:val="24"/>
          <w:szCs w:val="24"/>
          <w:highlight w:val="none"/>
        </w:rPr>
        <w:t>投标有关的任何数据或资料。</w:t>
      </w:r>
    </w:p>
    <w:p w14:paraId="668751F5">
      <w:pPr>
        <w:pStyle w:val="16"/>
        <w:spacing w:line="480" w:lineRule="exact"/>
        <w:ind w:firstLine="480" w:firstLineChars="200"/>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7.其他</w:t>
      </w:r>
      <w:r>
        <w:rPr>
          <w:rFonts w:hint="eastAsia" w:ascii="宋体" w:hAnsi="宋体" w:eastAsia="宋体" w:cs="宋体"/>
          <w:color w:val="auto"/>
          <w:sz w:val="24"/>
          <w:szCs w:val="24"/>
          <w:highlight w:val="none"/>
        </w:rPr>
        <w:t>服务承诺和优惠承诺（由投标人自行承诺）：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5264F9B">
      <w:pPr>
        <w:pStyle w:val="16"/>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与本投标有关的正式通讯地址为：</w:t>
      </w:r>
    </w:p>
    <w:p w14:paraId="1F17FF8D">
      <w:pPr>
        <w:pStyle w:val="16"/>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7385848D">
      <w:pPr>
        <w:pStyle w:val="16"/>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hAnsi="宋体" w:cs="宋体"/>
          <w:color w:val="auto"/>
          <w:sz w:val="24"/>
          <w:szCs w:val="24"/>
          <w:highlight w:val="none"/>
          <w:lang w:val="en-US" w:eastAsia="zh-CN"/>
        </w:rPr>
        <w:t xml:space="preserve">  账</w:t>
      </w:r>
      <w:r>
        <w:rPr>
          <w:rFonts w:hint="eastAsia"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3BCDDB7">
      <w:pPr>
        <w:pStyle w:val="16"/>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43FABACA">
      <w:pPr>
        <w:spacing w:line="360" w:lineRule="auto"/>
        <w:jc w:val="left"/>
        <w:rPr>
          <w:rFonts w:hint="eastAsia" w:ascii="宋体" w:hAnsi="宋体" w:eastAsia="宋体" w:cs="宋体"/>
          <w:color w:val="auto"/>
          <w:sz w:val="24"/>
          <w:highlight w:val="none"/>
        </w:rPr>
      </w:pPr>
    </w:p>
    <w:p w14:paraId="0C15D665">
      <w:pPr>
        <w:pStyle w:val="16"/>
        <w:spacing w:line="480" w:lineRule="exact"/>
        <w:ind w:firstLine="480" w:firstLineChars="200"/>
        <w:rPr>
          <w:rFonts w:hint="eastAsia" w:ascii="宋体" w:hAnsi="宋体" w:eastAsia="宋体" w:cs="宋体"/>
          <w:color w:val="auto"/>
          <w:sz w:val="24"/>
          <w:szCs w:val="24"/>
          <w:highlight w:val="none"/>
        </w:rPr>
      </w:pPr>
      <w:bookmarkStart w:id="487" w:name="_Toc29294"/>
      <w:bookmarkStart w:id="488" w:name="_Toc22547"/>
      <w:bookmarkStart w:id="489" w:name="_Toc10867"/>
      <w:bookmarkStart w:id="490" w:name="_Toc32030"/>
      <w:bookmarkStart w:id="491" w:name="_Toc14824"/>
      <w:bookmarkStart w:id="492" w:name="_Toc29726"/>
    </w:p>
    <w:p w14:paraId="4D88A852">
      <w:pPr>
        <w:pStyle w:val="16"/>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w:t>
      </w:r>
      <w:r>
        <w:rPr>
          <w:rFonts w:hint="eastAsia" w:ascii="宋体" w:hAnsi="宋体" w:eastAsia="宋体" w:cs="宋体"/>
          <w:color w:val="auto"/>
          <w:sz w:val="24"/>
          <w:szCs w:val="24"/>
          <w:highlight w:val="none"/>
        </w:rPr>
        <w:t>）</w:t>
      </w:r>
    </w:p>
    <w:p w14:paraId="5151EDD0">
      <w:pPr>
        <w:pStyle w:val="16"/>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电子签章或电子签名</w:t>
      </w:r>
      <w:r>
        <w:rPr>
          <w:rFonts w:hint="eastAsia" w:ascii="宋体" w:hAnsi="宋体" w:eastAsia="宋体" w:cs="宋体"/>
          <w:color w:val="auto"/>
          <w:sz w:val="24"/>
          <w:szCs w:val="24"/>
          <w:highlight w:val="none"/>
        </w:rPr>
        <w:t>）</w:t>
      </w:r>
    </w:p>
    <w:p w14:paraId="72EDC8A0">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9DDE72F">
      <w:pPr>
        <w:pStyle w:val="5"/>
        <w:rPr>
          <w:rFonts w:hint="eastAsia" w:ascii="宋体" w:hAnsi="宋体" w:eastAsia="宋体" w:cs="宋体"/>
          <w:color w:val="auto"/>
          <w:sz w:val="24"/>
          <w:highlight w:val="none"/>
        </w:rPr>
      </w:pPr>
    </w:p>
    <w:p w14:paraId="40057E52">
      <w:pPr>
        <w:rPr>
          <w:rFonts w:hint="eastAsia" w:ascii="宋体" w:hAnsi="宋体" w:eastAsia="宋体" w:cs="宋体"/>
          <w:color w:val="auto"/>
          <w:sz w:val="24"/>
          <w:highlight w:val="none"/>
        </w:rPr>
      </w:pPr>
    </w:p>
    <w:p w14:paraId="1BCB3471">
      <w:pPr>
        <w:pStyle w:val="5"/>
        <w:rPr>
          <w:rFonts w:hint="eastAsia" w:ascii="宋体" w:hAnsi="宋体" w:eastAsia="宋体" w:cs="宋体"/>
          <w:color w:val="auto"/>
          <w:sz w:val="24"/>
          <w:highlight w:val="none"/>
        </w:rPr>
      </w:pPr>
    </w:p>
    <w:p w14:paraId="4DC2B5CD">
      <w:pPr>
        <w:rPr>
          <w:rFonts w:hint="eastAsia" w:ascii="宋体" w:hAnsi="宋体" w:eastAsia="宋体" w:cs="宋体"/>
          <w:color w:val="auto"/>
          <w:sz w:val="24"/>
          <w:highlight w:val="none"/>
        </w:rPr>
      </w:pPr>
    </w:p>
    <w:p w14:paraId="7A5DD5FE">
      <w:pPr>
        <w:pStyle w:val="5"/>
        <w:rPr>
          <w:rFonts w:hint="eastAsia" w:ascii="宋体" w:hAnsi="宋体" w:eastAsia="宋体" w:cs="宋体"/>
          <w:color w:val="auto"/>
          <w:sz w:val="24"/>
          <w:highlight w:val="none"/>
        </w:rPr>
      </w:pPr>
    </w:p>
    <w:p w14:paraId="0C739433">
      <w:pPr>
        <w:rPr>
          <w:rFonts w:hint="eastAsia" w:ascii="宋体" w:hAnsi="宋体" w:eastAsia="宋体" w:cs="宋体"/>
          <w:color w:val="auto"/>
          <w:sz w:val="24"/>
          <w:highlight w:val="none"/>
        </w:rPr>
      </w:pPr>
    </w:p>
    <w:p w14:paraId="6E16049E">
      <w:pPr>
        <w:pStyle w:val="5"/>
        <w:ind w:firstLine="0"/>
        <w:rPr>
          <w:rFonts w:hint="eastAsia" w:ascii="宋体" w:hAnsi="宋体" w:eastAsia="宋体" w:cs="宋体"/>
          <w:color w:val="auto"/>
          <w:highlight w:val="none"/>
        </w:rPr>
      </w:pPr>
    </w:p>
    <w:bookmarkEnd w:id="487"/>
    <w:bookmarkEnd w:id="488"/>
    <w:p w14:paraId="3206BCEA">
      <w:pPr>
        <w:pStyle w:val="3"/>
        <w:jc w:val="center"/>
        <w:rPr>
          <w:rFonts w:hint="default" w:ascii="宋体" w:hAnsi="宋体" w:eastAsia="宋体" w:cs="宋体"/>
          <w:bCs/>
          <w:color w:val="auto"/>
          <w:kern w:val="0"/>
          <w:sz w:val="28"/>
          <w:highlight w:val="none"/>
          <w:lang w:val="en-US" w:eastAsia="zh-CN"/>
        </w:rPr>
      </w:pPr>
      <w:bookmarkStart w:id="493" w:name="_Toc24353"/>
      <w:bookmarkStart w:id="494" w:name="_Toc23856"/>
      <w:bookmarkStart w:id="495" w:name="_Toc5876"/>
      <w:bookmarkStart w:id="496" w:name="_Toc4492"/>
      <w:r>
        <w:rPr>
          <w:rFonts w:hint="eastAsia" w:ascii="宋体" w:hAnsi="宋体" w:eastAsia="宋体" w:cs="宋体"/>
          <w:bCs/>
          <w:color w:val="auto"/>
          <w:kern w:val="0"/>
          <w:sz w:val="28"/>
          <w:highlight w:val="none"/>
        </w:rPr>
        <w:t>（</w:t>
      </w:r>
      <w:r>
        <w:rPr>
          <w:rFonts w:hint="eastAsia" w:ascii="宋体" w:hAnsi="宋体" w:eastAsia="宋体" w:cs="宋体"/>
          <w:bCs/>
          <w:color w:val="auto"/>
          <w:kern w:val="0"/>
          <w:sz w:val="28"/>
          <w:highlight w:val="none"/>
          <w:lang w:eastAsia="zh-CN"/>
        </w:rPr>
        <w:t>三</w:t>
      </w:r>
      <w:r>
        <w:rPr>
          <w:rFonts w:hint="eastAsia" w:ascii="宋体" w:hAnsi="宋体" w:eastAsia="宋体" w:cs="宋体"/>
          <w:bCs/>
          <w:color w:val="auto"/>
          <w:kern w:val="0"/>
          <w:sz w:val="28"/>
          <w:highlight w:val="none"/>
        </w:rPr>
        <w:t>）</w:t>
      </w:r>
      <w:bookmarkEnd w:id="489"/>
      <w:bookmarkEnd w:id="490"/>
      <w:bookmarkEnd w:id="491"/>
      <w:bookmarkEnd w:id="492"/>
      <w:bookmarkEnd w:id="493"/>
      <w:bookmarkEnd w:id="494"/>
      <w:bookmarkEnd w:id="495"/>
      <w:bookmarkEnd w:id="496"/>
      <w:bookmarkStart w:id="497" w:name="_Toc11772"/>
      <w:bookmarkStart w:id="498" w:name="_Toc17951"/>
      <w:bookmarkStart w:id="499" w:name="_Toc26743"/>
      <w:bookmarkStart w:id="500" w:name="_Toc26384"/>
      <w:r>
        <w:rPr>
          <w:rFonts w:hint="eastAsia" w:hAnsi="宋体" w:cs="宋体"/>
          <w:bCs/>
          <w:color w:val="auto"/>
          <w:kern w:val="0"/>
          <w:sz w:val="28"/>
          <w:highlight w:val="none"/>
          <w:lang w:val="en-US" w:eastAsia="zh-CN"/>
        </w:rPr>
        <w:t>报价明细表</w:t>
      </w:r>
    </w:p>
    <w:tbl>
      <w:tblPr>
        <w:tblStyle w:val="28"/>
        <w:tblW w:w="94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2"/>
        <w:gridCol w:w="959"/>
        <w:gridCol w:w="1229"/>
        <w:gridCol w:w="653"/>
        <w:gridCol w:w="1131"/>
        <w:gridCol w:w="1164"/>
        <w:gridCol w:w="1227"/>
        <w:gridCol w:w="1310"/>
        <w:gridCol w:w="1310"/>
      </w:tblGrid>
      <w:tr w14:paraId="0D949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DBC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1D7F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w:t>
            </w:r>
            <w:r>
              <w:rPr>
                <w:rFonts w:hint="eastAsia" w:ascii="宋体" w:hAnsi="宋体" w:cs="宋体"/>
                <w:i w:val="0"/>
                <w:iCs w:val="0"/>
                <w:color w:val="000000"/>
                <w:kern w:val="0"/>
                <w:sz w:val="24"/>
                <w:szCs w:val="24"/>
                <w:highlight w:val="none"/>
                <w:u w:val="none"/>
                <w:lang w:val="en-US" w:eastAsia="zh-CN" w:bidi="ar"/>
              </w:rPr>
              <w:t>（服务）</w:t>
            </w:r>
            <w:r>
              <w:rPr>
                <w:rFonts w:hint="eastAsia" w:ascii="宋体" w:hAnsi="宋体" w:eastAsia="宋体" w:cs="宋体"/>
                <w:i w:val="0"/>
                <w:iCs w:val="0"/>
                <w:color w:val="000000"/>
                <w:kern w:val="0"/>
                <w:sz w:val="24"/>
                <w:szCs w:val="24"/>
                <w:highlight w:val="none"/>
                <w:u w:val="none"/>
                <w:lang w:val="en-US" w:eastAsia="zh-CN" w:bidi="ar"/>
              </w:rPr>
              <w:t>名称</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4D5B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2CB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7813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单价（元）</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718F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合价（元）</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4EF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合计（元）</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8AB0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tc>
      </w:tr>
      <w:tr w14:paraId="07353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0086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A189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清扫保洁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含日常洒水降尘作业</w:t>
            </w:r>
            <w:r>
              <w:rPr>
                <w:rFonts w:hint="eastAsia" w:ascii="宋体" w:hAnsi="宋体" w:eastAsia="宋体" w:cs="宋体"/>
                <w:color w:val="auto"/>
                <w:sz w:val="24"/>
                <w:szCs w:val="24"/>
                <w:highlight w:val="none"/>
                <w:lang w:eastAsia="zh-CN"/>
              </w:rPr>
              <w:t>）</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A13C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431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1614481.2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6658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B740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47A9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8BCA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固定单价，含龙泉街道</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cs="宋体"/>
                <w:color w:val="auto"/>
                <w:sz w:val="24"/>
                <w:highlight w:val="none"/>
                <w:lang w:eastAsia="zh-CN"/>
              </w:rPr>
              <w:t>县城建成区内除公园标外的公共绿化带日常保洁</w:t>
            </w:r>
          </w:p>
        </w:tc>
      </w:tr>
      <w:tr w14:paraId="2F38B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994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68C53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生活垃圾</w:t>
            </w:r>
            <w:r>
              <w:rPr>
                <w:rFonts w:hint="eastAsia" w:ascii="宋体" w:hAnsi="宋体" w:cs="宋体"/>
                <w:i w:val="0"/>
                <w:iCs w:val="0"/>
                <w:color w:val="000000"/>
                <w:kern w:val="0"/>
                <w:sz w:val="24"/>
                <w:szCs w:val="24"/>
                <w:highlight w:val="none"/>
                <w:u w:val="none"/>
                <w:lang w:val="en-US" w:eastAsia="zh-CN" w:bidi="ar"/>
              </w:rPr>
              <w:t>收集</w:t>
            </w:r>
            <w:r>
              <w:rPr>
                <w:rFonts w:hint="eastAsia" w:ascii="宋体" w:hAnsi="宋体" w:eastAsia="宋体" w:cs="宋体"/>
                <w:i w:val="0"/>
                <w:iCs w:val="0"/>
                <w:color w:val="000000"/>
                <w:kern w:val="0"/>
                <w:sz w:val="24"/>
                <w:szCs w:val="24"/>
                <w:highlight w:val="none"/>
                <w:u w:val="none"/>
                <w:lang w:val="en-US" w:eastAsia="zh-CN" w:bidi="ar"/>
              </w:rPr>
              <w:t>压缩转运、2个垃圾填埋场管护、渗滤液处理站运行、垃圾填埋场环境监测、环境在线监测运行</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22E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垃圾</w:t>
            </w:r>
            <w:r>
              <w:rPr>
                <w:rFonts w:hint="eastAsia" w:ascii="宋体" w:hAnsi="宋体" w:cs="宋体"/>
                <w:i w:val="0"/>
                <w:iCs w:val="0"/>
                <w:color w:val="000000"/>
                <w:kern w:val="0"/>
                <w:sz w:val="24"/>
                <w:szCs w:val="24"/>
                <w:highlight w:val="none"/>
                <w:u w:val="none"/>
                <w:lang w:val="en-US" w:eastAsia="zh-CN" w:bidi="ar"/>
              </w:rPr>
              <w:t>收集</w:t>
            </w:r>
            <w:r>
              <w:rPr>
                <w:rFonts w:hint="eastAsia" w:ascii="宋体" w:hAnsi="宋体" w:eastAsia="宋体" w:cs="宋体"/>
                <w:i w:val="0"/>
                <w:iCs w:val="0"/>
                <w:color w:val="000000"/>
                <w:kern w:val="0"/>
                <w:sz w:val="24"/>
                <w:szCs w:val="24"/>
                <w:highlight w:val="none"/>
                <w:u w:val="none"/>
                <w:lang w:val="en-US" w:eastAsia="zh-CN" w:bidi="ar"/>
              </w:rPr>
              <w:t>转运</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4EEC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吨/年</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B428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26596.5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AF8D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8E0C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CBD7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D6F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约72.8吨/天×365天（含龙泉街道）</w:t>
            </w:r>
          </w:p>
        </w:tc>
      </w:tr>
      <w:tr w14:paraId="557D4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C016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511E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8406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外运装卸</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6667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43F2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447A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3B6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1402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B44C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2F53A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50D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BEF73">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65F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渗滤液处理</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E70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A61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0494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F813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599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B3F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733B2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2"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60CA">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75C4D">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AE4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环境监测（其中监测费用60000.00元，按2500.00元/组水样据实支付）、环境在线监测</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34E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31F3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A8B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8F6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E00E5">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FD73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40456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74AC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794A6">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E1C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老垃圾场管护</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E67A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173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5642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A25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A20C">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6F53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6819D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2708">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3FBEE">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CCB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进场道路维护</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CB54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2A69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C74A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78C0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796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DE64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包干</w:t>
            </w:r>
          </w:p>
        </w:tc>
      </w:tr>
      <w:tr w14:paraId="0C61E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1650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0D61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公厕管护</w:t>
            </w:r>
            <w:r>
              <w:rPr>
                <w:rFonts w:hint="eastAsia" w:ascii="宋体" w:hAnsi="宋体" w:cs="宋体"/>
                <w:i w:val="0"/>
                <w:iCs w:val="0"/>
                <w:color w:val="000000"/>
                <w:kern w:val="0"/>
                <w:sz w:val="24"/>
                <w:szCs w:val="24"/>
                <w:highlight w:val="none"/>
                <w:u w:val="none"/>
                <w:lang w:val="en-US" w:eastAsia="zh-CN" w:bidi="ar"/>
              </w:rPr>
              <w:t>及配件更新</w:t>
            </w:r>
            <w:r>
              <w:rPr>
                <w:rFonts w:hint="eastAsia" w:ascii="宋体" w:hAnsi="宋体" w:eastAsia="宋体" w:cs="宋体"/>
                <w:i w:val="0"/>
                <w:iCs w:val="0"/>
                <w:color w:val="000000"/>
                <w:kern w:val="0"/>
                <w:sz w:val="24"/>
                <w:szCs w:val="24"/>
                <w:highlight w:val="none"/>
                <w:u w:val="none"/>
                <w:lang w:val="en-US" w:eastAsia="zh-CN" w:bidi="ar"/>
              </w:rPr>
              <w:t>（含一年一次清掏）</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FD39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座</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7A97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401B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C2BF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EBF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79E8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77565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13A9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C058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洗手台管护</w:t>
            </w:r>
            <w:r>
              <w:rPr>
                <w:rFonts w:hint="eastAsia" w:ascii="宋体" w:hAnsi="宋体" w:cs="宋体"/>
                <w:i w:val="0"/>
                <w:iCs w:val="0"/>
                <w:color w:val="000000"/>
                <w:kern w:val="0"/>
                <w:sz w:val="24"/>
                <w:szCs w:val="24"/>
                <w:highlight w:val="none"/>
                <w:u w:val="none"/>
                <w:lang w:val="en-US" w:eastAsia="zh-CN" w:bidi="ar"/>
              </w:rPr>
              <w:t>及配件更新</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9BD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座</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7EC4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68295">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28C1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719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39E0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31AE6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7"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7DE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D9467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Style w:val="68"/>
                <w:rFonts w:hint="eastAsia" w:ascii="宋体" w:hAnsi="宋体" w:eastAsia="宋体" w:cs="宋体"/>
                <w:sz w:val="24"/>
                <w:szCs w:val="24"/>
                <w:highlight w:val="none"/>
                <w:lang w:val="en-US" w:eastAsia="zh-CN" w:bidi="ar"/>
              </w:rPr>
              <w:t>路灯管护更新（</w:t>
            </w:r>
            <w:r>
              <w:rPr>
                <w:rFonts w:hint="eastAsia" w:ascii="宋体" w:hAnsi="宋体" w:eastAsia="宋体" w:cs="宋体"/>
                <w:color w:val="auto"/>
                <w:sz w:val="24"/>
                <w:szCs w:val="24"/>
                <w:highlight w:val="none"/>
                <w:lang w:eastAsia="zh-CN"/>
              </w:rPr>
              <w:t>2847</w:t>
            </w:r>
            <w:r>
              <w:rPr>
                <w:rStyle w:val="68"/>
                <w:rFonts w:hint="eastAsia" w:ascii="宋体" w:hAnsi="宋体" w:eastAsia="宋体" w:cs="宋体"/>
                <w:sz w:val="24"/>
                <w:szCs w:val="24"/>
                <w:highlight w:val="none"/>
                <w:lang w:val="en-US" w:eastAsia="zh-CN" w:bidi="ar"/>
              </w:rPr>
              <w:t>棵灯杆、</w:t>
            </w:r>
            <w:r>
              <w:rPr>
                <w:rFonts w:hint="eastAsia" w:ascii="宋体" w:hAnsi="宋体" w:eastAsia="宋体" w:cs="宋体"/>
                <w:color w:val="auto"/>
                <w:sz w:val="24"/>
                <w:szCs w:val="24"/>
                <w:highlight w:val="none"/>
                <w:lang w:eastAsia="zh-CN"/>
              </w:rPr>
              <w:t>8566</w:t>
            </w:r>
            <w:r>
              <w:rPr>
                <w:rStyle w:val="68"/>
                <w:rFonts w:hint="eastAsia" w:ascii="宋体" w:hAnsi="宋体" w:eastAsia="宋体" w:cs="宋体"/>
                <w:sz w:val="24"/>
                <w:szCs w:val="24"/>
                <w:highlight w:val="none"/>
                <w:lang w:val="en-US" w:eastAsia="zh-CN" w:bidi="ar"/>
              </w:rPr>
              <w:t>盏灯、</w:t>
            </w:r>
            <w:r>
              <w:rPr>
                <w:rFonts w:hint="eastAsia" w:ascii="宋体" w:hAnsi="宋体" w:eastAsia="宋体" w:cs="宋体"/>
                <w:i w:val="0"/>
                <w:iCs w:val="0"/>
                <w:color w:val="000000"/>
                <w:kern w:val="0"/>
                <w:sz w:val="24"/>
                <w:szCs w:val="24"/>
                <w:highlight w:val="none"/>
                <w:u w:val="none"/>
                <w:lang w:val="en-US" w:eastAsia="zh-CN" w:bidi="ar"/>
              </w:rPr>
              <w:t>16</w:t>
            </w:r>
            <w:r>
              <w:rPr>
                <w:rStyle w:val="68"/>
                <w:rFonts w:hint="eastAsia" w:ascii="宋体" w:hAnsi="宋体" w:eastAsia="宋体" w:cs="宋体"/>
                <w:sz w:val="24"/>
                <w:szCs w:val="24"/>
                <w:highlight w:val="none"/>
                <w:lang w:val="en-US" w:eastAsia="zh-CN" w:bidi="ar"/>
              </w:rPr>
              <w:t>台变压器、72个控制箱）</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5FD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B76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152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E9E1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7BAF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C4EE8">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包干</w:t>
            </w:r>
          </w:p>
        </w:tc>
      </w:tr>
      <w:tr w14:paraId="45337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944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53FD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餐厨垃圾年度收运服务</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6DAD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228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5F78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2B8DD">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DC00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E0DBA">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08383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C8EC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49EF9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环卫设施设备维护</w:t>
            </w:r>
            <w:r>
              <w:rPr>
                <w:rFonts w:hint="eastAsia" w:ascii="宋体" w:hAnsi="宋体" w:cs="宋体"/>
                <w:color w:val="auto"/>
                <w:sz w:val="24"/>
                <w:highlight w:val="none"/>
                <w:lang w:val="en-US" w:eastAsia="zh-CN"/>
              </w:rPr>
              <w:t>更新</w:t>
            </w:r>
            <w:r>
              <w:rPr>
                <w:rFonts w:hint="eastAsia" w:ascii="宋体" w:hAnsi="宋体" w:eastAsia="宋体" w:cs="宋体"/>
                <w:i w:val="0"/>
                <w:iCs w:val="0"/>
                <w:color w:val="000000"/>
                <w:kern w:val="0"/>
                <w:sz w:val="24"/>
                <w:szCs w:val="24"/>
                <w:highlight w:val="none"/>
                <w:u w:val="none"/>
                <w:lang w:val="en-US" w:eastAsia="zh-CN" w:bidi="ar"/>
              </w:rPr>
              <w:t>费</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E6D9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维修更换果皮箱</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B64A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215F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BE65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D79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ECAA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761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固定单价</w:t>
            </w:r>
          </w:p>
        </w:tc>
      </w:tr>
      <w:tr w14:paraId="50445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37A0">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15B89">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3447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维修更换垃圾分类亭</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FC2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E269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663E">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B14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7F54">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C9D6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r>
      <w:tr w14:paraId="49167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BB2B">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6506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D563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维修更换垃圾分类桶</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046F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E7CE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247</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C7A1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4B42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BFA81">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569D2">
            <w:pPr>
              <w:keepLines w:val="0"/>
              <w:pageBreakBefore w:val="0"/>
              <w:kinsoku/>
              <w:wordWrap/>
              <w:overflowPunct/>
              <w:topLinePunct w:val="0"/>
              <w:autoSpaceDE/>
              <w:autoSpaceDN/>
              <w:bidi w:val="0"/>
              <w:spacing w:line="48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含龙泉街道87个</w:t>
            </w:r>
          </w:p>
        </w:tc>
      </w:tr>
      <w:tr w14:paraId="6CD17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F1F2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03F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城区公共排水管网、市政道路及附属设施等维护管理费</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D753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auto"/>
                <w:sz w:val="24"/>
                <w:highlight w:val="none"/>
                <w:lang w:eastAsia="zh-CN"/>
              </w:rPr>
              <w:t>县城1611581平方米</w:t>
            </w:r>
            <w:r>
              <w:rPr>
                <w:rFonts w:hint="eastAsia" w:ascii="宋体" w:hAnsi="宋体" w:cs="宋体"/>
                <w:color w:val="auto"/>
                <w:sz w:val="24"/>
                <w:highlight w:val="none"/>
                <w:lang w:val="en-US" w:eastAsia="zh-CN"/>
              </w:rPr>
              <w:t>公共市政</w:t>
            </w:r>
            <w:r>
              <w:rPr>
                <w:rFonts w:hint="eastAsia" w:ascii="宋体" w:hAnsi="宋体" w:eastAsia="宋体" w:cs="宋体"/>
                <w:color w:val="auto"/>
                <w:sz w:val="24"/>
                <w:highlight w:val="none"/>
                <w:lang w:eastAsia="zh-CN"/>
              </w:rPr>
              <w:t>道路</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w:t>
            </w:r>
            <w:r>
              <w:rPr>
                <w:rFonts w:hint="eastAsia" w:ascii="宋体" w:hAnsi="宋体" w:eastAsia="宋体" w:cs="宋体"/>
                <w:color w:val="auto"/>
                <w:sz w:val="24"/>
                <w:highlight w:val="none"/>
                <w:lang w:eastAsia="zh-CN"/>
              </w:rPr>
              <w:t>、144公里雨污管网</w:t>
            </w:r>
            <w:r>
              <w:rPr>
                <w:rFonts w:hint="eastAsia" w:ascii="宋体" w:hAnsi="宋体" w:cs="宋体"/>
                <w:color w:val="auto"/>
                <w:sz w:val="24"/>
                <w:highlight w:val="none"/>
                <w:lang w:eastAsia="zh-CN"/>
              </w:rPr>
              <w:t>及</w:t>
            </w:r>
            <w:r>
              <w:rPr>
                <w:rFonts w:hint="eastAsia" w:ascii="宋体" w:hAnsi="宋体" w:cs="宋体"/>
                <w:color w:val="auto"/>
                <w:sz w:val="24"/>
                <w:highlight w:val="none"/>
                <w:lang w:val="en-US" w:eastAsia="zh-CN"/>
              </w:rPr>
              <w:t>附属设施维修维护</w:t>
            </w:r>
            <w:r>
              <w:rPr>
                <w:rFonts w:hint="eastAsia" w:ascii="宋体" w:hAnsi="宋体" w:eastAsia="宋体" w:cs="宋体"/>
                <w:color w:val="auto"/>
                <w:sz w:val="24"/>
                <w:highlight w:val="none"/>
                <w:lang w:eastAsia="zh-CN"/>
              </w:rPr>
              <w:t>、271个市政消火栓</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2822座雨水井，1108个雨水篦子，2592座污水井维护管理</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C555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71EC">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1688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1648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D3934">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E4B40">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0CB5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jc w:val="center"/>
        </w:trPr>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DD53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1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6C9E3F">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业主预留金</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72D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5CAF1">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4787">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5926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919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100000.00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2B2B">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248A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679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32969">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FE23">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12577897.88 </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11C2">
            <w:pPr>
              <w:keepNext w:val="0"/>
              <w:keepLines w:val="0"/>
              <w:pageBreakBefore w:val="0"/>
              <w:widowControl/>
              <w:suppressLineNumbers w:val="0"/>
              <w:kinsoku/>
              <w:wordWrap/>
              <w:overflowPunct/>
              <w:topLinePunct w:val="0"/>
              <w:autoSpaceDE/>
              <w:autoSpaceDN/>
              <w:bidi w:val="0"/>
              <w:spacing w:line="48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784AC106">
      <w:pPr>
        <w:keepNext w:val="0"/>
        <w:keepLines w:val="0"/>
        <w:pageBreakBefore w:val="0"/>
        <w:widowControl w:val="0"/>
        <w:shd w:val="clear" w:color="auto"/>
        <w:kinsoku/>
        <w:wordWrap/>
        <w:overflowPunct/>
        <w:topLinePunct/>
        <w:autoSpaceDE/>
        <w:autoSpaceDN/>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注：1.本项目采用</w:t>
      </w:r>
      <w:r>
        <w:rPr>
          <w:rFonts w:hint="eastAsia" w:ascii="宋体" w:hAnsi="宋体" w:cs="宋体"/>
          <w:color w:val="auto"/>
          <w:sz w:val="24"/>
          <w:szCs w:val="24"/>
          <w:highlight w:val="none"/>
          <w:lang w:val="en-US" w:eastAsia="zh-CN"/>
        </w:rPr>
        <w:t>综合</w:t>
      </w:r>
      <w:r>
        <w:rPr>
          <w:rFonts w:hint="eastAsia" w:ascii="宋体" w:hAnsi="宋体" w:eastAsia="宋体" w:cs="宋体"/>
          <w:color w:val="auto"/>
          <w:sz w:val="24"/>
          <w:szCs w:val="24"/>
          <w:highlight w:val="none"/>
          <w:lang w:val="en-US" w:eastAsia="zh-CN"/>
        </w:rPr>
        <w:t>单价包干按实结算的</w:t>
      </w:r>
      <w:r>
        <w:rPr>
          <w:rFonts w:hint="eastAsia" w:ascii="宋体" w:hAnsi="宋体" w:cs="宋体"/>
          <w:color w:val="auto"/>
          <w:sz w:val="24"/>
          <w:szCs w:val="24"/>
          <w:highlight w:val="none"/>
          <w:lang w:val="en-US" w:eastAsia="zh-CN"/>
        </w:rPr>
        <w:t>方式结算合同价格</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highlight w:val="none"/>
          <w:lang w:val="en-US" w:eastAsia="zh-CN"/>
        </w:rPr>
        <w:t>在合同履行期间，因市政道路公用设施清扫</w:t>
      </w:r>
      <w:r>
        <w:rPr>
          <w:rFonts w:hint="eastAsia" w:ascii="宋体" w:hAnsi="宋体" w:cs="宋体"/>
          <w:b/>
          <w:bCs/>
          <w:color w:val="auto"/>
          <w:sz w:val="24"/>
          <w:highlight w:val="none"/>
          <w:lang w:val="en-US" w:eastAsia="zh-CN"/>
        </w:rPr>
        <w:t>保洁</w:t>
      </w:r>
      <w:r>
        <w:rPr>
          <w:rFonts w:hint="eastAsia" w:hAnsi="宋体" w:cs="宋体"/>
          <w:b/>
          <w:bCs/>
          <w:color w:val="auto"/>
          <w:sz w:val="24"/>
          <w:highlight w:val="none"/>
          <w:lang w:val="en-US" w:eastAsia="zh-CN"/>
        </w:rPr>
        <w:t>管护</w:t>
      </w:r>
      <w:r>
        <w:rPr>
          <w:rFonts w:hint="eastAsia" w:ascii="宋体" w:hAnsi="宋体" w:eastAsia="宋体" w:cs="宋体"/>
          <w:b/>
          <w:bCs/>
          <w:color w:val="auto"/>
          <w:sz w:val="24"/>
          <w:highlight w:val="none"/>
          <w:lang w:val="en-US" w:eastAsia="zh-CN"/>
        </w:rPr>
        <w:t>面积增加不超过10000平方米的</w:t>
      </w:r>
      <w:r>
        <w:rPr>
          <w:rFonts w:hint="eastAsia" w:hAnsi="宋体" w:cs="宋体"/>
          <w:b/>
          <w:bCs/>
          <w:color w:val="auto"/>
          <w:sz w:val="24"/>
          <w:highlight w:val="none"/>
          <w:lang w:val="en-US" w:eastAsia="zh-CN"/>
        </w:rPr>
        <w:t>、路灯维护增加不超过200盏的、餐厨垃圾增加每日不超过10吨的，</w:t>
      </w:r>
      <w:r>
        <w:rPr>
          <w:rFonts w:hint="eastAsia" w:ascii="宋体" w:hAnsi="宋体" w:eastAsia="宋体" w:cs="宋体"/>
          <w:b/>
          <w:bCs/>
          <w:color w:val="auto"/>
          <w:sz w:val="24"/>
          <w:highlight w:val="none"/>
          <w:lang w:val="en-US" w:eastAsia="zh-CN"/>
        </w:rPr>
        <w:t>中标合同价款不作调整</w:t>
      </w:r>
      <w:r>
        <w:rPr>
          <w:rFonts w:hint="eastAsia" w:ascii="宋体" w:hAnsi="宋体" w:eastAsia="宋体" w:cs="宋体"/>
          <w:b/>
          <w:bCs/>
          <w:color w:val="auto"/>
          <w:sz w:val="24"/>
          <w:szCs w:val="24"/>
          <w:highlight w:val="none"/>
          <w:lang w:val="en-US" w:eastAsia="zh-CN"/>
        </w:rPr>
        <w:t>）。</w:t>
      </w:r>
    </w:p>
    <w:p w14:paraId="71157C6A">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2.综合</w:t>
      </w:r>
      <w:r>
        <w:rPr>
          <w:rFonts w:hint="eastAsia" w:ascii="宋体" w:hAnsi="宋体" w:eastAsia="宋体" w:cs="宋体"/>
          <w:color w:val="auto"/>
          <w:sz w:val="24"/>
          <w:szCs w:val="24"/>
          <w:highlight w:val="none"/>
          <w:lang w:val="en-US" w:eastAsia="zh-CN"/>
        </w:rPr>
        <w:t>单价</w:t>
      </w:r>
      <w:r>
        <w:rPr>
          <w:rFonts w:hint="eastAsia" w:ascii="宋体" w:hAnsi="宋体" w:cs="宋体"/>
          <w:color w:val="auto"/>
          <w:sz w:val="24"/>
          <w:szCs w:val="24"/>
          <w:highlight w:val="none"/>
          <w:lang w:val="en-US" w:eastAsia="zh-CN"/>
        </w:rPr>
        <w:t>为</w:t>
      </w:r>
      <w:r>
        <w:rPr>
          <w:rFonts w:hint="eastAsia" w:ascii="宋体" w:hAnsi="宋体" w:eastAsia="宋体" w:cs="宋体"/>
          <w:color w:val="auto"/>
          <w:sz w:val="24"/>
          <w:szCs w:val="24"/>
          <w:highlight w:val="none"/>
          <w:lang w:val="en-US" w:eastAsia="zh-CN"/>
        </w:rPr>
        <w:t>包干综合单价，包含易门县环卫站购买县城环卫市政服务项目作业管理的所有服务范围和内容产生的费用。</w:t>
      </w:r>
    </w:p>
    <w:p w14:paraId="30DED12F">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投标报价中已人员工资、人员保险费、服装费、所投设施设备费、设备保险费、设备保养维修费、检验检测费、药剂费、公厕水电费（含洗手台）、公厕网络服务费、材料费（含消耗性材料、措施性材料、更换材料、老化材料等）、备品备件、工器具、办公用品费、劳保用品费、生活用品费、车辆使用费（含折旧、燃料、保险、维修费用等）、项目交接移交费、安全文明生产费、管理费（含差旅费、培训费、协调费等）、利润、税金等本招标文件明示或暗示的所有费用，该价格已充分考虑市场风险、价格风险、政策风险、汇率风险等所有因素。合同一旦签订，各项单价及总价在合同实施期间将不因市场价格、最低工资标准及其他因素的变化而增加，投标人不得因此类问题提出任何索赔要求。投标单位不得再以任何理由再向采购人收取费用。</w:t>
      </w:r>
    </w:p>
    <w:p w14:paraId="179D1A93">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中标后，采购人不接受任何因地形复杂、管护工艺、保洁及路灯维修管护环境等理由提出的费用的增加。</w:t>
      </w:r>
    </w:p>
    <w:p w14:paraId="3E7B65B8">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因清扫保洁产生的垃圾清运由投标单位负责，所有清扫保洁产生的垃圾清运至中转站，垃圾清运费用包含在以上投标报价中。</w:t>
      </w:r>
    </w:p>
    <w:p w14:paraId="40673A03">
      <w:pPr>
        <w:keepNext w:val="0"/>
        <w:keepLines w:val="0"/>
        <w:pageBreakBefore w:val="0"/>
        <w:widowControl w:val="0"/>
        <w:shd w:val="clear" w:color="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因管护面积、数量、内容等减少的，按单价计算相应核减总费用。</w:t>
      </w:r>
    </w:p>
    <w:p w14:paraId="1D4210D2">
      <w:pPr>
        <w:pStyle w:val="16"/>
        <w:spacing w:line="480" w:lineRule="exact"/>
        <w:ind w:firstLine="480" w:firstLineChars="200"/>
        <w:rPr>
          <w:rFonts w:hint="eastAsia" w:ascii="宋体" w:hAnsi="宋体" w:eastAsia="宋体" w:cs="宋体"/>
          <w:color w:val="auto"/>
          <w:sz w:val="24"/>
          <w:szCs w:val="24"/>
          <w:highlight w:val="none"/>
        </w:rPr>
      </w:pPr>
    </w:p>
    <w:p w14:paraId="1D0BE18F">
      <w:pPr>
        <w:pStyle w:val="16"/>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w:t>
      </w:r>
      <w:r>
        <w:rPr>
          <w:rFonts w:hint="eastAsia" w:ascii="宋体" w:hAnsi="宋体" w:eastAsia="宋体" w:cs="宋体"/>
          <w:color w:val="auto"/>
          <w:sz w:val="24"/>
          <w:szCs w:val="24"/>
          <w:highlight w:val="none"/>
        </w:rPr>
        <w:t>）</w:t>
      </w:r>
    </w:p>
    <w:p w14:paraId="44F40DE3">
      <w:pPr>
        <w:pStyle w:val="16"/>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电子签章或电子签名</w:t>
      </w:r>
      <w:r>
        <w:rPr>
          <w:rFonts w:hint="eastAsia" w:ascii="宋体" w:hAnsi="宋体" w:eastAsia="宋体" w:cs="宋体"/>
          <w:color w:val="auto"/>
          <w:sz w:val="24"/>
          <w:szCs w:val="24"/>
          <w:highlight w:val="none"/>
        </w:rPr>
        <w:t>）</w:t>
      </w:r>
    </w:p>
    <w:p w14:paraId="18A2B207">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312EEC1">
      <w:pPr>
        <w:rPr>
          <w:rFonts w:hint="eastAsia" w:ascii="宋体" w:hAnsi="宋体" w:eastAsia="宋体" w:cs="宋体"/>
          <w:bCs/>
          <w:color w:val="auto"/>
          <w:kern w:val="0"/>
          <w:sz w:val="28"/>
          <w:highlight w:val="none"/>
        </w:rPr>
      </w:pPr>
      <w:r>
        <w:rPr>
          <w:rFonts w:hint="eastAsia" w:ascii="宋体" w:hAnsi="宋体" w:eastAsia="宋体" w:cs="宋体"/>
          <w:bCs/>
          <w:color w:val="auto"/>
          <w:kern w:val="0"/>
          <w:sz w:val="28"/>
          <w:highlight w:val="none"/>
        </w:rPr>
        <w:br w:type="page"/>
      </w:r>
    </w:p>
    <w:p w14:paraId="68EB52C1">
      <w:pPr>
        <w:pStyle w:val="3"/>
        <w:jc w:val="center"/>
        <w:rPr>
          <w:rFonts w:hint="eastAsia" w:ascii="宋体" w:hAnsi="宋体" w:eastAsia="宋体" w:cs="宋体"/>
          <w:bCs/>
          <w:color w:val="auto"/>
          <w:kern w:val="0"/>
          <w:sz w:val="28"/>
          <w:highlight w:val="none"/>
        </w:rPr>
      </w:pPr>
      <w:r>
        <w:rPr>
          <w:rFonts w:hint="eastAsia" w:hAnsi="宋体" w:cs="宋体"/>
          <w:bCs/>
          <w:color w:val="auto"/>
          <w:kern w:val="0"/>
          <w:sz w:val="28"/>
          <w:highlight w:val="none"/>
          <w:lang w:eastAsia="zh-CN"/>
        </w:rPr>
        <w:t>（</w:t>
      </w:r>
      <w:r>
        <w:rPr>
          <w:rFonts w:hint="eastAsia" w:hAnsi="宋体" w:cs="宋体"/>
          <w:bCs/>
          <w:color w:val="auto"/>
          <w:kern w:val="0"/>
          <w:sz w:val="28"/>
          <w:highlight w:val="none"/>
          <w:lang w:val="en-US" w:eastAsia="zh-CN"/>
        </w:rPr>
        <w:t>四</w:t>
      </w:r>
      <w:r>
        <w:rPr>
          <w:rFonts w:hint="eastAsia" w:hAnsi="宋体" w:cs="宋体"/>
          <w:bCs/>
          <w:color w:val="auto"/>
          <w:kern w:val="0"/>
          <w:sz w:val="28"/>
          <w:highlight w:val="none"/>
          <w:lang w:eastAsia="zh-CN"/>
        </w:rPr>
        <w:t>）</w:t>
      </w:r>
      <w:r>
        <w:rPr>
          <w:rFonts w:hint="eastAsia" w:ascii="宋体" w:hAnsi="宋体" w:eastAsia="宋体" w:cs="宋体"/>
          <w:bCs/>
          <w:color w:val="auto"/>
          <w:kern w:val="0"/>
          <w:sz w:val="28"/>
          <w:highlight w:val="none"/>
        </w:rPr>
        <w:t>投标保证书</w:t>
      </w:r>
      <w:bookmarkEnd w:id="497"/>
      <w:bookmarkEnd w:id="498"/>
      <w:bookmarkEnd w:id="499"/>
      <w:bookmarkEnd w:id="500"/>
    </w:p>
    <w:p w14:paraId="14D9E12E">
      <w:pPr>
        <w:jc w:val="center"/>
        <w:rPr>
          <w:rFonts w:hint="eastAsia" w:ascii="宋体" w:hAnsi="宋体" w:eastAsia="宋体" w:cs="宋体"/>
          <w:color w:val="auto"/>
          <w:highlight w:val="none"/>
        </w:rPr>
      </w:pPr>
    </w:p>
    <w:p w14:paraId="3169D23F">
      <w:pPr>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采购人</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采购</w:t>
      </w:r>
      <w:r>
        <w:rPr>
          <w:rFonts w:hint="eastAsia" w:ascii="宋体" w:hAnsi="宋体" w:eastAsia="宋体" w:cs="宋体"/>
          <w:color w:val="auto"/>
          <w:sz w:val="24"/>
          <w:highlight w:val="none"/>
          <w:u w:val="single"/>
        </w:rPr>
        <w:t>代理机构）</w:t>
      </w:r>
    </w:p>
    <w:p w14:paraId="0F7B6CC4">
      <w:pPr>
        <w:pStyle w:val="16"/>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我方自愿参加</w:t>
      </w:r>
      <w:r>
        <w:rPr>
          <w:rFonts w:hint="eastAsia" w:ascii="宋体" w:hAnsi="宋体" w:eastAsia="宋体" w:cs="宋体"/>
          <w:color w:val="auto"/>
          <w:sz w:val="24"/>
          <w:highlight w:val="none"/>
          <w:u w:val="single"/>
        </w:rPr>
        <w:t>（项目名称）（项目编号）</w:t>
      </w:r>
      <w:r>
        <w:rPr>
          <w:rFonts w:hint="eastAsia" w:ascii="宋体" w:hAnsi="宋体" w:eastAsia="宋体" w:cs="宋体"/>
          <w:color w:val="auto"/>
          <w:sz w:val="24"/>
          <w:highlight w:val="none"/>
        </w:rPr>
        <w:t>的投标，并按招标文件要求缴纳投标保证金，金额为¥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382B7503">
      <w:pPr>
        <w:pStyle w:val="16"/>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注：后附保证金缴纳凭证（回执）扫描件加盖电子公章。</w:t>
      </w:r>
    </w:p>
    <w:p w14:paraId="009967A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一旦发生下述行为，我单位（或公司）将放弃追索保证金的权利：</w:t>
      </w:r>
    </w:p>
    <w:p w14:paraId="0B446B2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（1）投标人在规定的投标有效期内撤销或修改其投标文件；</w:t>
      </w:r>
    </w:p>
    <w:p w14:paraId="61B7D66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（2）中标人在收到中标通知书后，无正当理由拒签合同协议书或未按招标文件规定提交履约担保</w:t>
      </w:r>
      <w:r>
        <w:rPr>
          <w:rFonts w:hint="eastAsia" w:ascii="宋体" w:hAnsi="宋体" w:cs="宋体"/>
          <w:color w:val="auto"/>
          <w:sz w:val="24"/>
          <w:highlight w:val="none"/>
          <w:lang w:eastAsia="zh-CN"/>
        </w:rPr>
        <w:t>；</w:t>
      </w:r>
    </w:p>
    <w:p w14:paraId="5592F34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（3）投标人无故不参加投标或者出现不廉洁行为的；</w:t>
      </w:r>
    </w:p>
    <w:p w14:paraId="5E9CAD6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（4）投标人采用不正当的手段骗取中标的；</w:t>
      </w:r>
    </w:p>
    <w:p w14:paraId="206AEC67">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（5）被相关管理部门认定投标人有串通投标行为的</w:t>
      </w:r>
      <w:r>
        <w:rPr>
          <w:rFonts w:hint="eastAsia" w:ascii="宋体" w:hAnsi="宋体" w:cs="宋体"/>
          <w:color w:val="auto"/>
          <w:sz w:val="24"/>
          <w:highlight w:val="none"/>
          <w:lang w:eastAsia="zh-CN"/>
        </w:rPr>
        <w:t>；</w:t>
      </w:r>
    </w:p>
    <w:p w14:paraId="7EA91DB8">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（6）将中标项目转让给他人或在投标文件中未说明且未经招标采购单位同意，将中标项目分包给他人的</w:t>
      </w:r>
      <w:r>
        <w:rPr>
          <w:rFonts w:hint="eastAsia" w:ascii="宋体" w:hAnsi="宋体" w:cs="宋体"/>
          <w:color w:val="auto"/>
          <w:sz w:val="24"/>
          <w:highlight w:val="none"/>
          <w:lang w:eastAsia="zh-CN"/>
        </w:rPr>
        <w:t>；</w:t>
      </w:r>
    </w:p>
    <w:p w14:paraId="50585842">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（7）拒绝履行合同义务的</w:t>
      </w:r>
      <w:r>
        <w:rPr>
          <w:rFonts w:hint="eastAsia" w:ascii="宋体" w:hAnsi="宋体" w:cs="宋体"/>
          <w:color w:val="auto"/>
          <w:sz w:val="24"/>
          <w:highlight w:val="none"/>
          <w:lang w:eastAsia="zh-CN"/>
        </w:rPr>
        <w:t>；</w:t>
      </w:r>
    </w:p>
    <w:p w14:paraId="04058D3D">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（8）</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严重扰乱招投标程序的</w:t>
      </w:r>
      <w:r>
        <w:rPr>
          <w:rFonts w:hint="eastAsia" w:ascii="宋体" w:hAnsi="宋体" w:cs="宋体"/>
          <w:color w:val="auto"/>
          <w:sz w:val="24"/>
          <w:highlight w:val="none"/>
          <w:lang w:eastAsia="zh-CN"/>
        </w:rPr>
        <w:t>。</w:t>
      </w:r>
    </w:p>
    <w:p w14:paraId="4BD68A65">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本保证书自开标日起90日有效，除非贵方提前终止或解除本保证书</w:t>
      </w:r>
      <w:r>
        <w:rPr>
          <w:rFonts w:hint="eastAsia" w:ascii="宋体" w:hAnsi="宋体" w:cs="宋体"/>
          <w:color w:val="auto"/>
          <w:sz w:val="24"/>
          <w:highlight w:val="none"/>
          <w:lang w:eastAsia="zh-CN"/>
        </w:rPr>
        <w:t>。</w:t>
      </w:r>
    </w:p>
    <w:p w14:paraId="20A52C7C">
      <w:pPr>
        <w:pStyle w:val="16"/>
        <w:spacing w:line="360" w:lineRule="auto"/>
        <w:ind w:firstLine="480" w:firstLineChars="200"/>
        <w:rPr>
          <w:rFonts w:hint="eastAsia" w:ascii="宋体" w:hAnsi="宋体" w:eastAsia="宋体" w:cs="宋体"/>
          <w:color w:val="auto"/>
          <w:sz w:val="24"/>
          <w:szCs w:val="24"/>
          <w:highlight w:val="none"/>
        </w:rPr>
      </w:pPr>
    </w:p>
    <w:p w14:paraId="58554E3F">
      <w:pPr>
        <w:pStyle w:val="16"/>
        <w:spacing w:line="360" w:lineRule="auto"/>
        <w:ind w:firstLine="480" w:firstLineChars="200"/>
        <w:rPr>
          <w:rFonts w:hint="eastAsia" w:ascii="宋体" w:hAnsi="宋体" w:eastAsia="宋体" w:cs="宋体"/>
          <w:color w:val="auto"/>
          <w:sz w:val="24"/>
          <w:szCs w:val="24"/>
          <w:highlight w:val="none"/>
        </w:rPr>
      </w:pPr>
    </w:p>
    <w:p w14:paraId="7D0FA46C">
      <w:pPr>
        <w:pStyle w:val="1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w:t>
      </w:r>
      <w:r>
        <w:rPr>
          <w:rFonts w:hint="eastAsia" w:ascii="宋体" w:hAnsi="宋体" w:eastAsia="宋体" w:cs="宋体"/>
          <w:color w:val="auto"/>
          <w:sz w:val="24"/>
          <w:szCs w:val="24"/>
          <w:highlight w:val="none"/>
        </w:rPr>
        <w:t>）</w:t>
      </w:r>
    </w:p>
    <w:p w14:paraId="1F9ACDF5">
      <w:pPr>
        <w:pStyle w:val="16"/>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电子签章或电子签名</w:t>
      </w:r>
      <w:r>
        <w:rPr>
          <w:rFonts w:hint="eastAsia" w:ascii="宋体" w:hAnsi="宋体" w:eastAsia="宋体" w:cs="宋体"/>
          <w:color w:val="auto"/>
          <w:sz w:val="24"/>
          <w:szCs w:val="24"/>
          <w:highlight w:val="none"/>
        </w:rPr>
        <w:t>）</w:t>
      </w:r>
    </w:p>
    <w:p w14:paraId="07BE08F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CA6D06D">
      <w:pPr>
        <w:spacing w:line="360" w:lineRule="auto"/>
        <w:ind w:left="397" w:leftChars="189"/>
        <w:jc w:val="center"/>
        <w:rPr>
          <w:rFonts w:hint="eastAsia" w:ascii="宋体" w:hAnsi="宋体" w:eastAsia="宋体" w:cs="宋体"/>
          <w:bCs/>
          <w:color w:val="auto"/>
          <w:szCs w:val="21"/>
          <w:highlight w:val="none"/>
        </w:rPr>
      </w:pPr>
    </w:p>
    <w:p w14:paraId="4CBCE282">
      <w:pPr>
        <w:spacing w:line="360" w:lineRule="auto"/>
        <w:ind w:left="397" w:leftChars="189"/>
        <w:jc w:val="center"/>
        <w:rPr>
          <w:rFonts w:hint="eastAsia" w:ascii="宋体" w:hAnsi="宋体" w:eastAsia="宋体" w:cs="宋体"/>
          <w:b/>
          <w:color w:val="auto"/>
          <w:sz w:val="24"/>
          <w:highlight w:val="none"/>
        </w:rPr>
      </w:pPr>
    </w:p>
    <w:p w14:paraId="018DC5E9">
      <w:pPr>
        <w:pStyle w:val="3"/>
        <w:jc w:val="center"/>
        <w:rPr>
          <w:rFonts w:hint="eastAsia" w:ascii="宋体" w:hAnsi="宋体" w:eastAsia="宋体" w:cs="宋体"/>
          <w:color w:val="auto"/>
          <w:kern w:val="0"/>
          <w:sz w:val="28"/>
          <w:highlight w:val="none"/>
        </w:rPr>
      </w:pPr>
      <w:r>
        <w:rPr>
          <w:rFonts w:hint="eastAsia" w:ascii="宋体" w:hAnsi="宋体" w:eastAsia="宋体" w:cs="宋体"/>
          <w:b w:val="0"/>
          <w:color w:val="auto"/>
          <w:highlight w:val="none"/>
        </w:rPr>
        <w:br w:type="page"/>
      </w:r>
      <w:bookmarkStart w:id="501" w:name="_Toc32333"/>
      <w:bookmarkStart w:id="502" w:name="_Toc16484"/>
      <w:bookmarkStart w:id="503" w:name="_Toc4415"/>
      <w:bookmarkStart w:id="504" w:name="_Toc23355"/>
      <w:bookmarkStart w:id="505" w:name="_Toc18963"/>
      <w:bookmarkStart w:id="506" w:name="_Toc23616"/>
      <w:bookmarkStart w:id="507" w:name="_Toc5809"/>
      <w:bookmarkStart w:id="508" w:name="_Toc7016"/>
      <w:bookmarkStart w:id="509" w:name="_Toc15546"/>
      <w:r>
        <w:rPr>
          <w:rFonts w:hint="eastAsia" w:ascii="宋体" w:hAnsi="宋体" w:eastAsia="宋体" w:cs="宋体"/>
          <w:color w:val="auto"/>
          <w:kern w:val="0"/>
          <w:sz w:val="28"/>
          <w:highlight w:val="none"/>
        </w:rPr>
        <w:t>（</w:t>
      </w:r>
      <w:r>
        <w:rPr>
          <w:rFonts w:hint="eastAsia" w:hAnsi="宋体" w:cs="宋体"/>
          <w:color w:val="auto"/>
          <w:kern w:val="0"/>
          <w:sz w:val="28"/>
          <w:highlight w:val="none"/>
          <w:lang w:val="en-US" w:eastAsia="zh-CN"/>
        </w:rPr>
        <w:t>五</w:t>
      </w:r>
      <w:r>
        <w:rPr>
          <w:rFonts w:hint="eastAsia" w:ascii="宋体" w:hAnsi="宋体" w:eastAsia="宋体" w:cs="宋体"/>
          <w:color w:val="auto"/>
          <w:kern w:val="0"/>
          <w:sz w:val="28"/>
          <w:highlight w:val="none"/>
        </w:rPr>
        <w:t>）法定代表人身份证明书</w:t>
      </w:r>
      <w:bookmarkEnd w:id="501"/>
      <w:bookmarkEnd w:id="502"/>
      <w:bookmarkEnd w:id="503"/>
      <w:bookmarkEnd w:id="504"/>
      <w:bookmarkEnd w:id="505"/>
      <w:bookmarkEnd w:id="506"/>
      <w:bookmarkEnd w:id="507"/>
      <w:bookmarkEnd w:id="508"/>
      <w:bookmarkEnd w:id="509"/>
    </w:p>
    <w:p w14:paraId="4BFC755D">
      <w:pPr>
        <w:jc w:val="left"/>
        <w:rPr>
          <w:rFonts w:hint="eastAsia" w:ascii="宋体" w:hAnsi="宋体" w:eastAsia="宋体" w:cs="宋体"/>
          <w:b/>
          <w:bCs/>
          <w:color w:val="auto"/>
          <w:sz w:val="36"/>
          <w:szCs w:val="36"/>
          <w:highlight w:val="none"/>
        </w:rPr>
      </w:pPr>
    </w:p>
    <w:p w14:paraId="66C875B5">
      <w:pPr>
        <w:spacing w:line="360" w:lineRule="auto"/>
        <w:ind w:firstLine="61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1B43FD54">
      <w:pPr>
        <w:spacing w:line="360" w:lineRule="auto"/>
        <w:ind w:firstLine="61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5F0D353C">
      <w:pPr>
        <w:spacing w:line="360" w:lineRule="auto"/>
        <w:ind w:firstLine="61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0530A43B">
      <w:pPr>
        <w:spacing w:line="360" w:lineRule="auto"/>
        <w:ind w:firstLine="61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6FC45D4">
      <w:pPr>
        <w:spacing w:line="360" w:lineRule="auto"/>
        <w:ind w:firstLine="61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p>
    <w:p w14:paraId="1B55E8C8">
      <w:pPr>
        <w:spacing w:line="360" w:lineRule="auto"/>
        <w:ind w:firstLine="61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28C0E917">
      <w:pPr>
        <w:spacing w:line="360" w:lineRule="auto"/>
        <w:ind w:firstLine="61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（单位名称）    </w:t>
      </w:r>
      <w:r>
        <w:rPr>
          <w:rFonts w:hint="eastAsia" w:ascii="宋体" w:hAnsi="宋体" w:eastAsia="宋体" w:cs="宋体"/>
          <w:color w:val="auto"/>
          <w:sz w:val="24"/>
          <w:highlight w:val="none"/>
        </w:rPr>
        <w:t>的法定代表人。</w:t>
      </w:r>
    </w:p>
    <w:p w14:paraId="0275FBC9">
      <w:pPr>
        <w:spacing w:line="360" w:lineRule="auto"/>
        <w:ind w:firstLine="610"/>
        <w:jc w:val="left"/>
        <w:rPr>
          <w:rFonts w:hint="eastAsia" w:ascii="宋体" w:hAnsi="宋体" w:eastAsia="宋体" w:cs="宋体"/>
          <w:color w:val="auto"/>
          <w:sz w:val="24"/>
          <w:highlight w:val="none"/>
        </w:rPr>
      </w:pPr>
    </w:p>
    <w:p w14:paraId="704321BB">
      <w:pPr>
        <w:spacing w:line="360" w:lineRule="auto"/>
        <w:ind w:firstLine="61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729D67F5">
      <w:pPr>
        <w:spacing w:line="360" w:lineRule="auto"/>
        <w:ind w:firstLine="610"/>
        <w:rPr>
          <w:rFonts w:hint="eastAsia" w:ascii="宋体" w:hAnsi="宋体" w:eastAsia="宋体" w:cs="宋体"/>
          <w:b/>
          <w:color w:val="auto"/>
          <w:sz w:val="24"/>
          <w:highlight w:val="none"/>
        </w:rPr>
      </w:pPr>
    </w:p>
    <w:p w14:paraId="6EC9E8E7">
      <w:pPr>
        <w:spacing w:line="360" w:lineRule="auto"/>
        <w:ind w:firstLine="61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附：法定代表人有效身份证正面、背面复印件（扫描件）。</w:t>
      </w:r>
    </w:p>
    <w:tbl>
      <w:tblPr>
        <w:tblStyle w:val="28"/>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14:paraId="42F0F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14:paraId="00A0D74D">
            <w:pPr>
              <w:spacing w:line="360" w:lineRule="auto"/>
              <w:jc w:val="center"/>
              <w:rPr>
                <w:rFonts w:hint="eastAsia" w:ascii="宋体" w:hAnsi="宋体" w:eastAsia="宋体" w:cs="宋体"/>
                <w:color w:val="auto"/>
                <w:sz w:val="24"/>
                <w:highlight w:val="none"/>
              </w:rPr>
            </w:pPr>
          </w:p>
        </w:tc>
        <w:tc>
          <w:tcPr>
            <w:tcW w:w="708" w:type="dxa"/>
            <w:tcBorders>
              <w:top w:val="nil"/>
              <w:left w:val="single" w:color="auto" w:sz="4" w:space="0"/>
              <w:bottom w:val="nil"/>
              <w:right w:val="single" w:color="auto" w:sz="4" w:space="0"/>
            </w:tcBorders>
          </w:tcPr>
          <w:p w14:paraId="27385B9D">
            <w:pPr>
              <w:spacing w:line="360" w:lineRule="auto"/>
              <w:jc w:val="center"/>
              <w:rPr>
                <w:rFonts w:hint="eastAsia" w:ascii="宋体" w:hAnsi="宋体" w:eastAsia="宋体" w:cs="宋体"/>
                <w:color w:val="auto"/>
                <w:sz w:val="24"/>
                <w:highlight w:val="none"/>
              </w:rPr>
            </w:pPr>
          </w:p>
        </w:tc>
        <w:tc>
          <w:tcPr>
            <w:tcW w:w="3969" w:type="dxa"/>
            <w:tcBorders>
              <w:left w:val="single" w:color="auto" w:sz="4" w:space="0"/>
            </w:tcBorders>
            <w:vAlign w:val="center"/>
          </w:tcPr>
          <w:p w14:paraId="3DF23EC7">
            <w:pPr>
              <w:spacing w:line="360" w:lineRule="auto"/>
              <w:jc w:val="center"/>
              <w:rPr>
                <w:rFonts w:hint="eastAsia" w:ascii="宋体" w:hAnsi="宋体" w:eastAsia="宋体" w:cs="宋体"/>
                <w:color w:val="auto"/>
                <w:sz w:val="24"/>
                <w:highlight w:val="none"/>
              </w:rPr>
            </w:pPr>
          </w:p>
        </w:tc>
      </w:tr>
    </w:tbl>
    <w:p w14:paraId="7C7BEDBD">
      <w:pPr>
        <w:spacing w:line="360" w:lineRule="auto"/>
        <w:ind w:left="1680" w:firstLine="420"/>
        <w:rPr>
          <w:rFonts w:hint="eastAsia" w:ascii="宋体" w:hAnsi="宋体" w:eastAsia="宋体" w:cs="宋体"/>
          <w:b/>
          <w:bCs/>
          <w:color w:val="auto"/>
          <w:sz w:val="24"/>
          <w:highlight w:val="none"/>
          <w:u w:val="single"/>
        </w:rPr>
      </w:pPr>
    </w:p>
    <w:p w14:paraId="798599D4">
      <w:pPr>
        <w:spacing w:line="360" w:lineRule="auto"/>
        <w:ind w:firstLine="610"/>
        <w:jc w:val="left"/>
        <w:rPr>
          <w:rFonts w:hint="eastAsia" w:ascii="宋体" w:hAnsi="宋体" w:eastAsia="宋体" w:cs="宋体"/>
          <w:color w:val="auto"/>
          <w:sz w:val="24"/>
          <w:highlight w:val="none"/>
        </w:rPr>
      </w:pPr>
    </w:p>
    <w:p w14:paraId="6AF227BA">
      <w:pPr>
        <w:tabs>
          <w:tab w:val="left" w:pos="720"/>
          <w:tab w:val="left" w:pos="900"/>
        </w:tabs>
        <w:spacing w:line="360" w:lineRule="auto"/>
        <w:ind w:firstLine="4560" w:firstLineChars="1900"/>
        <w:jc w:val="left"/>
        <w:rPr>
          <w:rFonts w:hint="eastAsia" w:ascii="宋体" w:hAnsi="宋体" w:eastAsia="宋体" w:cs="宋体"/>
          <w:color w:val="auto"/>
          <w:sz w:val="24"/>
          <w:highlight w:val="none"/>
        </w:rPr>
      </w:pPr>
    </w:p>
    <w:p w14:paraId="1567710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695A7A2C">
      <w:pPr>
        <w:tabs>
          <w:tab w:val="left" w:pos="720"/>
          <w:tab w:val="left" w:pos="900"/>
        </w:tabs>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color w:val="auto"/>
          <w:sz w:val="24"/>
          <w:szCs w:val="28"/>
          <w:highlight w:val="none"/>
        </w:rPr>
        <w:t>日期：_____年_____月_____日</w:t>
      </w:r>
    </w:p>
    <w:p w14:paraId="1619EED9">
      <w:pPr>
        <w:pStyle w:val="3"/>
        <w:jc w:val="center"/>
        <w:rPr>
          <w:rFonts w:hint="eastAsia" w:ascii="宋体" w:hAnsi="宋体" w:eastAsia="宋体" w:cs="宋体"/>
          <w:color w:val="auto"/>
          <w:kern w:val="0"/>
          <w:sz w:val="28"/>
          <w:highlight w:val="none"/>
        </w:rPr>
      </w:pPr>
      <w:r>
        <w:rPr>
          <w:rFonts w:hint="eastAsia" w:ascii="宋体" w:hAnsi="宋体" w:eastAsia="宋体" w:cs="宋体"/>
          <w:b w:val="0"/>
          <w:color w:val="auto"/>
          <w:highlight w:val="none"/>
        </w:rPr>
        <w:br w:type="page"/>
      </w:r>
      <w:bookmarkStart w:id="510" w:name="_Toc27015"/>
      <w:bookmarkStart w:id="511" w:name="_Toc31752"/>
      <w:bookmarkStart w:id="512" w:name="_Toc32390"/>
      <w:bookmarkStart w:id="513" w:name="_Toc3244"/>
      <w:bookmarkStart w:id="514" w:name="_Toc30986"/>
      <w:bookmarkStart w:id="515" w:name="_Toc31293"/>
      <w:bookmarkStart w:id="516" w:name="_Toc26878"/>
      <w:bookmarkStart w:id="517" w:name="_Toc15757"/>
      <w:bookmarkStart w:id="518" w:name="_Toc30889"/>
      <w:r>
        <w:rPr>
          <w:rFonts w:hint="eastAsia" w:ascii="宋体" w:hAnsi="宋体" w:eastAsia="宋体" w:cs="宋体"/>
          <w:color w:val="auto"/>
          <w:kern w:val="0"/>
          <w:sz w:val="28"/>
          <w:highlight w:val="none"/>
        </w:rPr>
        <w:t>（</w:t>
      </w:r>
      <w:r>
        <w:rPr>
          <w:rFonts w:hint="eastAsia" w:hAnsi="宋体" w:cs="宋体"/>
          <w:color w:val="auto"/>
          <w:kern w:val="0"/>
          <w:sz w:val="28"/>
          <w:highlight w:val="none"/>
          <w:lang w:val="en-US" w:eastAsia="zh-CN"/>
        </w:rPr>
        <w:t>六</w:t>
      </w:r>
      <w:r>
        <w:rPr>
          <w:rFonts w:hint="eastAsia" w:ascii="宋体" w:hAnsi="宋体" w:eastAsia="宋体" w:cs="宋体"/>
          <w:color w:val="auto"/>
          <w:kern w:val="0"/>
          <w:sz w:val="28"/>
          <w:highlight w:val="none"/>
        </w:rPr>
        <w:t>）法定代表人授权委托书</w:t>
      </w:r>
      <w:bookmarkEnd w:id="510"/>
      <w:bookmarkEnd w:id="511"/>
      <w:bookmarkEnd w:id="512"/>
      <w:bookmarkEnd w:id="513"/>
      <w:bookmarkEnd w:id="514"/>
      <w:bookmarkEnd w:id="515"/>
      <w:bookmarkEnd w:id="516"/>
      <w:bookmarkEnd w:id="517"/>
      <w:bookmarkEnd w:id="518"/>
    </w:p>
    <w:p w14:paraId="54B5C00C">
      <w:pPr>
        <w:spacing w:line="500" w:lineRule="exact"/>
        <w:jc w:val="left"/>
        <w:rPr>
          <w:rFonts w:hint="eastAsia" w:ascii="宋体" w:hAnsi="宋体" w:eastAsia="宋体" w:cs="宋体"/>
          <w:color w:val="auto"/>
          <w:sz w:val="24"/>
          <w:highlight w:val="none"/>
        </w:rPr>
      </w:pPr>
    </w:p>
    <w:p w14:paraId="4A79AB86">
      <w:pPr>
        <w:spacing w:line="500" w:lineRule="exact"/>
        <w:ind w:firstLine="480" w:firstLineChars="20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本授权委托书声明：我</w:t>
      </w:r>
      <w:r>
        <w:rPr>
          <w:rFonts w:hint="eastAsia" w:ascii="宋体" w:hAnsi="宋体" w:eastAsia="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eastAsia="zh-CN"/>
        </w:rPr>
        <w:t>（</w:t>
      </w:r>
      <w:r>
        <w:rPr>
          <w:rFonts w:hint="eastAsia" w:ascii="宋体" w:hAnsi="宋体" w:eastAsia="宋体" w:cs="宋体"/>
          <w:b w:val="0"/>
          <w:bCs w:val="0"/>
          <w:color w:val="auto"/>
          <w:sz w:val="24"/>
          <w:highlight w:val="none"/>
        </w:rPr>
        <w:t>姓名</w:t>
      </w:r>
      <w:r>
        <w:rPr>
          <w:rFonts w:hint="eastAsia" w:ascii="宋体" w:hAnsi="宋体" w:cs="宋体"/>
          <w:b w:val="0"/>
          <w:bCs w:val="0"/>
          <w:color w:val="auto"/>
          <w:sz w:val="24"/>
          <w:highlight w:val="none"/>
          <w:lang w:eastAsia="zh-CN"/>
        </w:rPr>
        <w:t>）</w:t>
      </w:r>
      <w:r>
        <w:rPr>
          <w:rFonts w:hint="eastAsia" w:ascii="宋体" w:hAnsi="宋体" w:eastAsia="宋体" w:cs="宋体"/>
          <w:b w:val="0"/>
          <w:bCs w:val="0"/>
          <w:color w:val="auto"/>
          <w:sz w:val="24"/>
          <w:highlight w:val="none"/>
        </w:rPr>
        <w:t>系</w:t>
      </w:r>
      <w:r>
        <w:rPr>
          <w:rFonts w:hint="eastAsia" w:ascii="宋体" w:hAnsi="宋体" w:eastAsia="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eastAsia="zh-CN"/>
        </w:rPr>
        <w:t>（</w:t>
      </w:r>
      <w:r>
        <w:rPr>
          <w:rFonts w:hint="eastAsia" w:ascii="宋体" w:hAnsi="宋体" w:eastAsia="宋体" w:cs="宋体"/>
          <w:b w:val="0"/>
          <w:bCs w:val="0"/>
          <w:color w:val="auto"/>
          <w:sz w:val="24"/>
          <w:highlight w:val="none"/>
        </w:rPr>
        <w:t>投标人名称</w:t>
      </w:r>
      <w:r>
        <w:rPr>
          <w:rFonts w:hint="eastAsia" w:ascii="宋体" w:hAnsi="宋体" w:cs="宋体"/>
          <w:b w:val="0"/>
          <w:bCs w:val="0"/>
          <w:color w:val="auto"/>
          <w:sz w:val="24"/>
          <w:highlight w:val="none"/>
          <w:lang w:eastAsia="zh-CN"/>
        </w:rPr>
        <w:t>）</w:t>
      </w:r>
      <w:r>
        <w:rPr>
          <w:rFonts w:hint="eastAsia" w:ascii="宋体" w:hAnsi="宋体" w:eastAsia="宋体" w:cs="宋体"/>
          <w:b w:val="0"/>
          <w:bCs w:val="0"/>
          <w:color w:val="auto"/>
          <w:sz w:val="24"/>
          <w:highlight w:val="none"/>
        </w:rPr>
        <w:t xml:space="preserve">的法定代表人，现授权委托我单位的 </w:t>
      </w:r>
      <w:r>
        <w:rPr>
          <w:rFonts w:hint="eastAsia" w:ascii="宋体" w:hAnsi="宋体" w:eastAsia="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eastAsia="zh-CN"/>
        </w:rPr>
        <w:t>（</w:t>
      </w:r>
      <w:r>
        <w:rPr>
          <w:rFonts w:hint="eastAsia" w:ascii="宋体" w:hAnsi="宋体" w:eastAsia="宋体" w:cs="宋体"/>
          <w:b w:val="0"/>
          <w:bCs w:val="0"/>
          <w:color w:val="auto"/>
          <w:sz w:val="24"/>
          <w:highlight w:val="none"/>
        </w:rPr>
        <w:t>姓名</w:t>
      </w:r>
      <w:r>
        <w:rPr>
          <w:rFonts w:hint="eastAsia" w:ascii="宋体" w:hAnsi="宋体" w:cs="宋体"/>
          <w:b w:val="0"/>
          <w:bCs w:val="0"/>
          <w:color w:val="auto"/>
          <w:sz w:val="24"/>
          <w:highlight w:val="none"/>
          <w:lang w:eastAsia="zh-CN"/>
        </w:rPr>
        <w:t>）</w:t>
      </w:r>
      <w:r>
        <w:rPr>
          <w:rFonts w:hint="eastAsia" w:ascii="宋体" w:hAnsi="宋体" w:eastAsia="宋体" w:cs="宋体"/>
          <w:b w:val="0"/>
          <w:bCs w:val="0"/>
          <w:color w:val="auto"/>
          <w:sz w:val="24"/>
          <w:highlight w:val="none"/>
        </w:rPr>
        <w:t>为我公司代理人，以公司名义参加</w:t>
      </w:r>
      <w:r>
        <w:rPr>
          <w:rFonts w:hint="eastAsia" w:ascii="宋体" w:hAnsi="宋体" w:eastAsia="宋体" w:cs="宋体"/>
          <w:b w:val="0"/>
          <w:bCs w:val="0"/>
          <w:color w:val="auto"/>
          <w:sz w:val="24"/>
          <w:szCs w:val="36"/>
          <w:highlight w:val="none"/>
          <w:u w:val="single"/>
        </w:rPr>
        <w:t xml:space="preserve">  （项目名称）  </w:t>
      </w:r>
      <w:r>
        <w:rPr>
          <w:rFonts w:hint="eastAsia" w:ascii="宋体" w:hAnsi="宋体" w:eastAsia="宋体" w:cs="宋体"/>
          <w:b w:val="0"/>
          <w:bCs w:val="0"/>
          <w:color w:val="auto"/>
          <w:sz w:val="24"/>
          <w:highlight w:val="none"/>
        </w:rPr>
        <w:t>（项目编号：</w:t>
      </w:r>
      <w:r>
        <w:rPr>
          <w:rFonts w:hint="eastAsia" w:ascii="宋体" w:hAnsi="宋体" w:eastAsia="宋体" w:cs="宋体"/>
          <w:b w:val="0"/>
          <w:bCs w:val="0"/>
          <w:color w:val="auto"/>
          <w:sz w:val="24"/>
          <w:highlight w:val="none"/>
          <w:u w:val="single"/>
          <w:lang w:val="zh-CN"/>
        </w:rPr>
        <w:t xml:space="preserve">           </w:t>
      </w:r>
      <w:r>
        <w:rPr>
          <w:rFonts w:hint="eastAsia" w:ascii="宋体" w:hAnsi="宋体" w:eastAsia="宋体" w:cs="宋体"/>
          <w:b w:val="0"/>
          <w:bCs w:val="0"/>
          <w:color w:val="auto"/>
          <w:sz w:val="24"/>
          <w:highlight w:val="none"/>
        </w:rPr>
        <w:t>）的投标活动。代理人在投标、合同签订过程中所签署的一切文件和处理与之有关的一切事务，我均予以承认。</w:t>
      </w:r>
    </w:p>
    <w:p w14:paraId="0AFFA02D">
      <w:pPr>
        <w:spacing w:line="500" w:lineRule="exact"/>
        <w:ind w:firstLine="420"/>
        <w:jc w:val="left"/>
        <w:rPr>
          <w:rFonts w:hint="eastAsia" w:ascii="宋体" w:hAnsi="宋体" w:eastAsia="宋体" w:cs="宋体"/>
          <w:b w:val="0"/>
          <w:bCs w:val="0"/>
          <w:color w:val="auto"/>
          <w:sz w:val="24"/>
          <w:highlight w:val="none"/>
        </w:rPr>
      </w:pPr>
    </w:p>
    <w:p w14:paraId="11C6842A">
      <w:pPr>
        <w:spacing w:line="500" w:lineRule="exact"/>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代理人：</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 xml:space="preserve">    性别：</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 xml:space="preserve">         年龄：</w:t>
      </w:r>
      <w:r>
        <w:rPr>
          <w:rFonts w:hint="eastAsia" w:ascii="宋体" w:hAnsi="宋体" w:eastAsia="宋体" w:cs="宋体"/>
          <w:b w:val="0"/>
          <w:bCs w:val="0"/>
          <w:color w:val="auto"/>
          <w:sz w:val="24"/>
          <w:highlight w:val="none"/>
          <w:u w:val="single"/>
        </w:rPr>
        <w:t xml:space="preserve">          </w:t>
      </w:r>
    </w:p>
    <w:p w14:paraId="1A852A53">
      <w:pPr>
        <w:spacing w:line="500" w:lineRule="exact"/>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部门：</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 xml:space="preserve">     职务：</w:t>
      </w:r>
      <w:r>
        <w:rPr>
          <w:rFonts w:hint="eastAsia" w:ascii="宋体" w:hAnsi="宋体" w:eastAsia="宋体" w:cs="宋体"/>
          <w:b w:val="0"/>
          <w:bCs w:val="0"/>
          <w:color w:val="auto"/>
          <w:sz w:val="24"/>
          <w:highlight w:val="none"/>
          <w:u w:val="single"/>
        </w:rPr>
        <w:t xml:space="preserve">             </w:t>
      </w:r>
    </w:p>
    <w:p w14:paraId="381B6798">
      <w:pPr>
        <w:spacing w:line="500" w:lineRule="exact"/>
        <w:jc w:val="left"/>
        <w:rPr>
          <w:rFonts w:hint="eastAsia" w:ascii="宋体" w:hAnsi="宋体" w:eastAsia="宋体" w:cs="宋体"/>
          <w:color w:val="auto"/>
          <w:sz w:val="24"/>
          <w:highlight w:val="none"/>
        </w:rPr>
      </w:pPr>
    </w:p>
    <w:p w14:paraId="2DCE7ED7">
      <w:pPr>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w:t>
      </w:r>
      <w:r>
        <w:rPr>
          <w:rFonts w:hint="eastAsia" w:ascii="宋体" w:hAnsi="宋体" w:cs="宋体"/>
          <w:color w:val="auto"/>
          <w:sz w:val="24"/>
          <w:highlight w:val="none"/>
          <w:lang w:val="en-US" w:eastAsia="zh-CN"/>
        </w:rPr>
        <w:t>托</w:t>
      </w:r>
      <w:r>
        <w:rPr>
          <w:rFonts w:hint="eastAsia" w:ascii="宋体" w:hAnsi="宋体" w:eastAsia="宋体" w:cs="宋体"/>
          <w:color w:val="auto"/>
          <w:sz w:val="24"/>
          <w:highlight w:val="none"/>
        </w:rPr>
        <w:t>权。特此委托。</w:t>
      </w:r>
    </w:p>
    <w:p w14:paraId="259B349E">
      <w:pPr>
        <w:spacing w:line="500" w:lineRule="exact"/>
        <w:jc w:val="left"/>
        <w:rPr>
          <w:rFonts w:hint="eastAsia" w:ascii="宋体" w:hAnsi="宋体" w:eastAsia="宋体" w:cs="宋体"/>
          <w:color w:val="auto"/>
          <w:sz w:val="24"/>
          <w:highlight w:val="none"/>
        </w:rPr>
      </w:pPr>
    </w:p>
    <w:p w14:paraId="719868D2">
      <w:pPr>
        <w:pStyle w:val="2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附：委托代理人有效身份证正面、背面复印件（扫描件）。</w:t>
      </w:r>
    </w:p>
    <w:tbl>
      <w:tblPr>
        <w:tblStyle w:val="28"/>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14:paraId="4002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14:paraId="68E0167E">
            <w:pPr>
              <w:spacing w:line="360" w:lineRule="auto"/>
              <w:jc w:val="center"/>
              <w:rPr>
                <w:rFonts w:hint="eastAsia" w:ascii="宋体" w:hAnsi="宋体" w:eastAsia="宋体" w:cs="宋体"/>
                <w:color w:val="auto"/>
                <w:sz w:val="24"/>
                <w:highlight w:val="none"/>
              </w:rPr>
            </w:pPr>
          </w:p>
        </w:tc>
        <w:tc>
          <w:tcPr>
            <w:tcW w:w="708" w:type="dxa"/>
            <w:tcBorders>
              <w:top w:val="nil"/>
              <w:left w:val="single" w:color="auto" w:sz="4" w:space="0"/>
              <w:bottom w:val="nil"/>
              <w:right w:val="single" w:color="auto" w:sz="4" w:space="0"/>
            </w:tcBorders>
          </w:tcPr>
          <w:p w14:paraId="4520A761">
            <w:pPr>
              <w:spacing w:line="360" w:lineRule="auto"/>
              <w:jc w:val="center"/>
              <w:rPr>
                <w:rFonts w:hint="eastAsia" w:ascii="宋体" w:hAnsi="宋体" w:eastAsia="宋体" w:cs="宋体"/>
                <w:color w:val="auto"/>
                <w:sz w:val="24"/>
                <w:highlight w:val="none"/>
              </w:rPr>
            </w:pPr>
          </w:p>
        </w:tc>
        <w:tc>
          <w:tcPr>
            <w:tcW w:w="3969" w:type="dxa"/>
            <w:tcBorders>
              <w:left w:val="single" w:color="auto" w:sz="4" w:space="0"/>
            </w:tcBorders>
            <w:vAlign w:val="center"/>
          </w:tcPr>
          <w:p w14:paraId="3E3F415C">
            <w:pPr>
              <w:spacing w:line="360" w:lineRule="auto"/>
              <w:jc w:val="center"/>
              <w:rPr>
                <w:rFonts w:hint="eastAsia" w:ascii="宋体" w:hAnsi="宋体" w:eastAsia="宋体" w:cs="宋体"/>
                <w:color w:val="auto"/>
                <w:sz w:val="24"/>
                <w:highlight w:val="none"/>
              </w:rPr>
            </w:pPr>
          </w:p>
        </w:tc>
      </w:tr>
    </w:tbl>
    <w:p w14:paraId="5612947D">
      <w:pPr>
        <w:spacing w:line="500" w:lineRule="exact"/>
        <w:jc w:val="left"/>
        <w:rPr>
          <w:rFonts w:hint="eastAsia" w:ascii="宋体" w:hAnsi="宋体" w:eastAsia="宋体" w:cs="宋体"/>
          <w:color w:val="auto"/>
          <w:sz w:val="24"/>
          <w:highlight w:val="none"/>
        </w:rPr>
      </w:pPr>
    </w:p>
    <w:p w14:paraId="3C78FCBB">
      <w:pPr>
        <w:spacing w:line="500" w:lineRule="exact"/>
        <w:jc w:val="left"/>
        <w:rPr>
          <w:rFonts w:hint="eastAsia" w:ascii="宋体" w:hAnsi="宋体" w:eastAsia="宋体" w:cs="宋体"/>
          <w:color w:val="auto"/>
          <w:sz w:val="24"/>
          <w:highlight w:val="none"/>
        </w:rPr>
      </w:pPr>
    </w:p>
    <w:p w14:paraId="26FA2AB7">
      <w:pPr>
        <w:spacing w:line="500" w:lineRule="exact"/>
        <w:jc w:val="left"/>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电子签章</w:t>
      </w:r>
      <w:r>
        <w:rPr>
          <w:rFonts w:hint="eastAsia" w:ascii="宋体" w:hAnsi="宋体" w:cs="宋体"/>
          <w:bCs/>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p>
    <w:p w14:paraId="3F577075">
      <w:pPr>
        <w:spacing w:line="500" w:lineRule="exact"/>
        <w:jc w:val="left"/>
        <w:rPr>
          <w:rFonts w:hint="eastAsia" w:ascii="宋体" w:hAnsi="宋体" w:eastAsia="宋体" w:cs="宋体"/>
          <w:color w:val="auto"/>
          <w:sz w:val="24"/>
          <w:szCs w:val="20"/>
          <w:highlight w:val="none"/>
          <w:u w:val="single"/>
        </w:rPr>
      </w:pPr>
      <w:r>
        <w:rPr>
          <w:rFonts w:hint="eastAsia" w:ascii="宋体" w:hAnsi="宋体" w:eastAsia="宋体" w:cs="宋体"/>
          <w:bCs/>
          <w:color w:val="auto"/>
          <w:sz w:val="24"/>
          <w:szCs w:val="20"/>
          <w:highlight w:val="none"/>
        </w:rPr>
        <w:t>法定代表人</w:t>
      </w:r>
      <w:r>
        <w:rPr>
          <w:rFonts w:hint="eastAsia" w:ascii="宋体" w:hAnsi="宋体" w:cs="宋体"/>
          <w:bCs/>
          <w:color w:val="auto"/>
          <w:sz w:val="24"/>
          <w:szCs w:val="20"/>
          <w:highlight w:val="none"/>
          <w:lang w:eastAsia="zh-CN"/>
        </w:rPr>
        <w:t>（</w:t>
      </w:r>
      <w:r>
        <w:rPr>
          <w:rFonts w:hint="eastAsia" w:ascii="宋体" w:hAnsi="宋体" w:eastAsia="宋体" w:cs="宋体"/>
          <w:bCs/>
          <w:color w:val="auto"/>
          <w:sz w:val="24"/>
          <w:szCs w:val="20"/>
          <w:highlight w:val="none"/>
        </w:rPr>
        <w:t>电子签章或电子签名</w:t>
      </w:r>
      <w:r>
        <w:rPr>
          <w:rFonts w:hint="eastAsia" w:ascii="宋体" w:hAnsi="宋体" w:cs="宋体"/>
          <w:bCs/>
          <w:color w:val="auto"/>
          <w:sz w:val="24"/>
          <w:szCs w:val="20"/>
          <w:highlight w:val="none"/>
          <w:lang w:eastAsia="zh-CN"/>
        </w:rPr>
        <w:t>）</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szCs w:val="20"/>
          <w:highlight w:val="none"/>
          <w:u w:val="single"/>
        </w:rPr>
        <w:t xml:space="preserve">                  </w:t>
      </w:r>
    </w:p>
    <w:p w14:paraId="72F0262D">
      <w:pPr>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6CE7DB7">
      <w:pPr>
        <w:pStyle w:val="13"/>
        <w:ind w:left="0" w:firstLine="0"/>
        <w:rPr>
          <w:rFonts w:hint="eastAsia" w:ascii="宋体" w:hAnsi="宋体" w:eastAsia="宋体" w:cs="宋体"/>
          <w:color w:val="auto"/>
          <w:highlight w:val="none"/>
        </w:rPr>
        <w:sectPr>
          <w:footerReference r:id="rId14" w:type="default"/>
          <w:pgSz w:w="11906" w:h="16839"/>
          <w:pgMar w:top="1247" w:right="1247" w:bottom="1247" w:left="1247" w:header="0" w:footer="1038" w:gutter="0"/>
          <w:pgBorders>
            <w:top w:val="none" w:sz="0" w:space="0"/>
            <w:left w:val="none" w:sz="0" w:space="0"/>
            <w:bottom w:val="none" w:sz="0" w:space="0"/>
            <w:right w:val="none" w:sz="0" w:space="0"/>
          </w:pgBorders>
          <w:pgNumType w:fmt="decimal"/>
          <w:cols w:space="720" w:num="1"/>
        </w:sectPr>
      </w:pPr>
    </w:p>
    <w:p w14:paraId="38038043">
      <w:pPr>
        <w:pStyle w:val="13"/>
        <w:ind w:left="0" w:firstLine="0"/>
        <w:rPr>
          <w:rFonts w:hint="eastAsia" w:ascii="宋体" w:hAnsi="宋体" w:eastAsia="宋体" w:cs="宋体"/>
          <w:color w:val="auto"/>
          <w:highlight w:val="none"/>
        </w:rPr>
      </w:pPr>
    </w:p>
    <w:p w14:paraId="526C73BE">
      <w:pPr>
        <w:pStyle w:val="3"/>
        <w:numPr>
          <w:ilvl w:val="0"/>
          <w:numId w:val="0"/>
        </w:numPr>
        <w:jc w:val="center"/>
        <w:rPr>
          <w:rFonts w:hint="eastAsia" w:ascii="宋体" w:hAnsi="宋体" w:eastAsia="宋体" w:cs="宋体"/>
          <w:bCs/>
          <w:color w:val="auto"/>
          <w:sz w:val="32"/>
          <w:szCs w:val="28"/>
          <w:highlight w:val="none"/>
        </w:rPr>
      </w:pPr>
      <w:bookmarkStart w:id="519" w:name="_Toc30917"/>
      <w:bookmarkStart w:id="520" w:name="_Toc16990"/>
      <w:bookmarkStart w:id="521" w:name="_Toc1706"/>
      <w:r>
        <w:rPr>
          <w:rFonts w:hint="eastAsia" w:ascii="宋体" w:hAnsi="宋体" w:eastAsia="宋体" w:cs="宋体"/>
          <w:b/>
          <w:bCs/>
          <w:color w:val="auto"/>
          <w:kern w:val="2"/>
          <w:sz w:val="32"/>
          <w:szCs w:val="28"/>
          <w:highlight w:val="none"/>
          <w:lang w:val="en-US" w:eastAsia="zh-CN" w:bidi="ar-SA"/>
        </w:rPr>
        <w:t>三、</w:t>
      </w:r>
      <w:r>
        <w:rPr>
          <w:rFonts w:hint="eastAsia" w:ascii="宋体" w:hAnsi="宋体" w:eastAsia="宋体" w:cs="宋体"/>
          <w:color w:val="auto"/>
          <w:kern w:val="0"/>
          <w:sz w:val="30"/>
          <w:szCs w:val="30"/>
          <w:highlight w:val="none"/>
        </w:rPr>
        <w:t>投标文件技术部分</w:t>
      </w:r>
      <w:bookmarkEnd w:id="519"/>
      <w:bookmarkEnd w:id="520"/>
      <w:bookmarkEnd w:id="521"/>
    </w:p>
    <w:p w14:paraId="3FE56CF5">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eastAsia="zh-CN"/>
        </w:rPr>
        <w:t>（一）服务方案</w:t>
      </w:r>
    </w:p>
    <w:p w14:paraId="1B955E9B">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二</w:t>
      </w:r>
      <w:r>
        <w:rPr>
          <w:rFonts w:hint="eastAsia"/>
          <w:color w:val="auto"/>
          <w:sz w:val="24"/>
          <w:szCs w:val="24"/>
          <w:highlight w:val="none"/>
          <w:lang w:eastAsia="zh-CN"/>
        </w:rPr>
        <w:t>）项目组织机构及人员配置</w:t>
      </w:r>
    </w:p>
    <w:p w14:paraId="13472526">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三</w:t>
      </w:r>
      <w:r>
        <w:rPr>
          <w:rFonts w:hint="eastAsia"/>
          <w:color w:val="auto"/>
          <w:sz w:val="24"/>
          <w:szCs w:val="24"/>
          <w:highlight w:val="none"/>
          <w:lang w:eastAsia="zh-CN"/>
        </w:rPr>
        <w:t>）应急保障方案</w:t>
      </w:r>
    </w:p>
    <w:p w14:paraId="26EDDFB7">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四</w:t>
      </w:r>
      <w:r>
        <w:rPr>
          <w:rFonts w:hint="eastAsia"/>
          <w:color w:val="auto"/>
          <w:sz w:val="24"/>
          <w:szCs w:val="24"/>
          <w:highlight w:val="none"/>
          <w:lang w:eastAsia="zh-CN"/>
        </w:rPr>
        <w:t>）服务承诺及保障措施</w:t>
      </w:r>
    </w:p>
    <w:p w14:paraId="12B949C5">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val="en-US" w:eastAsia="zh-CN"/>
        </w:rPr>
        <w:t>（五</w:t>
      </w:r>
      <w:r>
        <w:rPr>
          <w:rFonts w:hint="eastAsia"/>
          <w:color w:val="auto"/>
          <w:sz w:val="24"/>
          <w:szCs w:val="24"/>
          <w:highlight w:val="none"/>
          <w:lang w:eastAsia="zh-CN"/>
        </w:rPr>
        <w:t>）企业荣誉</w:t>
      </w:r>
    </w:p>
    <w:p w14:paraId="704E9ECF">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六</w:t>
      </w:r>
      <w:r>
        <w:rPr>
          <w:rFonts w:hint="eastAsia"/>
          <w:color w:val="auto"/>
          <w:sz w:val="24"/>
          <w:szCs w:val="24"/>
          <w:highlight w:val="none"/>
          <w:lang w:eastAsia="zh-CN"/>
        </w:rPr>
        <w:t>）拟投入设备工具配置</w:t>
      </w:r>
    </w:p>
    <w:p w14:paraId="6014E9A9">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七</w:t>
      </w:r>
      <w:r>
        <w:rPr>
          <w:rFonts w:hint="eastAsia"/>
          <w:color w:val="auto"/>
          <w:sz w:val="24"/>
          <w:szCs w:val="24"/>
          <w:highlight w:val="none"/>
          <w:lang w:eastAsia="zh-CN"/>
        </w:rPr>
        <w:t>）</w:t>
      </w:r>
      <w:r>
        <w:rPr>
          <w:rFonts w:hint="eastAsia"/>
          <w:color w:val="auto"/>
          <w:sz w:val="24"/>
          <w:szCs w:val="24"/>
          <w:highlight w:val="none"/>
          <w:lang w:val="en-US" w:eastAsia="zh-CN"/>
        </w:rPr>
        <w:t>业绩</w:t>
      </w:r>
    </w:p>
    <w:p w14:paraId="42B95247">
      <w:pPr>
        <w:pStyle w:val="4"/>
        <w:tabs>
          <w:tab w:val="left" w:pos="900"/>
        </w:tabs>
        <w:jc w:val="left"/>
        <w:rPr>
          <w:rFonts w:hint="eastAsia"/>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八</w:t>
      </w:r>
      <w:r>
        <w:rPr>
          <w:rFonts w:hint="eastAsia"/>
          <w:color w:val="auto"/>
          <w:sz w:val="24"/>
          <w:szCs w:val="24"/>
          <w:highlight w:val="none"/>
          <w:lang w:eastAsia="zh-CN"/>
        </w:rPr>
        <w:t>）信息化能力</w:t>
      </w:r>
    </w:p>
    <w:p w14:paraId="58699F5A">
      <w:pPr>
        <w:pStyle w:val="4"/>
        <w:tabs>
          <w:tab w:val="left" w:pos="900"/>
        </w:tabs>
        <w:jc w:val="left"/>
        <w:rPr>
          <w:rFonts w:hint="eastAsia" w:ascii="宋体" w:hAnsi="宋体" w:eastAsia="宋体" w:cs="宋体"/>
          <w:b w:val="0"/>
          <w:bCs w:val="0"/>
          <w:color w:val="auto"/>
          <w:sz w:val="24"/>
          <w:highlight w:val="none"/>
          <w:lang w:val="en-US" w:eastAsia="zh-CN"/>
        </w:rPr>
      </w:pPr>
    </w:p>
    <w:p w14:paraId="45E35F78">
      <w:pPr>
        <w:pStyle w:val="4"/>
        <w:tabs>
          <w:tab w:val="left" w:pos="900"/>
        </w:tabs>
        <w:jc w:val="left"/>
        <w:rPr>
          <w:rFonts w:ascii="宋体" w:hAnsi="宋体"/>
          <w:b w:val="0"/>
          <w:bCs w:val="0"/>
          <w:color w:val="auto"/>
          <w:sz w:val="24"/>
          <w:highlight w:val="none"/>
        </w:rPr>
      </w:pPr>
      <w:r>
        <w:rPr>
          <w:rFonts w:hint="eastAsia" w:ascii="宋体" w:hAnsi="宋体" w:eastAsia="宋体" w:cs="宋体"/>
          <w:b w:val="0"/>
          <w:bCs w:val="0"/>
          <w:color w:val="auto"/>
          <w:sz w:val="24"/>
          <w:highlight w:val="none"/>
          <w:lang w:val="en-US" w:eastAsia="zh-CN"/>
        </w:rPr>
        <w:t>注：</w:t>
      </w:r>
      <w:r>
        <w:rPr>
          <w:rFonts w:ascii="宋体" w:hAnsi="宋体" w:eastAsia="宋体" w:cs="宋体"/>
          <w:b w:val="0"/>
          <w:bCs w:val="0"/>
          <w:color w:val="auto"/>
          <w:sz w:val="24"/>
          <w:highlight w:val="none"/>
        </w:rPr>
        <w:t>上述内容及格式由</w:t>
      </w:r>
      <w:r>
        <w:rPr>
          <w:rFonts w:hint="eastAsia" w:ascii="宋体" w:hAnsi="宋体" w:eastAsia="宋体" w:cs="宋体"/>
          <w:b w:val="0"/>
          <w:bCs w:val="0"/>
          <w:color w:val="auto"/>
          <w:sz w:val="24"/>
          <w:highlight w:val="none"/>
        </w:rPr>
        <w:t>投标</w:t>
      </w:r>
      <w:r>
        <w:rPr>
          <w:rFonts w:hint="eastAsia" w:ascii="宋体" w:hAnsi="宋体"/>
          <w:b w:val="0"/>
          <w:bCs w:val="0"/>
          <w:color w:val="auto"/>
          <w:sz w:val="24"/>
          <w:highlight w:val="none"/>
        </w:rPr>
        <w:t>人</w:t>
      </w:r>
      <w:r>
        <w:rPr>
          <w:rFonts w:ascii="宋体" w:hAnsi="宋体"/>
          <w:b w:val="0"/>
          <w:bCs w:val="0"/>
          <w:color w:val="auto"/>
          <w:sz w:val="24"/>
          <w:highlight w:val="none"/>
        </w:rPr>
        <w:t>根据 “</w:t>
      </w:r>
      <w:r>
        <w:rPr>
          <w:rFonts w:hint="eastAsia" w:ascii="宋体" w:hAnsi="宋体"/>
          <w:b w:val="0"/>
          <w:bCs w:val="0"/>
          <w:color w:val="auto"/>
          <w:sz w:val="24"/>
          <w:highlight w:val="none"/>
        </w:rPr>
        <w:t>评标办法</w:t>
      </w:r>
      <w:r>
        <w:rPr>
          <w:rFonts w:ascii="宋体" w:hAnsi="宋体"/>
          <w:b w:val="0"/>
          <w:bCs w:val="0"/>
          <w:color w:val="auto"/>
          <w:sz w:val="24"/>
          <w:highlight w:val="none"/>
        </w:rPr>
        <w:t>”评审内容及标准</w:t>
      </w:r>
      <w:r>
        <w:rPr>
          <w:rFonts w:hint="eastAsia" w:ascii="宋体" w:hAnsi="宋体"/>
          <w:b w:val="0"/>
          <w:bCs w:val="0"/>
          <w:color w:val="auto"/>
          <w:sz w:val="24"/>
          <w:highlight w:val="none"/>
        </w:rPr>
        <w:t>和采购需求，</w:t>
      </w:r>
      <w:r>
        <w:rPr>
          <w:rFonts w:ascii="宋体" w:hAnsi="宋体"/>
          <w:b w:val="0"/>
          <w:bCs w:val="0"/>
          <w:color w:val="auto"/>
          <w:sz w:val="24"/>
          <w:highlight w:val="none"/>
        </w:rPr>
        <w:t>并结合自身实际情况自行拟定。</w:t>
      </w:r>
    </w:p>
    <w:p w14:paraId="26DCCCAC">
      <w:pPr>
        <w:pStyle w:val="3"/>
        <w:bidi w:val="0"/>
        <w:jc w:val="center"/>
        <w:rPr>
          <w:rFonts w:hint="eastAsia" w:ascii="宋体" w:hAnsi="宋体" w:eastAsia="宋体" w:cs="宋体"/>
          <w:color w:val="auto"/>
          <w:sz w:val="28"/>
          <w:szCs w:val="28"/>
          <w:highlight w:val="none"/>
        </w:rPr>
      </w:pPr>
      <w:r>
        <w:rPr>
          <w:rFonts w:hint="eastAsia" w:ascii="宋体" w:hAnsi="宋体" w:eastAsia="宋体" w:cs="宋体"/>
          <w:color w:val="auto"/>
          <w:highlight w:val="none"/>
          <w:u w:val="single"/>
        </w:rPr>
        <w:br w:type="page"/>
      </w:r>
      <w:bookmarkStart w:id="522" w:name="_Toc28267"/>
      <w:bookmarkStart w:id="523" w:name="_Toc8918"/>
      <w:bookmarkStart w:id="524" w:name="_Toc14802"/>
      <w:bookmarkStart w:id="525" w:name="_Toc31684"/>
      <w:bookmarkStart w:id="526" w:name="_Toc17712"/>
      <w:bookmarkStart w:id="527" w:name="_Toc19620"/>
      <w:r>
        <w:rPr>
          <w:rFonts w:hint="eastAsia" w:ascii="宋体" w:hAnsi="宋体" w:eastAsia="宋体" w:cs="宋体"/>
          <w:b/>
          <w:color w:val="auto"/>
          <w:kern w:val="0"/>
          <w:sz w:val="30"/>
          <w:szCs w:val="30"/>
          <w:highlight w:val="none"/>
          <w:lang w:val="en-US" w:eastAsia="zh-CN" w:bidi="ar-SA"/>
        </w:rPr>
        <w:t>四、</w:t>
      </w:r>
      <w:r>
        <w:rPr>
          <w:rFonts w:hint="eastAsia" w:hAnsi="宋体" w:cs="宋体"/>
          <w:b/>
          <w:color w:val="auto"/>
          <w:kern w:val="0"/>
          <w:sz w:val="30"/>
          <w:szCs w:val="30"/>
          <w:highlight w:val="none"/>
          <w:lang w:val="en-US" w:eastAsia="zh-CN" w:bidi="ar-SA"/>
        </w:rPr>
        <w:t>其他</w:t>
      </w:r>
      <w:r>
        <w:rPr>
          <w:rFonts w:hint="eastAsia" w:ascii="宋体" w:hAnsi="宋体" w:eastAsia="宋体" w:cs="宋体"/>
          <w:b/>
          <w:color w:val="auto"/>
          <w:kern w:val="0"/>
          <w:sz w:val="30"/>
          <w:szCs w:val="30"/>
          <w:highlight w:val="none"/>
          <w:lang w:val="en-US" w:eastAsia="zh-CN" w:bidi="ar-SA"/>
        </w:rPr>
        <w:t>相关证明资料</w:t>
      </w:r>
      <w:bookmarkEnd w:id="522"/>
      <w:bookmarkEnd w:id="523"/>
      <w:bookmarkEnd w:id="524"/>
      <w:bookmarkEnd w:id="525"/>
      <w:bookmarkEnd w:id="526"/>
      <w:bookmarkEnd w:id="527"/>
    </w:p>
    <w:p w14:paraId="65162C18">
      <w:pPr>
        <w:pStyle w:val="3"/>
        <w:spacing w:line="46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招标文件</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部分要求提供的证明材料</w:t>
      </w:r>
      <w:r>
        <w:rPr>
          <w:rFonts w:hint="eastAsia" w:ascii="宋体" w:hAnsi="宋体" w:eastAsia="宋体" w:cs="宋体"/>
          <w:b/>
          <w:color w:val="auto"/>
          <w:sz w:val="24"/>
          <w:highlight w:val="none"/>
        </w:rPr>
        <w:t>或投标人认为有必要提交的</w:t>
      </w:r>
      <w:r>
        <w:rPr>
          <w:rFonts w:hint="eastAsia" w:ascii="宋体" w:hAnsi="宋体" w:cs="宋体"/>
          <w:b/>
          <w:color w:val="auto"/>
          <w:sz w:val="24"/>
          <w:highlight w:val="none"/>
          <w:lang w:eastAsia="zh-CN"/>
        </w:rPr>
        <w:t>其他</w:t>
      </w:r>
      <w:r>
        <w:rPr>
          <w:rFonts w:hint="eastAsia" w:ascii="宋体" w:hAnsi="宋体" w:eastAsia="宋体" w:cs="宋体"/>
          <w:b/>
          <w:color w:val="auto"/>
          <w:sz w:val="24"/>
          <w:highlight w:val="none"/>
        </w:rPr>
        <w:t>声明、补充承诺、证明资料等。</w:t>
      </w:r>
      <w:bookmarkEnd w:id="393"/>
      <w:bookmarkEnd w:id="394"/>
      <w:bookmarkEnd w:id="395"/>
      <w:bookmarkEnd w:id="396"/>
      <w:bookmarkEnd w:id="397"/>
      <w:bookmarkEnd w:id="398"/>
      <w:bookmarkEnd w:id="399"/>
      <w:bookmarkEnd w:id="400"/>
      <w:bookmarkEnd w:id="401"/>
    </w:p>
    <w:p w14:paraId="5BAD6DDD">
      <w:pPr>
        <w:rPr>
          <w:rFonts w:hint="eastAsia" w:ascii="宋体" w:hAnsi="宋体" w:eastAsia="宋体" w:cs="宋体"/>
          <w:bCs w:val="0"/>
          <w:color w:val="000000" w:themeColor="text1"/>
          <w:spacing w:val="6"/>
          <w:sz w:val="28"/>
          <w:highlight w:val="none"/>
          <w14:textFill>
            <w14:solidFill>
              <w14:schemeClr w14:val="tx1"/>
            </w14:solidFill>
          </w14:textFill>
        </w:rPr>
      </w:pPr>
      <w:r>
        <w:rPr>
          <w:rFonts w:hint="eastAsia" w:ascii="宋体" w:hAnsi="宋体" w:eastAsia="宋体" w:cs="宋体"/>
          <w:bCs w:val="0"/>
          <w:color w:val="000000" w:themeColor="text1"/>
          <w:spacing w:val="6"/>
          <w:sz w:val="28"/>
          <w:highlight w:val="none"/>
          <w14:textFill>
            <w14:solidFill>
              <w14:schemeClr w14:val="tx1"/>
            </w14:solidFill>
          </w14:textFill>
        </w:rPr>
        <w:br w:type="page"/>
      </w:r>
    </w:p>
    <w:p w14:paraId="190A6DBD">
      <w:pPr>
        <w:pStyle w:val="3"/>
        <w:spacing w:line="460" w:lineRule="exact"/>
        <w:jc w:val="center"/>
        <w:rPr>
          <w:rFonts w:hint="eastAsia" w:ascii="宋体" w:hAnsi="宋体" w:eastAsia="宋体" w:cs="宋体"/>
          <w:bCs w:val="0"/>
          <w:color w:val="000000" w:themeColor="text1"/>
          <w:spacing w:val="6"/>
          <w:sz w:val="28"/>
          <w:highlight w:val="none"/>
          <w14:textFill>
            <w14:solidFill>
              <w14:schemeClr w14:val="tx1"/>
            </w14:solidFill>
          </w14:textFill>
        </w:rPr>
      </w:pPr>
      <w:r>
        <w:rPr>
          <w:rFonts w:hint="eastAsia" w:ascii="宋体" w:hAnsi="宋体" w:eastAsia="宋体" w:cs="宋体"/>
          <w:bCs w:val="0"/>
          <w:color w:val="000000" w:themeColor="text1"/>
          <w:spacing w:val="6"/>
          <w:sz w:val="28"/>
          <w:highlight w:val="none"/>
          <w14:textFill>
            <w14:solidFill>
              <w14:schemeClr w14:val="tx1"/>
            </w14:solidFill>
          </w14:textFill>
        </w:rPr>
        <w:t>附件一：小微企业声明函（按需提供）</w:t>
      </w:r>
    </w:p>
    <w:p w14:paraId="56C487BA">
      <w:pPr>
        <w:spacing w:line="460" w:lineRule="exact"/>
        <w:rPr>
          <w:rFonts w:hint="eastAsia" w:ascii="宋体" w:hAnsi="宋体" w:eastAsia="宋体" w:cs="宋体"/>
          <w:b/>
          <w:color w:val="000000" w:themeColor="text1"/>
          <w:spacing w:val="6"/>
          <w:sz w:val="30"/>
          <w:szCs w:val="30"/>
          <w:highlight w:val="none"/>
          <w14:textFill>
            <w14:solidFill>
              <w14:schemeClr w14:val="tx1"/>
            </w14:solidFill>
          </w14:textFill>
        </w:rPr>
      </w:pPr>
    </w:p>
    <w:p w14:paraId="7405BF77">
      <w:pPr>
        <w:spacing w:line="360" w:lineRule="auto"/>
        <w:ind w:firstLine="480" w:firstLineChars="200"/>
        <w:rPr>
          <w:rFonts w:ascii="宋体" w:hAnsi="宋体"/>
          <w:sz w:val="24"/>
          <w:highlight w:val="none"/>
        </w:rPr>
      </w:pPr>
      <w:r>
        <w:rPr>
          <w:rFonts w:hint="eastAsia" w:ascii="宋体" w:hAnsi="宋体"/>
          <w:sz w:val="24"/>
          <w:highlight w:val="none"/>
        </w:rPr>
        <w:t>本公司</w:t>
      </w:r>
      <w:r>
        <w:rPr>
          <w:rFonts w:hint="eastAsia" w:ascii="宋体" w:hAnsi="宋体"/>
          <w:sz w:val="24"/>
          <w:highlight w:val="none"/>
          <w:u w:val="single"/>
          <w:lang w:val="en-US" w:eastAsia="zh-CN"/>
        </w:rPr>
        <w:t xml:space="preserve">    （公司名称）       </w:t>
      </w:r>
      <w:r>
        <w:rPr>
          <w:rFonts w:hint="eastAsia" w:ascii="宋体" w:hAnsi="宋体"/>
          <w:sz w:val="24"/>
          <w:highlight w:val="none"/>
        </w:rPr>
        <w:t>郑重声明，根据《政府采购促进中小企业发展管理办法》（财库﹝2020﹞46号）的规定，本公司（联合体）参加</w:t>
      </w:r>
      <w:r>
        <w:rPr>
          <w:rFonts w:hint="eastAsia" w:ascii="宋体" w:hAnsi="宋体"/>
          <w:sz w:val="24"/>
          <w:highlight w:val="none"/>
          <w:u w:val="single"/>
        </w:rPr>
        <w:t xml:space="preserve"> （</w:t>
      </w:r>
      <w:r>
        <w:rPr>
          <w:rFonts w:hint="eastAsia" w:ascii="宋体" w:hAnsi="宋体"/>
          <w:sz w:val="24"/>
          <w:highlight w:val="none"/>
          <w:u w:val="single"/>
          <w:lang w:eastAsia="zh-CN"/>
        </w:rPr>
        <w:t>采购人</w:t>
      </w:r>
      <w:r>
        <w:rPr>
          <w:rFonts w:hint="eastAsia" w:ascii="宋体" w:hAnsi="宋体"/>
          <w:sz w:val="24"/>
          <w:highlight w:val="none"/>
          <w:u w:val="single"/>
        </w:rPr>
        <w:t xml:space="preserve">名称） </w:t>
      </w:r>
      <w:r>
        <w:rPr>
          <w:rFonts w:hint="eastAsia" w:ascii="宋体" w:hAnsi="宋体"/>
          <w:sz w:val="24"/>
          <w:highlight w:val="none"/>
        </w:rPr>
        <w:t>的</w:t>
      </w:r>
      <w:r>
        <w:rPr>
          <w:rFonts w:hint="eastAsia" w:ascii="宋体" w:hAnsi="宋体"/>
          <w:sz w:val="24"/>
          <w:highlight w:val="none"/>
          <w:u w:val="single"/>
        </w:rPr>
        <w:t xml:space="preserve"> （项目名称） </w:t>
      </w:r>
      <w:r>
        <w:rPr>
          <w:rFonts w:hint="eastAsia" w:ascii="宋体" w:hAnsi="宋体"/>
          <w:sz w:val="24"/>
          <w:highlight w:val="none"/>
        </w:rPr>
        <w:t>采购活动，服务全部由符合政策要求的中小企业承接。相关企业（含联合体中的中小企业、签订分包意向协议的中小企业）的具体情况如下：</w:t>
      </w:r>
    </w:p>
    <w:p w14:paraId="3E0121DA">
      <w:pPr>
        <w:spacing w:line="360" w:lineRule="auto"/>
        <w:ind w:firstLine="480" w:firstLineChars="200"/>
        <w:rPr>
          <w:rFonts w:ascii="宋体" w:hAnsi="宋体"/>
          <w:sz w:val="24"/>
          <w:highlight w:val="none"/>
        </w:rPr>
      </w:pPr>
      <w:r>
        <w:rPr>
          <w:rFonts w:hint="eastAsia" w:ascii="宋体" w:hAnsi="宋体"/>
          <w:sz w:val="24"/>
          <w:highlight w:val="none"/>
        </w:rPr>
        <w:t>1.</w:t>
      </w:r>
      <w:r>
        <w:rPr>
          <w:rFonts w:hint="eastAsia" w:ascii="宋体" w:hAnsi="宋体"/>
          <w:sz w:val="24"/>
          <w:highlight w:val="none"/>
          <w:u w:val="single"/>
        </w:rPr>
        <w:t xml:space="preserve"> （标的名称） </w:t>
      </w:r>
      <w:r>
        <w:rPr>
          <w:rFonts w:hint="eastAsia" w:ascii="宋体" w:hAnsi="宋体"/>
          <w:sz w:val="24"/>
          <w:highlight w:val="none"/>
        </w:rPr>
        <w:t>，属于</w:t>
      </w:r>
      <w:r>
        <w:rPr>
          <w:rFonts w:hint="eastAsia" w:ascii="宋体" w:hAnsi="宋体"/>
          <w:sz w:val="24"/>
          <w:highlight w:val="none"/>
          <w:u w:val="single"/>
        </w:rPr>
        <w:t xml:space="preserve"> （采购文件中明确的所属行业）</w:t>
      </w:r>
      <w:r>
        <w:rPr>
          <w:rFonts w:hint="eastAsia" w:ascii="宋体" w:hAnsi="宋体"/>
          <w:sz w:val="24"/>
          <w:highlight w:val="none"/>
        </w:rPr>
        <w:t xml:space="preserve"> ；承接企业为</w:t>
      </w:r>
      <w:r>
        <w:rPr>
          <w:rFonts w:hint="eastAsia" w:ascii="宋体" w:hAnsi="宋体"/>
          <w:sz w:val="24"/>
          <w:highlight w:val="none"/>
          <w:u w:val="single"/>
        </w:rPr>
        <w:t xml:space="preserve"> （企业名称） </w:t>
      </w:r>
      <w:r>
        <w:rPr>
          <w:rFonts w:hint="eastAsia" w:ascii="宋体" w:hAnsi="宋体"/>
          <w:sz w:val="24"/>
          <w:highlight w:val="none"/>
        </w:rPr>
        <w:t>，从业人员</w:t>
      </w:r>
      <w:r>
        <w:rPr>
          <w:rFonts w:hint="eastAsia" w:ascii="宋体" w:hAnsi="宋体"/>
          <w:sz w:val="24"/>
          <w:highlight w:val="none"/>
          <w:u w:val="single"/>
        </w:rPr>
        <w:t xml:space="preserve">   </w:t>
      </w:r>
      <w:r>
        <w:rPr>
          <w:rFonts w:hint="eastAsia" w:ascii="宋体" w:hAnsi="宋体"/>
          <w:sz w:val="24"/>
          <w:highlight w:val="none"/>
        </w:rPr>
        <w:t>人，营业收入为</w:t>
      </w:r>
      <w:r>
        <w:rPr>
          <w:rFonts w:hint="eastAsia" w:ascii="宋体" w:hAnsi="宋体"/>
          <w:sz w:val="24"/>
          <w:highlight w:val="none"/>
          <w:u w:val="single"/>
        </w:rPr>
        <w:t xml:space="preserve">   </w:t>
      </w:r>
      <w:r>
        <w:rPr>
          <w:rFonts w:hint="eastAsia" w:ascii="宋体" w:hAnsi="宋体"/>
          <w:sz w:val="24"/>
          <w:highlight w:val="none"/>
        </w:rPr>
        <w:t>万元，资产总额为</w:t>
      </w:r>
      <w:r>
        <w:rPr>
          <w:rFonts w:hint="eastAsia" w:ascii="宋体" w:hAnsi="宋体"/>
          <w:sz w:val="24"/>
          <w:highlight w:val="none"/>
          <w:u w:val="single"/>
        </w:rPr>
        <w:t xml:space="preserve">   </w:t>
      </w:r>
      <w:r>
        <w:rPr>
          <w:rFonts w:hint="eastAsia" w:ascii="宋体" w:hAnsi="宋体"/>
          <w:sz w:val="24"/>
          <w:highlight w:val="none"/>
        </w:rPr>
        <w:t>万元 ，属于</w:t>
      </w:r>
      <w:r>
        <w:rPr>
          <w:rFonts w:hint="eastAsia" w:ascii="宋体" w:hAnsi="宋体"/>
          <w:sz w:val="24"/>
          <w:highlight w:val="none"/>
          <w:u w:val="single"/>
        </w:rPr>
        <w:t xml:space="preserve"> （中型企业、小型企业、微型企业） </w:t>
      </w:r>
      <w:r>
        <w:rPr>
          <w:rFonts w:hint="eastAsia" w:ascii="宋体" w:hAnsi="宋体"/>
          <w:sz w:val="24"/>
          <w:highlight w:val="none"/>
        </w:rPr>
        <w:t>；</w:t>
      </w:r>
    </w:p>
    <w:p w14:paraId="33E5F357">
      <w:pPr>
        <w:spacing w:line="360" w:lineRule="auto"/>
        <w:ind w:firstLine="480" w:firstLineChars="200"/>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 xml:space="preserve">（标的名称） </w:t>
      </w:r>
      <w:r>
        <w:rPr>
          <w:rFonts w:hint="eastAsia" w:ascii="宋体" w:hAnsi="宋体"/>
          <w:sz w:val="24"/>
          <w:highlight w:val="none"/>
        </w:rPr>
        <w:t>，属于</w:t>
      </w:r>
      <w:r>
        <w:rPr>
          <w:rFonts w:hint="eastAsia" w:ascii="宋体" w:hAnsi="宋体"/>
          <w:sz w:val="24"/>
          <w:highlight w:val="none"/>
          <w:u w:val="single"/>
        </w:rPr>
        <w:t xml:space="preserve"> （采购文件中明确的所属行业） </w:t>
      </w:r>
      <w:r>
        <w:rPr>
          <w:rFonts w:hint="eastAsia" w:ascii="宋体" w:hAnsi="宋体"/>
          <w:sz w:val="24"/>
          <w:highlight w:val="none"/>
        </w:rPr>
        <w:t>；承接企业为</w:t>
      </w:r>
      <w:r>
        <w:rPr>
          <w:rFonts w:hint="eastAsia" w:ascii="宋体" w:hAnsi="宋体"/>
          <w:sz w:val="24"/>
          <w:highlight w:val="none"/>
          <w:u w:val="single"/>
        </w:rPr>
        <w:t xml:space="preserve"> （企业名称） </w:t>
      </w:r>
      <w:r>
        <w:rPr>
          <w:rFonts w:hint="eastAsia" w:ascii="宋体" w:hAnsi="宋体"/>
          <w:sz w:val="24"/>
          <w:highlight w:val="none"/>
        </w:rPr>
        <w:t>，从业人员</w:t>
      </w:r>
      <w:r>
        <w:rPr>
          <w:rFonts w:hint="eastAsia" w:ascii="宋体" w:hAnsi="宋体"/>
          <w:sz w:val="24"/>
          <w:highlight w:val="none"/>
          <w:u w:val="single"/>
        </w:rPr>
        <w:t xml:space="preserve">   </w:t>
      </w:r>
      <w:r>
        <w:rPr>
          <w:rFonts w:hint="eastAsia" w:ascii="宋体" w:hAnsi="宋体"/>
          <w:sz w:val="24"/>
          <w:highlight w:val="none"/>
        </w:rPr>
        <w:t>人，营业收入为</w:t>
      </w:r>
      <w:r>
        <w:rPr>
          <w:rFonts w:hint="eastAsia" w:ascii="宋体" w:hAnsi="宋体"/>
          <w:sz w:val="24"/>
          <w:highlight w:val="none"/>
          <w:u w:val="single"/>
        </w:rPr>
        <w:t xml:space="preserve">   </w:t>
      </w:r>
      <w:r>
        <w:rPr>
          <w:rFonts w:hint="eastAsia" w:ascii="宋体" w:hAnsi="宋体"/>
          <w:sz w:val="24"/>
          <w:highlight w:val="none"/>
        </w:rPr>
        <w:t>万元，资产总额为</w:t>
      </w:r>
      <w:r>
        <w:rPr>
          <w:rFonts w:hint="eastAsia" w:ascii="宋体" w:hAnsi="宋体"/>
          <w:sz w:val="24"/>
          <w:highlight w:val="none"/>
          <w:u w:val="single"/>
        </w:rPr>
        <w:t xml:space="preserve">   </w:t>
      </w:r>
      <w:r>
        <w:rPr>
          <w:rFonts w:hint="eastAsia" w:ascii="宋体" w:hAnsi="宋体"/>
          <w:sz w:val="24"/>
          <w:highlight w:val="none"/>
        </w:rPr>
        <w:t>万元，属于</w:t>
      </w:r>
      <w:r>
        <w:rPr>
          <w:rFonts w:hint="eastAsia" w:ascii="宋体" w:hAnsi="宋体"/>
          <w:sz w:val="24"/>
          <w:highlight w:val="none"/>
          <w:u w:val="single"/>
        </w:rPr>
        <w:t xml:space="preserve"> （中型企业、小型企业、微型企业）</w:t>
      </w:r>
      <w:r>
        <w:rPr>
          <w:rFonts w:hint="eastAsia" w:ascii="宋体" w:hAnsi="宋体"/>
          <w:sz w:val="24"/>
          <w:highlight w:val="none"/>
        </w:rPr>
        <w:t xml:space="preserve"> ；</w:t>
      </w:r>
    </w:p>
    <w:p w14:paraId="22EADCEF">
      <w:pPr>
        <w:spacing w:line="360" w:lineRule="auto"/>
        <w:ind w:firstLine="480" w:firstLineChars="200"/>
        <w:rPr>
          <w:rFonts w:ascii="宋体" w:hAnsi="宋体"/>
          <w:sz w:val="24"/>
          <w:highlight w:val="none"/>
        </w:rPr>
      </w:pPr>
      <w:r>
        <w:rPr>
          <w:rFonts w:hint="eastAsia" w:ascii="宋体" w:hAnsi="宋体"/>
          <w:sz w:val="24"/>
          <w:highlight w:val="none"/>
        </w:rPr>
        <w:t>……</w:t>
      </w:r>
    </w:p>
    <w:p w14:paraId="225C1FAF">
      <w:pPr>
        <w:spacing w:line="360" w:lineRule="auto"/>
        <w:ind w:firstLine="480" w:firstLineChars="200"/>
        <w:rPr>
          <w:rFonts w:ascii="宋体" w:hAnsi="宋体"/>
          <w:sz w:val="24"/>
          <w:highlight w:val="none"/>
        </w:rPr>
      </w:pPr>
      <w:r>
        <w:rPr>
          <w:rFonts w:hint="eastAsia" w:ascii="宋体" w:hAnsi="宋体"/>
          <w:sz w:val="24"/>
          <w:highlight w:val="none"/>
        </w:rPr>
        <w:t>以上企业，不属于大企业的分支机构，不存在控股股东为大企业的情形，也不存在与大企业的负责人为同一人的情形。</w:t>
      </w:r>
    </w:p>
    <w:p w14:paraId="6C3511D6">
      <w:pPr>
        <w:spacing w:line="360" w:lineRule="auto"/>
        <w:ind w:firstLine="480" w:firstLineChars="200"/>
        <w:rPr>
          <w:rFonts w:ascii="宋体" w:hAnsi="宋体"/>
          <w:sz w:val="24"/>
          <w:highlight w:val="none"/>
        </w:rPr>
      </w:pPr>
      <w:r>
        <w:rPr>
          <w:rFonts w:hint="eastAsia" w:ascii="宋体" w:hAnsi="宋体"/>
          <w:sz w:val="24"/>
          <w:highlight w:val="none"/>
        </w:rPr>
        <w:t>本企业对上述声明内容的真实性负责。如有虚假，将依法承担相应责任。</w:t>
      </w:r>
    </w:p>
    <w:p w14:paraId="587081BE">
      <w:pPr>
        <w:pStyle w:val="16"/>
        <w:spacing w:line="480" w:lineRule="exact"/>
        <w:ind w:firstLine="420" w:firstLineChars="200"/>
        <w:rPr>
          <w:rFonts w:hint="eastAsia" w:ascii="宋体" w:hAnsi="宋体"/>
          <w:sz w:val="21"/>
          <w:szCs w:val="21"/>
          <w:highlight w:val="none"/>
          <w:lang w:val="en-US" w:eastAsia="zh-CN"/>
        </w:rPr>
      </w:pPr>
    </w:p>
    <w:p w14:paraId="587875B1">
      <w:pPr>
        <w:spacing w:line="360" w:lineRule="auto"/>
        <w:ind w:firstLine="420" w:firstLineChars="200"/>
        <w:jc w:val="left"/>
        <w:outlineLvl w:val="9"/>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sz w:val="21"/>
          <w:szCs w:val="21"/>
          <w:highlight w:val="none"/>
          <w:lang w:val="en-US" w:eastAsia="zh-CN"/>
        </w:rPr>
        <w:t>注：</w:t>
      </w:r>
      <w:r>
        <w:rPr>
          <w:rFonts w:hint="eastAsia" w:ascii="宋体" w:hAnsi="宋体"/>
          <w:sz w:val="21"/>
          <w:szCs w:val="21"/>
          <w:highlight w:val="none"/>
        </w:rPr>
        <w:t>从业人员、营业收入、资产总额填报上一年度数据，无上一年度数据的新成立企业可不填报。</w:t>
      </w:r>
    </w:p>
    <w:p w14:paraId="0A6A60FD">
      <w:pPr>
        <w:pStyle w:val="16"/>
        <w:spacing w:line="48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p>
    <w:p w14:paraId="7DD4E69F">
      <w:pPr>
        <w:pStyle w:val="5"/>
        <w:overflowPunct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电子签章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42E05E5B">
      <w:pPr>
        <w:pStyle w:val="5"/>
        <w:overflowPunct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法定代表人或委托代理人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电子签章或电子签名</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474A74C0">
      <w:pPr>
        <w:spacing w:line="480" w:lineRule="exact"/>
        <w:ind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    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03D4C272">
      <w:pPr>
        <w:widowControl/>
        <w:spacing w:line="460" w:lineRule="exact"/>
        <w:ind w:firstLine="6480" w:firstLineChars="2700"/>
        <w:rPr>
          <w:rFonts w:hint="eastAsia" w:ascii="宋体" w:hAnsi="宋体" w:eastAsia="宋体" w:cs="宋体"/>
          <w:color w:val="000000" w:themeColor="text1"/>
          <w:sz w:val="24"/>
          <w:highlight w:val="none"/>
          <w14:textFill>
            <w14:solidFill>
              <w14:schemeClr w14:val="tx1"/>
            </w14:solidFill>
          </w14:textFill>
        </w:rPr>
      </w:pPr>
    </w:p>
    <w:p w14:paraId="3F753145">
      <w:pPr>
        <w:pStyle w:val="5"/>
        <w:rPr>
          <w:rFonts w:hint="eastAsia" w:ascii="宋体" w:hAnsi="宋体" w:eastAsia="宋体" w:cs="宋体"/>
          <w:color w:val="000000" w:themeColor="text1"/>
          <w:highlight w:val="none"/>
          <w14:textFill>
            <w14:solidFill>
              <w14:schemeClr w14:val="tx1"/>
            </w14:solidFill>
          </w14:textFill>
        </w:rPr>
      </w:pPr>
    </w:p>
    <w:p w14:paraId="1D0F8C4B">
      <w:pPr>
        <w:pStyle w:val="3"/>
        <w:spacing w:line="460" w:lineRule="exact"/>
        <w:jc w:val="center"/>
        <w:rPr>
          <w:rFonts w:hint="eastAsia" w:ascii="宋体" w:hAnsi="宋体" w:eastAsia="宋体" w:cs="宋体"/>
          <w:color w:val="000000" w:themeColor="text1"/>
          <w:kern w:val="0"/>
          <w:sz w:val="28"/>
          <w:highlight w:val="none"/>
          <w14:textFill>
            <w14:solidFill>
              <w14:schemeClr w14:val="tx1"/>
            </w14:solidFill>
          </w14:textFill>
        </w:rPr>
      </w:pPr>
      <w:bookmarkStart w:id="528" w:name="_Toc16337"/>
      <w:bookmarkStart w:id="529" w:name="_Toc2623"/>
      <w:r>
        <w:rPr>
          <w:rFonts w:hint="eastAsia" w:ascii="宋体" w:hAnsi="宋体" w:eastAsia="宋体" w:cs="宋体"/>
          <w:color w:val="000000" w:themeColor="text1"/>
          <w:spacing w:val="6"/>
          <w:sz w:val="24"/>
          <w:highlight w:val="none"/>
          <w14:textFill>
            <w14:solidFill>
              <w14:schemeClr w14:val="tx1"/>
            </w14:solidFill>
          </w14:textFill>
        </w:rPr>
        <w:br w:type="page"/>
      </w:r>
      <w:bookmarkStart w:id="530" w:name="_Toc11951"/>
      <w:r>
        <w:rPr>
          <w:rFonts w:hint="eastAsia" w:ascii="宋体" w:hAnsi="宋体" w:eastAsia="宋体" w:cs="宋体"/>
          <w:bCs w:val="0"/>
          <w:color w:val="000000" w:themeColor="text1"/>
          <w:spacing w:val="6"/>
          <w:sz w:val="28"/>
          <w:highlight w:val="none"/>
          <w14:textFill>
            <w14:solidFill>
              <w14:schemeClr w14:val="tx1"/>
            </w14:solidFill>
          </w14:textFill>
        </w:rPr>
        <w:t>附件二：残疾人福利性单位声明函（按需提供）</w:t>
      </w:r>
      <w:bookmarkEnd w:id="528"/>
      <w:bookmarkEnd w:id="529"/>
      <w:bookmarkEnd w:id="530"/>
    </w:p>
    <w:p w14:paraId="13DDE8D0">
      <w:pPr>
        <w:pStyle w:val="16"/>
        <w:spacing w:line="460" w:lineRule="exact"/>
        <w:ind w:firstLine="240"/>
        <w:rPr>
          <w:rFonts w:hint="eastAsia" w:ascii="宋体" w:hAnsi="宋体" w:eastAsia="宋体" w:cs="宋体"/>
          <w:color w:val="000000" w:themeColor="text1"/>
          <w:sz w:val="24"/>
          <w:highlight w:val="none"/>
          <w14:textFill>
            <w14:solidFill>
              <w14:schemeClr w14:val="tx1"/>
            </w14:solidFill>
          </w14:textFill>
        </w:rPr>
      </w:pPr>
    </w:p>
    <w:p w14:paraId="4108A205">
      <w:pPr>
        <w:pStyle w:val="16"/>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E91E69">
      <w:pPr>
        <w:pStyle w:val="16"/>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本单位对上述声明的真实性负责。如有虚假，将依法承担相应责任。</w:t>
      </w:r>
    </w:p>
    <w:p w14:paraId="60DF8F72">
      <w:pPr>
        <w:pStyle w:val="16"/>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66FB33BF">
      <w:pPr>
        <w:pStyle w:val="16"/>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622ADBC7">
      <w:pPr>
        <w:pStyle w:val="16"/>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1E3943BE">
      <w:pPr>
        <w:pStyle w:val="16"/>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6DD807EB">
      <w:pPr>
        <w:pStyle w:val="5"/>
        <w:overflowPunct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电子签章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6C2A7993">
      <w:pPr>
        <w:pStyle w:val="5"/>
        <w:overflowPunct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法定代表人或委托代理人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电子签章或电子签名</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58F0AF2D">
      <w:pPr>
        <w:spacing w:line="480" w:lineRule="exact"/>
        <w:ind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    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6E73B00">
      <w:pPr>
        <w:spacing w:line="4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25F882F9">
      <w:pPr>
        <w:spacing w:line="4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16F22EE0">
      <w:pPr>
        <w:spacing w:line="4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058B4048">
      <w:pPr>
        <w:spacing w:line="4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51BE8452">
      <w:pPr>
        <w:spacing w:line="460" w:lineRule="exact"/>
        <w:jc w:val="left"/>
        <w:rPr>
          <w:rFonts w:hint="eastAsia" w:ascii="宋体" w:hAnsi="宋体" w:eastAsia="宋体" w:cs="宋体"/>
          <w:color w:val="000000" w:themeColor="text1"/>
          <w:sz w:val="24"/>
          <w:highlight w:val="none"/>
          <w14:textFill>
            <w14:solidFill>
              <w14:schemeClr w14:val="tx1"/>
            </w14:solidFill>
          </w14:textFill>
        </w:rPr>
      </w:pPr>
    </w:p>
    <w:p w14:paraId="4FDF5BEC">
      <w:pPr>
        <w:rPr>
          <w:rFonts w:hint="eastAsia" w:ascii="宋体" w:hAnsi="宋体" w:eastAsia="宋体" w:cs="宋体"/>
          <w:bCs w:val="0"/>
          <w:color w:val="000000" w:themeColor="text1"/>
          <w:spacing w:val="6"/>
          <w:sz w:val="28"/>
          <w:highlight w:val="none"/>
          <w14:textFill>
            <w14:solidFill>
              <w14:schemeClr w14:val="tx1"/>
            </w14:solidFill>
          </w14:textFill>
        </w:rPr>
      </w:pPr>
      <w:bookmarkStart w:id="531" w:name="_Toc5047"/>
      <w:r>
        <w:rPr>
          <w:rFonts w:hint="eastAsia" w:ascii="宋体" w:hAnsi="宋体" w:eastAsia="宋体" w:cs="宋体"/>
          <w:bCs w:val="0"/>
          <w:color w:val="000000" w:themeColor="text1"/>
          <w:spacing w:val="6"/>
          <w:sz w:val="28"/>
          <w:highlight w:val="none"/>
          <w14:textFill>
            <w14:solidFill>
              <w14:schemeClr w14:val="tx1"/>
            </w14:solidFill>
          </w14:textFill>
        </w:rPr>
        <w:br w:type="page"/>
      </w:r>
    </w:p>
    <w:p w14:paraId="59058336">
      <w:pPr>
        <w:pStyle w:val="3"/>
        <w:numPr>
          <w:ilvl w:val="1"/>
          <w:numId w:val="0"/>
        </w:numPr>
        <w:spacing w:before="0" w:after="0" w:line="460" w:lineRule="exact"/>
        <w:jc w:val="center"/>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bCs w:val="0"/>
          <w:color w:val="000000" w:themeColor="text1"/>
          <w:spacing w:val="6"/>
          <w:sz w:val="28"/>
          <w:highlight w:val="none"/>
          <w14:textFill>
            <w14:solidFill>
              <w14:schemeClr w14:val="tx1"/>
            </w14:solidFill>
          </w14:textFill>
        </w:rPr>
        <w:t>附件三：监狱企业证明文件（按需提供）</w:t>
      </w:r>
      <w:bookmarkEnd w:id="531"/>
    </w:p>
    <w:p w14:paraId="46989F2E">
      <w:pPr>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388CEB">
      <w:pPr>
        <w:spacing w:line="460" w:lineRule="exact"/>
        <w:ind w:firstLine="360" w:firstLineChars="15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18262DE5">
      <w:pPr>
        <w:tabs>
          <w:tab w:val="center" w:pos="4706"/>
          <w:tab w:val="left" w:pos="7495"/>
        </w:tabs>
        <w:spacing w:line="360" w:lineRule="auto"/>
        <w:jc w:val="left"/>
        <w:rPr>
          <w:rFonts w:hint="eastAsia" w:ascii="宋体" w:hAnsi="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lang w:eastAsia="zh-CN"/>
          <w14:textFill>
            <w14:solidFill>
              <w14:schemeClr w14:val="tx1"/>
            </w14:solidFill>
          </w14:textFill>
        </w:rPr>
        <w:tab/>
      </w:r>
      <w:r>
        <w:rPr>
          <w:rFonts w:hint="eastAsia" w:ascii="宋体" w:hAnsi="宋体" w:eastAsia="宋体" w:cs="宋体"/>
          <w:color w:val="000000" w:themeColor="text1"/>
          <w:spacing w:val="6"/>
          <w:sz w:val="24"/>
          <w:highlight w:val="none"/>
          <w14:textFill>
            <w14:solidFill>
              <w14:schemeClr w14:val="tx1"/>
            </w14:solidFill>
          </w14:textFill>
        </w:rPr>
        <w:t>（注：不属于的无需提供）</w:t>
      </w:r>
      <w:r>
        <w:rPr>
          <w:rFonts w:hint="eastAsia" w:ascii="宋体" w:hAnsi="宋体" w:cs="宋体"/>
          <w:color w:val="000000" w:themeColor="text1"/>
          <w:spacing w:val="6"/>
          <w:sz w:val="24"/>
          <w:highlight w:val="none"/>
          <w:lang w:eastAsia="zh-CN"/>
          <w14:textFill>
            <w14:solidFill>
              <w14:schemeClr w14:val="tx1"/>
            </w14:solidFill>
          </w14:textFill>
        </w:rPr>
        <w:tab/>
      </w:r>
    </w:p>
    <w:p w14:paraId="687E33C5">
      <w:pPr>
        <w:rPr>
          <w:rFonts w:hint="eastAsia" w:ascii="宋体" w:hAnsi="宋体" w:eastAsia="宋体" w:cs="宋体"/>
          <w:color w:val="auto"/>
          <w:sz w:val="24"/>
          <w:highlight w:val="none"/>
          <w:lang w:val="en-US" w:eastAsia="zh-CN"/>
        </w:rPr>
      </w:pPr>
    </w:p>
    <w:sectPr>
      <w:footerReference r:id="rId15" w:type="default"/>
      <w:pgSz w:w="11906" w:h="16838"/>
      <w:pgMar w:top="1247" w:right="1247" w:bottom="1247" w:left="1247" w:header="907" w:footer="737"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2000000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92D3">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59553">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3F4A4">
    <w:pPr>
      <w:pStyle w:val="20"/>
      <w:rPr>
        <w:rFonts w:ascii="宋体" w:hAnsi="宋体" w:eastAsia="宋体"/>
        <w:b/>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E36E2">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6EE36E2">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AAC2F">
    <w:pPr>
      <w:pStyle w:val="20"/>
      <w:jc w:val="center"/>
      <w:rPr>
        <w:rFonts w:ascii="宋体" w:hAnsi="宋体" w:eastAsia="宋体"/>
        <w:b/>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06D52">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4006D52">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270A1">
    <w:pPr>
      <w:pStyle w:val="20"/>
      <w:jc w:val="center"/>
      <w:rPr>
        <w:rFonts w:ascii="宋体" w:hAnsi="宋体" w:eastAsia="宋体"/>
        <w:b/>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B1047">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EFB1047">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18B1F">
    <w:pPr>
      <w:pStyle w:val="10"/>
      <w:spacing w:line="188" w:lineRule="auto"/>
      <w:ind w:left="372"/>
      <w:rPr>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1F17F3">
                          <w:pPr>
                            <w:pStyle w:val="20"/>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B1F17F3">
                    <w:pPr>
                      <w:pStyle w:val="2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43EC2">
    <w:pPr>
      <w:pStyle w:val="20"/>
      <w:jc w:val="center"/>
      <w:rPr>
        <w:rFonts w:ascii="宋体" w:hAnsi="宋体" w:eastAsia="宋体"/>
        <w:b/>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2FC4C">
                          <w:pPr>
                            <w:pStyle w:val="2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302FC4C">
                    <w:pPr>
                      <w:pStyle w:val="20"/>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3F643">
    <w:pPr>
      <w:pStyle w:val="20"/>
      <w:jc w:val="center"/>
      <w:rPr>
        <w:rFonts w:ascii="宋体" w:hAnsi="宋体" w:eastAsia="宋体"/>
        <w:b/>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C0EBE">
                          <w:pPr>
                            <w:pStyle w:val="2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C0C0EBE">
                    <w:pPr>
                      <w:pStyle w:val="2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5D812">
    <w:pPr>
      <w:pStyle w:val="20"/>
      <w:jc w:val="center"/>
      <w:rPr>
        <w:rFonts w:ascii="宋体" w:hAnsi="宋体" w:eastAsia="宋体"/>
        <w:b/>
        <w:sz w:val="21"/>
        <w:szCs w:val="21"/>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B25A0">
                          <w:pPr>
                            <w:pStyle w:val="2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ABB25A0">
                    <w:pPr>
                      <w:pStyle w:val="2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65CBE">
    <w:pPr>
      <w:pStyle w:val="10"/>
      <w:spacing w:line="189" w:lineRule="auto"/>
      <w:ind w:left="371"/>
      <w:rPr>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622CB">
                          <w:pPr>
                            <w:pStyle w:val="2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61622CB">
                    <w:pPr>
                      <w:pStyle w:val="2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6D9D0">
    <w:pPr>
      <w:pStyle w:val="10"/>
      <w:spacing w:line="188" w:lineRule="auto"/>
      <w:ind w:left="372"/>
      <w:rPr>
        <w:sz w:val="28"/>
        <w:szCs w:val="28"/>
      </w:rPr>
    </w:pPr>
    <w:r>
      <w:rPr>
        <w:sz w:val="2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FB855C">
                          <w:pPr>
                            <w:pStyle w:val="20"/>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AFB855C">
                    <w:pPr>
                      <w:pStyle w:val="20"/>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23777">
    <w:pPr>
      <w:pStyle w:val="21"/>
      <w:pBdr>
        <w:bottom w:val="none" w:color="auto" w:sz="0" w:space="1"/>
      </w:pBdr>
      <w:ind w:firstLine="480" w:firstLineChars="200"/>
      <w:jc w:val="both"/>
      <w:rPr>
        <w:rFonts w:ascii="宋体" w:hAnsi="宋体"/>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EF2D6">
    <w:pPr>
      <w:pStyle w:val="2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52B5FD"/>
    <w:multiLevelType w:val="singleLevel"/>
    <w:tmpl w:val="9A52B5FD"/>
    <w:lvl w:ilvl="0" w:tentative="0">
      <w:start w:val="1"/>
      <w:numFmt w:val="decimal"/>
      <w:suff w:val="nothing"/>
      <w:lvlText w:val="（%1）"/>
      <w:lvlJc w:val="left"/>
    </w:lvl>
  </w:abstractNum>
  <w:abstractNum w:abstractNumId="1">
    <w:nsid w:val="ABEBCA20"/>
    <w:multiLevelType w:val="singleLevel"/>
    <w:tmpl w:val="ABEBCA20"/>
    <w:lvl w:ilvl="0" w:tentative="0">
      <w:start w:val="1"/>
      <w:numFmt w:val="decimal"/>
      <w:suff w:val="nothing"/>
      <w:lvlText w:val="（%1）"/>
      <w:lvlJc w:val="left"/>
    </w:lvl>
  </w:abstractNum>
  <w:abstractNum w:abstractNumId="2">
    <w:nsid w:val="B250CB3E"/>
    <w:multiLevelType w:val="singleLevel"/>
    <w:tmpl w:val="B250CB3E"/>
    <w:lvl w:ilvl="0" w:tentative="0">
      <w:start w:val="1"/>
      <w:numFmt w:val="decimal"/>
      <w:suff w:val="nothing"/>
      <w:lvlText w:val="（%1）"/>
      <w:lvlJc w:val="left"/>
    </w:lvl>
  </w:abstractNum>
  <w:abstractNum w:abstractNumId="3">
    <w:nsid w:val="B72FB535"/>
    <w:multiLevelType w:val="singleLevel"/>
    <w:tmpl w:val="B72FB535"/>
    <w:lvl w:ilvl="0" w:tentative="0">
      <w:start w:val="1"/>
      <w:numFmt w:val="decimal"/>
      <w:suff w:val="nothing"/>
      <w:lvlText w:val="（%1）"/>
      <w:lvlJc w:val="left"/>
    </w:lvl>
  </w:abstractNum>
  <w:abstractNum w:abstractNumId="4">
    <w:nsid w:val="C3CE4D04"/>
    <w:multiLevelType w:val="singleLevel"/>
    <w:tmpl w:val="C3CE4D04"/>
    <w:lvl w:ilvl="0" w:tentative="0">
      <w:start w:val="1"/>
      <w:numFmt w:val="decimal"/>
      <w:suff w:val="nothing"/>
      <w:lvlText w:val="（%1）"/>
      <w:lvlJc w:val="left"/>
    </w:lvl>
  </w:abstractNum>
  <w:abstractNum w:abstractNumId="5">
    <w:nsid w:val="CB19D310"/>
    <w:multiLevelType w:val="singleLevel"/>
    <w:tmpl w:val="CB19D310"/>
    <w:lvl w:ilvl="0" w:tentative="0">
      <w:start w:val="1"/>
      <w:numFmt w:val="decimal"/>
      <w:lvlText w:val="%1."/>
      <w:lvlJc w:val="left"/>
      <w:pPr>
        <w:tabs>
          <w:tab w:val="left" w:pos="312"/>
        </w:tabs>
      </w:pPr>
    </w:lvl>
  </w:abstractNum>
  <w:abstractNum w:abstractNumId="6">
    <w:nsid w:val="D3F0B326"/>
    <w:multiLevelType w:val="singleLevel"/>
    <w:tmpl w:val="D3F0B326"/>
    <w:lvl w:ilvl="0" w:tentative="0">
      <w:start w:val="1"/>
      <w:numFmt w:val="decimal"/>
      <w:suff w:val="nothing"/>
      <w:lvlText w:val="（%1）"/>
      <w:lvlJc w:val="left"/>
    </w:lvl>
  </w:abstractNum>
  <w:abstractNum w:abstractNumId="7">
    <w:nsid w:val="DEE92CBA"/>
    <w:multiLevelType w:val="singleLevel"/>
    <w:tmpl w:val="DEE92CBA"/>
    <w:lvl w:ilvl="0" w:tentative="0">
      <w:start w:val="1"/>
      <w:numFmt w:val="decimal"/>
      <w:suff w:val="nothing"/>
      <w:lvlText w:val="（%1）"/>
      <w:lvlJc w:val="left"/>
    </w:lvl>
  </w:abstractNum>
  <w:abstractNum w:abstractNumId="8">
    <w:nsid w:val="E830BBD2"/>
    <w:multiLevelType w:val="singleLevel"/>
    <w:tmpl w:val="E830BBD2"/>
    <w:lvl w:ilvl="0" w:tentative="0">
      <w:start w:val="1"/>
      <w:numFmt w:val="decimal"/>
      <w:suff w:val="nothing"/>
      <w:lvlText w:val="（%1）"/>
      <w:lvlJc w:val="left"/>
    </w:lvl>
  </w:abstractNum>
  <w:abstractNum w:abstractNumId="9">
    <w:nsid w:val="F68A2E7C"/>
    <w:multiLevelType w:val="singleLevel"/>
    <w:tmpl w:val="F68A2E7C"/>
    <w:lvl w:ilvl="0" w:tentative="0">
      <w:start w:val="1"/>
      <w:numFmt w:val="decimal"/>
      <w:suff w:val="nothing"/>
      <w:lvlText w:val="（%1）"/>
      <w:lvlJc w:val="left"/>
    </w:lvl>
  </w:abstractNum>
  <w:abstractNum w:abstractNumId="10">
    <w:nsid w:val="0657C4CB"/>
    <w:multiLevelType w:val="singleLevel"/>
    <w:tmpl w:val="0657C4CB"/>
    <w:lvl w:ilvl="0" w:tentative="0">
      <w:start w:val="1"/>
      <w:numFmt w:val="decimal"/>
      <w:suff w:val="nothing"/>
      <w:lvlText w:val="（%1）"/>
      <w:lvlJc w:val="left"/>
    </w:lvl>
  </w:abstractNum>
  <w:abstractNum w:abstractNumId="11">
    <w:nsid w:val="0B136AA8"/>
    <w:multiLevelType w:val="singleLevel"/>
    <w:tmpl w:val="0B136AA8"/>
    <w:lvl w:ilvl="0" w:tentative="0">
      <w:start w:val="1"/>
      <w:numFmt w:val="decimal"/>
      <w:suff w:val="nothing"/>
      <w:lvlText w:val="（%1）"/>
      <w:lvlJc w:val="left"/>
    </w:lvl>
  </w:abstractNum>
  <w:abstractNum w:abstractNumId="12">
    <w:nsid w:val="155BF708"/>
    <w:multiLevelType w:val="singleLevel"/>
    <w:tmpl w:val="155BF708"/>
    <w:lvl w:ilvl="0" w:tentative="0">
      <w:start w:val="2"/>
      <w:numFmt w:val="chineseCounting"/>
      <w:suff w:val="nothing"/>
      <w:lvlText w:val="（%1）"/>
      <w:lvlJc w:val="left"/>
      <w:rPr>
        <w:rFonts w:hint="eastAsia"/>
      </w:rPr>
    </w:lvl>
  </w:abstractNum>
  <w:abstractNum w:abstractNumId="13">
    <w:nsid w:val="18DD7D2B"/>
    <w:multiLevelType w:val="singleLevel"/>
    <w:tmpl w:val="18DD7D2B"/>
    <w:lvl w:ilvl="0" w:tentative="0">
      <w:start w:val="1"/>
      <w:numFmt w:val="decimal"/>
      <w:suff w:val="nothing"/>
      <w:lvlText w:val="（%1）"/>
      <w:lvlJc w:val="left"/>
    </w:lvl>
  </w:abstractNum>
  <w:abstractNum w:abstractNumId="14">
    <w:nsid w:val="1C9BF77C"/>
    <w:multiLevelType w:val="singleLevel"/>
    <w:tmpl w:val="1C9BF77C"/>
    <w:lvl w:ilvl="0" w:tentative="0">
      <w:start w:val="1"/>
      <w:numFmt w:val="decimal"/>
      <w:suff w:val="nothing"/>
      <w:lvlText w:val="（%1）"/>
      <w:lvlJc w:val="left"/>
    </w:lvl>
  </w:abstractNum>
  <w:abstractNum w:abstractNumId="15">
    <w:nsid w:val="1F567BD4"/>
    <w:multiLevelType w:val="singleLevel"/>
    <w:tmpl w:val="1F567BD4"/>
    <w:lvl w:ilvl="0" w:tentative="0">
      <w:start w:val="1"/>
      <w:numFmt w:val="decimal"/>
      <w:suff w:val="nothing"/>
      <w:lvlText w:val="（%1）"/>
      <w:lvlJc w:val="left"/>
    </w:lvl>
  </w:abstractNum>
  <w:abstractNum w:abstractNumId="16">
    <w:nsid w:val="1FCF7A9F"/>
    <w:multiLevelType w:val="singleLevel"/>
    <w:tmpl w:val="1FCF7A9F"/>
    <w:lvl w:ilvl="0" w:tentative="0">
      <w:start w:val="1"/>
      <w:numFmt w:val="decimal"/>
      <w:suff w:val="nothing"/>
      <w:lvlText w:val="（%1）"/>
      <w:lvlJc w:val="left"/>
    </w:lvl>
  </w:abstractNum>
  <w:abstractNum w:abstractNumId="17">
    <w:nsid w:val="26EC8BF7"/>
    <w:multiLevelType w:val="singleLevel"/>
    <w:tmpl w:val="26EC8BF7"/>
    <w:lvl w:ilvl="0" w:tentative="0">
      <w:start w:val="1"/>
      <w:numFmt w:val="decimal"/>
      <w:suff w:val="nothing"/>
      <w:lvlText w:val="（%1）"/>
      <w:lvlJc w:val="left"/>
    </w:lvl>
  </w:abstractNum>
  <w:abstractNum w:abstractNumId="18">
    <w:nsid w:val="2B5EC240"/>
    <w:multiLevelType w:val="singleLevel"/>
    <w:tmpl w:val="2B5EC240"/>
    <w:lvl w:ilvl="0" w:tentative="0">
      <w:start w:val="1"/>
      <w:numFmt w:val="decimal"/>
      <w:suff w:val="nothing"/>
      <w:lvlText w:val="（%1）"/>
      <w:lvlJc w:val="left"/>
    </w:lvl>
  </w:abstractNum>
  <w:abstractNum w:abstractNumId="19">
    <w:nsid w:val="3F3F3CD7"/>
    <w:multiLevelType w:val="singleLevel"/>
    <w:tmpl w:val="3F3F3CD7"/>
    <w:lvl w:ilvl="0" w:tentative="0">
      <w:start w:val="1"/>
      <w:numFmt w:val="decimal"/>
      <w:suff w:val="nothing"/>
      <w:lvlText w:val="（%1）"/>
      <w:lvlJc w:val="left"/>
    </w:lvl>
  </w:abstractNum>
  <w:abstractNum w:abstractNumId="20">
    <w:nsid w:val="40D51F88"/>
    <w:multiLevelType w:val="singleLevel"/>
    <w:tmpl w:val="40D51F88"/>
    <w:lvl w:ilvl="0" w:tentative="0">
      <w:start w:val="1"/>
      <w:numFmt w:val="decimal"/>
      <w:suff w:val="nothing"/>
      <w:lvlText w:val="（%1）"/>
      <w:lvlJc w:val="left"/>
    </w:lvl>
  </w:abstractNum>
  <w:abstractNum w:abstractNumId="21">
    <w:nsid w:val="4455482D"/>
    <w:multiLevelType w:val="singleLevel"/>
    <w:tmpl w:val="4455482D"/>
    <w:lvl w:ilvl="0" w:tentative="0">
      <w:start w:val="1"/>
      <w:numFmt w:val="decimal"/>
      <w:suff w:val="nothing"/>
      <w:lvlText w:val="（%1）"/>
      <w:lvlJc w:val="left"/>
    </w:lvl>
  </w:abstractNum>
  <w:abstractNum w:abstractNumId="22">
    <w:nsid w:val="53EB4D40"/>
    <w:multiLevelType w:val="singleLevel"/>
    <w:tmpl w:val="53EB4D40"/>
    <w:lvl w:ilvl="0" w:tentative="0">
      <w:start w:val="2"/>
      <w:numFmt w:val="chineseCounting"/>
      <w:suff w:val="nothing"/>
      <w:lvlText w:val="%1、"/>
      <w:lvlJc w:val="left"/>
      <w:rPr>
        <w:rFonts w:hint="eastAsia"/>
      </w:rPr>
    </w:lvl>
  </w:abstractNum>
  <w:abstractNum w:abstractNumId="23">
    <w:nsid w:val="5A7A9AED"/>
    <w:multiLevelType w:val="singleLevel"/>
    <w:tmpl w:val="5A7A9AED"/>
    <w:lvl w:ilvl="0" w:tentative="0">
      <w:start w:val="1"/>
      <w:numFmt w:val="decimal"/>
      <w:suff w:val="nothing"/>
      <w:lvlText w:val="（%1）"/>
      <w:lvlJc w:val="left"/>
    </w:lvl>
  </w:abstractNum>
  <w:abstractNum w:abstractNumId="24">
    <w:nsid w:val="5BF5A5A3"/>
    <w:multiLevelType w:val="singleLevel"/>
    <w:tmpl w:val="5BF5A5A3"/>
    <w:lvl w:ilvl="0" w:tentative="0">
      <w:start w:val="1"/>
      <w:numFmt w:val="decimal"/>
      <w:suff w:val="nothing"/>
      <w:lvlText w:val="（%1）"/>
      <w:lvlJc w:val="left"/>
    </w:lvl>
  </w:abstractNum>
  <w:abstractNum w:abstractNumId="25">
    <w:nsid w:val="76513E0D"/>
    <w:multiLevelType w:val="multilevel"/>
    <w:tmpl w:val="76513E0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6">
    <w:nsid w:val="7710326D"/>
    <w:multiLevelType w:val="singleLevel"/>
    <w:tmpl w:val="7710326D"/>
    <w:lvl w:ilvl="0" w:tentative="0">
      <w:start w:val="3"/>
      <w:numFmt w:val="chineseCounting"/>
      <w:suff w:val="space"/>
      <w:lvlText w:val="第%1条"/>
      <w:lvlJc w:val="left"/>
      <w:rPr>
        <w:rFonts w:hint="eastAsia"/>
      </w:rPr>
    </w:lvl>
  </w:abstractNum>
  <w:num w:numId="1">
    <w:abstractNumId w:val="12"/>
  </w:num>
  <w:num w:numId="2">
    <w:abstractNumId w:val="10"/>
  </w:num>
  <w:num w:numId="3">
    <w:abstractNumId w:val="22"/>
  </w:num>
  <w:num w:numId="4">
    <w:abstractNumId w:val="25"/>
  </w:num>
  <w:num w:numId="5">
    <w:abstractNumId w:val="5"/>
  </w:num>
  <w:num w:numId="6">
    <w:abstractNumId w:val="16"/>
  </w:num>
  <w:num w:numId="7">
    <w:abstractNumId w:val="18"/>
  </w:num>
  <w:num w:numId="8">
    <w:abstractNumId w:val="6"/>
  </w:num>
  <w:num w:numId="9">
    <w:abstractNumId w:val="17"/>
  </w:num>
  <w:num w:numId="10">
    <w:abstractNumId w:val="15"/>
  </w:num>
  <w:num w:numId="11">
    <w:abstractNumId w:val="2"/>
  </w:num>
  <w:num w:numId="12">
    <w:abstractNumId w:val="8"/>
  </w:num>
  <w:num w:numId="13">
    <w:abstractNumId w:val="21"/>
  </w:num>
  <w:num w:numId="14">
    <w:abstractNumId w:val="23"/>
  </w:num>
  <w:num w:numId="15">
    <w:abstractNumId w:val="9"/>
  </w:num>
  <w:num w:numId="16">
    <w:abstractNumId w:val="7"/>
  </w:num>
  <w:num w:numId="17">
    <w:abstractNumId w:val="3"/>
  </w:num>
  <w:num w:numId="18">
    <w:abstractNumId w:val="0"/>
  </w:num>
  <w:num w:numId="19">
    <w:abstractNumId w:val="1"/>
  </w:num>
  <w:num w:numId="20">
    <w:abstractNumId w:val="20"/>
  </w:num>
  <w:num w:numId="21">
    <w:abstractNumId w:val="4"/>
  </w:num>
  <w:num w:numId="22">
    <w:abstractNumId w:val="24"/>
  </w:num>
  <w:num w:numId="23">
    <w:abstractNumId w:val="19"/>
  </w:num>
  <w:num w:numId="24">
    <w:abstractNumId w:val="13"/>
  </w:num>
  <w:num w:numId="25">
    <w:abstractNumId w:val="11"/>
  </w:num>
  <w:num w:numId="26">
    <w:abstractNumId w:val="14"/>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kwZWIwYzhlNzI4ODk2ZDc5ZjkyYzU0ZGM3ZDNiODIifQ=="/>
  </w:docVars>
  <w:rsids>
    <w:rsidRoot w:val="002F2898"/>
    <w:rsid w:val="00115065"/>
    <w:rsid w:val="00151B38"/>
    <w:rsid w:val="001636D7"/>
    <w:rsid w:val="00192238"/>
    <w:rsid w:val="00213EA8"/>
    <w:rsid w:val="00244090"/>
    <w:rsid w:val="00255D55"/>
    <w:rsid w:val="002A6496"/>
    <w:rsid w:val="002B3BD8"/>
    <w:rsid w:val="002F2898"/>
    <w:rsid w:val="00323886"/>
    <w:rsid w:val="0035038D"/>
    <w:rsid w:val="003A7262"/>
    <w:rsid w:val="00417AAE"/>
    <w:rsid w:val="0044519F"/>
    <w:rsid w:val="004661B2"/>
    <w:rsid w:val="004966EB"/>
    <w:rsid w:val="004A14E1"/>
    <w:rsid w:val="005E1A7F"/>
    <w:rsid w:val="005F0634"/>
    <w:rsid w:val="006C6AF3"/>
    <w:rsid w:val="006D6E88"/>
    <w:rsid w:val="00742504"/>
    <w:rsid w:val="007A3027"/>
    <w:rsid w:val="008605A3"/>
    <w:rsid w:val="00926774"/>
    <w:rsid w:val="00965208"/>
    <w:rsid w:val="00970965"/>
    <w:rsid w:val="00A14AC0"/>
    <w:rsid w:val="00A31259"/>
    <w:rsid w:val="00AC2361"/>
    <w:rsid w:val="00B37309"/>
    <w:rsid w:val="00CF4C0A"/>
    <w:rsid w:val="00D52001"/>
    <w:rsid w:val="00D529C5"/>
    <w:rsid w:val="00E72D47"/>
    <w:rsid w:val="00EB7C0E"/>
    <w:rsid w:val="00EE1893"/>
    <w:rsid w:val="00EF4562"/>
    <w:rsid w:val="00F27B09"/>
    <w:rsid w:val="00FC55CA"/>
    <w:rsid w:val="01457570"/>
    <w:rsid w:val="02AE49CD"/>
    <w:rsid w:val="033363F3"/>
    <w:rsid w:val="03462647"/>
    <w:rsid w:val="03EC461B"/>
    <w:rsid w:val="042C2C6A"/>
    <w:rsid w:val="043A06FC"/>
    <w:rsid w:val="04632896"/>
    <w:rsid w:val="04AD4048"/>
    <w:rsid w:val="05750BDD"/>
    <w:rsid w:val="05BE78A6"/>
    <w:rsid w:val="065E7A8A"/>
    <w:rsid w:val="067E17C5"/>
    <w:rsid w:val="068E33C9"/>
    <w:rsid w:val="06AA4209"/>
    <w:rsid w:val="070752F4"/>
    <w:rsid w:val="07F14A2E"/>
    <w:rsid w:val="08545A5E"/>
    <w:rsid w:val="08CF6D1F"/>
    <w:rsid w:val="08D659A1"/>
    <w:rsid w:val="09865F14"/>
    <w:rsid w:val="09E53048"/>
    <w:rsid w:val="09EA688E"/>
    <w:rsid w:val="0A12178D"/>
    <w:rsid w:val="0A4968FE"/>
    <w:rsid w:val="0A4E0CA8"/>
    <w:rsid w:val="0AB90D9F"/>
    <w:rsid w:val="0AE07B03"/>
    <w:rsid w:val="0BD0369C"/>
    <w:rsid w:val="0BDB3312"/>
    <w:rsid w:val="0BF83019"/>
    <w:rsid w:val="0CA12029"/>
    <w:rsid w:val="0CA5616F"/>
    <w:rsid w:val="0D0C6FCA"/>
    <w:rsid w:val="0D1F3685"/>
    <w:rsid w:val="0DAE235C"/>
    <w:rsid w:val="0DB60772"/>
    <w:rsid w:val="0DBD1298"/>
    <w:rsid w:val="0DE43164"/>
    <w:rsid w:val="0DED2233"/>
    <w:rsid w:val="0E833CB0"/>
    <w:rsid w:val="0EBE2BB7"/>
    <w:rsid w:val="0EFE7833"/>
    <w:rsid w:val="0F83577F"/>
    <w:rsid w:val="10725D2D"/>
    <w:rsid w:val="10DC75EE"/>
    <w:rsid w:val="10DE2EFA"/>
    <w:rsid w:val="115804A1"/>
    <w:rsid w:val="119B6891"/>
    <w:rsid w:val="119E42B9"/>
    <w:rsid w:val="11CB76B6"/>
    <w:rsid w:val="129B50D8"/>
    <w:rsid w:val="12ED3946"/>
    <w:rsid w:val="14500781"/>
    <w:rsid w:val="145204CA"/>
    <w:rsid w:val="145E39C0"/>
    <w:rsid w:val="149D101A"/>
    <w:rsid w:val="14F36D83"/>
    <w:rsid w:val="150A4EE6"/>
    <w:rsid w:val="153E164E"/>
    <w:rsid w:val="154E3022"/>
    <w:rsid w:val="15751EFD"/>
    <w:rsid w:val="15A13F89"/>
    <w:rsid w:val="15B2215F"/>
    <w:rsid w:val="16134B07"/>
    <w:rsid w:val="16306DC9"/>
    <w:rsid w:val="1645388A"/>
    <w:rsid w:val="16536391"/>
    <w:rsid w:val="168D7598"/>
    <w:rsid w:val="16F569BA"/>
    <w:rsid w:val="178D23B1"/>
    <w:rsid w:val="18B42E1B"/>
    <w:rsid w:val="18CD0120"/>
    <w:rsid w:val="18F3665A"/>
    <w:rsid w:val="19747E11"/>
    <w:rsid w:val="19BF1708"/>
    <w:rsid w:val="19FB29DE"/>
    <w:rsid w:val="1A1D2599"/>
    <w:rsid w:val="1A273353"/>
    <w:rsid w:val="1A6420AD"/>
    <w:rsid w:val="1B132689"/>
    <w:rsid w:val="1BB232B0"/>
    <w:rsid w:val="1C70033D"/>
    <w:rsid w:val="1CF251E9"/>
    <w:rsid w:val="1D241D76"/>
    <w:rsid w:val="1D656893"/>
    <w:rsid w:val="1D792F52"/>
    <w:rsid w:val="1DB16262"/>
    <w:rsid w:val="1DC37401"/>
    <w:rsid w:val="1DDD1FF3"/>
    <w:rsid w:val="1E6711ED"/>
    <w:rsid w:val="1FA2060A"/>
    <w:rsid w:val="1FBD4690"/>
    <w:rsid w:val="1FD57700"/>
    <w:rsid w:val="202E7E1D"/>
    <w:rsid w:val="2093628D"/>
    <w:rsid w:val="20AE138B"/>
    <w:rsid w:val="21090C3D"/>
    <w:rsid w:val="220814B8"/>
    <w:rsid w:val="227D209E"/>
    <w:rsid w:val="22B009B6"/>
    <w:rsid w:val="233809CE"/>
    <w:rsid w:val="238063CA"/>
    <w:rsid w:val="2394001E"/>
    <w:rsid w:val="23C951D4"/>
    <w:rsid w:val="24E0551A"/>
    <w:rsid w:val="252C2737"/>
    <w:rsid w:val="25FF702F"/>
    <w:rsid w:val="26282E8A"/>
    <w:rsid w:val="26663D94"/>
    <w:rsid w:val="26FF57B0"/>
    <w:rsid w:val="274D06DD"/>
    <w:rsid w:val="27EB16C5"/>
    <w:rsid w:val="284E1FD2"/>
    <w:rsid w:val="28592F13"/>
    <w:rsid w:val="28AD75C4"/>
    <w:rsid w:val="28F468B8"/>
    <w:rsid w:val="290C413D"/>
    <w:rsid w:val="292F5976"/>
    <w:rsid w:val="29BE3445"/>
    <w:rsid w:val="29CE77AC"/>
    <w:rsid w:val="2A2E14D4"/>
    <w:rsid w:val="2AA170D3"/>
    <w:rsid w:val="2BC74EDB"/>
    <w:rsid w:val="2BF30AD8"/>
    <w:rsid w:val="2C187C37"/>
    <w:rsid w:val="2C1D33BB"/>
    <w:rsid w:val="2C212173"/>
    <w:rsid w:val="2C7B5044"/>
    <w:rsid w:val="2C7F31B6"/>
    <w:rsid w:val="2CDD4252"/>
    <w:rsid w:val="2D2B25C6"/>
    <w:rsid w:val="2D4C2324"/>
    <w:rsid w:val="2DBF0527"/>
    <w:rsid w:val="2DD218DC"/>
    <w:rsid w:val="2F7056A1"/>
    <w:rsid w:val="2FBCCC30"/>
    <w:rsid w:val="2FEC04FB"/>
    <w:rsid w:val="3010758B"/>
    <w:rsid w:val="3016601C"/>
    <w:rsid w:val="3184488C"/>
    <w:rsid w:val="319D4367"/>
    <w:rsid w:val="32323478"/>
    <w:rsid w:val="33A92AAB"/>
    <w:rsid w:val="341D1DA8"/>
    <w:rsid w:val="34824BE5"/>
    <w:rsid w:val="34A756CD"/>
    <w:rsid w:val="35830880"/>
    <w:rsid w:val="35CB4114"/>
    <w:rsid w:val="35CD41FD"/>
    <w:rsid w:val="35E66965"/>
    <w:rsid w:val="35F7E4F5"/>
    <w:rsid w:val="363124C6"/>
    <w:rsid w:val="364617F7"/>
    <w:rsid w:val="36CC412E"/>
    <w:rsid w:val="36D952F5"/>
    <w:rsid w:val="36F55BB4"/>
    <w:rsid w:val="378954C9"/>
    <w:rsid w:val="37FA1521"/>
    <w:rsid w:val="38464F04"/>
    <w:rsid w:val="392D364F"/>
    <w:rsid w:val="394933F8"/>
    <w:rsid w:val="3975260A"/>
    <w:rsid w:val="39B44A25"/>
    <w:rsid w:val="39D46D5E"/>
    <w:rsid w:val="39DB32BA"/>
    <w:rsid w:val="39F050AE"/>
    <w:rsid w:val="3A8C4498"/>
    <w:rsid w:val="3C1934F8"/>
    <w:rsid w:val="3DBE1E8B"/>
    <w:rsid w:val="3DC1731A"/>
    <w:rsid w:val="3DED6DDC"/>
    <w:rsid w:val="3E600B7D"/>
    <w:rsid w:val="3EAD1CD6"/>
    <w:rsid w:val="3F752865"/>
    <w:rsid w:val="3F9C7E20"/>
    <w:rsid w:val="40006FD4"/>
    <w:rsid w:val="40414A46"/>
    <w:rsid w:val="40707609"/>
    <w:rsid w:val="40AD1E7D"/>
    <w:rsid w:val="40B437EF"/>
    <w:rsid w:val="417F390E"/>
    <w:rsid w:val="41CD220A"/>
    <w:rsid w:val="42197A8A"/>
    <w:rsid w:val="42803CB2"/>
    <w:rsid w:val="42DF6969"/>
    <w:rsid w:val="43354997"/>
    <w:rsid w:val="434537EE"/>
    <w:rsid w:val="4364010A"/>
    <w:rsid w:val="43651398"/>
    <w:rsid w:val="43830C6E"/>
    <w:rsid w:val="43A25559"/>
    <w:rsid w:val="43E9562A"/>
    <w:rsid w:val="444D4894"/>
    <w:rsid w:val="45244733"/>
    <w:rsid w:val="452A1880"/>
    <w:rsid w:val="475A68B7"/>
    <w:rsid w:val="47673AD4"/>
    <w:rsid w:val="479710A8"/>
    <w:rsid w:val="47A1104B"/>
    <w:rsid w:val="47BE6D02"/>
    <w:rsid w:val="48390778"/>
    <w:rsid w:val="489E4AF4"/>
    <w:rsid w:val="48B84228"/>
    <w:rsid w:val="49431536"/>
    <w:rsid w:val="498024F0"/>
    <w:rsid w:val="499F680C"/>
    <w:rsid w:val="49D83D4D"/>
    <w:rsid w:val="4A072B8C"/>
    <w:rsid w:val="4A133FC4"/>
    <w:rsid w:val="4A307D22"/>
    <w:rsid w:val="4B455929"/>
    <w:rsid w:val="4C5D5098"/>
    <w:rsid w:val="4C700EE3"/>
    <w:rsid w:val="4D9D2287"/>
    <w:rsid w:val="4E6D76D3"/>
    <w:rsid w:val="4ED4123E"/>
    <w:rsid w:val="4F17432B"/>
    <w:rsid w:val="4FE97230"/>
    <w:rsid w:val="50CC5D7D"/>
    <w:rsid w:val="50DE5A0D"/>
    <w:rsid w:val="51205983"/>
    <w:rsid w:val="512D5AA3"/>
    <w:rsid w:val="516B46B4"/>
    <w:rsid w:val="51A07E1C"/>
    <w:rsid w:val="51C97F6E"/>
    <w:rsid w:val="5239608D"/>
    <w:rsid w:val="524226B9"/>
    <w:rsid w:val="52612EFC"/>
    <w:rsid w:val="528B3A8C"/>
    <w:rsid w:val="53031D56"/>
    <w:rsid w:val="53B94681"/>
    <w:rsid w:val="542251E9"/>
    <w:rsid w:val="55727FE5"/>
    <w:rsid w:val="55B4361F"/>
    <w:rsid w:val="55DD3E3B"/>
    <w:rsid w:val="5625241E"/>
    <w:rsid w:val="564603E4"/>
    <w:rsid w:val="567E34E8"/>
    <w:rsid w:val="567E859F"/>
    <w:rsid w:val="57177A18"/>
    <w:rsid w:val="57A633CC"/>
    <w:rsid w:val="57B932D0"/>
    <w:rsid w:val="590B03C5"/>
    <w:rsid w:val="59D60B64"/>
    <w:rsid w:val="5A0F3BDB"/>
    <w:rsid w:val="5A361F41"/>
    <w:rsid w:val="5A9E7005"/>
    <w:rsid w:val="5ACA3526"/>
    <w:rsid w:val="5B172CAC"/>
    <w:rsid w:val="5B6923F4"/>
    <w:rsid w:val="5BF35F24"/>
    <w:rsid w:val="5CDD6B6F"/>
    <w:rsid w:val="5D21237D"/>
    <w:rsid w:val="5D4334A2"/>
    <w:rsid w:val="5DD23EEA"/>
    <w:rsid w:val="5E2E691F"/>
    <w:rsid w:val="5E4D5382"/>
    <w:rsid w:val="5EB60369"/>
    <w:rsid w:val="5F9C25EF"/>
    <w:rsid w:val="5FBF45A0"/>
    <w:rsid w:val="601E346C"/>
    <w:rsid w:val="604F114F"/>
    <w:rsid w:val="6102456D"/>
    <w:rsid w:val="6202667E"/>
    <w:rsid w:val="621F67E9"/>
    <w:rsid w:val="62322946"/>
    <w:rsid w:val="62353E9F"/>
    <w:rsid w:val="624E1CEB"/>
    <w:rsid w:val="62946FE1"/>
    <w:rsid w:val="63D65732"/>
    <w:rsid w:val="63FE33FD"/>
    <w:rsid w:val="64DD1C5F"/>
    <w:rsid w:val="652C00AF"/>
    <w:rsid w:val="654E7474"/>
    <w:rsid w:val="65633FC4"/>
    <w:rsid w:val="65B4646E"/>
    <w:rsid w:val="664468F6"/>
    <w:rsid w:val="665430FD"/>
    <w:rsid w:val="667954BC"/>
    <w:rsid w:val="66D00DEB"/>
    <w:rsid w:val="670E656C"/>
    <w:rsid w:val="67290264"/>
    <w:rsid w:val="67DF4E1A"/>
    <w:rsid w:val="693757C2"/>
    <w:rsid w:val="6958027F"/>
    <w:rsid w:val="69F50851"/>
    <w:rsid w:val="6AC951B0"/>
    <w:rsid w:val="6B750B7F"/>
    <w:rsid w:val="6D104517"/>
    <w:rsid w:val="6D4661A7"/>
    <w:rsid w:val="6DA67B1C"/>
    <w:rsid w:val="6DE6435A"/>
    <w:rsid w:val="6E5637A4"/>
    <w:rsid w:val="6F38473F"/>
    <w:rsid w:val="6FB97AB0"/>
    <w:rsid w:val="6FCA1A7D"/>
    <w:rsid w:val="6FEF5A34"/>
    <w:rsid w:val="707F0FC2"/>
    <w:rsid w:val="70840AC0"/>
    <w:rsid w:val="70E20EB9"/>
    <w:rsid w:val="715C1188"/>
    <w:rsid w:val="71C172BE"/>
    <w:rsid w:val="72F444AA"/>
    <w:rsid w:val="73335F46"/>
    <w:rsid w:val="7358319E"/>
    <w:rsid w:val="73C409A0"/>
    <w:rsid w:val="742132E6"/>
    <w:rsid w:val="748E7A56"/>
    <w:rsid w:val="74AD6A1C"/>
    <w:rsid w:val="74C506C6"/>
    <w:rsid w:val="75131343"/>
    <w:rsid w:val="755373C1"/>
    <w:rsid w:val="756E675F"/>
    <w:rsid w:val="75CF5870"/>
    <w:rsid w:val="75EC3672"/>
    <w:rsid w:val="76782652"/>
    <w:rsid w:val="76BA409C"/>
    <w:rsid w:val="76F12EB9"/>
    <w:rsid w:val="770D38CC"/>
    <w:rsid w:val="772D1C64"/>
    <w:rsid w:val="77B4113A"/>
    <w:rsid w:val="77D73A68"/>
    <w:rsid w:val="77F26B5E"/>
    <w:rsid w:val="788430ED"/>
    <w:rsid w:val="7A59215F"/>
    <w:rsid w:val="7A60340E"/>
    <w:rsid w:val="7AA14940"/>
    <w:rsid w:val="7AF609C7"/>
    <w:rsid w:val="7B2F2926"/>
    <w:rsid w:val="7B4161CA"/>
    <w:rsid w:val="7B7F00DA"/>
    <w:rsid w:val="7BC82DA1"/>
    <w:rsid w:val="7C875511"/>
    <w:rsid w:val="7C9C5993"/>
    <w:rsid w:val="7CD768AF"/>
    <w:rsid w:val="7CE54B71"/>
    <w:rsid w:val="7D012ECA"/>
    <w:rsid w:val="7E0932F8"/>
    <w:rsid w:val="7E7D5C2B"/>
    <w:rsid w:val="7EF908C6"/>
    <w:rsid w:val="7F363046"/>
    <w:rsid w:val="7FDB69B6"/>
    <w:rsid w:val="ADFF7D23"/>
    <w:rsid w:val="BFEA4336"/>
    <w:rsid w:val="EDAAE639"/>
    <w:rsid w:val="F1BD671A"/>
    <w:rsid w:val="FABFE951"/>
    <w:rsid w:val="FFE32BB3"/>
    <w:rsid w:val="FFFF713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uiPriority w:val="0"/>
    <w:pPr>
      <w:keepNext/>
      <w:spacing w:line="360" w:lineRule="auto"/>
      <w:jc w:val="center"/>
      <w:outlineLvl w:val="0"/>
    </w:pPr>
    <w:rPr>
      <w:rFonts w:ascii="宋体" w:hAnsi="宋体"/>
      <w:b/>
      <w:bCs/>
      <w:sz w:val="32"/>
    </w:rPr>
  </w:style>
  <w:style w:type="paragraph" w:styleId="3">
    <w:name w:val="heading 2"/>
    <w:basedOn w:val="1"/>
    <w:next w:val="1"/>
    <w:link w:val="35"/>
    <w:qFormat/>
    <w:uiPriority w:val="0"/>
    <w:pPr>
      <w:keepNext/>
      <w:spacing w:line="360" w:lineRule="auto"/>
      <w:jc w:val="left"/>
      <w:outlineLvl w:val="1"/>
    </w:pPr>
    <w:rPr>
      <w:rFonts w:ascii="宋体"/>
      <w:b/>
      <w:sz w:val="24"/>
    </w:rPr>
  </w:style>
  <w:style w:type="paragraph" w:styleId="4">
    <w:name w:val="heading 3"/>
    <w:basedOn w:val="1"/>
    <w:next w:val="1"/>
    <w:qFormat/>
    <w:uiPriority w:val="0"/>
    <w:pPr>
      <w:widowControl/>
      <w:spacing w:line="360" w:lineRule="auto"/>
      <w:jc w:val="left"/>
      <w:outlineLvl w:val="2"/>
    </w:pPr>
    <w:rPr>
      <w:rFonts w:ascii="宋体" w:hAnsi="宋体" w:cs="宋体"/>
      <w:b/>
      <w:bCs/>
      <w:kern w:val="0"/>
      <w:sz w:val="24"/>
      <w:szCs w:val="27"/>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Document Map"/>
    <w:basedOn w:val="1"/>
    <w:unhideWhenUsed/>
    <w:qFormat/>
    <w:uiPriority w:val="0"/>
    <w:rPr>
      <w:rFonts w:ascii="宋体"/>
      <w:sz w:val="18"/>
      <w:szCs w:val="18"/>
    </w:rPr>
  </w:style>
  <w:style w:type="paragraph" w:styleId="7">
    <w:name w:val="toa heading"/>
    <w:basedOn w:val="1"/>
    <w:next w:val="1"/>
    <w:semiHidden/>
    <w:qFormat/>
    <w:uiPriority w:val="0"/>
    <w:pPr>
      <w:spacing w:before="120"/>
    </w:pPr>
    <w:rPr>
      <w:rFonts w:ascii="Arial" w:hAnsi="Arial" w:cs="Arial"/>
      <w:sz w:val="24"/>
    </w:rPr>
  </w:style>
  <w:style w:type="paragraph" w:styleId="8">
    <w:name w:val="annotation text"/>
    <w:basedOn w:val="1"/>
    <w:qFormat/>
    <w:uiPriority w:val="0"/>
    <w:pPr>
      <w:jc w:val="left"/>
    </w:pPr>
  </w:style>
  <w:style w:type="paragraph" w:styleId="9">
    <w:name w:val="Body Text 3"/>
    <w:basedOn w:val="1"/>
    <w:qFormat/>
    <w:uiPriority w:val="0"/>
    <w:rPr>
      <w:sz w:val="16"/>
      <w:szCs w:val="16"/>
    </w:rPr>
  </w:style>
  <w:style w:type="paragraph" w:styleId="10">
    <w:name w:val="Body Text"/>
    <w:basedOn w:val="1"/>
    <w:next w:val="1"/>
    <w:qFormat/>
    <w:uiPriority w:val="0"/>
    <w:pPr>
      <w:spacing w:line="500" w:lineRule="exact"/>
      <w:jc w:val="center"/>
    </w:pPr>
    <w:rPr>
      <w:rFonts w:eastAsia="华文仿宋"/>
      <w:sz w:val="24"/>
    </w:rPr>
  </w:style>
  <w:style w:type="paragraph" w:styleId="11">
    <w:name w:val="Body Text Indent"/>
    <w:basedOn w:val="1"/>
    <w:next w:val="12"/>
    <w:qFormat/>
    <w:uiPriority w:val="0"/>
    <w:pPr>
      <w:spacing w:line="480" w:lineRule="atLeast"/>
      <w:ind w:left="958" w:firstLine="240"/>
    </w:pPr>
    <w:rPr>
      <w:rFonts w:ascii="楷体_GB2312" w:eastAsia="楷体_GB2312"/>
      <w:sz w:val="24"/>
    </w:rPr>
  </w:style>
  <w:style w:type="paragraph" w:styleId="12">
    <w:name w:val="Body Text First Indent 2"/>
    <w:basedOn w:val="11"/>
    <w:qFormat/>
    <w:uiPriority w:val="0"/>
    <w:pPr>
      <w:spacing w:after="120" w:line="240" w:lineRule="auto"/>
      <w:ind w:left="420" w:leftChars="200" w:firstLine="420" w:firstLineChars="200"/>
    </w:pPr>
    <w:rPr>
      <w:rFonts w:ascii="Times New Roman" w:eastAsia="宋体"/>
      <w:kern w:val="0"/>
      <w:sz w:val="20"/>
      <w:szCs w:val="20"/>
    </w:rPr>
  </w:style>
  <w:style w:type="paragraph" w:styleId="13">
    <w:name w:val="List 2"/>
    <w:basedOn w:val="1"/>
    <w:qFormat/>
    <w:uiPriority w:val="0"/>
    <w:pPr>
      <w:widowControl/>
      <w:ind w:left="840" w:hanging="420"/>
      <w:jc w:val="left"/>
    </w:pPr>
    <w:rPr>
      <w:rFonts w:ascii="宋体"/>
      <w:kern w:val="0"/>
      <w:sz w:val="22"/>
      <w:szCs w:val="20"/>
    </w:rPr>
  </w:style>
  <w:style w:type="paragraph" w:styleId="14">
    <w:name w:val="Block Text"/>
    <w:basedOn w:val="1"/>
    <w:unhideWhenUsed/>
    <w:qFormat/>
    <w:uiPriority w:val="99"/>
    <w:pPr>
      <w:ind w:left="1440" w:leftChars="700" w:right="700" w:rightChars="700"/>
    </w:pPr>
  </w:style>
  <w:style w:type="paragraph" w:styleId="15">
    <w:name w:val="toc 5"/>
    <w:basedOn w:val="1"/>
    <w:next w:val="1"/>
    <w:semiHidden/>
    <w:qFormat/>
    <w:uiPriority w:val="0"/>
    <w:pPr>
      <w:ind w:left="840"/>
      <w:jc w:val="left"/>
    </w:pPr>
    <w:rPr>
      <w:rFonts w:ascii="Times New Roman"/>
      <w:sz w:val="18"/>
      <w:szCs w:val="18"/>
    </w:rPr>
  </w:style>
  <w:style w:type="paragraph" w:styleId="16">
    <w:name w:val="Plain Text"/>
    <w:basedOn w:val="1"/>
    <w:next w:val="1"/>
    <w:qFormat/>
    <w:uiPriority w:val="0"/>
    <w:rPr>
      <w:rFonts w:ascii="宋体" w:hAnsi="Courier New"/>
      <w:szCs w:val="21"/>
    </w:rPr>
  </w:style>
  <w:style w:type="paragraph" w:styleId="17">
    <w:name w:val="Date"/>
    <w:basedOn w:val="1"/>
    <w:next w:val="1"/>
    <w:unhideWhenUsed/>
    <w:qFormat/>
    <w:uiPriority w:val="0"/>
    <w:pPr>
      <w:ind w:left="100" w:leftChars="2500"/>
    </w:pPr>
    <w:rPr>
      <w:rFonts w:eastAsia="楷体_GB2312"/>
      <w:sz w:val="48"/>
      <w:szCs w:val="24"/>
    </w:rPr>
  </w:style>
  <w:style w:type="paragraph" w:styleId="18">
    <w:name w:val="Body Text Indent 2"/>
    <w:basedOn w:val="1"/>
    <w:qFormat/>
    <w:uiPriority w:val="0"/>
    <w:pPr>
      <w:spacing w:line="300" w:lineRule="atLeast"/>
      <w:ind w:firstLine="480"/>
    </w:pPr>
    <w:rPr>
      <w:rFonts w:ascii="楷体_GB2312" w:eastAsia="楷体_GB2312"/>
    </w:rPr>
  </w:style>
  <w:style w:type="paragraph" w:styleId="19">
    <w:name w:val="Balloon Text"/>
    <w:basedOn w:val="1"/>
    <w:qFormat/>
    <w:uiPriority w:val="0"/>
    <w:rPr>
      <w:sz w:val="18"/>
      <w:szCs w:val="18"/>
    </w:rPr>
  </w:style>
  <w:style w:type="paragraph" w:styleId="20">
    <w:name w:val="footer"/>
    <w:basedOn w:val="1"/>
    <w:qFormat/>
    <w:uiPriority w:val="99"/>
    <w:pPr>
      <w:tabs>
        <w:tab w:val="center" w:pos="4153"/>
        <w:tab w:val="right" w:pos="8306"/>
      </w:tabs>
      <w:snapToGrid w:val="0"/>
      <w:jc w:val="left"/>
    </w:pPr>
    <w:rPr>
      <w:rFonts w:eastAsia="华文仿宋"/>
      <w:sz w:val="18"/>
      <w:szCs w:val="18"/>
    </w:rPr>
  </w:style>
  <w:style w:type="paragraph" w:styleId="2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line="360" w:lineRule="auto"/>
      <w:jc w:val="left"/>
    </w:pPr>
    <w:rPr>
      <w:rFonts w:ascii="Calibri" w:hAnsi="Calibri" w:cs="Calibri"/>
      <w:bCs/>
      <w:caps/>
      <w:szCs w:val="20"/>
    </w:rPr>
  </w:style>
  <w:style w:type="paragraph" w:styleId="23">
    <w:name w:val="Body Text Indent 3"/>
    <w:basedOn w:val="1"/>
    <w:qFormat/>
    <w:uiPriority w:val="0"/>
    <w:pPr>
      <w:ind w:left="1260" w:leftChars="600"/>
    </w:pPr>
    <w:rPr>
      <w:szCs w:val="20"/>
    </w:rPr>
  </w:style>
  <w:style w:type="paragraph" w:styleId="24">
    <w:name w:val="toc 2"/>
    <w:basedOn w:val="1"/>
    <w:next w:val="1"/>
    <w:qFormat/>
    <w:uiPriority w:val="0"/>
    <w:pPr>
      <w:ind w:left="420" w:leftChars="200"/>
    </w:pPr>
  </w:style>
  <w:style w:type="paragraph" w:styleId="25">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6">
    <w:name w:val="Normal (Web)"/>
    <w:basedOn w:val="1"/>
    <w:qFormat/>
    <w:uiPriority w:val="0"/>
    <w:pPr>
      <w:widowControl/>
      <w:adjustRightInd w:val="0"/>
      <w:spacing w:beforeAutospacing="1" w:afterAutospacing="1" w:line="360" w:lineRule="atLeast"/>
      <w:jc w:val="left"/>
      <w:textAlignment w:val="baseline"/>
    </w:pPr>
    <w:rPr>
      <w:rFonts w:ascii="宋体" w:hAnsi="宋体" w:cs="宋体"/>
      <w:kern w:val="0"/>
      <w:sz w:val="24"/>
    </w:rPr>
  </w:style>
  <w:style w:type="paragraph" w:styleId="27">
    <w:name w:val="Body Text First Indent"/>
    <w:basedOn w:val="10"/>
    <w:qFormat/>
    <w:uiPriority w:val="0"/>
    <w:pPr>
      <w:tabs>
        <w:tab w:val="left" w:pos="360"/>
      </w:tabs>
      <w:spacing w:line="220" w:lineRule="exact"/>
      <w:ind w:left="360" w:hanging="360" w:firstLineChars="200"/>
      <w:jc w:val="left"/>
    </w:pPr>
    <w:rPr>
      <w:color w:val="7030A0"/>
    </w:rPr>
  </w:style>
  <w:style w:type="table" w:styleId="29">
    <w:name w:val="Table Grid"/>
    <w:basedOn w:val="2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basedOn w:val="30"/>
    <w:qFormat/>
    <w:uiPriority w:val="22"/>
    <w:rPr>
      <w:b/>
    </w:rPr>
  </w:style>
  <w:style w:type="character" w:styleId="32">
    <w:name w:val="Hyperlink"/>
    <w:basedOn w:val="30"/>
    <w:unhideWhenUsed/>
    <w:qFormat/>
    <w:uiPriority w:val="99"/>
    <w:rPr>
      <w:color w:val="0000FF" w:themeColor="hyperlink"/>
      <w:u w:val="single"/>
      <w14:textFill>
        <w14:solidFill>
          <w14:schemeClr w14:val="hlink"/>
        </w14:solidFill>
      </w14:textFill>
    </w:rPr>
  </w:style>
  <w:style w:type="character" w:customStyle="1" w:styleId="33">
    <w:name w:val="标题 1 字符"/>
    <w:basedOn w:val="30"/>
    <w:link w:val="2"/>
    <w:qFormat/>
    <w:uiPriority w:val="0"/>
    <w:rPr>
      <w:b/>
      <w:spacing w:val="20"/>
      <w:kern w:val="44"/>
      <w:sz w:val="32"/>
    </w:rPr>
  </w:style>
  <w:style w:type="character" w:customStyle="1" w:styleId="34">
    <w:name w:val="标题 1 Char"/>
    <w:qFormat/>
    <w:uiPriority w:val="0"/>
    <w:rPr>
      <w:rFonts w:ascii="宋体" w:hAnsi="宋体"/>
      <w:b/>
      <w:bCs/>
      <w:sz w:val="32"/>
    </w:rPr>
  </w:style>
  <w:style w:type="character" w:customStyle="1" w:styleId="35">
    <w:name w:val="标题 2 字符"/>
    <w:link w:val="3"/>
    <w:qFormat/>
    <w:uiPriority w:val="0"/>
    <w:rPr>
      <w:rFonts w:ascii="宋体"/>
      <w:b/>
      <w:sz w:val="24"/>
    </w:rPr>
  </w:style>
  <w:style w:type="paragraph" w:customStyle="1" w:styleId="36">
    <w:name w:val="表格文字"/>
    <w:basedOn w:val="37"/>
    <w:next w:val="1"/>
    <w:qFormat/>
    <w:uiPriority w:val="0"/>
    <w:pPr>
      <w:adjustRightInd w:val="0"/>
      <w:spacing w:line="420" w:lineRule="atLeast"/>
      <w:jc w:val="left"/>
      <w:textAlignment w:val="baseline"/>
    </w:pPr>
    <w:rPr>
      <w:kern w:val="0"/>
    </w:rPr>
  </w:style>
  <w:style w:type="paragraph" w:customStyle="1" w:styleId="37">
    <w:name w:val="表格文字图表文字"/>
    <w:basedOn w:val="1"/>
    <w:qFormat/>
    <w:uiPriority w:val="0"/>
    <w:pPr>
      <w:snapToGrid w:val="0"/>
      <w:ind w:firstLine="200" w:firstLineChars="200"/>
      <w:jc w:val="center"/>
    </w:pPr>
    <w:rPr>
      <w:color w:val="7030A0"/>
      <w:szCs w:val="20"/>
    </w:rPr>
  </w:style>
  <w:style w:type="paragraph" w:styleId="38">
    <w:name w:val="List Paragraph"/>
    <w:basedOn w:val="1"/>
    <w:qFormat/>
    <w:uiPriority w:val="0"/>
    <w:pPr>
      <w:ind w:firstLine="420" w:firstLineChars="200"/>
    </w:pPr>
    <w:rPr>
      <w:rFonts w:ascii="Calibri" w:hAnsi="Calibri"/>
      <w:szCs w:val="22"/>
    </w:rPr>
  </w:style>
  <w:style w:type="paragraph" w:customStyle="1" w:styleId="39">
    <w:name w:val="Table Paragraph"/>
    <w:basedOn w:val="1"/>
    <w:qFormat/>
    <w:uiPriority w:val="1"/>
    <w:rPr>
      <w:rFonts w:ascii="宋体" w:hAnsi="宋体" w:cs="宋体"/>
      <w:lang w:val="zh-CN" w:bidi="zh-CN"/>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41">
    <w:name w:val="实施方案正文"/>
    <w:basedOn w:val="1"/>
    <w:qFormat/>
    <w:uiPriority w:val="0"/>
    <w:pPr>
      <w:ind w:firstLine="566" w:firstLineChars="202"/>
    </w:pPr>
    <w:rPr>
      <w:kern w:val="0"/>
      <w:szCs w:val="20"/>
    </w:rPr>
  </w:style>
  <w:style w:type="character" w:customStyle="1" w:styleId="42">
    <w:name w:val="grame"/>
    <w:basedOn w:val="30"/>
    <w:qFormat/>
    <w:uiPriority w:val="0"/>
  </w:style>
  <w:style w:type="paragraph" w:customStyle="1" w:styleId="43">
    <w:name w:val="WPSOffice手动目录 1"/>
    <w:qFormat/>
    <w:uiPriority w:val="0"/>
    <w:rPr>
      <w:rFonts w:ascii="Times New Roman" w:hAnsi="Times New Roman" w:eastAsia="宋体" w:cs="Times New Roman"/>
      <w:lang w:val="en-US" w:eastAsia="zh-CN" w:bidi="ar-SA"/>
    </w:rPr>
  </w:style>
  <w:style w:type="paragraph" w:customStyle="1" w:styleId="44">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45">
    <w:name w:val="font41"/>
    <w:basedOn w:val="30"/>
    <w:qFormat/>
    <w:uiPriority w:val="0"/>
    <w:rPr>
      <w:rFonts w:hint="eastAsia" w:ascii="宋体" w:hAnsi="宋体" w:eastAsia="宋体" w:cs="宋体"/>
      <w:color w:val="000000"/>
      <w:sz w:val="24"/>
      <w:szCs w:val="24"/>
      <w:u w:val="none"/>
    </w:rPr>
  </w:style>
  <w:style w:type="character" w:customStyle="1" w:styleId="46">
    <w:name w:val="font31"/>
    <w:basedOn w:val="30"/>
    <w:qFormat/>
    <w:uiPriority w:val="0"/>
    <w:rPr>
      <w:rFonts w:hint="eastAsia" w:ascii="宋体" w:hAnsi="宋体" w:eastAsia="宋体" w:cs="宋体"/>
      <w:color w:val="000000"/>
      <w:sz w:val="24"/>
      <w:szCs w:val="24"/>
      <w:u w:val="none"/>
    </w:rPr>
  </w:style>
  <w:style w:type="character" w:customStyle="1" w:styleId="47">
    <w:name w:val="font51"/>
    <w:basedOn w:val="30"/>
    <w:qFormat/>
    <w:uiPriority w:val="0"/>
    <w:rPr>
      <w:rFonts w:hint="eastAsia" w:ascii="宋体" w:hAnsi="宋体" w:eastAsia="宋体" w:cs="宋体"/>
      <w:b/>
      <w:bCs/>
      <w:color w:val="000000"/>
      <w:sz w:val="18"/>
      <w:szCs w:val="18"/>
      <w:u w:val="none"/>
    </w:rPr>
  </w:style>
  <w:style w:type="character" w:customStyle="1" w:styleId="48">
    <w:name w:val="font12"/>
    <w:basedOn w:val="30"/>
    <w:qFormat/>
    <w:uiPriority w:val="0"/>
    <w:rPr>
      <w:rFonts w:hint="eastAsia" w:ascii="宋体" w:hAnsi="宋体" w:eastAsia="宋体" w:cs="宋体"/>
      <w:b/>
      <w:bCs/>
      <w:color w:val="000000"/>
      <w:sz w:val="20"/>
      <w:szCs w:val="20"/>
      <w:u w:val="none"/>
    </w:rPr>
  </w:style>
  <w:style w:type="character" w:customStyle="1" w:styleId="49">
    <w:name w:val="font101"/>
    <w:basedOn w:val="30"/>
    <w:qFormat/>
    <w:uiPriority w:val="0"/>
    <w:rPr>
      <w:rFonts w:hint="eastAsia" w:ascii="宋体" w:hAnsi="宋体" w:eastAsia="宋体" w:cs="宋体"/>
      <w:b/>
      <w:bCs/>
      <w:color w:val="FF0000"/>
      <w:sz w:val="18"/>
      <w:szCs w:val="18"/>
      <w:u w:val="none"/>
    </w:rPr>
  </w:style>
  <w:style w:type="character" w:customStyle="1" w:styleId="50">
    <w:name w:val="font111"/>
    <w:basedOn w:val="30"/>
    <w:qFormat/>
    <w:uiPriority w:val="0"/>
    <w:rPr>
      <w:rFonts w:hint="eastAsia" w:ascii="宋体" w:hAnsi="宋体" w:eastAsia="宋体" w:cs="宋体"/>
      <w:b/>
      <w:bCs/>
      <w:color w:val="000000"/>
      <w:sz w:val="18"/>
      <w:szCs w:val="18"/>
      <w:u w:val="none"/>
    </w:rPr>
  </w:style>
  <w:style w:type="paragraph" w:customStyle="1" w:styleId="51">
    <w:name w:val="Table Text"/>
    <w:basedOn w:val="1"/>
    <w:semiHidden/>
    <w:qFormat/>
    <w:uiPriority w:val="0"/>
    <w:rPr>
      <w:rFonts w:ascii="微软雅黑" w:hAnsi="微软雅黑" w:eastAsia="微软雅黑" w:cs="微软雅黑"/>
      <w:sz w:val="28"/>
      <w:szCs w:val="28"/>
      <w:lang w:val="en-US" w:eastAsia="en-US" w:bidi="ar-SA"/>
    </w:rPr>
  </w:style>
  <w:style w:type="table" w:customStyle="1" w:styleId="52">
    <w:name w:val="Table Normal"/>
    <w:semiHidden/>
    <w:unhideWhenUsed/>
    <w:qFormat/>
    <w:uiPriority w:val="0"/>
    <w:tblPr>
      <w:tblCellMar>
        <w:top w:w="0" w:type="dxa"/>
        <w:left w:w="0" w:type="dxa"/>
        <w:bottom w:w="0" w:type="dxa"/>
        <w:right w:w="0" w:type="dxa"/>
      </w:tblCellMar>
    </w:tblPr>
  </w:style>
  <w:style w:type="paragraph" w:customStyle="1" w:styleId="5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4">
    <w:name w:val="正文1"/>
    <w:next w:val="55"/>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55">
    <w:name w:val="正文缩进1"/>
    <w:basedOn w:val="54"/>
    <w:qFormat/>
    <w:uiPriority w:val="0"/>
    <w:pPr>
      <w:widowControl/>
      <w:ind w:firstLine="420"/>
      <w:jc w:val="left"/>
    </w:pPr>
    <w:rPr>
      <w:kern w:val="0"/>
      <w:sz w:val="20"/>
      <w:szCs w:val="20"/>
    </w:rPr>
  </w:style>
  <w:style w:type="paragraph" w:customStyle="1" w:styleId="56">
    <w:name w:val="页脚1"/>
    <w:basedOn w:val="54"/>
    <w:qFormat/>
    <w:uiPriority w:val="0"/>
    <w:pPr>
      <w:tabs>
        <w:tab w:val="center" w:pos="4153"/>
        <w:tab w:val="right" w:pos="8306"/>
      </w:tabs>
      <w:snapToGrid w:val="0"/>
      <w:jc w:val="left"/>
    </w:pPr>
    <w:rPr>
      <w:sz w:val="18"/>
      <w:szCs w:val="18"/>
    </w:rPr>
  </w:style>
  <w:style w:type="paragraph" w:customStyle="1" w:styleId="57">
    <w:name w:val="列出段落1"/>
    <w:basedOn w:val="1"/>
    <w:qFormat/>
    <w:uiPriority w:val="0"/>
    <w:pPr>
      <w:ind w:firstLine="420" w:firstLineChars="200"/>
    </w:pPr>
    <w:rPr>
      <w:rFonts w:ascii="Calibri" w:hAnsi="Calibri" w:eastAsia="宋体"/>
      <w:szCs w:val="22"/>
    </w:rPr>
  </w:style>
  <w:style w:type="character" w:customStyle="1" w:styleId="58">
    <w:name w:val="font01"/>
    <w:basedOn w:val="30"/>
    <w:qFormat/>
    <w:uiPriority w:val="0"/>
    <w:rPr>
      <w:rFonts w:hint="eastAsia" w:ascii="宋体" w:hAnsi="宋体" w:eastAsia="宋体" w:cs="宋体"/>
      <w:color w:val="000000"/>
      <w:sz w:val="22"/>
      <w:szCs w:val="22"/>
      <w:u w:val="none"/>
    </w:rPr>
  </w:style>
  <w:style w:type="character" w:customStyle="1" w:styleId="59">
    <w:name w:val="font61"/>
    <w:basedOn w:val="30"/>
    <w:qFormat/>
    <w:uiPriority w:val="0"/>
    <w:rPr>
      <w:rFonts w:ascii="方正书宋_GBK" w:hAnsi="方正书宋_GBK" w:eastAsia="方正书宋_GBK" w:cs="方正书宋_GBK"/>
      <w:color w:val="FF0000"/>
      <w:sz w:val="20"/>
      <w:szCs w:val="20"/>
      <w:u w:val="none"/>
    </w:rPr>
  </w:style>
  <w:style w:type="character" w:customStyle="1" w:styleId="60">
    <w:name w:val="font21"/>
    <w:basedOn w:val="30"/>
    <w:qFormat/>
    <w:uiPriority w:val="0"/>
    <w:rPr>
      <w:rFonts w:hint="eastAsia" w:ascii="宋体" w:hAnsi="宋体" w:eastAsia="宋体" w:cs="宋体"/>
      <w:color w:val="FF0000"/>
      <w:sz w:val="20"/>
      <w:szCs w:val="20"/>
      <w:u w:val="none"/>
    </w:rPr>
  </w:style>
  <w:style w:type="character" w:customStyle="1" w:styleId="61">
    <w:name w:val="font71"/>
    <w:basedOn w:val="30"/>
    <w:qFormat/>
    <w:uiPriority w:val="0"/>
    <w:rPr>
      <w:rFonts w:hint="eastAsia" w:ascii="宋体" w:hAnsi="宋体" w:eastAsia="宋体" w:cs="宋体"/>
      <w:color w:val="FF0000"/>
      <w:sz w:val="20"/>
      <w:szCs w:val="20"/>
      <w:u w:val="none"/>
    </w:rPr>
  </w:style>
  <w:style w:type="character" w:customStyle="1" w:styleId="62">
    <w:name w:val="font81"/>
    <w:basedOn w:val="30"/>
    <w:qFormat/>
    <w:uiPriority w:val="0"/>
    <w:rPr>
      <w:rFonts w:hint="eastAsia" w:ascii="宋体" w:hAnsi="宋体" w:eastAsia="宋体" w:cs="宋体"/>
      <w:color w:val="008000"/>
      <w:sz w:val="20"/>
      <w:szCs w:val="20"/>
      <w:u w:val="none"/>
    </w:rPr>
  </w:style>
  <w:style w:type="character" w:customStyle="1" w:styleId="63">
    <w:name w:val="font91"/>
    <w:basedOn w:val="30"/>
    <w:qFormat/>
    <w:uiPriority w:val="0"/>
    <w:rPr>
      <w:rFonts w:hint="eastAsia" w:ascii="宋体" w:hAnsi="宋体" w:eastAsia="宋体" w:cs="宋体"/>
      <w:color w:val="FF0000"/>
      <w:sz w:val="24"/>
      <w:szCs w:val="24"/>
      <w:u w:val="none"/>
    </w:rPr>
  </w:style>
  <w:style w:type="paragraph" w:customStyle="1" w:styleId="64">
    <w:name w:val="+正文"/>
    <w:basedOn w:val="1"/>
    <w:qFormat/>
    <w:uiPriority w:val="0"/>
    <w:pPr>
      <w:autoSpaceDE w:val="0"/>
      <w:autoSpaceDN w:val="0"/>
      <w:adjustRightInd w:val="0"/>
      <w:spacing w:line="360" w:lineRule="auto"/>
      <w:ind w:firstLine="200" w:firstLineChars="200"/>
    </w:pPr>
    <w:rPr>
      <w:rFonts w:ascii="Arial" w:hAnsi="Arial"/>
      <w:sz w:val="24"/>
      <w:szCs w:val="28"/>
    </w:rPr>
  </w:style>
  <w:style w:type="paragraph" w:customStyle="1" w:styleId="65">
    <w:name w:val="正文（标准）"/>
    <w:basedOn w:val="1"/>
    <w:next w:val="1"/>
    <w:semiHidden/>
    <w:qFormat/>
    <w:uiPriority w:val="0"/>
    <w:pPr>
      <w:ind w:firstLine="525"/>
    </w:pPr>
    <w:rPr>
      <w:rFonts w:ascii="宋体" w:hAnsi="宋体"/>
    </w:rPr>
  </w:style>
  <w:style w:type="paragraph" w:customStyle="1" w:styleId="66">
    <w:name w:val="无间隔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8">
    <w:name w:val="font11"/>
    <w:basedOn w:val="30"/>
    <w:qFormat/>
    <w:uiPriority w:val="0"/>
    <w:rPr>
      <w:rFonts w:hint="eastAsia" w:ascii="方正仿宋_GBK" w:hAnsi="方正仿宋_GBK" w:eastAsia="方正仿宋_GBK" w:cs="方正仿宋_GBK"/>
      <w:color w:val="000000"/>
      <w:sz w:val="22"/>
      <w:szCs w:val="22"/>
      <w:u w:val="none"/>
    </w:rPr>
  </w:style>
  <w:style w:type="character" w:customStyle="1" w:styleId="69">
    <w:name w:val="font121"/>
    <w:basedOn w:val="30"/>
    <w:qFormat/>
    <w:uiPriority w:val="0"/>
    <w:rPr>
      <w:rFonts w:hint="eastAsia" w:ascii="方正仿宋_GBK" w:hAnsi="方正仿宋_GBK" w:eastAsia="方正仿宋_GBK" w:cs="方正仿宋_GBK"/>
      <w:color w:val="000000"/>
      <w:sz w:val="24"/>
      <w:szCs w:val="24"/>
      <w:u w:val="single"/>
    </w:rPr>
  </w:style>
  <w:style w:type="character" w:customStyle="1" w:styleId="70">
    <w:name w:val="font131"/>
    <w:basedOn w:val="30"/>
    <w:qFormat/>
    <w:uiPriority w:val="0"/>
    <w:rPr>
      <w:rFonts w:hint="default" w:ascii="Times New Roman" w:hAnsi="Times New Roman" w:cs="Times New Roman"/>
      <w:color w:val="000000"/>
      <w:sz w:val="24"/>
      <w:szCs w:val="24"/>
      <w:u w:val="single"/>
    </w:rPr>
  </w:style>
  <w:style w:type="character" w:customStyle="1" w:styleId="71">
    <w:name w:val="font112"/>
    <w:basedOn w:val="30"/>
    <w:qFormat/>
    <w:uiPriority w:val="0"/>
    <w:rPr>
      <w:rFonts w:hint="default" w:ascii="Times New Roman" w:hAnsi="Times New Roman" w:cs="Times New Roman"/>
      <w:color w:val="000000"/>
      <w:sz w:val="24"/>
      <w:szCs w:val="24"/>
      <w:u w:val="none"/>
    </w:rPr>
  </w:style>
  <w:style w:type="character" w:customStyle="1" w:styleId="72">
    <w:name w:val="font141"/>
    <w:basedOn w:val="30"/>
    <w:qFormat/>
    <w:uiPriority w:val="0"/>
    <w:rPr>
      <w:rFonts w:hint="eastAsia" w:ascii="方正仿宋_GBK" w:hAnsi="方正仿宋_GBK" w:eastAsia="方正仿宋_GBK" w:cs="方正仿宋_GBK"/>
      <w:b/>
      <w:bCs/>
      <w:color w:val="FFFFFF"/>
      <w:sz w:val="24"/>
      <w:szCs w:val="24"/>
      <w:u w:val="none"/>
    </w:rPr>
  </w:style>
  <w:style w:type="character" w:customStyle="1" w:styleId="73">
    <w:name w:val="font151"/>
    <w:basedOn w:val="30"/>
    <w:qFormat/>
    <w:uiPriority w:val="0"/>
    <w:rPr>
      <w:rFonts w:hint="eastAsia" w:ascii="宋体" w:hAnsi="宋体" w:eastAsia="宋体" w:cs="宋体"/>
      <w:color w:val="333333"/>
      <w:sz w:val="24"/>
      <w:szCs w:val="24"/>
      <w:u w:val="none"/>
    </w:rPr>
  </w:style>
  <w:style w:type="character" w:customStyle="1" w:styleId="74">
    <w:name w:val="font161"/>
    <w:basedOn w:val="30"/>
    <w:qFormat/>
    <w:uiPriority w:val="0"/>
    <w:rPr>
      <w:rFonts w:hint="eastAsia" w:ascii="方正仿宋_GBK" w:hAnsi="方正仿宋_GBK" w:eastAsia="方正仿宋_GBK" w:cs="方正仿宋_GBK"/>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8d4e54f9-07e9-4d2f-ae96-4a0b7238622e</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2FDB9049</paraID>
      <start xmlns="http://schemas.wps.cn/vas-ai-hub/contract-review">343</start>
      <end xmlns="http://schemas.wps.cn/vas-ai-hub/contract-review">347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a3e9faea-3b9d-4cef-820f-c8289b6d40bf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79CF07FB</paraID>
      <start xmlns="http://schemas.wps.cn/vas-ai-hub/contract-review">175</start>
      <end xmlns="http://schemas.wps.cn/vas-ai-hub/contract-review">176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7969b437-76bf-4b08-aa1a-fc3f6c06be1b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79CF07FB</paraID>
      <start xmlns="http://schemas.wps.cn/vas-ai-hub/contract-review">180</start>
      <end xmlns="http://schemas.wps.cn/vas-ai-hub/contract-review">181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33ae84cc-7960-4f8d-bde1-d2ebd6cc42e9</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
      <paraID xmlns="http://schemas.wps.cn/vas-ai-hub/contract-review">4B4DD2EC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74ea3fc8-4469-4d95-a2ed-0cb0910de4b4</errorID>
      <errorWord xmlns="http://schemas.wps.cn/vas-ai-hub/contract-review">日至2026年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日起至2026年</item>
      </candidateList>
      <explain xmlns="http://schemas.wps.cn/vas-ai-hub/contract-review"/>
      <paraID xmlns="http://schemas.wps.cn/vas-ai-hub/contract-review">2CA35C8E</paraID>
      <start xmlns="http://schemas.wps.cn/vas-ai-hub/contract-review">13</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eb81b341-7016-465d-a1b9-a28a2c464187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3DD1AAA8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1e1e165c-b2f5-4023-b113-57fcba8045b4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3DD1AAA8</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0b2b91ea-aed5-40c6-898c-a54f78c43200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E859D8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4184bad4-0c60-4ebf-8c43-59adf8eeaacf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E859D8</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a0c89169-d465-4208-8330-afb90ebfb015</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7863E5A7</paraID>
      <start xmlns="http://schemas.wps.cn/vas-ai-hub/contract-review">347</start>
      <end xmlns="http://schemas.wps.cn/vas-ai-hub/contract-review">351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6812e087-1a3e-41b5-8f14-cadcbe1034f9</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1BF119B3</paraID>
      <start xmlns="http://schemas.wps.cn/vas-ai-hub/contract-review">67</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585a7bd4-4de6-42c3-944e-0c5193adfc5c</errorID>
      <errorWord xmlns="http://schemas.wps.cn/vas-ai-hub/contract-review">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超过</item>
      </candidateList>
      <explain xmlns="http://schemas.wps.cn/vas-ai-hub/contract-review"/>
      <paraID xmlns="http://schemas.wps.cn/vas-ai-hub/contract-review">14980E18</paraID>
      <start xmlns="http://schemas.wps.cn/vas-ai-hub/contract-review">46</start>
      <end xmlns="http://schemas.wps.cn/vas-ai-hub/contract-review">48</end>
      <status xmlns="http://schemas.wps.cn/vas-ai-hub/contract-review">modified</status>
      <modifiedWord xmlns="http://schemas.wps.cn/vas-ai-hub/contract-review">超过</modifiedWord>
      <trackRevisions xmlns="http://schemas.wps.cn/vas-ai-hub/contract-review">false</trackRevisions>
    </reviewItem>
    <reviewItem xmlns="http://schemas.wps.cn/vas-ai-hub/contract-review">
      <errorID xmlns="http://schemas.wps.cn/vas-ai-hub/contract-review">6e12579b-49f7-4939-8b23-714d0f2f295b</errorID>
      <errorWord xmlns="http://schemas.wps.cn/vas-ai-hub/contract-review">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两个</item>
      </candidateList>
      <explain xmlns="http://schemas.wps.cn/vas-ai-hub/contract-review"/>
      <paraID xmlns="http://schemas.wps.cn/vas-ai-hub/contract-review">2743689C</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7e974e94-6adb-4221-9c93-21a8fc807b87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、生</item>
      </candidateList>
      <explain xmlns="http://schemas.wps.cn/vas-ai-hub/contract-review"/>
      <paraID xmlns="http://schemas.wps.cn/vas-ai-hub/contract-review">2A13C5D8</paraID>
      <start xmlns="http://schemas.wps.cn/vas-ai-hub/contract-review">41</start>
      <end xmlns="http://schemas.wps.cn/vas-ai-hub/contract-review">43</end>
      <status xmlns="http://schemas.wps.cn/vas-ai-hub/contract-review">modified</status>
      <modifiedWord xmlns="http://schemas.wps.cn/vas-ai-hub/contract-review">、生</modifiedWord>
      <trackRevisions xmlns="http://schemas.wps.cn/vas-ai-hub/contract-review">false</trackRevisions>
    </reviewItem>
    <reviewItem xmlns="http://schemas.wps.cn/vas-ai-hub/contract-review">
      <errorID xmlns="http://schemas.wps.cn/vas-ai-hub/contract-review">8d2b931f-a387-4ca2-9894-bfff001061c2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25F9A01F</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fb5df2a1-9709-4960-b86d-91c43a228a55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25F9A01F</paraID>
      <start xmlns="http://schemas.wps.cn/vas-ai-hub/contract-review">157</start>
      <end xmlns="http://schemas.wps.cn/vas-ai-hub/contract-review">158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e7750ca1-c10e-41b1-86fb-7411055de517</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
      <paraID xmlns="http://schemas.wps.cn/vas-ai-hub/contract-review"> F5B717B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ca0ee6ee-27b9-4c0a-b819-aa36d7352648</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457D3914</paraID>
      <start xmlns="http://schemas.wps.cn/vas-ai-hub/contract-review">172</start>
      <end xmlns="http://schemas.wps.cn/vas-ai-hub/contract-review">176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d5f3e0c6-6a97-4276-925f-ae752a5c1456</errorID>
      <errorWord xmlns="http://schemas.wps.cn/vas-ai-hub/contract-review">每有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每</item>
      </candidateList>
      <explain xmlns="http://schemas.wps.cn/vas-ai-hub/contract-review"/>
      <paraID xmlns="http://schemas.wps.cn/vas-ai-hub/contract-review"> 354ECE5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e4a34a6b-f55e-43a1-bb82-0ed48940188d</errorID>
      <errorWord xmlns="http://schemas.wps.cn/vas-ai-hub/contract-review">每有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没有</item>
      </candidateList>
      <explain xmlns="http://schemas.wps.cn/vas-ai-hub/contract-review"/>
      <paraID xmlns="http://schemas.wps.cn/vas-ai-hub/contract-review">301BD88A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89b7ac29-7247-4793-88f2-a255cb85838f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7831802E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c36cc947-1222-49c3-a3ed-0409c073ff98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7831802E</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b5efc482-6f40-4347-b5f6-b0fb342ef508</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71740B5D</paraID>
      <start xmlns="http://schemas.wps.cn/vas-ai-hub/contract-review">345</start>
      <end xmlns="http://schemas.wps.cn/vas-ai-hub/contract-review">349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f0a38d90-5dda-4709-9f72-d1574f4f2b28</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67C4B169</paraID>
      <start xmlns="http://schemas.wps.cn/vas-ai-hub/contract-review">67</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8951d6df-0114-4bee-bed0-617bb7157c00</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1933E46E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fef0200d-6d19-451e-b482-bc6f72c403fe</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696240CF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b07212e5-ea1a-478d-8898-372f634ddf4e</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895DCCA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ba8a631b-8e36-4b90-96b7-c7f23485aa17</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59A623F2</paraID>
      <start xmlns="http://schemas.wps.cn/vas-ai-hub/contract-review">95</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89bf7e0f-cfc4-455d-afae-894f581c72f3</errorID>
      <errorWord xmlns="http://schemas.wps.cn/vas-ai-hub/contract-review">30前完成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30日前完成</item>
      </candidateList>
      <explain xmlns="http://schemas.wps.cn/vas-ai-hub/contract-review"/>
      <paraID xmlns="http://schemas.wps.cn/vas-ai-hub/contract-review">138DC1F9</paraID>
      <start xmlns="http://schemas.wps.cn/vas-ai-hub/contract-review">22</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c33ab8b6-3d79-4db8-bdbe-3818f3648162</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138DC1F9</paraID>
      <start xmlns="http://schemas.wps.cn/vas-ai-hub/contract-review">242</start>
      <end xmlns="http://schemas.wps.cn/vas-ai-hub/contract-review">246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fdec13f8-e8b4-4daf-abae-da018b7c080b</errorID>
      <errorWord xmlns="http://schemas.wps.cn/vas-ai-hub/contract-review">30前完成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30日前完成</item>
      </candidateList>
      <explain xmlns="http://schemas.wps.cn/vas-ai-hub/contract-review"/>
      <paraID xmlns="http://schemas.wps.cn/vas-ai-hub/contract-review">5F3943FF</paraID>
      <start xmlns="http://schemas.wps.cn/vas-ai-hub/contract-review">55</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a86ec0be-2033-4778-9bf4-a519cd2558e2</errorID>
      <errorWord xmlns="http://schemas.wps.cn/vas-ai-hub/contract-review">30前完成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30日前完成</item>
      </candidateList>
      <explain xmlns="http://schemas.wps.cn/vas-ai-hub/contract-review"/>
      <paraID xmlns="http://schemas.wps.cn/vas-ai-hub/contract-review"> DD90225</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8da1214d-024b-470d-8650-a22e8192faab</errorID>
      <errorWord xmlns="http://schemas.wps.cn/vas-ai-hub/contract-review">30前完成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30日前完成</item>
      </candidateList>
      <explain xmlns="http://schemas.wps.cn/vas-ai-hub/contract-review"/>
      <paraID xmlns="http://schemas.wps.cn/vas-ai-hub/contract-review">7BE1F43A</paraID>
      <start xmlns="http://schemas.wps.cn/vas-ai-hub/contract-review">22</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c037ee4b-c0c8-496d-8a83-2be89f88242c</errorID>
      <errorWord xmlns="http://schemas.wps.cn/vas-ai-hub/contract-review">30前完成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30日前完成</item>
      </candidateList>
      <explain xmlns="http://schemas.wps.cn/vas-ai-hub/contract-review"/>
      <paraID xmlns="http://schemas.wps.cn/vas-ai-hub/contract-review"> B97EB74</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34ca8346-4ad0-4f6c-9908-c579331afbde</errorID>
      <errorWord xmlns="http://schemas.wps.cn/vas-ai-hub/contract-review">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名</item>
      </candidateList>
      <explain xmlns="http://schemas.wps.cn/vas-ai-hub/contract-review">存在发音相近字词的误用。</explain>
      <paraID xmlns="http://schemas.wps.cn/vas-ai-hub/contract-review">3E08651D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93f07e5d-223c-45b0-9d58-69b024d28d9a</errorID>
      <errorWord xmlns="http://schemas.wps.cn/vas-ai-hub/contract-review">入厕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如厕</item>
      </candidateList>
      <explain xmlns="http://schemas.wps.cn/vas-ai-hub/contract-review"/>
      <paraID xmlns="http://schemas.wps.cn/vas-ai-hub/contract-review">  C623B2</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c1d95257-080f-4d00-a7a9-91444f023165</errorID>
      <errorWord xmlns="http://schemas.wps.cn/vas-ai-hub/contract-review">30前完成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30日前完成</item>
      </candidateList>
      <explain xmlns="http://schemas.wps.cn/vas-ai-hub/contract-review"/>
      <paraID xmlns="http://schemas.wps.cn/vas-ai-hub/contract-review"> 26ECC99</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2271dc06-24f8-4f0a-993c-5aeb9bb591ee</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 CD62026</paraID>
      <start xmlns="http://schemas.wps.cn/vas-ai-hub/contract-review">80</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0472da97-dbc0-4a61-b35b-c853b70be333</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536D5C31</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77fa1473-8ba7-4271-847c-9640549fe1e0</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 DE38140</paraID>
      <start xmlns="http://schemas.wps.cn/vas-ai-hub/contract-review">12</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ad6a7a1a-7b28-494d-a367-acc2dc251f55</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56A9E504</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800b9e21-7ee3-4d64-ab38-8646e7704405</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3C76A264</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5b55815e-69d8-434c-89d9-8686f284582a</errorID>
      <errorWord xmlns="http://schemas.wps.cn/vas-ai-hub/contract-review">事故等事故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事故等</item>
      </candidateList>
      <explain xmlns="http://schemas.wps.cn/vas-ai-hub/contract-review"/>
      <paraID xmlns="http://schemas.wps.cn/vas-ai-hub/contract-review">32157127</paraID>
      <start xmlns="http://schemas.wps.cn/vas-ai-hub/contract-review">48</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05b98b6d-f65c-4e2a-b3dc-8c3e1c826e66</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其间</item>
      </candidateList>
      <explain xmlns="http://schemas.wps.cn/vas-ai-hub/contract-review"/>
      <paraID xmlns="http://schemas.wps.cn/vas-ai-hub/contract-review"> E099B6B</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8e12e7b2-8ddb-4412-a002-c11ba63381a8</errorID>
      <errorWord xmlns="http://schemas.wps.cn/vas-ai-hub/contract-review">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item>
      </candidateList>
      <explain xmlns="http://schemas.wps.cn/vas-ai-hub/contract-review"/>
      <paraID xmlns="http://schemas.wps.cn/vas-ai-hub/contract-review">558947DF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aee33b3f-f814-497b-97ad-dd758b92b97a</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558947DF</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a4f71941-d46b-433a-b5e1-2322efef38bd</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790791B2</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c2227a1a-7e01-4fa7-ab06-f723b0b08db8</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 554A555</paraID>
      <start xmlns="http://schemas.wps.cn/vas-ai-hub/contract-review">14</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896de7c6-01ab-4f2c-9933-56cc2c10589d</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1E66E740</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6a6d6e23-5ec5-4c71-9bcd-c2a641ceaec2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45CF6C2D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85b2463f-8df9-47bd-ac5f-2a95372dfea2</errorID>
      <errorWord xmlns="http://schemas.wps.cn/vas-ai-hub/contract-review">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两个</item>
      </candidateList>
      <explain xmlns="http://schemas.wps.cn/vas-ai-hub/contract-review"/>
      <paraID xmlns="http://schemas.wps.cn/vas-ai-hub/contract-review">356E2963</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67c986f3-fb23-4a0c-91f8-c22a6b5e9da8</errorID>
      <errorWord xmlns="http://schemas.wps.cn/vas-ai-hub/contract-review">入厕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如厕</item>
      </candidateList>
      <explain xmlns="http://schemas.wps.cn/vas-ai-hub/contract-review">存在发音相同字词的误用。</explain>
      <paraID xmlns="http://schemas.wps.cn/vas-ai-hub/contract-review">1ED79548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12c1eb23-e104-423a-bdd6-704b94342356</errorID>
      <errorWord xmlns="http://schemas.wps.cn/vas-ai-hub/contract-review">车箱</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车厢</item>
      </candidateList>
      <explain xmlns="http://schemas.wps.cn/vas-ai-hub/contract-review">词汇[车箱]的规范词形写作[车厢]。</explain>
      <paraID xmlns="http://schemas.wps.cn/vas-ai-hub/contract-review">4C5A618B</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0195fa58-63ef-4ce5-ba04-82f2a98c5718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5BACE71F</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604a1127-963e-42e8-8052-2b3579f3d4fd</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或加</item>
      </candidateList>
      <explain xmlns="http://schemas.wps.cn/vas-ai-hub/contract-review"/>
      <paraID xmlns="http://schemas.wps.cn/vas-ai-hub/contract-review">7D98D732</paraID>
      <start xmlns="http://schemas.wps.cn/vas-ai-hub/contract-review">27</start>
      <end xmlns="http://schemas.wps.cn/vas-ai-hub/contract-review">29</end>
      <status xmlns="http://schemas.wps.cn/vas-ai-hub/contract-review">modified</status>
      <modifiedWord xmlns="http://schemas.wps.cn/vas-ai-hub/contract-review">或加</modifiedWord>
      <trackRevisions xmlns="http://schemas.wps.cn/vas-ai-hub/contract-review">false</trackRevisions>
    </reviewItem>
    <reviewItem xmlns="http://schemas.wps.cn/vas-ai-hub/contract-review">
      <errorID xmlns="http://schemas.wps.cn/vas-ai-hub/contract-review">500fdbe4-e243-4ef8-8995-4b4cc6f23ac9</errorID>
      <errorWord xmlns="http://schemas.wps.cn/vas-ai-hub/contract-review">雨水篦子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雨水箅子</item>
      </candidateList>
      <explain xmlns="http://schemas.wps.cn/vas-ai-hub/contract-review"/>
      <paraID xmlns="http://schemas.wps.cn/vas-ai-hub/contract-review">7CAD7534</paraID>
      <start xmlns="http://schemas.wps.cn/vas-ai-hub/contract-review">67</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065ec3-b52c-4c7b-afcf-69b70e3ebc7c}">
  <ds:schemaRefs/>
</ds:datastoreItem>
</file>

<file path=docProps/app.xml><?xml version="1.0" encoding="utf-8"?>
<Properties xmlns="http://schemas.openxmlformats.org/officeDocument/2006/extended-properties" xmlns:vt="http://schemas.openxmlformats.org/officeDocument/2006/docPropsVTypes">
  <Template>Normal</Template>
  <Pages>127</Pages>
  <Words>27384</Words>
  <Characters>29418</Characters>
  <Lines>72</Lines>
  <Paragraphs>86</Paragraphs>
  <TotalTime>134</TotalTime>
  <ScaleCrop>false</ScaleCrop>
  <LinksUpToDate>false</LinksUpToDate>
  <CharactersWithSpaces>29817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2022-03-24T00:43:00Z</dcterms:created>
  <dc:creator>YH</dc:creator>
  <cp:lastModifiedBy>&amp;信@仰~</cp:lastModifiedBy>
  <cp:lastPrinted>2024-07-02T01:30:00Z</cp:lastPrinted>
  <dcterms:modified xsi:type="dcterms:W3CDTF">2026-09-08T09:14:56Z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20250B84FAC7CBF3DD809E6A3018569B_43</vt:lpwstr>
  </property>
  <property fmtid="{D5CDD505-2E9C-101B-9397-08002B2CF9AE}" pid="3" name="KSOProductBuildVer">
    <vt:lpwstr>2052-12.1.0.28043</vt:lpwstr>
  </property>
  <property fmtid="{D5CDD505-2E9C-101B-9397-08002B2CF9AE}" pid="4" name="KSOTemplateDocerSaveRecord">
    <vt:lpwstr>eyJoZGlkIjoiOGNmYTU4ZmFmYjBjZThkYjUwZjI4NWM0NjUyMGJkZTgiLCJ1c2VySWQiOiIyMjY0MDc2MzcifQ==</vt:lpwstr>
  </property>
</Properties>
</file>