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5B72EB">
      <w:pPr>
        <w:spacing w:line="276" w:lineRule="auto"/>
        <w:jc w:val="center"/>
        <w:rPr>
          <w:rFonts w:asciiTheme="minorEastAsia" w:hAnsiTheme="minorEastAsia" w:eastAsiaTheme="minorEastAsia" w:cstheme="minorEastAsia"/>
          <w:b/>
          <w:color w:val="auto"/>
          <w:sz w:val="64"/>
          <w:szCs w:val="64"/>
          <w:highlight w:val="none"/>
        </w:rPr>
      </w:pPr>
      <w:r>
        <w:rPr>
          <w:rFonts w:hint="eastAsia" w:asciiTheme="minorEastAsia" w:hAnsiTheme="minorEastAsia" w:eastAsiaTheme="minorEastAsia" w:cstheme="minorEastAsia"/>
          <w:b/>
          <w:color w:val="auto"/>
          <w:sz w:val="64"/>
          <w:szCs w:val="64"/>
          <w:highlight w:val="none"/>
          <w:lang w:eastAsia="zh-CN"/>
        </w:rPr>
        <w:t>2026年保山市腾冲市团田乡弄玲村农村公益事业建设财政奖补项目(普惠)</w:t>
      </w:r>
    </w:p>
    <w:p w14:paraId="5BCB4F15">
      <w:pPr>
        <w:spacing w:line="276" w:lineRule="auto"/>
        <w:jc w:val="center"/>
        <w:rPr>
          <w:rFonts w:hint="eastAsia" w:asciiTheme="minorEastAsia" w:hAnsiTheme="minorEastAsia" w:eastAsiaTheme="minorEastAsia" w:cstheme="minorEastAsia"/>
          <w:b/>
          <w:color w:val="auto"/>
          <w:sz w:val="72"/>
          <w:szCs w:val="72"/>
          <w:highlight w:val="none"/>
        </w:rPr>
      </w:pPr>
    </w:p>
    <w:p w14:paraId="12FAA898">
      <w:pPr>
        <w:spacing w:line="276" w:lineRule="auto"/>
        <w:jc w:val="center"/>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t>竞争性磋商文件</w:t>
      </w:r>
    </w:p>
    <w:p w14:paraId="69C46A5F">
      <w:pPr>
        <w:spacing w:line="276" w:lineRule="auto"/>
        <w:jc w:val="center"/>
        <w:rPr>
          <w:rFonts w:hint="eastAsia" w:asciiTheme="minorEastAsia" w:hAnsiTheme="minorEastAsia" w:eastAsiaTheme="minorEastAsia" w:cstheme="minorEastAsia"/>
          <w:b/>
          <w:color w:val="auto"/>
          <w:sz w:val="72"/>
          <w:szCs w:val="72"/>
          <w:highlight w:val="none"/>
        </w:rPr>
      </w:pPr>
    </w:p>
    <w:p w14:paraId="6355DAB6">
      <w:pPr>
        <w:spacing w:line="276" w:lineRule="auto"/>
        <w:jc w:val="center"/>
        <w:rPr>
          <w:rFonts w:hint="eastAsia" w:asciiTheme="minorEastAsia" w:hAnsiTheme="minorEastAsia" w:eastAsiaTheme="minorEastAsia" w:cstheme="minorEastAsia"/>
          <w:b/>
          <w:bCs/>
          <w:color w:val="auto"/>
          <w:w w:val="95"/>
          <w:sz w:val="30"/>
          <w:szCs w:val="30"/>
          <w:highlight w:val="none"/>
          <w:lang w:val="en-US" w:eastAsia="zh-CN"/>
        </w:rPr>
      </w:pPr>
      <w:r>
        <w:rPr>
          <w:rFonts w:hint="eastAsia" w:asciiTheme="minorEastAsia" w:hAnsiTheme="minorEastAsia" w:eastAsiaTheme="minorEastAsia" w:cstheme="minorEastAsia"/>
          <w:b/>
          <w:bCs/>
          <w:color w:val="auto"/>
          <w:w w:val="95"/>
          <w:sz w:val="30"/>
          <w:szCs w:val="30"/>
          <w:highlight w:val="none"/>
          <w:lang w:val="en-US" w:eastAsia="zh-CN"/>
        </w:rPr>
        <w:t>项目编号：WXZBZC—TC2026【113】号</w:t>
      </w:r>
    </w:p>
    <w:p w14:paraId="3037FB7C">
      <w:pPr>
        <w:spacing w:line="276" w:lineRule="auto"/>
        <w:jc w:val="center"/>
        <w:rPr>
          <w:rFonts w:hint="eastAsia" w:asciiTheme="minorEastAsia" w:hAnsiTheme="minorEastAsia" w:eastAsiaTheme="minorEastAsia" w:cstheme="minorEastAsia"/>
          <w:b/>
          <w:bCs/>
          <w:color w:val="auto"/>
          <w:w w:val="95"/>
          <w:sz w:val="30"/>
          <w:szCs w:val="30"/>
          <w:highlight w:val="none"/>
          <w:lang w:eastAsia="zh-CN"/>
        </w:rPr>
      </w:pPr>
      <w:r>
        <w:rPr>
          <w:rFonts w:hint="eastAsia" w:asciiTheme="minorEastAsia" w:hAnsiTheme="minorEastAsia" w:eastAsiaTheme="minorEastAsia" w:cstheme="minorEastAsia"/>
          <w:b/>
          <w:bCs/>
          <w:color w:val="auto"/>
          <w:w w:val="95"/>
          <w:sz w:val="30"/>
          <w:szCs w:val="30"/>
          <w:highlight w:val="none"/>
          <w:lang w:val="en-US" w:eastAsia="zh-CN"/>
        </w:rPr>
        <w:t>政采云项目</w:t>
      </w:r>
      <w:r>
        <w:rPr>
          <w:rFonts w:hint="eastAsia" w:asciiTheme="minorEastAsia" w:hAnsiTheme="minorEastAsia" w:eastAsiaTheme="minorEastAsia" w:cstheme="minorEastAsia"/>
          <w:b/>
          <w:bCs/>
          <w:color w:val="auto"/>
          <w:w w:val="95"/>
          <w:sz w:val="30"/>
          <w:szCs w:val="30"/>
          <w:highlight w:val="none"/>
        </w:rPr>
        <w:t>编号：</w:t>
      </w:r>
      <w:r>
        <w:rPr>
          <w:rFonts w:hint="eastAsia" w:asciiTheme="minorEastAsia" w:hAnsiTheme="minorEastAsia" w:eastAsiaTheme="minorEastAsia" w:cstheme="minorEastAsia"/>
          <w:b/>
          <w:bCs/>
          <w:color w:val="auto"/>
          <w:w w:val="95"/>
          <w:sz w:val="30"/>
          <w:szCs w:val="30"/>
          <w:highlight w:val="none"/>
          <w:lang w:eastAsia="zh-CN"/>
        </w:rPr>
        <w:t>BSZC2026-C2-01124-YNWX-0064</w:t>
      </w:r>
    </w:p>
    <w:p w14:paraId="74698C68">
      <w:pPr>
        <w:spacing w:line="276" w:lineRule="auto"/>
        <w:jc w:val="center"/>
        <w:rPr>
          <w:rFonts w:hint="eastAsia" w:eastAsia="华文中宋"/>
          <w:b/>
          <w:bCs/>
          <w:color w:val="auto"/>
          <w:w w:val="95"/>
          <w:sz w:val="30"/>
          <w:szCs w:val="30"/>
          <w:highlight w:val="none"/>
        </w:rPr>
      </w:pPr>
    </w:p>
    <w:p w14:paraId="78CE2D5E">
      <w:pPr>
        <w:widowControl/>
        <w:spacing w:line="600" w:lineRule="auto"/>
        <w:jc w:val="center"/>
        <w:rPr>
          <w:rFonts w:eastAsia="华文中宋"/>
          <w:b/>
          <w:bCs/>
          <w:color w:val="auto"/>
          <w:w w:val="95"/>
          <w:sz w:val="30"/>
          <w:szCs w:val="30"/>
          <w:highlight w:val="none"/>
        </w:rPr>
      </w:pPr>
    </w:p>
    <w:p w14:paraId="35E1B770">
      <w:pPr>
        <w:widowControl/>
        <w:spacing w:line="600" w:lineRule="auto"/>
        <w:jc w:val="center"/>
        <w:rPr>
          <w:rFonts w:eastAsia="华文中宋"/>
          <w:b/>
          <w:bCs/>
          <w:color w:val="auto"/>
          <w:w w:val="95"/>
          <w:sz w:val="30"/>
          <w:szCs w:val="30"/>
          <w:highlight w:val="none"/>
        </w:rPr>
      </w:pPr>
    </w:p>
    <w:p w14:paraId="09B7D4DB">
      <w:pPr>
        <w:widowControl/>
        <w:spacing w:line="600" w:lineRule="auto"/>
        <w:jc w:val="center"/>
        <w:rPr>
          <w:rFonts w:asciiTheme="minorEastAsia" w:hAnsiTheme="minorEastAsia" w:eastAsiaTheme="minorEastAsia" w:cstheme="minorEastAsia"/>
          <w:color w:val="auto"/>
          <w:sz w:val="32"/>
          <w:highlight w:val="none"/>
        </w:rPr>
      </w:pPr>
      <w:r>
        <w:rPr>
          <w:rFonts w:hint="eastAsia" w:eastAsia="华文中宋"/>
          <w:b/>
          <w:bCs/>
          <w:color w:val="auto"/>
          <w:w w:val="95"/>
          <w:sz w:val="30"/>
          <w:szCs w:val="30"/>
          <w:highlight w:val="none"/>
          <w:lang w:eastAsia="zh-CN"/>
        </w:rPr>
        <w:t xml:space="preserve"> </w:t>
      </w:r>
      <w:r>
        <w:rPr>
          <w:rFonts w:hint="eastAsia" w:eastAsia="华文中宋"/>
          <w:b/>
          <w:bCs/>
          <w:color w:val="auto"/>
          <w:w w:val="95"/>
          <w:sz w:val="30"/>
          <w:szCs w:val="30"/>
          <w:highlight w:val="none"/>
          <w:lang w:val="en-US" w:eastAsia="zh-CN"/>
        </w:rPr>
        <w:t xml:space="preserve"> </w:t>
      </w:r>
    </w:p>
    <w:p w14:paraId="56752C87">
      <w:pPr>
        <w:spacing w:line="276" w:lineRule="auto"/>
        <w:jc w:val="both"/>
        <w:rPr>
          <w:rFonts w:asciiTheme="minorEastAsia" w:hAnsiTheme="minorEastAsia" w:eastAsiaTheme="minorEastAsia" w:cstheme="minorEastAsia"/>
          <w:b/>
          <w:bCs/>
          <w:color w:val="auto"/>
          <w:sz w:val="30"/>
          <w:szCs w:val="30"/>
          <w:highlight w:val="none"/>
        </w:rPr>
      </w:pPr>
    </w:p>
    <w:p w14:paraId="2BF250DB">
      <w:pPr>
        <w:widowControl/>
        <w:wordWrap w:val="0"/>
        <w:spacing w:line="480" w:lineRule="auto"/>
        <w:ind w:firstLine="1205" w:firstLineChars="400"/>
        <w:rPr>
          <w:rFonts w:hint="eastAsia" w:asciiTheme="minorEastAsia" w:hAnsiTheme="minorEastAsia" w:eastAsiaTheme="minorEastAsia" w:cstheme="minorEastAsia"/>
          <w:b/>
          <w:bCs/>
          <w:color w:val="auto"/>
          <w:sz w:val="30"/>
          <w:szCs w:val="30"/>
          <w:highlight w:val="none"/>
          <w:lang w:eastAsia="zh-CN"/>
        </w:rPr>
      </w:pPr>
      <w:r>
        <w:rPr>
          <w:rFonts w:hint="eastAsia" w:asciiTheme="minorEastAsia" w:hAnsiTheme="minorEastAsia" w:eastAsiaTheme="minorEastAsia" w:cstheme="minorEastAsia"/>
          <w:b/>
          <w:bCs/>
          <w:color w:val="auto"/>
          <w:sz w:val="30"/>
          <w:szCs w:val="30"/>
          <w:highlight w:val="none"/>
        </w:rPr>
        <w:t>采   购   人：</w:t>
      </w:r>
      <w:r>
        <w:rPr>
          <w:rFonts w:hint="eastAsia" w:asciiTheme="minorEastAsia" w:hAnsiTheme="minorEastAsia" w:eastAsiaTheme="minorEastAsia" w:cstheme="minorEastAsia"/>
          <w:b/>
          <w:bCs/>
          <w:color w:val="auto"/>
          <w:sz w:val="30"/>
          <w:szCs w:val="30"/>
          <w:highlight w:val="none"/>
          <w:lang w:eastAsia="zh-CN"/>
        </w:rPr>
        <w:t>腾冲市团田乡人民政府</w:t>
      </w:r>
    </w:p>
    <w:p w14:paraId="70713FBC">
      <w:pPr>
        <w:widowControl/>
        <w:wordWrap w:val="0"/>
        <w:spacing w:line="480" w:lineRule="auto"/>
        <w:ind w:firstLine="1205" w:firstLineChars="400"/>
        <w:rPr>
          <w:rFonts w:hint="eastAsia" w:asciiTheme="minorEastAsia" w:hAnsiTheme="minorEastAsia" w:eastAsiaTheme="minorEastAsia" w:cstheme="minorEastAsia"/>
          <w:b/>
          <w:bCs/>
          <w:color w:val="auto"/>
          <w:sz w:val="30"/>
          <w:szCs w:val="30"/>
          <w:highlight w:val="none"/>
          <w:lang w:eastAsia="zh-CN"/>
        </w:rPr>
      </w:pPr>
    </w:p>
    <w:p w14:paraId="3B331E64">
      <w:pPr>
        <w:widowControl/>
        <w:wordWrap w:val="0"/>
        <w:spacing w:line="480" w:lineRule="auto"/>
        <w:ind w:firstLine="1205" w:firstLineChars="400"/>
        <w:rPr>
          <w:rFonts w:hint="eastAsia" w:asciiTheme="minorEastAsia" w:hAnsiTheme="minorEastAsia" w:eastAsiaTheme="minorEastAsia" w:cstheme="minorEastAsia"/>
          <w:b/>
          <w:bCs/>
          <w:color w:val="auto"/>
          <w:sz w:val="30"/>
          <w:szCs w:val="30"/>
          <w:highlight w:val="none"/>
          <w:lang w:eastAsia="zh-CN"/>
        </w:rPr>
      </w:pPr>
      <w:r>
        <w:rPr>
          <w:rFonts w:hint="eastAsia" w:asciiTheme="minorEastAsia" w:hAnsiTheme="minorEastAsia" w:eastAsiaTheme="minorEastAsia" w:cstheme="minorEastAsia"/>
          <w:b/>
          <w:bCs/>
          <w:color w:val="auto"/>
          <w:sz w:val="30"/>
          <w:szCs w:val="30"/>
          <w:highlight w:val="none"/>
        </w:rPr>
        <w:t>采购代理机构：</w:t>
      </w:r>
      <w:r>
        <w:rPr>
          <w:rFonts w:hint="eastAsia" w:asciiTheme="minorEastAsia" w:hAnsiTheme="minorEastAsia" w:eastAsiaTheme="minorEastAsia" w:cstheme="minorEastAsia"/>
          <w:b/>
          <w:bCs/>
          <w:color w:val="auto"/>
          <w:sz w:val="30"/>
          <w:szCs w:val="30"/>
          <w:highlight w:val="none"/>
          <w:lang w:eastAsia="zh-CN"/>
        </w:rPr>
        <w:t>云南文星招标有限公司</w:t>
      </w:r>
    </w:p>
    <w:p w14:paraId="1B714518">
      <w:pPr>
        <w:widowControl/>
        <w:wordWrap w:val="0"/>
        <w:spacing w:line="480" w:lineRule="auto"/>
        <w:ind w:firstLine="1205" w:firstLineChars="400"/>
        <w:rPr>
          <w:rFonts w:hint="eastAsia" w:asciiTheme="minorEastAsia" w:hAnsiTheme="minorEastAsia" w:eastAsiaTheme="minorEastAsia" w:cstheme="minorEastAsia"/>
          <w:b/>
          <w:bCs/>
          <w:color w:val="auto"/>
          <w:sz w:val="30"/>
          <w:szCs w:val="30"/>
          <w:highlight w:val="none"/>
          <w:lang w:eastAsia="zh-CN"/>
        </w:rPr>
      </w:pPr>
    </w:p>
    <w:p w14:paraId="5493141C">
      <w:pPr>
        <w:widowControl/>
        <w:wordWrap w:val="0"/>
        <w:spacing w:line="480" w:lineRule="auto"/>
        <w:ind w:firstLine="1205" w:firstLineChars="400"/>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t>日       期 ：二○二</w:t>
      </w:r>
      <w:r>
        <w:rPr>
          <w:rFonts w:hint="eastAsia" w:asciiTheme="minorEastAsia" w:hAnsiTheme="minorEastAsia" w:eastAsiaTheme="minorEastAsia" w:cstheme="minorEastAsia"/>
          <w:b/>
          <w:bCs/>
          <w:color w:val="auto"/>
          <w:sz w:val="30"/>
          <w:szCs w:val="30"/>
          <w:highlight w:val="none"/>
          <w:lang w:val="en-US" w:eastAsia="zh-CN"/>
        </w:rPr>
        <w:t>六</w:t>
      </w:r>
      <w:r>
        <w:rPr>
          <w:rFonts w:hint="eastAsia" w:asciiTheme="minorEastAsia" w:hAnsiTheme="minorEastAsia" w:eastAsiaTheme="minorEastAsia" w:cstheme="minorEastAsia"/>
          <w:b/>
          <w:bCs/>
          <w:color w:val="auto"/>
          <w:sz w:val="30"/>
          <w:szCs w:val="30"/>
          <w:highlight w:val="none"/>
        </w:rPr>
        <w:t>年</w:t>
      </w:r>
      <w:r>
        <w:rPr>
          <w:rFonts w:hint="eastAsia" w:asciiTheme="minorEastAsia" w:hAnsiTheme="minorEastAsia" w:eastAsiaTheme="minorEastAsia" w:cstheme="minorEastAsia"/>
          <w:b/>
          <w:bCs/>
          <w:color w:val="auto"/>
          <w:sz w:val="30"/>
          <w:szCs w:val="30"/>
          <w:highlight w:val="none"/>
          <w:lang w:val="en-US" w:eastAsia="zh-CN"/>
        </w:rPr>
        <w:t>九</w:t>
      </w:r>
      <w:r>
        <w:rPr>
          <w:rFonts w:hint="eastAsia" w:asciiTheme="minorEastAsia" w:hAnsiTheme="minorEastAsia" w:eastAsiaTheme="minorEastAsia" w:cstheme="minorEastAsia"/>
          <w:b/>
          <w:bCs/>
          <w:color w:val="auto"/>
          <w:sz w:val="30"/>
          <w:szCs w:val="30"/>
          <w:highlight w:val="none"/>
        </w:rPr>
        <w:t>月</w:t>
      </w:r>
    </w:p>
    <w:p w14:paraId="13B3981D">
      <w:pPr>
        <w:widowControl/>
        <w:wordWrap w:val="0"/>
        <w:spacing w:line="480" w:lineRule="auto"/>
        <w:ind w:firstLine="1205" w:firstLineChars="400"/>
        <w:rPr>
          <w:rFonts w:hint="eastAsia" w:asciiTheme="minorEastAsia" w:hAnsiTheme="minorEastAsia" w:eastAsiaTheme="minorEastAsia" w:cstheme="minorEastAsia"/>
          <w:b/>
          <w:bCs/>
          <w:color w:val="auto"/>
          <w:sz w:val="30"/>
          <w:szCs w:val="30"/>
          <w:highlight w:val="none"/>
        </w:rPr>
        <w:sectPr>
          <w:footerReference r:id="rId4" w:type="default"/>
          <w:headerReference r:id="rId3" w:type="even"/>
          <w:footerReference r:id="rId5" w:type="even"/>
          <w:pgSz w:w="11906" w:h="16838"/>
          <w:pgMar w:top="1417" w:right="1417" w:bottom="1417" w:left="1417" w:header="850" w:footer="850" w:gutter="0"/>
          <w:pgNumType w:fmt="numberInDash" w:start="0"/>
          <w:cols w:space="0" w:num="1"/>
          <w:rtlGutter w:val="0"/>
          <w:docGrid w:type="lines" w:linePitch="312" w:charSpace="0"/>
        </w:sectPr>
      </w:pPr>
    </w:p>
    <w:p w14:paraId="21D270AC">
      <w:pPr>
        <w:jc w:val="center"/>
        <w:rPr>
          <w:rFonts w:asciiTheme="minorEastAsia" w:hAnsiTheme="minorEastAsia" w:eastAsiaTheme="minorEastAsia" w:cstheme="minorEastAsia"/>
          <w:b/>
          <w:bCs/>
          <w:color w:val="auto"/>
          <w:sz w:val="48"/>
          <w:szCs w:val="48"/>
          <w:highlight w:val="none"/>
        </w:rPr>
      </w:pPr>
      <w:r>
        <w:rPr>
          <w:rFonts w:hint="eastAsia" w:asciiTheme="minorEastAsia" w:hAnsiTheme="minorEastAsia" w:eastAsiaTheme="minorEastAsia" w:cstheme="minorEastAsia"/>
          <w:b/>
          <w:bCs/>
          <w:color w:val="auto"/>
          <w:sz w:val="48"/>
          <w:szCs w:val="48"/>
          <w:highlight w:val="none"/>
        </w:rPr>
        <w:t>目  录</w:t>
      </w:r>
    </w:p>
    <w:p w14:paraId="5C46155D">
      <w:pPr>
        <w:pStyle w:val="19"/>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color w:val="auto"/>
          <w:szCs w:val="24"/>
          <w:highlight w:val="none"/>
        </w:rPr>
        <w:instrText xml:space="preserve">TOC \o "1-2" \h \u </w:instrText>
      </w:r>
      <w:r>
        <w:rPr>
          <w:rFonts w:hint="eastAsia" w:asciiTheme="minorEastAsia" w:hAnsiTheme="minorEastAsia" w:eastAsiaTheme="minorEastAsia" w:cstheme="minorEastAsia"/>
          <w:color w:val="auto"/>
          <w:szCs w:val="24"/>
          <w:highlight w:val="none"/>
        </w:rPr>
        <w:fldChar w:fldCharType="separate"/>
      </w: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_Toc26907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iCs/>
          <w:szCs w:val="32"/>
          <w:highlight w:val="none"/>
        </w:rPr>
        <w:t>第一章  竞争性磋商公告</w:t>
      </w:r>
      <w:r>
        <w:rPr>
          <w:highlight w:val="none"/>
        </w:rPr>
        <w:tab/>
      </w:r>
      <w:r>
        <w:rPr>
          <w:highlight w:val="none"/>
        </w:rPr>
        <w:fldChar w:fldCharType="begin"/>
      </w:r>
      <w:r>
        <w:rPr>
          <w:highlight w:val="none"/>
        </w:rPr>
        <w:instrText xml:space="preserve"> PAGEREF _Toc26907 \h </w:instrText>
      </w:r>
      <w:r>
        <w:rPr>
          <w:highlight w:val="none"/>
        </w:rPr>
        <w:fldChar w:fldCharType="separate"/>
      </w:r>
      <w:r>
        <w:rPr>
          <w:highlight w:val="none"/>
        </w:rPr>
        <w:t>- 3 -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29D069F6">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_Toc14233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24"/>
          <w:highlight w:val="none"/>
        </w:rPr>
        <w:t>一、项目基本情况</w:t>
      </w:r>
      <w:r>
        <w:rPr>
          <w:highlight w:val="none"/>
        </w:rPr>
        <w:tab/>
      </w:r>
      <w:r>
        <w:rPr>
          <w:highlight w:val="none"/>
        </w:rPr>
        <w:fldChar w:fldCharType="begin"/>
      </w:r>
      <w:r>
        <w:rPr>
          <w:highlight w:val="none"/>
        </w:rPr>
        <w:instrText xml:space="preserve"> PAGEREF _Toc14233 \h </w:instrText>
      </w:r>
      <w:r>
        <w:rPr>
          <w:highlight w:val="none"/>
        </w:rPr>
        <w:fldChar w:fldCharType="separate"/>
      </w:r>
      <w:r>
        <w:rPr>
          <w:highlight w:val="none"/>
        </w:rPr>
        <w:t>- 3 -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3A41B60F">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_Toc22878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24"/>
          <w:highlight w:val="none"/>
        </w:rPr>
        <w:t>二、申请人的资格要求</w:t>
      </w:r>
      <w:r>
        <w:rPr>
          <w:highlight w:val="none"/>
        </w:rPr>
        <w:tab/>
      </w:r>
      <w:r>
        <w:rPr>
          <w:highlight w:val="none"/>
        </w:rPr>
        <w:fldChar w:fldCharType="begin"/>
      </w:r>
      <w:r>
        <w:rPr>
          <w:highlight w:val="none"/>
        </w:rPr>
        <w:instrText xml:space="preserve"> PAGEREF _Toc22878 \h </w:instrText>
      </w:r>
      <w:r>
        <w:rPr>
          <w:highlight w:val="none"/>
        </w:rPr>
        <w:fldChar w:fldCharType="separate"/>
      </w:r>
      <w:r>
        <w:rPr>
          <w:highlight w:val="none"/>
        </w:rPr>
        <w:t>- 3 -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4EA2FF44">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_Toc20221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24"/>
          <w:highlight w:val="none"/>
        </w:rPr>
        <w:t>三、获取采购文件</w:t>
      </w:r>
      <w:r>
        <w:rPr>
          <w:highlight w:val="none"/>
        </w:rPr>
        <w:tab/>
      </w:r>
      <w:r>
        <w:rPr>
          <w:highlight w:val="none"/>
        </w:rPr>
        <w:fldChar w:fldCharType="begin"/>
      </w:r>
      <w:r>
        <w:rPr>
          <w:highlight w:val="none"/>
        </w:rPr>
        <w:instrText xml:space="preserve"> PAGEREF _Toc20221 \h </w:instrText>
      </w:r>
      <w:r>
        <w:rPr>
          <w:highlight w:val="none"/>
        </w:rPr>
        <w:fldChar w:fldCharType="separate"/>
      </w:r>
      <w:r>
        <w:rPr>
          <w:highlight w:val="none"/>
        </w:rPr>
        <w:t>- 4 -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49C843DA">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_Toc5450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24"/>
          <w:highlight w:val="none"/>
        </w:rPr>
        <w:t>四、响应文件提交</w:t>
      </w:r>
      <w:r>
        <w:rPr>
          <w:highlight w:val="none"/>
        </w:rPr>
        <w:tab/>
      </w:r>
      <w:r>
        <w:rPr>
          <w:highlight w:val="none"/>
        </w:rPr>
        <w:fldChar w:fldCharType="begin"/>
      </w:r>
      <w:r>
        <w:rPr>
          <w:highlight w:val="none"/>
        </w:rPr>
        <w:instrText xml:space="preserve"> PAGEREF _Toc5450 \h </w:instrText>
      </w:r>
      <w:r>
        <w:rPr>
          <w:highlight w:val="none"/>
        </w:rPr>
        <w:fldChar w:fldCharType="separate"/>
      </w:r>
      <w:r>
        <w:rPr>
          <w:highlight w:val="none"/>
        </w:rPr>
        <w:t>- 5 -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5241962F">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_Toc25880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24"/>
          <w:highlight w:val="none"/>
        </w:rPr>
        <w:t>五、开启</w:t>
      </w:r>
      <w:r>
        <w:rPr>
          <w:highlight w:val="none"/>
        </w:rPr>
        <w:tab/>
      </w:r>
      <w:r>
        <w:rPr>
          <w:highlight w:val="none"/>
        </w:rPr>
        <w:fldChar w:fldCharType="begin"/>
      </w:r>
      <w:r>
        <w:rPr>
          <w:highlight w:val="none"/>
        </w:rPr>
        <w:instrText xml:space="preserve"> PAGEREF _Toc25880 \h </w:instrText>
      </w:r>
      <w:r>
        <w:rPr>
          <w:highlight w:val="none"/>
        </w:rPr>
        <w:fldChar w:fldCharType="separate"/>
      </w:r>
      <w:r>
        <w:rPr>
          <w:highlight w:val="none"/>
        </w:rPr>
        <w:t>- 5 -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3C0CC477">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_Toc1273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24"/>
          <w:highlight w:val="none"/>
        </w:rPr>
        <w:t>六、公告期限</w:t>
      </w:r>
      <w:r>
        <w:rPr>
          <w:highlight w:val="none"/>
        </w:rPr>
        <w:tab/>
      </w:r>
      <w:r>
        <w:rPr>
          <w:highlight w:val="none"/>
        </w:rPr>
        <w:fldChar w:fldCharType="begin"/>
      </w:r>
      <w:r>
        <w:rPr>
          <w:highlight w:val="none"/>
        </w:rPr>
        <w:instrText xml:space="preserve"> PAGEREF _Toc1273 \h </w:instrText>
      </w:r>
      <w:r>
        <w:rPr>
          <w:highlight w:val="none"/>
        </w:rPr>
        <w:fldChar w:fldCharType="separate"/>
      </w:r>
      <w:r>
        <w:rPr>
          <w:highlight w:val="none"/>
        </w:rPr>
        <w:t>- 5 -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6CAFCC04">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_Toc20776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24"/>
          <w:highlight w:val="none"/>
        </w:rPr>
        <w:t>七、其他补充事宜</w:t>
      </w:r>
      <w:r>
        <w:rPr>
          <w:highlight w:val="none"/>
        </w:rPr>
        <w:tab/>
      </w:r>
      <w:r>
        <w:rPr>
          <w:highlight w:val="none"/>
        </w:rPr>
        <w:fldChar w:fldCharType="begin"/>
      </w:r>
      <w:r>
        <w:rPr>
          <w:highlight w:val="none"/>
        </w:rPr>
        <w:instrText xml:space="preserve"> PAGEREF _Toc20776 \h </w:instrText>
      </w:r>
      <w:r>
        <w:rPr>
          <w:highlight w:val="none"/>
        </w:rPr>
        <w:fldChar w:fldCharType="separate"/>
      </w:r>
      <w:r>
        <w:rPr>
          <w:highlight w:val="none"/>
        </w:rPr>
        <w:t>- 5 -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0A262A9A">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_Toc7195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24"/>
          <w:highlight w:val="none"/>
        </w:rPr>
        <w:t>八、凡对本次采购提出询问，请按以下方式联系</w:t>
      </w:r>
      <w:r>
        <w:rPr>
          <w:highlight w:val="none"/>
        </w:rPr>
        <w:tab/>
      </w:r>
      <w:r>
        <w:rPr>
          <w:highlight w:val="none"/>
        </w:rPr>
        <w:fldChar w:fldCharType="begin"/>
      </w:r>
      <w:r>
        <w:rPr>
          <w:highlight w:val="none"/>
        </w:rPr>
        <w:instrText xml:space="preserve"> PAGEREF _Toc7195 \h </w:instrText>
      </w:r>
      <w:r>
        <w:rPr>
          <w:highlight w:val="none"/>
        </w:rPr>
        <w:fldChar w:fldCharType="separate"/>
      </w:r>
      <w:r>
        <w:rPr>
          <w:highlight w:val="none"/>
        </w:rPr>
        <w:t>- 6 -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0EFCDFA3">
      <w:pPr>
        <w:pStyle w:val="19"/>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_Toc21489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iCs/>
          <w:szCs w:val="32"/>
          <w:highlight w:val="none"/>
        </w:rPr>
        <w:t>第二章  供应商须知</w:t>
      </w:r>
      <w:r>
        <w:rPr>
          <w:highlight w:val="none"/>
        </w:rPr>
        <w:tab/>
      </w:r>
      <w:r>
        <w:rPr>
          <w:highlight w:val="none"/>
        </w:rPr>
        <w:fldChar w:fldCharType="begin"/>
      </w:r>
      <w:r>
        <w:rPr>
          <w:highlight w:val="none"/>
        </w:rPr>
        <w:instrText xml:space="preserve"> PAGEREF _Toc21489 \h </w:instrText>
      </w:r>
      <w:r>
        <w:rPr>
          <w:highlight w:val="none"/>
        </w:rPr>
        <w:fldChar w:fldCharType="separate"/>
      </w:r>
      <w:r>
        <w:rPr>
          <w:highlight w:val="none"/>
        </w:rPr>
        <w:t>- 8 -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2AC833EF">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_Toc11472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28"/>
          <w:highlight w:val="none"/>
        </w:rPr>
        <w:t>供应商须知前附表</w:t>
      </w:r>
      <w:r>
        <w:rPr>
          <w:highlight w:val="none"/>
        </w:rPr>
        <w:tab/>
      </w:r>
      <w:r>
        <w:rPr>
          <w:highlight w:val="none"/>
        </w:rPr>
        <w:fldChar w:fldCharType="begin"/>
      </w:r>
      <w:r>
        <w:rPr>
          <w:highlight w:val="none"/>
        </w:rPr>
        <w:instrText xml:space="preserve"> PAGEREF _Toc11472 \h </w:instrText>
      </w:r>
      <w:r>
        <w:rPr>
          <w:highlight w:val="none"/>
        </w:rPr>
        <w:fldChar w:fldCharType="separate"/>
      </w:r>
      <w:r>
        <w:rPr>
          <w:highlight w:val="none"/>
        </w:rPr>
        <w:t>- 8 -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4239471A">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_Toc450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24"/>
          <w:highlight w:val="none"/>
        </w:rPr>
        <w:t>一、总  则</w:t>
      </w:r>
      <w:r>
        <w:rPr>
          <w:highlight w:val="none"/>
        </w:rPr>
        <w:tab/>
      </w:r>
      <w:r>
        <w:rPr>
          <w:highlight w:val="none"/>
        </w:rPr>
        <w:fldChar w:fldCharType="begin"/>
      </w:r>
      <w:r>
        <w:rPr>
          <w:highlight w:val="none"/>
        </w:rPr>
        <w:instrText xml:space="preserve"> PAGEREF _Toc450 \h </w:instrText>
      </w:r>
      <w:r>
        <w:rPr>
          <w:highlight w:val="none"/>
        </w:rPr>
        <w:fldChar w:fldCharType="separate"/>
      </w:r>
      <w:r>
        <w:rPr>
          <w:highlight w:val="none"/>
        </w:rPr>
        <w:t>- 12 -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5FECCE05">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_Toc558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24"/>
          <w:highlight w:val="none"/>
        </w:rPr>
        <w:t>二、竞争性磋商文件</w:t>
      </w:r>
      <w:r>
        <w:rPr>
          <w:highlight w:val="none"/>
        </w:rPr>
        <w:tab/>
      </w:r>
      <w:r>
        <w:rPr>
          <w:highlight w:val="none"/>
        </w:rPr>
        <w:fldChar w:fldCharType="begin"/>
      </w:r>
      <w:r>
        <w:rPr>
          <w:highlight w:val="none"/>
        </w:rPr>
        <w:instrText xml:space="preserve"> PAGEREF _Toc558 \h </w:instrText>
      </w:r>
      <w:r>
        <w:rPr>
          <w:highlight w:val="none"/>
        </w:rPr>
        <w:fldChar w:fldCharType="separate"/>
      </w:r>
      <w:r>
        <w:rPr>
          <w:highlight w:val="none"/>
        </w:rPr>
        <w:t>- 13 -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33502FA8">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_Toc26958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24"/>
          <w:highlight w:val="none"/>
        </w:rPr>
        <w:t>三、响应文件</w:t>
      </w:r>
      <w:r>
        <w:rPr>
          <w:highlight w:val="none"/>
        </w:rPr>
        <w:tab/>
      </w:r>
      <w:r>
        <w:rPr>
          <w:highlight w:val="none"/>
        </w:rPr>
        <w:fldChar w:fldCharType="begin"/>
      </w:r>
      <w:r>
        <w:rPr>
          <w:highlight w:val="none"/>
        </w:rPr>
        <w:instrText xml:space="preserve"> PAGEREF _Toc26958 \h </w:instrText>
      </w:r>
      <w:r>
        <w:rPr>
          <w:highlight w:val="none"/>
        </w:rPr>
        <w:fldChar w:fldCharType="separate"/>
      </w:r>
      <w:r>
        <w:rPr>
          <w:highlight w:val="none"/>
        </w:rPr>
        <w:t>- 14 -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68C6D2F7">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_Toc2097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24"/>
          <w:highlight w:val="none"/>
        </w:rPr>
        <w:t>四、响应文件的提交</w:t>
      </w:r>
      <w:r>
        <w:rPr>
          <w:highlight w:val="none"/>
        </w:rPr>
        <w:tab/>
      </w:r>
      <w:r>
        <w:rPr>
          <w:highlight w:val="none"/>
        </w:rPr>
        <w:fldChar w:fldCharType="begin"/>
      </w:r>
      <w:r>
        <w:rPr>
          <w:highlight w:val="none"/>
        </w:rPr>
        <w:instrText xml:space="preserve"> PAGEREF _Toc2097 \h </w:instrText>
      </w:r>
      <w:r>
        <w:rPr>
          <w:highlight w:val="none"/>
        </w:rPr>
        <w:fldChar w:fldCharType="separate"/>
      </w:r>
      <w:r>
        <w:rPr>
          <w:highlight w:val="none"/>
        </w:rPr>
        <w:t>- 16 -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0F113B53">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_Toc18035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24"/>
          <w:highlight w:val="none"/>
        </w:rPr>
        <w:t>五、磋商</w:t>
      </w:r>
      <w:r>
        <w:rPr>
          <w:highlight w:val="none"/>
        </w:rPr>
        <w:tab/>
      </w:r>
      <w:r>
        <w:rPr>
          <w:highlight w:val="none"/>
        </w:rPr>
        <w:fldChar w:fldCharType="begin"/>
      </w:r>
      <w:r>
        <w:rPr>
          <w:highlight w:val="none"/>
        </w:rPr>
        <w:instrText xml:space="preserve"> PAGEREF _Toc18035 \h </w:instrText>
      </w:r>
      <w:r>
        <w:rPr>
          <w:highlight w:val="none"/>
        </w:rPr>
        <w:fldChar w:fldCharType="separate"/>
      </w:r>
      <w:r>
        <w:rPr>
          <w:highlight w:val="none"/>
        </w:rPr>
        <w:t>- 16 -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7C0B39CC">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_Toc13279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24"/>
          <w:highlight w:val="none"/>
        </w:rPr>
        <w:t>六、成交结果</w:t>
      </w:r>
      <w:r>
        <w:rPr>
          <w:highlight w:val="none"/>
        </w:rPr>
        <w:tab/>
      </w:r>
      <w:r>
        <w:rPr>
          <w:highlight w:val="none"/>
        </w:rPr>
        <w:fldChar w:fldCharType="begin"/>
      </w:r>
      <w:r>
        <w:rPr>
          <w:highlight w:val="none"/>
        </w:rPr>
        <w:instrText xml:space="preserve"> PAGEREF _Toc13279 \h </w:instrText>
      </w:r>
      <w:r>
        <w:rPr>
          <w:highlight w:val="none"/>
        </w:rPr>
        <w:fldChar w:fldCharType="separate"/>
      </w:r>
      <w:r>
        <w:rPr>
          <w:highlight w:val="none"/>
        </w:rPr>
        <w:t>- 17 -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65049681">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_Toc18480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24"/>
          <w:highlight w:val="none"/>
        </w:rPr>
        <w:t>七、其他事项</w:t>
      </w:r>
      <w:r>
        <w:rPr>
          <w:highlight w:val="none"/>
        </w:rPr>
        <w:tab/>
      </w:r>
      <w:r>
        <w:rPr>
          <w:highlight w:val="none"/>
        </w:rPr>
        <w:fldChar w:fldCharType="begin"/>
      </w:r>
      <w:r>
        <w:rPr>
          <w:highlight w:val="none"/>
        </w:rPr>
        <w:instrText xml:space="preserve"> PAGEREF _Toc18480 \h </w:instrText>
      </w:r>
      <w:r>
        <w:rPr>
          <w:highlight w:val="none"/>
        </w:rPr>
        <w:fldChar w:fldCharType="separate"/>
      </w:r>
      <w:r>
        <w:rPr>
          <w:highlight w:val="none"/>
        </w:rPr>
        <w:t>- 18 -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5D582E47">
      <w:pPr>
        <w:pStyle w:val="19"/>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_Toc13805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36"/>
          <w:highlight w:val="none"/>
        </w:rPr>
        <w:t>第三章  合同书样式及主要条款</w:t>
      </w:r>
      <w:r>
        <w:rPr>
          <w:highlight w:val="none"/>
        </w:rPr>
        <w:tab/>
      </w:r>
      <w:r>
        <w:rPr>
          <w:highlight w:val="none"/>
        </w:rPr>
        <w:fldChar w:fldCharType="begin"/>
      </w:r>
      <w:r>
        <w:rPr>
          <w:highlight w:val="none"/>
        </w:rPr>
        <w:instrText xml:space="preserve"> PAGEREF _Toc13805 \h </w:instrText>
      </w:r>
      <w:r>
        <w:rPr>
          <w:highlight w:val="none"/>
        </w:rPr>
        <w:fldChar w:fldCharType="separate"/>
      </w:r>
      <w:r>
        <w:rPr>
          <w:highlight w:val="none"/>
        </w:rPr>
        <w:t>- 21 -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4F729954">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_Toc27480 </w:instrText>
      </w:r>
      <w:r>
        <w:rPr>
          <w:rFonts w:hint="eastAsia" w:asciiTheme="minorEastAsia" w:hAnsiTheme="minorEastAsia" w:eastAsiaTheme="minorEastAsia" w:cstheme="minorEastAsia"/>
          <w:szCs w:val="24"/>
          <w:highlight w:val="none"/>
        </w:rPr>
        <w:fldChar w:fldCharType="separate"/>
      </w:r>
      <w:r>
        <w:rPr>
          <w:rFonts w:hint="eastAsia" w:ascii="宋体" w:hAnsi="宋体"/>
          <w:szCs w:val="24"/>
          <w:highlight w:val="none"/>
        </w:rPr>
        <w:t>第一部分 合同协议书</w:t>
      </w:r>
      <w:r>
        <w:rPr>
          <w:highlight w:val="none"/>
        </w:rPr>
        <w:tab/>
      </w:r>
      <w:r>
        <w:rPr>
          <w:highlight w:val="none"/>
        </w:rPr>
        <w:fldChar w:fldCharType="begin"/>
      </w:r>
      <w:r>
        <w:rPr>
          <w:highlight w:val="none"/>
        </w:rPr>
        <w:instrText xml:space="preserve"> PAGEREF _Toc27480 \h </w:instrText>
      </w:r>
      <w:r>
        <w:rPr>
          <w:highlight w:val="none"/>
        </w:rPr>
        <w:fldChar w:fldCharType="separate"/>
      </w:r>
      <w:r>
        <w:rPr>
          <w:highlight w:val="none"/>
        </w:rPr>
        <w:t>- 25 -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669D9F8A">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_Toc4901 </w:instrText>
      </w:r>
      <w:r>
        <w:rPr>
          <w:rFonts w:hint="eastAsia" w:asciiTheme="minorEastAsia" w:hAnsiTheme="minorEastAsia" w:eastAsiaTheme="minorEastAsia" w:cstheme="minorEastAsia"/>
          <w:szCs w:val="24"/>
          <w:highlight w:val="none"/>
        </w:rPr>
        <w:fldChar w:fldCharType="separate"/>
      </w:r>
      <w:r>
        <w:rPr>
          <w:rFonts w:hint="eastAsia" w:ascii="宋体" w:hAnsi="宋体"/>
          <w:bCs/>
          <w:szCs w:val="24"/>
          <w:highlight w:val="none"/>
        </w:rPr>
        <w:t>第二部分 通用合同条款</w:t>
      </w:r>
      <w:r>
        <w:rPr>
          <w:highlight w:val="none"/>
        </w:rPr>
        <w:tab/>
      </w:r>
      <w:r>
        <w:rPr>
          <w:highlight w:val="none"/>
        </w:rPr>
        <w:fldChar w:fldCharType="begin"/>
      </w:r>
      <w:r>
        <w:rPr>
          <w:highlight w:val="none"/>
        </w:rPr>
        <w:instrText xml:space="preserve"> PAGEREF _Toc4901 \h </w:instrText>
      </w:r>
      <w:r>
        <w:rPr>
          <w:highlight w:val="none"/>
        </w:rPr>
        <w:fldChar w:fldCharType="separate"/>
      </w:r>
      <w:r>
        <w:rPr>
          <w:highlight w:val="none"/>
        </w:rPr>
        <w:t>- 29 -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6FD09A0B">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_Toc14271 </w:instrText>
      </w:r>
      <w:r>
        <w:rPr>
          <w:rFonts w:hint="eastAsia" w:asciiTheme="minorEastAsia" w:hAnsiTheme="minorEastAsia" w:eastAsiaTheme="minorEastAsia" w:cstheme="minorEastAsia"/>
          <w:szCs w:val="24"/>
          <w:highlight w:val="none"/>
        </w:rPr>
        <w:fldChar w:fldCharType="separate"/>
      </w:r>
      <w:r>
        <w:rPr>
          <w:rFonts w:hint="eastAsia" w:ascii="宋体" w:hAnsi="宋体"/>
          <w:szCs w:val="24"/>
          <w:highlight w:val="none"/>
        </w:rPr>
        <w:t>第三部分 专用合同条款</w:t>
      </w:r>
      <w:r>
        <w:rPr>
          <w:highlight w:val="none"/>
        </w:rPr>
        <w:tab/>
      </w:r>
      <w:r>
        <w:rPr>
          <w:highlight w:val="none"/>
        </w:rPr>
        <w:fldChar w:fldCharType="begin"/>
      </w:r>
      <w:r>
        <w:rPr>
          <w:highlight w:val="none"/>
        </w:rPr>
        <w:instrText xml:space="preserve"> PAGEREF _Toc14271 \h </w:instrText>
      </w:r>
      <w:r>
        <w:rPr>
          <w:highlight w:val="none"/>
        </w:rPr>
        <w:fldChar w:fldCharType="separate"/>
      </w:r>
      <w:r>
        <w:rPr>
          <w:highlight w:val="none"/>
        </w:rPr>
        <w:t>- 30 -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0B255EF4">
      <w:pPr>
        <w:pStyle w:val="19"/>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_Toc22876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36"/>
          <w:highlight w:val="none"/>
        </w:rPr>
        <w:t>第四章  响应文件格式</w:t>
      </w:r>
      <w:r>
        <w:rPr>
          <w:highlight w:val="none"/>
        </w:rPr>
        <w:tab/>
      </w:r>
      <w:r>
        <w:rPr>
          <w:highlight w:val="none"/>
        </w:rPr>
        <w:fldChar w:fldCharType="begin"/>
      </w:r>
      <w:r>
        <w:rPr>
          <w:highlight w:val="none"/>
        </w:rPr>
        <w:instrText xml:space="preserve"> PAGEREF _Toc22876 \h </w:instrText>
      </w:r>
      <w:r>
        <w:rPr>
          <w:highlight w:val="none"/>
        </w:rPr>
        <w:fldChar w:fldCharType="separate"/>
      </w:r>
      <w:r>
        <w:rPr>
          <w:highlight w:val="none"/>
        </w:rPr>
        <w:t>- 57 -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57C6453F">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_Toc23544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52"/>
          <w:highlight w:val="none"/>
        </w:rPr>
        <w:t>资格</w:t>
      </w:r>
      <w:r>
        <w:rPr>
          <w:rFonts w:hint="eastAsia" w:asciiTheme="minorEastAsia" w:hAnsiTheme="minorEastAsia" w:eastAsiaTheme="minorEastAsia" w:cstheme="minorEastAsia"/>
          <w:szCs w:val="52"/>
          <w:highlight w:val="none"/>
          <w:lang w:val="en-US" w:eastAsia="zh-CN"/>
        </w:rPr>
        <w:t>文件</w:t>
      </w:r>
      <w:r>
        <w:rPr>
          <w:highlight w:val="none"/>
        </w:rPr>
        <w:tab/>
      </w:r>
      <w:r>
        <w:rPr>
          <w:highlight w:val="none"/>
        </w:rPr>
        <w:fldChar w:fldCharType="begin"/>
      </w:r>
      <w:r>
        <w:rPr>
          <w:highlight w:val="none"/>
        </w:rPr>
        <w:instrText xml:space="preserve"> PAGEREF _Toc23544 \h </w:instrText>
      </w:r>
      <w:r>
        <w:rPr>
          <w:highlight w:val="none"/>
        </w:rPr>
        <w:fldChar w:fldCharType="separate"/>
      </w:r>
      <w:r>
        <w:rPr>
          <w:highlight w:val="none"/>
        </w:rPr>
        <w:t>- 59 -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28F53CD9">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_Toc7354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bCs/>
          <w:szCs w:val="52"/>
          <w:highlight w:val="none"/>
          <w:lang w:val="en-US" w:eastAsia="zh-CN"/>
        </w:rPr>
        <w:t>报价文件</w:t>
      </w:r>
      <w:r>
        <w:rPr>
          <w:highlight w:val="none"/>
        </w:rPr>
        <w:tab/>
      </w:r>
      <w:r>
        <w:rPr>
          <w:highlight w:val="none"/>
        </w:rPr>
        <w:fldChar w:fldCharType="begin"/>
      </w:r>
      <w:r>
        <w:rPr>
          <w:highlight w:val="none"/>
        </w:rPr>
        <w:instrText xml:space="preserve"> PAGEREF _Toc7354 \h </w:instrText>
      </w:r>
      <w:r>
        <w:rPr>
          <w:highlight w:val="none"/>
        </w:rPr>
        <w:fldChar w:fldCharType="separate"/>
      </w:r>
      <w:r>
        <w:rPr>
          <w:highlight w:val="none"/>
        </w:rPr>
        <w:t>- 71 -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191F3D89">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_Toc17375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52"/>
          <w:highlight w:val="none"/>
        </w:rPr>
        <w:t>商务技术</w:t>
      </w:r>
      <w:r>
        <w:rPr>
          <w:rFonts w:hint="eastAsia" w:asciiTheme="minorEastAsia" w:hAnsiTheme="minorEastAsia" w:eastAsiaTheme="minorEastAsia" w:cstheme="minorEastAsia"/>
          <w:szCs w:val="52"/>
          <w:highlight w:val="none"/>
          <w:lang w:val="en-US" w:eastAsia="zh-CN"/>
        </w:rPr>
        <w:t>文件</w:t>
      </w:r>
      <w:r>
        <w:rPr>
          <w:highlight w:val="none"/>
        </w:rPr>
        <w:tab/>
      </w:r>
      <w:r>
        <w:rPr>
          <w:highlight w:val="none"/>
        </w:rPr>
        <w:fldChar w:fldCharType="begin"/>
      </w:r>
      <w:r>
        <w:rPr>
          <w:highlight w:val="none"/>
        </w:rPr>
        <w:instrText xml:space="preserve"> PAGEREF _Toc17375 \h </w:instrText>
      </w:r>
      <w:r>
        <w:rPr>
          <w:highlight w:val="none"/>
        </w:rPr>
        <w:fldChar w:fldCharType="separate"/>
      </w:r>
      <w:r>
        <w:rPr>
          <w:highlight w:val="none"/>
        </w:rPr>
        <w:t>- 74 -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7AC1F147">
      <w:pPr>
        <w:pStyle w:val="19"/>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_Toc2210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36"/>
          <w:highlight w:val="none"/>
        </w:rPr>
        <w:t>第五章 采购需求</w:t>
      </w:r>
      <w:r>
        <w:rPr>
          <w:highlight w:val="none"/>
        </w:rPr>
        <w:tab/>
      </w:r>
      <w:r>
        <w:rPr>
          <w:highlight w:val="none"/>
        </w:rPr>
        <w:fldChar w:fldCharType="begin"/>
      </w:r>
      <w:r>
        <w:rPr>
          <w:highlight w:val="none"/>
        </w:rPr>
        <w:instrText xml:space="preserve"> PAGEREF _Toc2210 \h </w:instrText>
      </w:r>
      <w:r>
        <w:rPr>
          <w:highlight w:val="none"/>
        </w:rPr>
        <w:fldChar w:fldCharType="separate"/>
      </w:r>
      <w:r>
        <w:rPr>
          <w:highlight w:val="none"/>
        </w:rPr>
        <w:t>- 94 -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4900D76C">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_Toc26746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24"/>
          <w:highlight w:val="none"/>
        </w:rPr>
        <w:t>一、项目基本情况</w:t>
      </w:r>
      <w:r>
        <w:rPr>
          <w:highlight w:val="none"/>
        </w:rPr>
        <w:tab/>
      </w:r>
      <w:r>
        <w:rPr>
          <w:highlight w:val="none"/>
        </w:rPr>
        <w:fldChar w:fldCharType="begin"/>
      </w:r>
      <w:r>
        <w:rPr>
          <w:highlight w:val="none"/>
        </w:rPr>
        <w:instrText xml:space="preserve"> PAGEREF _Toc26746 \h </w:instrText>
      </w:r>
      <w:r>
        <w:rPr>
          <w:highlight w:val="none"/>
        </w:rPr>
        <w:fldChar w:fldCharType="separate"/>
      </w:r>
      <w:r>
        <w:rPr>
          <w:highlight w:val="none"/>
        </w:rPr>
        <w:t>- 94 -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572D85F6">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_Toc26749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24"/>
          <w:highlight w:val="none"/>
          <w:lang w:val="en-US" w:eastAsia="zh-CN"/>
        </w:rPr>
        <w:t>二、其他商务要求</w:t>
      </w:r>
      <w:r>
        <w:rPr>
          <w:highlight w:val="none"/>
        </w:rPr>
        <w:tab/>
      </w:r>
      <w:r>
        <w:rPr>
          <w:highlight w:val="none"/>
        </w:rPr>
        <w:fldChar w:fldCharType="begin"/>
      </w:r>
      <w:r>
        <w:rPr>
          <w:highlight w:val="none"/>
        </w:rPr>
        <w:instrText xml:space="preserve"> PAGEREF _Toc26749 \h </w:instrText>
      </w:r>
      <w:r>
        <w:rPr>
          <w:highlight w:val="none"/>
        </w:rPr>
        <w:fldChar w:fldCharType="separate"/>
      </w:r>
      <w:r>
        <w:rPr>
          <w:highlight w:val="none"/>
        </w:rPr>
        <w:t>- 94 -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4D38D6E4">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_Toc19459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24"/>
          <w:highlight w:val="none"/>
          <w:lang w:val="en-US" w:eastAsia="zh-CN"/>
        </w:rPr>
        <w:t>三、工程量清单及图纸文件</w:t>
      </w:r>
      <w:r>
        <w:rPr>
          <w:highlight w:val="none"/>
        </w:rPr>
        <w:tab/>
      </w:r>
      <w:r>
        <w:rPr>
          <w:highlight w:val="none"/>
        </w:rPr>
        <w:fldChar w:fldCharType="begin"/>
      </w:r>
      <w:r>
        <w:rPr>
          <w:highlight w:val="none"/>
        </w:rPr>
        <w:instrText xml:space="preserve"> PAGEREF _Toc19459 \h </w:instrText>
      </w:r>
      <w:r>
        <w:rPr>
          <w:highlight w:val="none"/>
        </w:rPr>
        <w:fldChar w:fldCharType="separate"/>
      </w:r>
      <w:r>
        <w:rPr>
          <w:highlight w:val="none"/>
        </w:rPr>
        <w:t>- 94 -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5B9D0381">
      <w:pPr>
        <w:pStyle w:val="19"/>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_Toc28721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highlight w:val="none"/>
        </w:rPr>
        <w:t>第六章 磋商程序和方法（综合评分法）</w:t>
      </w:r>
      <w:r>
        <w:rPr>
          <w:highlight w:val="none"/>
        </w:rPr>
        <w:tab/>
      </w:r>
      <w:r>
        <w:rPr>
          <w:highlight w:val="none"/>
        </w:rPr>
        <w:fldChar w:fldCharType="begin"/>
      </w:r>
      <w:r>
        <w:rPr>
          <w:highlight w:val="none"/>
        </w:rPr>
        <w:instrText xml:space="preserve"> PAGEREF _Toc28721 \h </w:instrText>
      </w:r>
      <w:r>
        <w:rPr>
          <w:highlight w:val="none"/>
        </w:rPr>
        <w:fldChar w:fldCharType="separate"/>
      </w:r>
      <w:r>
        <w:rPr>
          <w:highlight w:val="none"/>
        </w:rPr>
        <w:t>- 95 -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648556F2">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_Toc27413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28"/>
          <w:highlight w:val="none"/>
        </w:rPr>
        <w:t>磋商程序和方法前附表</w:t>
      </w:r>
      <w:r>
        <w:rPr>
          <w:highlight w:val="none"/>
        </w:rPr>
        <w:tab/>
      </w:r>
      <w:r>
        <w:rPr>
          <w:highlight w:val="none"/>
        </w:rPr>
        <w:fldChar w:fldCharType="begin"/>
      </w:r>
      <w:r>
        <w:rPr>
          <w:highlight w:val="none"/>
        </w:rPr>
        <w:instrText xml:space="preserve"> PAGEREF _Toc27413 \h </w:instrText>
      </w:r>
      <w:r>
        <w:rPr>
          <w:highlight w:val="none"/>
        </w:rPr>
        <w:fldChar w:fldCharType="separate"/>
      </w:r>
      <w:r>
        <w:rPr>
          <w:highlight w:val="none"/>
        </w:rPr>
        <w:t>- 95 -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2B744B53">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_Toc2324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28"/>
          <w:highlight w:val="none"/>
        </w:rPr>
        <w:t>一、磋商方法</w:t>
      </w:r>
      <w:r>
        <w:rPr>
          <w:highlight w:val="none"/>
        </w:rPr>
        <w:tab/>
      </w:r>
      <w:r>
        <w:rPr>
          <w:highlight w:val="none"/>
        </w:rPr>
        <w:fldChar w:fldCharType="begin"/>
      </w:r>
      <w:r>
        <w:rPr>
          <w:highlight w:val="none"/>
        </w:rPr>
        <w:instrText xml:space="preserve"> PAGEREF _Toc2324 \h </w:instrText>
      </w:r>
      <w:r>
        <w:rPr>
          <w:highlight w:val="none"/>
        </w:rPr>
        <w:fldChar w:fldCharType="separate"/>
      </w:r>
      <w:r>
        <w:rPr>
          <w:highlight w:val="none"/>
        </w:rPr>
        <w:t>- 102 -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633BA154">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_Toc29766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28"/>
          <w:highlight w:val="none"/>
        </w:rPr>
        <w:t>二、评审标准</w:t>
      </w:r>
      <w:r>
        <w:rPr>
          <w:highlight w:val="none"/>
        </w:rPr>
        <w:tab/>
      </w:r>
      <w:r>
        <w:rPr>
          <w:highlight w:val="none"/>
        </w:rPr>
        <w:fldChar w:fldCharType="begin"/>
      </w:r>
      <w:r>
        <w:rPr>
          <w:highlight w:val="none"/>
        </w:rPr>
        <w:instrText xml:space="preserve"> PAGEREF _Toc29766 \h </w:instrText>
      </w:r>
      <w:r>
        <w:rPr>
          <w:highlight w:val="none"/>
        </w:rPr>
        <w:fldChar w:fldCharType="separate"/>
      </w:r>
      <w:r>
        <w:rPr>
          <w:highlight w:val="none"/>
        </w:rPr>
        <w:t>- 102 -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54173D7B">
      <w:pPr>
        <w:pStyle w:val="21"/>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_Toc20367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szCs w:val="28"/>
          <w:highlight w:val="none"/>
        </w:rPr>
        <w:t>三、磋商程序</w:t>
      </w:r>
      <w:r>
        <w:rPr>
          <w:highlight w:val="none"/>
        </w:rPr>
        <w:tab/>
      </w:r>
      <w:r>
        <w:rPr>
          <w:highlight w:val="none"/>
        </w:rPr>
        <w:fldChar w:fldCharType="begin"/>
      </w:r>
      <w:r>
        <w:rPr>
          <w:highlight w:val="none"/>
        </w:rPr>
        <w:instrText xml:space="preserve"> PAGEREF _Toc20367 \h </w:instrText>
      </w:r>
      <w:r>
        <w:rPr>
          <w:highlight w:val="none"/>
        </w:rPr>
        <w:fldChar w:fldCharType="separate"/>
      </w:r>
      <w:r>
        <w:rPr>
          <w:highlight w:val="none"/>
        </w:rPr>
        <w:t>- 103 -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2B849B42">
      <w:pPr>
        <w:pStyle w:val="19"/>
        <w:tabs>
          <w:tab w:val="right" w:leader="dot" w:pos="9072"/>
        </w:tabs>
        <w:rPr>
          <w:highlight w:val="none"/>
        </w:rPr>
      </w:pPr>
      <w:r>
        <w:rPr>
          <w:rFonts w:hint="eastAsia" w:asciiTheme="minorEastAsia" w:hAnsiTheme="minorEastAsia" w:eastAsiaTheme="minorEastAsia" w:cstheme="minorEastAsia"/>
          <w:color w:val="auto"/>
          <w:szCs w:val="24"/>
          <w:highlight w:val="none"/>
        </w:rPr>
        <w:fldChar w:fldCharType="begin"/>
      </w:r>
      <w:r>
        <w:rPr>
          <w:rFonts w:hint="eastAsia" w:asciiTheme="minorEastAsia" w:hAnsiTheme="minorEastAsia" w:eastAsiaTheme="minorEastAsia" w:cstheme="minorEastAsia"/>
          <w:szCs w:val="24"/>
          <w:highlight w:val="none"/>
        </w:rPr>
        <w:instrText xml:space="preserve"> HYPERLINK \l _Toc25031 </w:instrText>
      </w:r>
      <w:r>
        <w:rPr>
          <w:rFonts w:hint="eastAsia" w:asciiTheme="minorEastAsia" w:hAnsiTheme="minorEastAsia" w:eastAsiaTheme="minorEastAsia" w:cstheme="minorEastAsia"/>
          <w:szCs w:val="24"/>
          <w:highlight w:val="none"/>
        </w:rPr>
        <w:fldChar w:fldCharType="separate"/>
      </w:r>
      <w:r>
        <w:rPr>
          <w:rFonts w:hint="eastAsia" w:asciiTheme="minorEastAsia" w:hAnsiTheme="minorEastAsia" w:eastAsiaTheme="minorEastAsia" w:cstheme="minorEastAsia"/>
          <w:bCs/>
          <w:snapToGrid w:val="0"/>
          <w:kern w:val="21"/>
          <w:szCs w:val="36"/>
          <w:highlight w:val="none"/>
          <w:lang w:val="en-US" w:eastAsia="zh-CN" w:bidi="ar-SA"/>
        </w:rPr>
        <w:t>竞争性磋商最后报价表及承诺书</w:t>
      </w:r>
      <w:r>
        <w:rPr>
          <w:highlight w:val="none"/>
        </w:rPr>
        <w:tab/>
      </w:r>
      <w:r>
        <w:rPr>
          <w:highlight w:val="none"/>
        </w:rPr>
        <w:fldChar w:fldCharType="begin"/>
      </w:r>
      <w:r>
        <w:rPr>
          <w:highlight w:val="none"/>
        </w:rPr>
        <w:instrText xml:space="preserve"> PAGEREF _Toc25031 \h </w:instrText>
      </w:r>
      <w:r>
        <w:rPr>
          <w:highlight w:val="none"/>
        </w:rPr>
        <w:fldChar w:fldCharType="separate"/>
      </w:r>
      <w:r>
        <w:rPr>
          <w:highlight w:val="none"/>
        </w:rPr>
        <w:t>- 107 -</w:t>
      </w:r>
      <w:r>
        <w:rPr>
          <w:highlight w:val="none"/>
        </w:rPr>
        <w:fldChar w:fldCharType="end"/>
      </w:r>
      <w:r>
        <w:rPr>
          <w:rFonts w:hint="eastAsia" w:asciiTheme="minorEastAsia" w:hAnsiTheme="minorEastAsia" w:eastAsiaTheme="minorEastAsia" w:cstheme="minorEastAsia"/>
          <w:color w:val="auto"/>
          <w:szCs w:val="24"/>
          <w:highlight w:val="none"/>
        </w:rPr>
        <w:fldChar w:fldCharType="end"/>
      </w:r>
    </w:p>
    <w:p w14:paraId="1EA1E9E2">
      <w:pPr>
        <w:pStyle w:val="19"/>
        <w:tabs>
          <w:tab w:val="right" w:leader="dot" w:pos="9525"/>
        </w:tabs>
        <w:spacing w:line="400" w:lineRule="exact"/>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fldChar w:fldCharType="end"/>
      </w:r>
    </w:p>
    <w:p w14:paraId="5BD0BDC1">
      <w:pPr>
        <w:pStyle w:val="3"/>
        <w:numPr>
          <w:ilvl w:val="0"/>
          <w:numId w:val="2"/>
        </w:numPr>
        <w:snapToGrid w:val="0"/>
        <w:spacing w:line="360" w:lineRule="auto"/>
        <w:jc w:val="center"/>
        <w:rPr>
          <w:rFonts w:asciiTheme="minorEastAsia" w:hAnsiTheme="minorEastAsia" w:eastAsiaTheme="minorEastAsia" w:cstheme="minorEastAsia"/>
          <w:iCs/>
          <w:color w:val="auto"/>
          <w:sz w:val="40"/>
          <w:szCs w:val="32"/>
          <w:highlight w:val="none"/>
        </w:rPr>
        <w:sectPr>
          <w:pgSz w:w="11906" w:h="16838"/>
          <w:pgMar w:top="1417" w:right="1417" w:bottom="1417" w:left="1417" w:header="850" w:footer="850" w:gutter="0"/>
          <w:pgNumType w:fmt="numberInDash"/>
          <w:cols w:space="0" w:num="1"/>
          <w:rtlGutter w:val="0"/>
          <w:docGrid w:type="lines" w:linePitch="312" w:charSpace="0"/>
        </w:sectPr>
      </w:pPr>
      <w:bookmarkStart w:id="0" w:name="_Toc157174809"/>
      <w:bookmarkStart w:id="1" w:name="_Toc268609563"/>
      <w:bookmarkStart w:id="2" w:name="_Toc109118362"/>
      <w:bookmarkStart w:id="3" w:name="_Toc157175662"/>
      <w:bookmarkStart w:id="4" w:name="_Toc142388437"/>
    </w:p>
    <w:p w14:paraId="2ECA728B">
      <w:pPr>
        <w:pStyle w:val="3"/>
        <w:numPr>
          <w:ilvl w:val="0"/>
          <w:numId w:val="3"/>
        </w:numPr>
        <w:tabs>
          <w:tab w:val="left" w:pos="0"/>
        </w:tabs>
        <w:snapToGrid w:val="0"/>
        <w:spacing w:line="360" w:lineRule="auto"/>
        <w:jc w:val="center"/>
        <w:rPr>
          <w:rFonts w:hint="eastAsia" w:asciiTheme="minorEastAsia" w:hAnsiTheme="minorEastAsia" w:eastAsiaTheme="minorEastAsia" w:cstheme="minorEastAsia"/>
          <w:iCs/>
          <w:color w:val="auto"/>
          <w:sz w:val="40"/>
          <w:szCs w:val="32"/>
          <w:highlight w:val="none"/>
        </w:rPr>
      </w:pPr>
      <w:bookmarkStart w:id="5" w:name="_Toc26907"/>
      <w:bookmarkStart w:id="6" w:name="_Toc11580"/>
      <w:r>
        <w:rPr>
          <w:rFonts w:hint="eastAsia" w:asciiTheme="minorEastAsia" w:hAnsiTheme="minorEastAsia" w:eastAsiaTheme="minorEastAsia" w:cstheme="minorEastAsia"/>
          <w:iCs/>
          <w:color w:val="auto"/>
          <w:sz w:val="40"/>
          <w:szCs w:val="32"/>
          <w:highlight w:val="none"/>
        </w:rPr>
        <w:t xml:space="preserve"> </w:t>
      </w:r>
      <w:bookmarkStart w:id="7" w:name="_Toc21136"/>
      <w:r>
        <w:rPr>
          <w:rFonts w:hint="eastAsia" w:asciiTheme="minorEastAsia" w:hAnsiTheme="minorEastAsia" w:eastAsiaTheme="minorEastAsia" w:cstheme="minorEastAsia"/>
          <w:iCs/>
          <w:color w:val="auto"/>
          <w:sz w:val="40"/>
          <w:szCs w:val="32"/>
          <w:highlight w:val="none"/>
        </w:rPr>
        <w:t>竞争性磋商公告</w:t>
      </w:r>
      <w:bookmarkEnd w:id="0"/>
      <w:bookmarkEnd w:id="1"/>
      <w:bookmarkEnd w:id="2"/>
      <w:bookmarkEnd w:id="3"/>
      <w:bookmarkEnd w:id="4"/>
      <w:bookmarkEnd w:id="5"/>
      <w:bookmarkEnd w:id="6"/>
      <w:bookmarkEnd w:id="7"/>
      <w:bookmarkStart w:id="8" w:name="_Toc269202035"/>
      <w:bookmarkStart w:id="9" w:name="_Toc269225567"/>
      <w:bookmarkStart w:id="10" w:name="_Toc269195586"/>
      <w:bookmarkStart w:id="11" w:name="_Toc269202336"/>
      <w:bookmarkStart w:id="12" w:name="_Toc157175663"/>
      <w:bookmarkStart w:id="13" w:name="_Toc142388438"/>
      <w:bookmarkStart w:id="14" w:name="_Toc157174810"/>
      <w:bookmarkStart w:id="15" w:name="_Toc109118363"/>
      <w:bookmarkStart w:id="16" w:name="_Toc268609564"/>
    </w:p>
    <w:p w14:paraId="6EC25306">
      <w:pPr>
        <w:spacing w:line="360" w:lineRule="auto"/>
        <w:jc w:val="center"/>
        <w:rPr>
          <w:rFonts w:hint="eastAsia" w:asciiTheme="minorEastAsia" w:hAnsiTheme="minorEastAsia" w:eastAsiaTheme="minorEastAsia" w:cstheme="minorEastAsia"/>
          <w:b/>
          <w:bCs/>
          <w:color w:val="auto"/>
          <w:spacing w:val="-6"/>
          <w:sz w:val="30"/>
          <w:szCs w:val="30"/>
          <w:highlight w:val="none"/>
          <w:lang w:eastAsia="zh-CN"/>
        </w:rPr>
      </w:pPr>
      <w:r>
        <w:rPr>
          <w:rFonts w:hint="eastAsia" w:asciiTheme="minorEastAsia" w:hAnsiTheme="minorEastAsia" w:eastAsiaTheme="minorEastAsia" w:cstheme="minorEastAsia"/>
          <w:b/>
          <w:bCs/>
          <w:color w:val="auto"/>
          <w:spacing w:val="-6"/>
          <w:sz w:val="30"/>
          <w:szCs w:val="30"/>
          <w:highlight w:val="none"/>
          <w:lang w:eastAsia="zh-CN"/>
        </w:rPr>
        <w:t>2026年保山市腾冲市团田乡弄玲村农村公益事业建设财政奖补项目(普惠)</w:t>
      </w:r>
    </w:p>
    <w:p w14:paraId="2024DF04">
      <w:pPr>
        <w:spacing w:line="360" w:lineRule="auto"/>
        <w:jc w:val="center"/>
        <w:rPr>
          <w:rFonts w:asciiTheme="minorEastAsia" w:hAnsiTheme="minorEastAsia" w:eastAsiaTheme="minorEastAsia" w:cstheme="minorEastAsia"/>
          <w:b/>
          <w:bCs/>
          <w:color w:val="auto"/>
          <w:spacing w:val="-6"/>
          <w:sz w:val="30"/>
          <w:szCs w:val="30"/>
          <w:highlight w:val="none"/>
        </w:rPr>
      </w:pPr>
      <w:r>
        <w:rPr>
          <w:rFonts w:hint="eastAsia" w:asciiTheme="minorEastAsia" w:hAnsiTheme="minorEastAsia" w:eastAsiaTheme="minorEastAsia" w:cstheme="minorEastAsia"/>
          <w:b/>
          <w:bCs/>
          <w:color w:val="auto"/>
          <w:spacing w:val="-6"/>
          <w:sz w:val="30"/>
          <w:szCs w:val="30"/>
          <w:highlight w:val="none"/>
        </w:rPr>
        <w:t>竞争性磋商公告</w:t>
      </w:r>
    </w:p>
    <w:p w14:paraId="05747149">
      <w:pPr>
        <w:pBdr>
          <w:top w:val="single" w:color="auto" w:sz="4" w:space="1"/>
          <w:left w:val="single" w:color="auto" w:sz="4" w:space="4"/>
          <w:bottom w:val="single" w:color="auto" w:sz="4" w:space="1"/>
          <w:right w:val="single" w:color="auto" w:sz="4" w:space="4"/>
        </w:pBdr>
        <w:spacing w:line="500" w:lineRule="exact"/>
        <w:rPr>
          <w:rFonts w:asciiTheme="minorEastAsia" w:hAnsiTheme="minorEastAsia" w:eastAsiaTheme="minorEastAsia" w:cstheme="minorEastAsia"/>
          <w:b/>
          <w:bCs/>
          <w:color w:val="auto"/>
          <w:sz w:val="24"/>
          <w:szCs w:val="24"/>
          <w:highlight w:val="none"/>
        </w:rPr>
      </w:pPr>
      <w:bookmarkStart w:id="17" w:name="_Toc30649"/>
      <w:r>
        <w:rPr>
          <w:rFonts w:hint="eastAsia" w:asciiTheme="minorEastAsia" w:hAnsiTheme="minorEastAsia" w:eastAsiaTheme="minorEastAsia" w:cstheme="minorEastAsia"/>
          <w:b/>
          <w:bCs/>
          <w:color w:val="auto"/>
          <w:sz w:val="24"/>
          <w:szCs w:val="24"/>
          <w:highlight w:val="none"/>
        </w:rPr>
        <w:t>项目概况</w:t>
      </w:r>
    </w:p>
    <w:p w14:paraId="4DFDB2F3">
      <w:pPr>
        <w:pBdr>
          <w:top w:val="single" w:color="auto" w:sz="4" w:space="1"/>
          <w:left w:val="single" w:color="auto" w:sz="4" w:space="4"/>
          <w:bottom w:val="single" w:color="auto" w:sz="4" w:space="1"/>
          <w:right w:val="single" w:color="auto" w:sz="4" w:space="4"/>
        </w:pBd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lang w:eastAsia="zh-CN"/>
        </w:rPr>
        <w:t>2026年保山市腾冲市团田乡弄玲村农村公益事业建设财政奖补项目(普惠)</w:t>
      </w:r>
      <w:r>
        <w:rPr>
          <w:rFonts w:hint="eastAsia" w:asciiTheme="minorEastAsia" w:hAnsiTheme="minorEastAsia" w:eastAsiaTheme="minorEastAsia" w:cstheme="minorEastAsia"/>
          <w:color w:val="auto"/>
          <w:sz w:val="24"/>
          <w:szCs w:val="24"/>
          <w:highlight w:val="none"/>
        </w:rPr>
        <w:t>的潜在供应商应在</w:t>
      </w:r>
      <w:r>
        <w:rPr>
          <w:rFonts w:hint="eastAsia" w:asciiTheme="minorEastAsia" w:hAnsiTheme="minorEastAsia" w:eastAsiaTheme="minorEastAsia" w:cstheme="minorEastAsia"/>
          <w:color w:val="auto"/>
          <w:sz w:val="24"/>
          <w:szCs w:val="24"/>
          <w:highlight w:val="none"/>
          <w:u w:val="single"/>
        </w:rPr>
        <w:t>政采云平台（https://www.zcygov.cn/）线上（下载）</w:t>
      </w:r>
      <w:r>
        <w:rPr>
          <w:rFonts w:hint="eastAsia" w:asciiTheme="minorEastAsia" w:hAnsiTheme="minorEastAsia" w:eastAsiaTheme="minorEastAsia" w:cstheme="minorEastAsia"/>
          <w:color w:val="auto"/>
          <w:sz w:val="24"/>
          <w:szCs w:val="24"/>
          <w:highlight w:val="none"/>
        </w:rPr>
        <w:t>获取采购文件，并于</w:t>
      </w:r>
      <w:r>
        <w:rPr>
          <w:rFonts w:hint="eastAsia" w:asciiTheme="minorEastAsia" w:hAnsiTheme="minorEastAsia" w:eastAsiaTheme="minorEastAsia" w:cstheme="minorEastAsia"/>
          <w:color w:val="auto"/>
          <w:sz w:val="24"/>
          <w:szCs w:val="24"/>
          <w:highlight w:val="none"/>
          <w:u w:val="single"/>
          <w:lang w:eastAsia="zh-CN"/>
        </w:rPr>
        <w:t>2026年10月09日15时00分</w:t>
      </w:r>
      <w:r>
        <w:rPr>
          <w:rFonts w:hint="eastAsia" w:asciiTheme="minorEastAsia" w:hAnsiTheme="minorEastAsia" w:eastAsiaTheme="minorEastAsia" w:cstheme="minorEastAsia"/>
          <w:color w:val="auto"/>
          <w:sz w:val="24"/>
          <w:szCs w:val="24"/>
          <w:highlight w:val="none"/>
          <w:u w:val="single"/>
        </w:rPr>
        <w:t>（北京时间）前</w:t>
      </w:r>
      <w:r>
        <w:rPr>
          <w:rFonts w:hint="eastAsia" w:asciiTheme="minorEastAsia" w:hAnsiTheme="minorEastAsia" w:eastAsiaTheme="minorEastAsia" w:cstheme="minorEastAsia"/>
          <w:bCs/>
          <w:color w:val="auto"/>
          <w:sz w:val="24"/>
          <w:szCs w:val="24"/>
          <w:highlight w:val="none"/>
        </w:rPr>
        <w:t>递交响应文件</w:t>
      </w:r>
      <w:r>
        <w:rPr>
          <w:rFonts w:hint="eastAsia" w:asciiTheme="minorEastAsia" w:hAnsiTheme="minorEastAsia" w:eastAsiaTheme="minorEastAsia" w:cstheme="minorEastAsia"/>
          <w:color w:val="auto"/>
          <w:sz w:val="24"/>
          <w:szCs w:val="24"/>
          <w:highlight w:val="none"/>
        </w:rPr>
        <w:t>。</w:t>
      </w:r>
      <w:bookmarkEnd w:id="17"/>
      <w:bookmarkStart w:id="18" w:name="_Toc27152"/>
    </w:p>
    <w:p w14:paraId="59A5139D">
      <w:pPr>
        <w:pStyle w:val="4"/>
        <w:numPr>
          <w:ilvl w:val="0"/>
          <w:numId w:val="0"/>
        </w:numPr>
        <w:tabs>
          <w:tab w:val="left" w:pos="1665"/>
          <w:tab w:val="clear" w:pos="3690"/>
        </w:tabs>
        <w:spacing w:before="0" w:after="0" w:line="360" w:lineRule="auto"/>
        <w:ind w:firstLine="482" w:firstLineChars="200"/>
        <w:rPr>
          <w:rFonts w:asciiTheme="minorEastAsia" w:hAnsiTheme="minorEastAsia" w:eastAsiaTheme="minorEastAsia" w:cstheme="minorEastAsia"/>
          <w:color w:val="auto"/>
          <w:sz w:val="24"/>
          <w:szCs w:val="24"/>
          <w:highlight w:val="none"/>
        </w:rPr>
      </w:pPr>
      <w:bookmarkStart w:id="19" w:name="_Toc35393621"/>
      <w:bookmarkStart w:id="20" w:name="_Toc9820"/>
      <w:bookmarkStart w:id="21" w:name="_Toc28359002"/>
      <w:bookmarkStart w:id="22" w:name="_Toc28359079"/>
      <w:bookmarkStart w:id="23" w:name="_Toc11401"/>
      <w:bookmarkStart w:id="24" w:name="_Toc14233"/>
      <w:bookmarkStart w:id="25" w:name="_Toc35393790"/>
      <w:bookmarkStart w:id="26" w:name="_Toc22252"/>
      <w:bookmarkStart w:id="27" w:name="_Toc1097"/>
      <w:bookmarkStart w:id="28" w:name="_Hlk24379207"/>
      <w:r>
        <w:rPr>
          <w:rFonts w:hint="eastAsia" w:asciiTheme="minorEastAsia" w:hAnsiTheme="minorEastAsia" w:eastAsiaTheme="minorEastAsia" w:cstheme="minorEastAsia"/>
          <w:color w:val="auto"/>
          <w:sz w:val="24"/>
          <w:szCs w:val="24"/>
          <w:highlight w:val="none"/>
        </w:rPr>
        <w:t>一、项目基本情况</w:t>
      </w:r>
      <w:bookmarkEnd w:id="19"/>
      <w:bookmarkEnd w:id="20"/>
      <w:bookmarkEnd w:id="21"/>
      <w:bookmarkEnd w:id="22"/>
      <w:bookmarkEnd w:id="23"/>
      <w:bookmarkEnd w:id="24"/>
      <w:bookmarkEnd w:id="25"/>
      <w:bookmarkEnd w:id="26"/>
      <w:bookmarkEnd w:id="27"/>
    </w:p>
    <w:p w14:paraId="7F8E5B6E">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1.项目编号：</w:t>
      </w:r>
      <w:r>
        <w:rPr>
          <w:rFonts w:hint="eastAsia" w:asciiTheme="minorEastAsia" w:hAnsiTheme="minorEastAsia" w:eastAsiaTheme="minorEastAsia" w:cstheme="minorEastAsia"/>
          <w:color w:val="auto"/>
          <w:sz w:val="24"/>
          <w:szCs w:val="24"/>
          <w:highlight w:val="none"/>
          <w:lang w:eastAsia="zh-CN"/>
        </w:rPr>
        <w:t xml:space="preserve"> BSZC2026-C2-01124-YNWX-0064</w:t>
      </w:r>
      <w:r>
        <w:rPr>
          <w:rFonts w:hint="eastAsia" w:asciiTheme="minorEastAsia" w:hAnsiTheme="minorEastAsia" w:eastAsiaTheme="minorEastAsia" w:cstheme="minorEastAsia"/>
          <w:color w:val="auto"/>
          <w:sz w:val="24"/>
          <w:szCs w:val="24"/>
          <w:highlight w:val="none"/>
        </w:rPr>
        <w:t>。</w:t>
      </w:r>
    </w:p>
    <w:p w14:paraId="22ACFEE9">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2.项目名称：</w:t>
      </w:r>
      <w:r>
        <w:rPr>
          <w:rFonts w:hint="eastAsia" w:asciiTheme="minorEastAsia" w:hAnsiTheme="minorEastAsia" w:eastAsiaTheme="minorEastAsia" w:cstheme="minorEastAsia"/>
          <w:color w:val="auto"/>
          <w:sz w:val="24"/>
          <w:szCs w:val="24"/>
          <w:highlight w:val="none"/>
          <w:lang w:eastAsia="zh-CN"/>
        </w:rPr>
        <w:t>2026年保山市腾冲市团田乡弄玲村农村公益事业建设财政奖补项目(普惠)</w:t>
      </w:r>
      <w:r>
        <w:rPr>
          <w:rFonts w:hint="eastAsia" w:asciiTheme="minorEastAsia" w:hAnsiTheme="minorEastAsia" w:eastAsiaTheme="minorEastAsia" w:cstheme="minorEastAsia"/>
          <w:color w:val="auto"/>
          <w:sz w:val="24"/>
          <w:szCs w:val="24"/>
          <w:highlight w:val="none"/>
        </w:rPr>
        <w:t>。</w:t>
      </w:r>
    </w:p>
    <w:p w14:paraId="13533D0F">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3.采购方式：竞争性磋商。</w:t>
      </w:r>
    </w:p>
    <w:p w14:paraId="338BC343">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4.预算金额：</w:t>
      </w:r>
      <w:r>
        <w:rPr>
          <w:rFonts w:hint="eastAsia" w:asciiTheme="minorEastAsia" w:hAnsiTheme="minorEastAsia" w:eastAsiaTheme="minorEastAsia" w:cstheme="minorEastAsia"/>
          <w:color w:val="auto"/>
          <w:sz w:val="24"/>
          <w:szCs w:val="24"/>
          <w:highlight w:val="none"/>
          <w:lang w:val="en-US" w:eastAsia="zh-CN"/>
        </w:rPr>
        <w:t>820000.00</w:t>
      </w:r>
      <w:r>
        <w:rPr>
          <w:rFonts w:hint="eastAsia" w:asciiTheme="minorEastAsia" w:hAnsiTheme="minorEastAsia" w:eastAsiaTheme="minorEastAsia" w:cstheme="minorEastAsia"/>
          <w:color w:val="auto"/>
          <w:sz w:val="24"/>
          <w:szCs w:val="24"/>
          <w:highlight w:val="none"/>
        </w:rPr>
        <w:t>元。</w:t>
      </w:r>
    </w:p>
    <w:p w14:paraId="18C2CA9B">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5.最高限价：</w:t>
      </w:r>
      <w:bookmarkStart w:id="978" w:name="_GoBack"/>
      <w:bookmarkEnd w:id="978"/>
      <w:r>
        <w:rPr>
          <w:rFonts w:hint="eastAsia" w:asciiTheme="minorEastAsia" w:hAnsiTheme="minorEastAsia" w:eastAsiaTheme="minorEastAsia" w:cstheme="minorEastAsia"/>
          <w:color w:val="auto"/>
          <w:sz w:val="24"/>
          <w:szCs w:val="24"/>
          <w:highlight w:val="none"/>
          <w:lang w:eastAsia="zh-CN"/>
        </w:rPr>
        <w:t>819385.59</w:t>
      </w:r>
      <w:r>
        <w:rPr>
          <w:rFonts w:hint="eastAsia" w:asciiTheme="minorEastAsia" w:hAnsiTheme="minorEastAsia" w:eastAsiaTheme="minorEastAsia" w:cstheme="minorEastAsia"/>
          <w:color w:val="auto"/>
          <w:sz w:val="24"/>
          <w:szCs w:val="24"/>
          <w:highlight w:val="none"/>
        </w:rPr>
        <w:t>元。</w:t>
      </w:r>
    </w:p>
    <w:p w14:paraId="127DB3EE">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6.采购需求：</w:t>
      </w:r>
      <w:r>
        <w:rPr>
          <w:rFonts w:hint="eastAsia" w:asciiTheme="minorEastAsia" w:hAnsiTheme="minorEastAsia" w:eastAsiaTheme="minorEastAsia" w:cstheme="minorEastAsia"/>
          <w:color w:val="auto"/>
          <w:sz w:val="24"/>
          <w:szCs w:val="24"/>
          <w:highlight w:val="none"/>
          <w:lang w:eastAsia="zh-CN"/>
        </w:rPr>
        <w:t>2026年保山市腾冲市团田乡弄玲村农村公益事业建设财政奖补项目(普惠)</w:t>
      </w:r>
      <w:r>
        <w:rPr>
          <w:rFonts w:hint="default"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rPr>
        <w:t>具体内容</w:t>
      </w:r>
      <w:r>
        <w:rPr>
          <w:rFonts w:hint="eastAsia" w:asciiTheme="minorEastAsia" w:hAnsiTheme="minorEastAsia" w:eastAsiaTheme="minorEastAsia" w:cstheme="minorEastAsia"/>
          <w:color w:val="auto"/>
          <w:sz w:val="24"/>
          <w:szCs w:val="24"/>
          <w:highlight w:val="none"/>
          <w:lang w:val="en-US" w:eastAsia="zh-CN"/>
        </w:rPr>
        <w:t>以</w:t>
      </w:r>
      <w:r>
        <w:rPr>
          <w:rFonts w:hint="eastAsia" w:asciiTheme="minorEastAsia" w:hAnsiTheme="minorEastAsia" w:eastAsiaTheme="minorEastAsia" w:cstheme="minorEastAsia"/>
          <w:color w:val="auto"/>
          <w:sz w:val="24"/>
          <w:szCs w:val="24"/>
          <w:highlight w:val="none"/>
        </w:rPr>
        <w:t>工程量清单及图纸文件</w:t>
      </w:r>
      <w:r>
        <w:rPr>
          <w:rFonts w:hint="eastAsia" w:asciiTheme="minorEastAsia" w:hAnsiTheme="minorEastAsia" w:eastAsiaTheme="minorEastAsia" w:cstheme="minorEastAsia"/>
          <w:color w:val="auto"/>
          <w:sz w:val="24"/>
          <w:szCs w:val="24"/>
          <w:highlight w:val="none"/>
          <w:lang w:val="en-US" w:eastAsia="zh-CN"/>
        </w:rPr>
        <w:t>为准</w:t>
      </w:r>
      <w:r>
        <w:rPr>
          <w:rFonts w:hint="eastAsia" w:asciiTheme="minorEastAsia" w:hAnsiTheme="minorEastAsia" w:eastAsiaTheme="minorEastAsia" w:cstheme="minorEastAsia"/>
          <w:color w:val="auto"/>
          <w:sz w:val="24"/>
          <w:szCs w:val="24"/>
          <w:highlight w:val="none"/>
        </w:rPr>
        <w:t>。</w:t>
      </w:r>
    </w:p>
    <w:p w14:paraId="0659F6E8">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7.质量要求：符合国家、行业及云南省相关规范、标准的要求，一次性验收合格。</w:t>
      </w:r>
    </w:p>
    <w:p w14:paraId="39464A2F">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8.合同履行期限：</w:t>
      </w:r>
      <w:r>
        <w:rPr>
          <w:rFonts w:hint="eastAsia" w:asciiTheme="minorEastAsia" w:hAnsiTheme="minorEastAsia" w:eastAsiaTheme="minorEastAsia" w:cstheme="minorEastAsia"/>
          <w:color w:val="auto"/>
          <w:sz w:val="24"/>
          <w:szCs w:val="24"/>
          <w:highlight w:val="none"/>
          <w:lang w:val="en-US" w:eastAsia="zh-CN"/>
        </w:rPr>
        <w:t>合同签订后90个日历天内完成</w:t>
      </w:r>
      <w:r>
        <w:rPr>
          <w:rFonts w:hint="eastAsia" w:asciiTheme="minorEastAsia" w:hAnsiTheme="minorEastAsia" w:eastAsiaTheme="minorEastAsia" w:cstheme="minorEastAsia"/>
          <w:color w:val="auto"/>
          <w:sz w:val="24"/>
          <w:szCs w:val="24"/>
          <w:highlight w:val="none"/>
        </w:rPr>
        <w:t>。</w:t>
      </w:r>
    </w:p>
    <w:p w14:paraId="6F9ED7BC">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9.工程地点：</w:t>
      </w:r>
      <w:r>
        <w:rPr>
          <w:rFonts w:hint="eastAsia" w:asciiTheme="minorEastAsia" w:hAnsiTheme="minorEastAsia" w:eastAsiaTheme="minorEastAsia" w:cstheme="minorEastAsia"/>
          <w:color w:val="auto"/>
          <w:sz w:val="24"/>
          <w:szCs w:val="24"/>
          <w:highlight w:val="none"/>
          <w:lang w:val="en-US" w:eastAsia="zh-CN"/>
        </w:rPr>
        <w:t>腾冲市</w:t>
      </w:r>
      <w:r>
        <w:rPr>
          <w:rFonts w:hint="eastAsia" w:asciiTheme="minorEastAsia" w:hAnsiTheme="minorEastAsia" w:eastAsiaTheme="minorEastAsia" w:cstheme="minorEastAsia"/>
          <w:color w:val="auto"/>
          <w:sz w:val="24"/>
          <w:szCs w:val="24"/>
          <w:highlight w:val="none"/>
        </w:rPr>
        <w:t>（采购人指定地点）。</w:t>
      </w:r>
    </w:p>
    <w:p w14:paraId="7E741D6B">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10.资格审查方式：资格后审。</w:t>
      </w:r>
    </w:p>
    <w:p w14:paraId="2F71234C">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11.本项目不接受联合体参与磋商。</w:t>
      </w:r>
      <w:bookmarkEnd w:id="28"/>
    </w:p>
    <w:p w14:paraId="5C6D1C8A">
      <w:pPr>
        <w:pStyle w:val="4"/>
        <w:numPr>
          <w:ilvl w:val="0"/>
          <w:numId w:val="0"/>
        </w:numPr>
        <w:tabs>
          <w:tab w:val="left" w:pos="1665"/>
          <w:tab w:val="clear" w:pos="3690"/>
        </w:tabs>
        <w:spacing w:before="0" w:after="0" w:line="360" w:lineRule="auto"/>
        <w:ind w:firstLine="482" w:firstLineChars="200"/>
        <w:rPr>
          <w:rFonts w:asciiTheme="minorEastAsia" w:hAnsiTheme="minorEastAsia" w:eastAsiaTheme="minorEastAsia" w:cstheme="minorEastAsia"/>
          <w:color w:val="auto"/>
          <w:sz w:val="24"/>
          <w:szCs w:val="24"/>
          <w:highlight w:val="none"/>
        </w:rPr>
      </w:pPr>
      <w:bookmarkStart w:id="29" w:name="_Toc29619"/>
      <w:bookmarkStart w:id="30" w:name="_Toc27032"/>
      <w:bookmarkStart w:id="31" w:name="_Toc35393791"/>
      <w:bookmarkStart w:id="32" w:name="_Toc35393622"/>
      <w:bookmarkStart w:id="33" w:name="_Toc28359003"/>
      <w:bookmarkStart w:id="34" w:name="_Toc24114"/>
      <w:bookmarkStart w:id="35" w:name="_Toc6760"/>
      <w:bookmarkStart w:id="36" w:name="_Toc22878"/>
      <w:bookmarkStart w:id="37" w:name="_Toc28359080"/>
      <w:r>
        <w:rPr>
          <w:rFonts w:hint="eastAsia" w:asciiTheme="minorEastAsia" w:hAnsiTheme="minorEastAsia" w:eastAsiaTheme="minorEastAsia" w:cstheme="minorEastAsia"/>
          <w:color w:val="auto"/>
          <w:sz w:val="24"/>
          <w:szCs w:val="24"/>
          <w:highlight w:val="none"/>
        </w:rPr>
        <w:t>二、申请人的资格要求</w:t>
      </w:r>
      <w:bookmarkEnd w:id="29"/>
      <w:bookmarkEnd w:id="30"/>
      <w:bookmarkEnd w:id="31"/>
      <w:bookmarkEnd w:id="32"/>
      <w:bookmarkEnd w:id="33"/>
      <w:bookmarkEnd w:id="34"/>
      <w:bookmarkEnd w:id="35"/>
      <w:bookmarkEnd w:id="36"/>
      <w:bookmarkEnd w:id="37"/>
    </w:p>
    <w:p w14:paraId="49EAA5F0">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1.满足《中华人民共和国政府采购法》第二十二条规定。</w:t>
      </w:r>
    </w:p>
    <w:p w14:paraId="7C81345E">
      <w:pPr>
        <w:spacing w:line="360" w:lineRule="auto"/>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2.落实政府采购政策需满足的资格要求：</w:t>
      </w:r>
      <w:r>
        <w:rPr>
          <w:rFonts w:hint="eastAsia" w:asciiTheme="minorEastAsia" w:hAnsiTheme="minorEastAsia" w:eastAsiaTheme="minorEastAsia" w:cstheme="minorEastAsia"/>
          <w:color w:val="auto"/>
          <w:sz w:val="24"/>
          <w:szCs w:val="24"/>
          <w:highlight w:val="none"/>
          <w:lang w:eastAsia="zh-CN"/>
        </w:rPr>
        <w:t>本项目不属于专门面向中小企业采购的项目。评审时小型、微型企业的报价给予5%的扣除。监狱企业、残疾人福利性单位视同小型和微型企业，在评审时给予相同的价格扣除。执行政策文件：《中华人民共和国中小企业促进法》、《政府采购促进中小企业发展管理办法》（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2017〕141号）。</w:t>
      </w:r>
    </w:p>
    <w:p w14:paraId="023FB496">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3.本项目的特定资格要求：</w:t>
      </w:r>
    </w:p>
    <w:p w14:paraId="1A340D3D">
      <w:pPr>
        <w:spacing w:line="50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eastAsia="zh-CN"/>
        </w:rPr>
        <w:t>①</w:t>
      </w:r>
      <w:r>
        <w:rPr>
          <w:rFonts w:hint="eastAsia" w:asciiTheme="minorEastAsia" w:hAnsiTheme="minorEastAsia" w:eastAsiaTheme="minorEastAsia" w:cstheme="minorEastAsia"/>
          <w:color w:val="auto"/>
          <w:sz w:val="24"/>
          <w:szCs w:val="24"/>
          <w:highlight w:val="none"/>
          <w:lang w:val="en-US" w:eastAsia="zh-CN"/>
        </w:rPr>
        <w:t>企业资质要求：具备行政主管部门颁发的有效的水利水电工程或市政公用工程施工总承包三级（含三级）及以上资质；具备有效安全生产许可证，并在人员、设备、资金等方面具有相应的施工能力（提供资质证书、安全生产许可证扫描件加盖供应商电子公章）。</w:t>
      </w:r>
    </w:p>
    <w:p w14:paraId="5E17B44A">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②</w:t>
      </w:r>
      <w:r>
        <w:rPr>
          <w:rFonts w:hint="eastAsia" w:asciiTheme="minorEastAsia" w:hAnsiTheme="minorEastAsia" w:eastAsiaTheme="minorEastAsia" w:cstheme="minorEastAsia"/>
          <w:color w:val="auto"/>
          <w:sz w:val="24"/>
          <w:szCs w:val="24"/>
          <w:highlight w:val="none"/>
          <w:lang w:val="en-US" w:eastAsia="zh-CN"/>
        </w:rPr>
        <w:t>拟派施工项目经理：具备行政主管部门颁发的水利水电</w:t>
      </w:r>
      <w:r>
        <w:rPr>
          <w:rFonts w:hint="eastAsia" w:ascii="宋体" w:hAnsi="宋体" w:eastAsia="宋体" w:cs="宋体"/>
          <w:color w:val="auto"/>
          <w:sz w:val="24"/>
          <w:szCs w:val="24"/>
          <w:highlight w:val="none"/>
          <w:lang w:val="en-US" w:eastAsia="zh-CN"/>
        </w:rPr>
        <w:t>工程或市政公用工程专业二级及以上建造师注册证书（不含临时）及有效的安全生产考核合格证书</w:t>
      </w:r>
      <w:r>
        <w:rPr>
          <w:rFonts w:hint="eastAsia" w:asciiTheme="minorEastAsia" w:hAnsiTheme="minorEastAsia" w:eastAsiaTheme="minorEastAsia" w:cstheme="minorEastAsia"/>
          <w:color w:val="auto"/>
          <w:sz w:val="24"/>
          <w:szCs w:val="24"/>
          <w:highlight w:val="none"/>
          <w:lang w:val="en-US" w:eastAsia="zh-CN"/>
        </w:rPr>
        <w:t>（提供建造师证书、安全生产考核合格证书、身份证扫描件加盖供应商电子公章）；拟派的项目经理的注册建造师证书及安全生产考核证注册单位需与供应商单位名称一致，且须为供应商本单位注册人员，提供社保证明等证明材料加盖供应商电子公章；未担任其他任何在建工程的施工项目负责人（提供承诺函加盖供应商电子公章）。</w:t>
      </w:r>
    </w:p>
    <w:p w14:paraId="787E278E">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其他要求：①单位负责人为同一人或者存在直接控股、管理关系的不同供应商，不得参加同一合同项下的政府采购活动（提供承诺函加盖供应商电子公章）；②为本采购项目提供整体设计、规范编制或者项目管理、监理、检测等服务的供应商，不得再参加本采购项目的其他采购活动（提供承诺函加盖供应商电子公章）。</w:t>
      </w:r>
    </w:p>
    <w:p w14:paraId="5336E186">
      <w:pPr>
        <w:pStyle w:val="4"/>
        <w:numPr>
          <w:ilvl w:val="0"/>
          <w:numId w:val="0"/>
        </w:numPr>
        <w:tabs>
          <w:tab w:val="left" w:pos="1665"/>
          <w:tab w:val="clear" w:pos="3690"/>
        </w:tabs>
        <w:spacing w:before="0" w:after="0" w:line="360" w:lineRule="auto"/>
        <w:ind w:firstLine="482" w:firstLineChars="200"/>
        <w:rPr>
          <w:rFonts w:asciiTheme="minorEastAsia" w:hAnsiTheme="minorEastAsia" w:eastAsiaTheme="minorEastAsia" w:cstheme="minorEastAsia"/>
          <w:color w:val="auto"/>
          <w:sz w:val="24"/>
          <w:szCs w:val="24"/>
          <w:highlight w:val="none"/>
        </w:rPr>
      </w:pPr>
      <w:bookmarkStart w:id="38" w:name="_Toc35393800"/>
      <w:bookmarkStart w:id="39" w:name="_Toc35393631"/>
      <w:bookmarkStart w:id="40" w:name="_Toc17404"/>
      <w:bookmarkStart w:id="41" w:name="_Toc20221"/>
      <w:r>
        <w:rPr>
          <w:rFonts w:hint="eastAsia" w:asciiTheme="minorEastAsia" w:hAnsiTheme="minorEastAsia" w:eastAsiaTheme="minorEastAsia" w:cstheme="minorEastAsia"/>
          <w:color w:val="auto"/>
          <w:sz w:val="24"/>
          <w:szCs w:val="24"/>
          <w:highlight w:val="none"/>
        </w:rPr>
        <w:t>三、获取采购文件</w:t>
      </w:r>
      <w:bookmarkEnd w:id="38"/>
      <w:bookmarkEnd w:id="39"/>
      <w:bookmarkEnd w:id="40"/>
      <w:bookmarkEnd w:id="41"/>
    </w:p>
    <w:p w14:paraId="0C3B32C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1.时间：</w:t>
      </w:r>
      <w:r>
        <w:rPr>
          <w:rFonts w:hint="eastAsia" w:ascii="宋体" w:hAnsi="宋体" w:cs="宋体"/>
          <w:color w:val="auto"/>
          <w:sz w:val="24"/>
          <w:szCs w:val="24"/>
          <w:highlight w:val="none"/>
          <w:u w:val="single"/>
          <w:lang w:eastAsia="zh-CN"/>
        </w:rPr>
        <w:t>2026年09月23日至2026年09月30日</w:t>
      </w:r>
      <w:r>
        <w:rPr>
          <w:rFonts w:hint="eastAsia" w:ascii="宋体" w:hAnsi="宋体" w:cs="宋体"/>
          <w:color w:val="auto"/>
          <w:sz w:val="24"/>
          <w:szCs w:val="24"/>
          <w:highlight w:val="none"/>
        </w:rPr>
        <w:t>，每天0</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：00时至23:59时（北京时间）；</w:t>
      </w:r>
    </w:p>
    <w:p w14:paraId="5ABCDF1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2.地点：供应商须在“政采云”平台 （http://www.zcygov.cn）下载采购文件（操作路径：登录“政采云”平台－项目采购－获取采购文件－找到本项目－点击“申请获取采购文件”）。</w:t>
      </w:r>
    </w:p>
    <w:p w14:paraId="5D0C604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方式：凡有意参加磋商的供应商，须在政采云平台办理数字证书（CA），CA申领链接https∶//middle.zcygov.cn/ca/apply/list?_app_=zcy.sys，并通过政采云绑定数字证书（CA）后在网上获取采购文件及其它采购资料，数字证书（CA）详见其办理流程。注：供应商如之前已在云南CA在线数字证书办理网进行过注册并办理过企业数字证书（CA）的，直接绑定即可，无需重复办理（2022年1月1日前在云南省公共资源交易平台办理过云南CA证书的需到原办理点进行升级后方可使用）。外省供应商在政采云平台办理的其他CA可直接使用，无需重复办理。</w:t>
      </w:r>
    </w:p>
    <w:p w14:paraId="3DB71C7F">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供应商通过CA证书获取采购文件的视为合法获取了项目采购文件，具备本项目的磋商资格。电子响应文件制作需要基于“政采云”平台（http：//www.zcygov.cn）获取的采购文件编制。</w:t>
      </w:r>
    </w:p>
    <w:p w14:paraId="60ABDED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4.售价：0元。</w:t>
      </w:r>
    </w:p>
    <w:p w14:paraId="7594E2FA">
      <w:pPr>
        <w:pStyle w:val="4"/>
        <w:numPr>
          <w:ilvl w:val="0"/>
          <w:numId w:val="0"/>
        </w:numPr>
        <w:tabs>
          <w:tab w:val="left" w:pos="1665"/>
          <w:tab w:val="clear" w:pos="3690"/>
        </w:tabs>
        <w:spacing w:before="0" w:after="0" w:line="360" w:lineRule="auto"/>
        <w:ind w:firstLine="482" w:firstLineChars="200"/>
        <w:rPr>
          <w:rFonts w:asciiTheme="minorEastAsia" w:hAnsiTheme="minorEastAsia" w:eastAsiaTheme="minorEastAsia" w:cstheme="minorEastAsia"/>
          <w:color w:val="auto"/>
          <w:sz w:val="24"/>
          <w:szCs w:val="24"/>
          <w:highlight w:val="none"/>
        </w:rPr>
      </w:pPr>
      <w:bookmarkStart w:id="42" w:name="_Toc35393801"/>
      <w:bookmarkStart w:id="43" w:name="_Toc28359015"/>
      <w:bookmarkStart w:id="44" w:name="_Toc35393632"/>
      <w:bookmarkStart w:id="45" w:name="_Toc28359092"/>
      <w:bookmarkStart w:id="46" w:name="_Toc5450"/>
      <w:bookmarkStart w:id="47" w:name="_Toc17125"/>
      <w:bookmarkStart w:id="48" w:name="_Toc28359007"/>
      <w:bookmarkStart w:id="49" w:name="_Toc35393794"/>
      <w:bookmarkStart w:id="50" w:name="_Toc23780"/>
      <w:bookmarkStart w:id="51" w:name="_Toc3522"/>
      <w:bookmarkStart w:id="52" w:name="_Toc17849"/>
      <w:bookmarkStart w:id="53" w:name="_Toc28359084"/>
      <w:bookmarkStart w:id="54" w:name="_Toc35393625"/>
      <w:r>
        <w:rPr>
          <w:rFonts w:hint="eastAsia" w:asciiTheme="minorEastAsia" w:hAnsiTheme="minorEastAsia" w:eastAsiaTheme="minorEastAsia" w:cstheme="minorEastAsia"/>
          <w:color w:val="auto"/>
          <w:sz w:val="24"/>
          <w:szCs w:val="24"/>
          <w:highlight w:val="none"/>
        </w:rPr>
        <w:t>四、</w:t>
      </w:r>
      <w:bookmarkEnd w:id="42"/>
      <w:bookmarkEnd w:id="43"/>
      <w:bookmarkEnd w:id="44"/>
      <w:bookmarkEnd w:id="45"/>
      <w:r>
        <w:rPr>
          <w:rFonts w:hint="eastAsia" w:asciiTheme="minorEastAsia" w:hAnsiTheme="minorEastAsia" w:eastAsiaTheme="minorEastAsia" w:cstheme="minorEastAsia"/>
          <w:color w:val="auto"/>
          <w:sz w:val="24"/>
          <w:szCs w:val="24"/>
          <w:highlight w:val="none"/>
        </w:rPr>
        <w:t>响应文件提交</w:t>
      </w:r>
      <w:bookmarkEnd w:id="46"/>
      <w:bookmarkEnd w:id="47"/>
    </w:p>
    <w:p w14:paraId="6F21528A">
      <w:pPr>
        <w:spacing w:line="360" w:lineRule="auto"/>
        <w:ind w:firstLine="480" w:firstLineChars="200"/>
        <w:rPr>
          <w:rFonts w:ascii="宋体" w:hAnsi="宋体" w:cs="宋体"/>
          <w:color w:val="auto"/>
          <w:sz w:val="24"/>
          <w:szCs w:val="24"/>
          <w:highlight w:val="none"/>
        </w:rPr>
      </w:pPr>
      <w:bookmarkStart w:id="55" w:name="_Toc28359093"/>
      <w:bookmarkStart w:id="56" w:name="_Toc46742451"/>
      <w:bookmarkStart w:id="57" w:name="_Toc28359016"/>
      <w:bookmarkStart w:id="58" w:name="_Toc35393802"/>
      <w:bookmarkStart w:id="59" w:name="_Toc35393633"/>
      <w:r>
        <w:rPr>
          <w:rFonts w:hint="eastAsia" w:ascii="宋体" w:hAnsi="宋体" w:cs="宋体"/>
          <w:color w:val="auto"/>
          <w:sz w:val="24"/>
          <w:szCs w:val="24"/>
          <w:highlight w:val="none"/>
        </w:rPr>
        <w:t>1.截止时间：</w:t>
      </w:r>
      <w:r>
        <w:rPr>
          <w:rFonts w:hint="eastAsia" w:asciiTheme="minorEastAsia" w:hAnsiTheme="minorEastAsia" w:eastAsiaTheme="minorEastAsia" w:cstheme="minorEastAsia"/>
          <w:color w:val="auto"/>
          <w:sz w:val="24"/>
          <w:szCs w:val="24"/>
          <w:highlight w:val="none"/>
          <w:u w:val="single"/>
          <w:lang w:eastAsia="zh-CN"/>
        </w:rPr>
        <w:t>2026年10月09日15时00分</w:t>
      </w:r>
      <w:r>
        <w:rPr>
          <w:rFonts w:hint="eastAsia" w:ascii="宋体" w:hAnsi="宋体" w:cs="宋体"/>
          <w:color w:val="auto"/>
          <w:sz w:val="24"/>
          <w:szCs w:val="24"/>
          <w:highlight w:val="none"/>
        </w:rPr>
        <w:t>（北京时间）。</w:t>
      </w:r>
    </w:p>
    <w:p w14:paraId="2FBDE9B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2.地点：请登录政采云投标客户端投标。</w:t>
      </w:r>
    </w:p>
    <w:bookmarkEnd w:id="55"/>
    <w:bookmarkEnd w:id="56"/>
    <w:bookmarkEnd w:id="57"/>
    <w:bookmarkEnd w:id="58"/>
    <w:bookmarkEnd w:id="59"/>
    <w:p w14:paraId="1C35998A">
      <w:pPr>
        <w:pStyle w:val="4"/>
        <w:numPr>
          <w:ilvl w:val="0"/>
          <w:numId w:val="0"/>
        </w:numPr>
        <w:tabs>
          <w:tab w:val="left" w:pos="1665"/>
          <w:tab w:val="clear" w:pos="3690"/>
        </w:tabs>
        <w:spacing w:before="0" w:after="0" w:line="360" w:lineRule="auto"/>
        <w:ind w:firstLine="482" w:firstLineChars="200"/>
        <w:rPr>
          <w:rFonts w:asciiTheme="minorEastAsia" w:hAnsiTheme="minorEastAsia" w:eastAsiaTheme="minorEastAsia" w:cstheme="minorEastAsia"/>
          <w:color w:val="auto"/>
          <w:sz w:val="24"/>
          <w:szCs w:val="24"/>
          <w:highlight w:val="none"/>
        </w:rPr>
      </w:pPr>
      <w:bookmarkStart w:id="60" w:name="_Toc25880"/>
      <w:bookmarkStart w:id="61" w:name="_Toc27852"/>
      <w:r>
        <w:rPr>
          <w:rFonts w:hint="eastAsia" w:asciiTheme="minorEastAsia" w:hAnsiTheme="minorEastAsia" w:eastAsiaTheme="minorEastAsia" w:cstheme="minorEastAsia"/>
          <w:color w:val="auto"/>
          <w:sz w:val="24"/>
          <w:szCs w:val="24"/>
          <w:highlight w:val="none"/>
        </w:rPr>
        <w:t>五、开启</w:t>
      </w:r>
      <w:bookmarkEnd w:id="60"/>
      <w:bookmarkEnd w:id="61"/>
    </w:p>
    <w:p w14:paraId="366D23D1">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1.时间：</w:t>
      </w:r>
      <w:r>
        <w:rPr>
          <w:rFonts w:hint="eastAsia" w:asciiTheme="minorEastAsia" w:hAnsiTheme="minorEastAsia" w:eastAsiaTheme="minorEastAsia" w:cstheme="minorEastAsia"/>
          <w:color w:val="auto"/>
          <w:sz w:val="24"/>
          <w:szCs w:val="24"/>
          <w:highlight w:val="none"/>
          <w:u w:val="single"/>
          <w:lang w:eastAsia="zh-CN"/>
        </w:rPr>
        <w:t>2026年10月09日15时00分</w:t>
      </w:r>
      <w:r>
        <w:rPr>
          <w:rFonts w:hint="eastAsia" w:ascii="宋体" w:hAnsi="宋体" w:cs="宋体"/>
          <w:color w:val="auto"/>
          <w:sz w:val="24"/>
          <w:szCs w:val="24"/>
          <w:highlight w:val="none"/>
        </w:rPr>
        <w:t>（北京时间）。</w:t>
      </w:r>
    </w:p>
    <w:p w14:paraId="1C9B9A82">
      <w:pPr>
        <w:spacing w:line="360" w:lineRule="auto"/>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2.地点：</w:t>
      </w:r>
      <w:bookmarkStart w:id="62" w:name="OLE_LINK135"/>
      <w:r>
        <w:rPr>
          <w:rFonts w:hint="eastAsia" w:ascii="宋体" w:hAnsi="宋体" w:cs="宋体"/>
          <w:color w:val="auto"/>
          <w:kern w:val="0"/>
          <w:sz w:val="24"/>
          <w:szCs w:val="24"/>
          <w:highlight w:val="none"/>
        </w:rPr>
        <w:t>供应商应按照本项目竞争性磋商文件和政府采购云平台的要求编制、加密响应文件后在响应文件提交截止时间前上传至政府采购云平台，供应商须在</w:t>
      </w:r>
      <w:bookmarkStart w:id="63" w:name="OLE_LINK243"/>
      <w:r>
        <w:rPr>
          <w:rFonts w:hint="eastAsia" w:ascii="宋体" w:hAnsi="宋体" w:cs="宋体"/>
          <w:color w:val="auto"/>
          <w:kern w:val="0"/>
          <w:sz w:val="24"/>
          <w:szCs w:val="24"/>
          <w:highlight w:val="none"/>
        </w:rPr>
        <w:t>响应文件提交</w:t>
      </w:r>
      <w:bookmarkEnd w:id="63"/>
      <w:r>
        <w:rPr>
          <w:rFonts w:hint="eastAsia" w:ascii="宋体" w:hAnsi="宋体" w:cs="宋体"/>
          <w:color w:val="auto"/>
          <w:kern w:val="0"/>
          <w:sz w:val="24"/>
          <w:szCs w:val="24"/>
          <w:highlight w:val="none"/>
        </w:rPr>
        <w:t>截止时间前完成所有电子响应文件的上传，响应文件提交截止时间前未完成响应文件传输的，视为撤回响应文件。供应商在政府采购云平台提交电子版响应文件时，请填写参加远程采购活动经办人联系方式。供应商无需到达开启地点，须在政府采购云平台进行远程解密电子版响应文件</w:t>
      </w:r>
      <w:bookmarkEnd w:id="62"/>
      <w:r>
        <w:rPr>
          <w:rFonts w:hint="eastAsia" w:ascii="宋体" w:hAnsi="宋体" w:cs="宋体"/>
          <w:color w:val="auto"/>
          <w:kern w:val="0"/>
          <w:sz w:val="24"/>
          <w:szCs w:val="24"/>
          <w:highlight w:val="none"/>
        </w:rPr>
        <w:t>。</w:t>
      </w:r>
    </w:p>
    <w:p w14:paraId="0F3C4DD9">
      <w:pPr>
        <w:pStyle w:val="4"/>
        <w:numPr>
          <w:ilvl w:val="0"/>
          <w:numId w:val="0"/>
        </w:numPr>
        <w:tabs>
          <w:tab w:val="left" w:pos="1665"/>
          <w:tab w:val="clear" w:pos="3690"/>
        </w:tabs>
        <w:spacing w:before="0" w:after="0" w:line="360" w:lineRule="auto"/>
        <w:ind w:firstLine="482" w:firstLineChars="200"/>
        <w:rPr>
          <w:rFonts w:asciiTheme="minorEastAsia" w:hAnsiTheme="minorEastAsia" w:eastAsiaTheme="minorEastAsia" w:cstheme="minorEastAsia"/>
          <w:color w:val="auto"/>
          <w:sz w:val="24"/>
          <w:szCs w:val="24"/>
          <w:highlight w:val="none"/>
        </w:rPr>
      </w:pPr>
      <w:bookmarkStart w:id="64" w:name="_Toc22881"/>
      <w:bookmarkStart w:id="65" w:name="_Toc1273"/>
      <w:r>
        <w:rPr>
          <w:rFonts w:hint="eastAsia" w:asciiTheme="minorEastAsia" w:hAnsiTheme="minorEastAsia" w:eastAsiaTheme="minorEastAsia" w:cstheme="minorEastAsia"/>
          <w:color w:val="auto"/>
          <w:sz w:val="24"/>
          <w:szCs w:val="24"/>
          <w:highlight w:val="none"/>
        </w:rPr>
        <w:t>六、公告期限</w:t>
      </w:r>
      <w:bookmarkEnd w:id="48"/>
      <w:bookmarkEnd w:id="49"/>
      <w:bookmarkEnd w:id="50"/>
      <w:bookmarkEnd w:id="51"/>
      <w:bookmarkEnd w:id="52"/>
      <w:bookmarkEnd w:id="53"/>
      <w:bookmarkEnd w:id="54"/>
      <w:bookmarkEnd w:id="64"/>
      <w:bookmarkEnd w:id="65"/>
    </w:p>
    <w:p w14:paraId="464BDB01">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宋体" w:hAnsi="宋体" w:cs="宋体"/>
          <w:color w:val="auto"/>
          <w:kern w:val="0"/>
          <w:sz w:val="24"/>
          <w:szCs w:val="24"/>
          <w:highlight w:val="none"/>
        </w:rPr>
        <w:t>自本公告发布之日起5个工作日</w:t>
      </w:r>
      <w:r>
        <w:rPr>
          <w:rFonts w:hint="eastAsia" w:asciiTheme="minorEastAsia" w:hAnsiTheme="minorEastAsia" w:eastAsiaTheme="minorEastAsia" w:cstheme="minorEastAsia"/>
          <w:color w:val="auto"/>
          <w:kern w:val="0"/>
          <w:sz w:val="24"/>
          <w:szCs w:val="24"/>
          <w:highlight w:val="none"/>
        </w:rPr>
        <w:t>。</w:t>
      </w:r>
    </w:p>
    <w:p w14:paraId="1FCE478B">
      <w:pPr>
        <w:pStyle w:val="4"/>
        <w:numPr>
          <w:ilvl w:val="0"/>
          <w:numId w:val="0"/>
        </w:numPr>
        <w:tabs>
          <w:tab w:val="left" w:pos="1665"/>
          <w:tab w:val="clear" w:pos="3690"/>
        </w:tabs>
        <w:spacing w:before="0" w:after="0" w:line="360" w:lineRule="auto"/>
        <w:ind w:firstLine="482" w:firstLineChars="200"/>
        <w:rPr>
          <w:rFonts w:asciiTheme="minorEastAsia" w:hAnsiTheme="minorEastAsia" w:eastAsiaTheme="minorEastAsia" w:cstheme="minorEastAsia"/>
          <w:color w:val="auto"/>
          <w:sz w:val="24"/>
          <w:szCs w:val="24"/>
          <w:highlight w:val="none"/>
        </w:rPr>
      </w:pPr>
      <w:bookmarkStart w:id="66" w:name="_Toc35393795"/>
      <w:bookmarkStart w:id="67" w:name="_Toc20776"/>
      <w:bookmarkStart w:id="68" w:name="_Toc31284"/>
      <w:bookmarkStart w:id="69" w:name="_Toc35393626"/>
      <w:bookmarkStart w:id="70" w:name="_Toc25097"/>
      <w:bookmarkStart w:id="71" w:name="_Toc22442"/>
      <w:bookmarkStart w:id="72" w:name="_Toc23211"/>
      <w:r>
        <w:rPr>
          <w:rFonts w:hint="eastAsia" w:asciiTheme="minorEastAsia" w:hAnsiTheme="minorEastAsia" w:eastAsiaTheme="minorEastAsia" w:cstheme="minorEastAsia"/>
          <w:color w:val="auto"/>
          <w:sz w:val="24"/>
          <w:szCs w:val="24"/>
          <w:highlight w:val="none"/>
        </w:rPr>
        <w:t>七、其他补充事宜</w:t>
      </w:r>
      <w:bookmarkEnd w:id="66"/>
      <w:bookmarkEnd w:id="67"/>
      <w:bookmarkEnd w:id="68"/>
      <w:bookmarkEnd w:id="69"/>
      <w:bookmarkEnd w:id="70"/>
      <w:bookmarkEnd w:id="71"/>
      <w:bookmarkEnd w:id="72"/>
    </w:p>
    <w:p w14:paraId="42751EAE">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开启</w:t>
      </w:r>
      <w:r>
        <w:rPr>
          <w:rFonts w:hint="eastAsia" w:ascii="宋体" w:hAnsi="宋体" w:eastAsia="宋体" w:cs="宋体"/>
          <w:color w:val="auto"/>
          <w:kern w:val="0"/>
          <w:sz w:val="24"/>
          <w:szCs w:val="24"/>
          <w:highlight w:val="none"/>
        </w:rPr>
        <w:t>方式：网上</w:t>
      </w:r>
      <w:r>
        <w:rPr>
          <w:rFonts w:hint="eastAsia" w:ascii="宋体" w:hAnsi="宋体" w:eastAsia="宋体" w:cs="宋体"/>
          <w:color w:val="auto"/>
          <w:kern w:val="0"/>
          <w:sz w:val="24"/>
          <w:szCs w:val="24"/>
          <w:highlight w:val="none"/>
          <w:lang w:val="en-US" w:eastAsia="zh-CN"/>
        </w:rPr>
        <w:t>开启</w:t>
      </w:r>
      <w:r>
        <w:rPr>
          <w:rFonts w:hint="eastAsia" w:ascii="宋体" w:hAnsi="宋体" w:eastAsia="宋体" w:cs="宋体"/>
          <w:color w:val="auto"/>
          <w:kern w:val="0"/>
          <w:sz w:val="24"/>
          <w:szCs w:val="24"/>
          <w:highlight w:val="none"/>
        </w:rPr>
        <w:t>。</w:t>
      </w:r>
    </w:p>
    <w:p w14:paraId="41FC48B0">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2.是否需要缴纳磋商保证金：</w:t>
      </w:r>
    </w:p>
    <w:p w14:paraId="2399F136">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1.本项目投标保证金金额：</w:t>
      </w:r>
      <w:r>
        <w:rPr>
          <w:rFonts w:hint="eastAsia" w:ascii="宋体" w:hAnsi="宋体" w:cs="宋体"/>
          <w:color w:val="auto"/>
          <w:kern w:val="0"/>
          <w:sz w:val="24"/>
          <w:szCs w:val="24"/>
          <w:highlight w:val="none"/>
          <w:lang w:val="en-US" w:eastAsia="zh-CN"/>
        </w:rPr>
        <w:t>8000.00</w:t>
      </w:r>
      <w:r>
        <w:rPr>
          <w:rFonts w:hint="eastAsia" w:ascii="宋体" w:hAnsi="宋体" w:eastAsia="宋体" w:cs="宋体"/>
          <w:color w:val="auto"/>
          <w:kern w:val="0"/>
          <w:sz w:val="24"/>
          <w:szCs w:val="24"/>
          <w:highlight w:val="none"/>
          <w:lang w:val="en-US" w:eastAsia="zh-CN"/>
        </w:rPr>
        <w:t>元</w:t>
      </w:r>
      <w:r>
        <w:rPr>
          <w:rFonts w:hint="eastAsia" w:ascii="宋体" w:hAnsi="宋体" w:eastAsia="宋体" w:cs="宋体"/>
          <w:color w:val="auto"/>
          <w:kern w:val="0"/>
          <w:sz w:val="24"/>
          <w:szCs w:val="24"/>
          <w:highlight w:val="none"/>
        </w:rPr>
        <w:t>；</w:t>
      </w:r>
    </w:p>
    <w:p w14:paraId="6FAD5A7B">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2.投标保证金缴纳截止时间为</w:t>
      </w:r>
      <w:r>
        <w:rPr>
          <w:rFonts w:hint="eastAsia" w:ascii="宋体" w:hAnsi="宋体" w:cs="宋体"/>
          <w:color w:val="auto"/>
          <w:kern w:val="0"/>
          <w:sz w:val="24"/>
          <w:szCs w:val="24"/>
          <w:highlight w:val="none"/>
          <w:lang w:eastAsia="zh-CN"/>
        </w:rPr>
        <w:t>2026年10月09日15时00分</w:t>
      </w:r>
      <w:r>
        <w:rPr>
          <w:rFonts w:hint="eastAsia" w:ascii="宋体" w:hAnsi="宋体" w:eastAsia="宋体" w:cs="宋体"/>
          <w:color w:val="auto"/>
          <w:kern w:val="0"/>
          <w:sz w:val="24"/>
          <w:szCs w:val="24"/>
          <w:highlight w:val="none"/>
        </w:rPr>
        <w:t>（北京时间）。</w:t>
      </w:r>
    </w:p>
    <w:p w14:paraId="1192752E">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3.本项目投标保证金形式为转账或银行保函或保证保险或其他非现金方式（不接收现场缴纳现金），采用转账的方式提交投标保证金的，保证金凭证上需写明“项目名称” 或“ 采购编号第几标段”投标保证金），指定交款内容、金额、账户名称、开户银行、账户列表如下：</w:t>
      </w:r>
    </w:p>
    <w:tbl>
      <w:tblPr>
        <w:tblStyle w:val="27"/>
        <w:tblW w:w="9709"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709"/>
      </w:tblGrid>
      <w:tr w14:paraId="4581F65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20" w:hRule="atLeast"/>
        </w:trPr>
        <w:tc>
          <w:tcPr>
            <w:tcW w:w="9709" w:type="dxa"/>
            <w:tcBorders>
              <w:top w:val="single" w:color="000000" w:sz="6" w:space="0"/>
              <w:left w:val="single" w:color="000000" w:sz="6" w:space="0"/>
              <w:bottom w:val="single" w:color="000000" w:sz="6" w:space="0"/>
              <w:right w:val="single" w:color="000000" w:sz="6" w:space="0"/>
            </w:tcBorders>
            <w:shd w:val="clear" w:color="auto" w:fill="auto"/>
            <w:tcMar>
              <w:left w:w="105" w:type="dxa"/>
              <w:right w:w="105" w:type="dxa"/>
            </w:tcMar>
            <w:vAlign w:val="center"/>
          </w:tcPr>
          <w:p w14:paraId="4A20592B">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投标保证金交纳专用账户</w:t>
            </w:r>
          </w:p>
        </w:tc>
      </w:tr>
      <w:tr w14:paraId="2B4E51C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20" w:hRule="atLeast"/>
        </w:trPr>
        <w:tc>
          <w:tcPr>
            <w:tcW w:w="9709"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10629076">
            <w:pPr>
              <w:spacing w:line="360" w:lineRule="auto"/>
              <w:ind w:firstLine="480" w:firstLineChars="20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开户名称：</w:t>
            </w:r>
            <w:r>
              <w:rPr>
                <w:rFonts w:hint="eastAsia" w:ascii="宋体" w:hAnsi="宋体" w:eastAsia="宋体" w:cs="宋体"/>
                <w:color w:val="auto"/>
                <w:kern w:val="0"/>
                <w:sz w:val="24"/>
                <w:szCs w:val="24"/>
                <w:highlight w:val="none"/>
                <w:lang w:eastAsia="zh-CN"/>
              </w:rPr>
              <w:t>云南文星招标有限公司</w:t>
            </w:r>
          </w:p>
        </w:tc>
      </w:tr>
      <w:tr w14:paraId="439F772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20" w:hRule="atLeast"/>
        </w:trPr>
        <w:tc>
          <w:tcPr>
            <w:tcW w:w="9709"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14:paraId="253C2C9C">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开户银行：云南省腾冲农村商业银行股份有限公司</w:t>
            </w:r>
          </w:p>
        </w:tc>
      </w:tr>
      <w:tr w14:paraId="1E78CCF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20" w:hRule="atLeast"/>
        </w:trPr>
        <w:tc>
          <w:tcPr>
            <w:tcW w:w="9709" w:type="dxa"/>
            <w:tcBorders>
              <w:top w:val="nil"/>
              <w:left w:val="single" w:color="000000" w:sz="6" w:space="0"/>
              <w:bottom w:val="single" w:color="auto" w:sz="4" w:space="0"/>
              <w:right w:val="single" w:color="000000" w:sz="6" w:space="0"/>
            </w:tcBorders>
            <w:shd w:val="clear" w:color="auto" w:fill="auto"/>
            <w:tcMar>
              <w:left w:w="105" w:type="dxa"/>
              <w:right w:w="105" w:type="dxa"/>
            </w:tcMar>
            <w:vAlign w:val="center"/>
          </w:tcPr>
          <w:p w14:paraId="68AF8DB4">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账号：2300018315052012</w:t>
            </w:r>
          </w:p>
        </w:tc>
      </w:tr>
      <w:tr w14:paraId="4D76D88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20" w:hRule="atLeast"/>
        </w:trPr>
        <w:tc>
          <w:tcPr>
            <w:tcW w:w="9709" w:type="dxa"/>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1814E8DB">
            <w:pPr>
              <w:spacing w:line="360" w:lineRule="auto"/>
              <w:ind w:firstLine="480" w:firstLineChars="200"/>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业务咨询电话：0875-</w:t>
            </w:r>
            <w:r>
              <w:rPr>
                <w:rFonts w:hint="eastAsia" w:ascii="宋体" w:hAnsi="宋体" w:eastAsia="宋体" w:cs="宋体"/>
                <w:color w:val="auto"/>
                <w:kern w:val="0"/>
                <w:sz w:val="24"/>
                <w:szCs w:val="24"/>
                <w:highlight w:val="none"/>
                <w:lang w:val="en-US" w:eastAsia="zh-CN"/>
              </w:rPr>
              <w:t>5186117</w:t>
            </w:r>
          </w:p>
        </w:tc>
      </w:tr>
      <w:tr w14:paraId="45E7108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20" w:hRule="atLeast"/>
        </w:trPr>
        <w:tc>
          <w:tcPr>
            <w:tcW w:w="9709" w:type="dxa"/>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436E120B">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联系人：</w:t>
            </w:r>
            <w:r>
              <w:rPr>
                <w:rFonts w:hint="eastAsia" w:ascii="宋体" w:hAnsi="宋体" w:eastAsia="宋体" w:cs="宋体"/>
                <w:color w:val="auto"/>
                <w:kern w:val="0"/>
                <w:sz w:val="24"/>
                <w:szCs w:val="24"/>
                <w:highlight w:val="none"/>
                <w:lang w:val="en-US" w:eastAsia="zh-CN"/>
              </w:rPr>
              <w:t>付</w:t>
            </w:r>
            <w:r>
              <w:rPr>
                <w:rFonts w:hint="eastAsia" w:ascii="宋体" w:hAnsi="宋体" w:eastAsia="宋体" w:cs="宋体"/>
                <w:color w:val="auto"/>
                <w:kern w:val="0"/>
                <w:sz w:val="24"/>
                <w:szCs w:val="24"/>
                <w:highlight w:val="none"/>
              </w:rPr>
              <w:t>女士</w:t>
            </w:r>
          </w:p>
        </w:tc>
      </w:tr>
    </w:tbl>
    <w:p w14:paraId="66D470A4">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注：下列情况发生时，投标保证金将不予退还：</w:t>
      </w:r>
    </w:p>
    <w:p w14:paraId="0F0B27A9">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（1）投标人在提交投标文件截止时间后撤回投标文件的。</w:t>
      </w:r>
    </w:p>
    <w:p w14:paraId="64889235">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（2）投标人在投标文件中提供虚假材料的。</w:t>
      </w:r>
    </w:p>
    <w:p w14:paraId="15FADBC8">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（3）除因不可抗力或招标文件、中标通知书认可的情形以外，</w:t>
      </w:r>
      <w:r>
        <w:rPr>
          <w:rFonts w:hint="eastAsia" w:ascii="宋体" w:hAnsi="宋体" w:cs="宋体"/>
          <w:color w:val="auto"/>
          <w:kern w:val="0"/>
          <w:sz w:val="24"/>
          <w:szCs w:val="24"/>
          <w:highlight w:val="none"/>
          <w:lang w:eastAsia="zh-CN"/>
        </w:rPr>
        <w:t>成交人</w:t>
      </w:r>
      <w:r>
        <w:rPr>
          <w:rFonts w:hint="eastAsia" w:ascii="宋体" w:hAnsi="宋体" w:eastAsia="宋体" w:cs="宋体"/>
          <w:color w:val="auto"/>
          <w:kern w:val="0"/>
          <w:sz w:val="24"/>
          <w:szCs w:val="24"/>
          <w:highlight w:val="none"/>
        </w:rPr>
        <w:t>不与采购人签订合同的。</w:t>
      </w:r>
    </w:p>
    <w:p w14:paraId="5F5781A0">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（4）投标人与采购人、其他投标人或者采购代理机构恶意串通的。</w:t>
      </w:r>
    </w:p>
    <w:p w14:paraId="7B025302">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（5）招标文件规定的其他情形。</w:t>
      </w:r>
    </w:p>
    <w:p w14:paraId="448FE675">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 采购意向公开情况：根据《财政部关于开展政府采购意向公开工作的通知》（财库〔2020〕10号）等有关规定，202</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年</w:t>
      </w:r>
      <w:r>
        <w:rPr>
          <w:rFonts w:hint="eastAsia" w:ascii="宋体" w:hAnsi="宋体" w:cs="宋体"/>
          <w:color w:val="auto"/>
          <w:kern w:val="0"/>
          <w:sz w:val="24"/>
          <w:szCs w:val="24"/>
          <w:highlight w:val="none"/>
          <w:lang w:val="en-US" w:eastAsia="zh-CN"/>
        </w:rPr>
        <w:t>03</w:t>
      </w:r>
      <w:r>
        <w:rPr>
          <w:rFonts w:hint="eastAsia" w:ascii="宋体" w:hAnsi="宋体" w:eastAsia="宋体" w:cs="宋体"/>
          <w:color w:val="auto"/>
          <w:kern w:val="0"/>
          <w:sz w:val="24"/>
          <w:szCs w:val="24"/>
          <w:highlight w:val="none"/>
        </w:rPr>
        <w:t>月</w:t>
      </w:r>
      <w:r>
        <w:rPr>
          <w:rFonts w:hint="eastAsia" w:ascii="宋体" w:hAnsi="宋体" w:cs="宋体"/>
          <w:color w:val="auto"/>
          <w:kern w:val="0"/>
          <w:sz w:val="24"/>
          <w:szCs w:val="24"/>
          <w:highlight w:val="none"/>
          <w:lang w:val="en-US" w:eastAsia="zh-CN"/>
        </w:rPr>
        <w:t>03</w:t>
      </w:r>
      <w:r>
        <w:rPr>
          <w:rFonts w:hint="eastAsia" w:ascii="宋体" w:hAnsi="宋体" w:eastAsia="宋体" w:cs="宋体"/>
          <w:color w:val="auto"/>
          <w:kern w:val="0"/>
          <w:sz w:val="24"/>
          <w:szCs w:val="24"/>
          <w:highlight w:val="none"/>
        </w:rPr>
        <w:t>日本项目采购意向公开信息在云南省政府采购网发布，采购意向公开信息网为：</w:t>
      </w:r>
    </w:p>
    <w:p w14:paraId="1B59A370">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http://www.yngp.com/viewPurchaseInfo.html?sys_purchaseintention_id=38e6eecf.19ca3c11cae.-4aa2。</w:t>
      </w:r>
    </w:p>
    <w:p w14:paraId="437937DD">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.其他：采购信息、成交公告在云南省政府采购网（http://www.yngp.com/）公开发布，我公司对其他网站或媒体转载的公告及公告内容不承担任何责任。</w:t>
      </w:r>
    </w:p>
    <w:p w14:paraId="5586B480">
      <w:pPr>
        <w:pStyle w:val="4"/>
        <w:numPr>
          <w:ilvl w:val="0"/>
          <w:numId w:val="0"/>
        </w:numPr>
        <w:tabs>
          <w:tab w:val="left" w:pos="1665"/>
          <w:tab w:val="clear" w:pos="3690"/>
        </w:tabs>
        <w:spacing w:before="0" w:after="0" w:line="360" w:lineRule="auto"/>
        <w:ind w:firstLine="482" w:firstLineChars="200"/>
        <w:rPr>
          <w:rFonts w:asciiTheme="minorEastAsia" w:hAnsiTheme="minorEastAsia" w:eastAsiaTheme="minorEastAsia" w:cstheme="minorEastAsia"/>
          <w:color w:val="auto"/>
          <w:sz w:val="24"/>
          <w:szCs w:val="24"/>
          <w:highlight w:val="none"/>
        </w:rPr>
      </w:pPr>
      <w:bookmarkStart w:id="73" w:name="_Toc13241"/>
      <w:bookmarkStart w:id="74" w:name="_Toc7195"/>
      <w:r>
        <w:rPr>
          <w:rFonts w:hint="eastAsia" w:asciiTheme="minorEastAsia" w:hAnsiTheme="minorEastAsia" w:eastAsiaTheme="minorEastAsia" w:cstheme="minorEastAsia"/>
          <w:color w:val="auto"/>
          <w:sz w:val="24"/>
          <w:szCs w:val="24"/>
          <w:highlight w:val="none"/>
        </w:rPr>
        <w:t>八、凡对本次采购提出询问，请按以下方式联系</w:t>
      </w:r>
      <w:bookmarkEnd w:id="73"/>
      <w:bookmarkEnd w:id="74"/>
    </w:p>
    <w:bookmarkEnd w:id="18"/>
    <w:p w14:paraId="7A1E0F0E">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1.采购人信息</w:t>
      </w:r>
    </w:p>
    <w:p w14:paraId="2F5E692E">
      <w:pPr>
        <w:spacing w:line="360" w:lineRule="auto"/>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名    称：</w:t>
      </w:r>
      <w:r>
        <w:rPr>
          <w:rFonts w:hint="eastAsia" w:asciiTheme="minorEastAsia" w:hAnsiTheme="minorEastAsia" w:eastAsiaTheme="minorEastAsia" w:cstheme="minorEastAsia"/>
          <w:color w:val="auto"/>
          <w:sz w:val="24"/>
          <w:szCs w:val="24"/>
          <w:highlight w:val="none"/>
          <w:lang w:eastAsia="zh-CN"/>
        </w:rPr>
        <w:t>腾冲市团田乡人民政府</w:t>
      </w:r>
    </w:p>
    <w:p w14:paraId="5E3F0047">
      <w:pPr>
        <w:spacing w:line="360" w:lineRule="auto"/>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地    址：</w:t>
      </w:r>
      <w:r>
        <w:rPr>
          <w:rFonts w:hint="eastAsia" w:asciiTheme="minorEastAsia" w:hAnsiTheme="minorEastAsia" w:eastAsiaTheme="minorEastAsia" w:cstheme="minorEastAsia"/>
          <w:color w:val="auto"/>
          <w:sz w:val="24"/>
          <w:szCs w:val="24"/>
          <w:highlight w:val="none"/>
          <w:lang w:eastAsia="zh-CN"/>
        </w:rPr>
        <w:t>腾冲市团田乡曼弄社区桥头街</w:t>
      </w:r>
    </w:p>
    <w:p w14:paraId="28B531D4">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联</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系</w:t>
      </w:r>
      <w:r>
        <w:rPr>
          <w:rFonts w:hint="eastAsia" w:asciiTheme="minorEastAsia" w:hAnsiTheme="minorEastAsia" w:eastAsiaTheme="minorEastAsia" w:cstheme="minorEastAsia"/>
          <w:color w:val="auto"/>
          <w:sz w:val="24"/>
          <w:szCs w:val="24"/>
          <w:highlight w:val="none"/>
          <w:lang w:val="en-US" w:eastAsia="zh-CN"/>
        </w:rPr>
        <w:t xml:space="preserve"> 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 xml:space="preserve">董先生 </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p>
    <w:p w14:paraId="58C18902">
      <w:pPr>
        <w:spacing w:line="360" w:lineRule="auto"/>
        <w:ind w:firstLine="480" w:firstLineChars="200"/>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联系电话：</w:t>
      </w:r>
      <w:bookmarkStart w:id="75" w:name="_Toc35393638"/>
      <w:bookmarkStart w:id="76" w:name="_Toc28359097"/>
      <w:bookmarkStart w:id="77" w:name="_Toc35393807"/>
      <w:bookmarkStart w:id="78" w:name="_Toc28359020"/>
      <w:r>
        <w:rPr>
          <w:rFonts w:hint="eastAsia" w:asciiTheme="minorEastAsia" w:hAnsiTheme="minorEastAsia" w:eastAsiaTheme="minorEastAsia" w:cstheme="minorEastAsia"/>
          <w:color w:val="auto"/>
          <w:sz w:val="24"/>
          <w:szCs w:val="24"/>
          <w:highlight w:val="none"/>
          <w:lang w:val="en-US" w:eastAsia="zh-CN"/>
        </w:rPr>
        <w:t>13577506198</w:t>
      </w:r>
    </w:p>
    <w:p w14:paraId="705C19E7">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2.采购代理机构信息</w:t>
      </w:r>
      <w:bookmarkEnd w:id="75"/>
      <w:bookmarkEnd w:id="76"/>
      <w:bookmarkEnd w:id="77"/>
      <w:bookmarkEnd w:id="78"/>
    </w:p>
    <w:p w14:paraId="1BE80EFA">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bookmarkStart w:id="79" w:name="_Toc35393808"/>
      <w:bookmarkStart w:id="80" w:name="_Toc35393639"/>
      <w:bookmarkStart w:id="81" w:name="_Toc28359098"/>
      <w:bookmarkStart w:id="82" w:name="_Toc28359021"/>
      <w:r>
        <w:rPr>
          <w:rFonts w:hint="eastAsia" w:asciiTheme="minorEastAsia" w:hAnsiTheme="minorEastAsia" w:eastAsiaTheme="minorEastAsia" w:cstheme="minorEastAsia"/>
          <w:color w:val="auto"/>
          <w:sz w:val="24"/>
          <w:szCs w:val="24"/>
          <w:highlight w:val="none"/>
          <w:lang w:val="en-US" w:eastAsia="zh-CN"/>
        </w:rPr>
        <w:t>名    称：云南文星招标有限公司</w:t>
      </w:r>
    </w:p>
    <w:p w14:paraId="1176FB57">
      <w:pPr>
        <w:spacing w:line="360" w:lineRule="auto"/>
        <w:ind w:firstLine="480" w:firstLineChars="200"/>
        <w:rPr>
          <w:rFonts w:hint="eastAsia" w:ascii="宋体" w:hAnsi="宋体" w:cs="宋体"/>
          <w:bCs/>
          <w:color w:val="auto"/>
          <w:spacing w:val="10"/>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地　　址：</w:t>
      </w:r>
      <w:r>
        <w:rPr>
          <w:rFonts w:hint="eastAsia" w:ascii="宋体" w:hAnsi="宋体" w:cs="宋体"/>
          <w:bCs/>
          <w:color w:val="auto"/>
          <w:spacing w:val="10"/>
          <w:sz w:val="24"/>
          <w:szCs w:val="24"/>
          <w:highlight w:val="none"/>
        </w:rPr>
        <w:t>腾冲市西源街道观音塘社区花园小区328号</w:t>
      </w:r>
    </w:p>
    <w:p w14:paraId="7A5CBB90">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联 系 人：段工 </w:t>
      </w:r>
    </w:p>
    <w:p w14:paraId="1E57CC6E">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联系电话：0875—5186117、13987599066</w:t>
      </w:r>
    </w:p>
    <w:p w14:paraId="5D3EA819">
      <w:pPr>
        <w:spacing w:line="360" w:lineRule="auto"/>
        <w:ind w:firstLine="480" w:firstLineChars="200"/>
        <w:rPr>
          <w:rFonts w:hint="eastAsia" w:asciiTheme="minorEastAsia" w:hAnsiTheme="minorEastAsia" w:eastAsiaTheme="minorEastAsia" w:cstheme="minorEastAsia"/>
          <w:color w:val="auto"/>
          <w:sz w:val="24"/>
          <w:szCs w:val="24"/>
          <w:highlight w:val="none"/>
        </w:rPr>
      </w:pPr>
    </w:p>
    <w:bookmarkEnd w:id="79"/>
    <w:bookmarkEnd w:id="80"/>
    <w:bookmarkEnd w:id="81"/>
    <w:bookmarkEnd w:id="82"/>
    <w:p w14:paraId="0B21623B">
      <w:pPr>
        <w:ind w:firstLine="803" w:firstLineChars="200"/>
        <w:rPr>
          <w:rFonts w:asciiTheme="minorEastAsia" w:hAnsiTheme="minorEastAsia" w:eastAsiaTheme="minorEastAsia" w:cstheme="minorEastAsia"/>
          <w:b/>
          <w:bCs/>
          <w:iCs/>
          <w:color w:val="auto"/>
          <w:sz w:val="40"/>
          <w:szCs w:val="32"/>
          <w:highlight w:val="none"/>
        </w:rPr>
      </w:pPr>
      <w:r>
        <w:rPr>
          <w:rFonts w:hint="eastAsia" w:asciiTheme="minorEastAsia" w:hAnsiTheme="minorEastAsia" w:eastAsiaTheme="minorEastAsia" w:cstheme="minorEastAsia"/>
          <w:b/>
          <w:bCs/>
          <w:iCs/>
          <w:color w:val="auto"/>
          <w:sz w:val="40"/>
          <w:szCs w:val="32"/>
          <w:highlight w:val="none"/>
        </w:rPr>
        <w:br w:type="page"/>
      </w:r>
    </w:p>
    <w:p w14:paraId="583DBC5E">
      <w:pPr>
        <w:pStyle w:val="3"/>
        <w:numPr>
          <w:ilvl w:val="0"/>
          <w:numId w:val="0"/>
        </w:numPr>
        <w:tabs>
          <w:tab w:val="left" w:pos="0"/>
        </w:tabs>
        <w:snapToGrid w:val="0"/>
        <w:spacing w:line="360" w:lineRule="auto"/>
        <w:jc w:val="center"/>
        <w:rPr>
          <w:rFonts w:asciiTheme="minorEastAsia" w:hAnsiTheme="minorEastAsia" w:eastAsiaTheme="minorEastAsia" w:cstheme="minorEastAsia"/>
          <w:iCs/>
          <w:color w:val="auto"/>
          <w:sz w:val="40"/>
          <w:szCs w:val="32"/>
          <w:highlight w:val="none"/>
        </w:rPr>
      </w:pPr>
      <w:bookmarkStart w:id="83" w:name="_Toc1053"/>
      <w:bookmarkStart w:id="84" w:name="_Toc21489"/>
      <w:r>
        <w:rPr>
          <w:rFonts w:hint="eastAsia" w:asciiTheme="minorEastAsia" w:hAnsiTheme="minorEastAsia" w:eastAsiaTheme="minorEastAsia" w:cstheme="minorEastAsia"/>
          <w:iCs/>
          <w:color w:val="auto"/>
          <w:sz w:val="40"/>
          <w:szCs w:val="32"/>
          <w:highlight w:val="none"/>
        </w:rPr>
        <w:t>第二章</w:t>
      </w:r>
      <w:bookmarkEnd w:id="8"/>
      <w:bookmarkEnd w:id="9"/>
      <w:bookmarkEnd w:id="10"/>
      <w:bookmarkEnd w:id="11"/>
      <w:bookmarkStart w:id="85" w:name="_Toc8281"/>
      <w:r>
        <w:rPr>
          <w:rFonts w:hint="eastAsia" w:asciiTheme="minorEastAsia" w:hAnsiTheme="minorEastAsia" w:eastAsiaTheme="minorEastAsia" w:cstheme="minorEastAsia"/>
          <w:iCs/>
          <w:color w:val="auto"/>
          <w:sz w:val="40"/>
          <w:szCs w:val="32"/>
          <w:highlight w:val="none"/>
        </w:rPr>
        <w:t xml:space="preserve">  供应商须知</w:t>
      </w:r>
      <w:bookmarkEnd w:id="12"/>
      <w:bookmarkEnd w:id="13"/>
      <w:bookmarkEnd w:id="14"/>
      <w:bookmarkEnd w:id="15"/>
      <w:bookmarkEnd w:id="16"/>
      <w:bookmarkEnd w:id="83"/>
      <w:bookmarkEnd w:id="84"/>
      <w:bookmarkEnd w:id="85"/>
    </w:p>
    <w:p w14:paraId="18367C05">
      <w:pPr>
        <w:pStyle w:val="4"/>
        <w:numPr>
          <w:ilvl w:val="0"/>
          <w:numId w:val="0"/>
        </w:numPr>
        <w:tabs>
          <w:tab w:val="clear" w:pos="3690"/>
        </w:tabs>
        <w:spacing w:before="0" w:after="0"/>
        <w:ind w:left="3330"/>
        <w:rPr>
          <w:rFonts w:asciiTheme="minorEastAsia" w:hAnsiTheme="minorEastAsia" w:eastAsiaTheme="minorEastAsia" w:cstheme="minorEastAsia"/>
          <w:color w:val="auto"/>
          <w:szCs w:val="28"/>
          <w:highlight w:val="none"/>
        </w:rPr>
      </w:pPr>
      <w:bookmarkStart w:id="86" w:name="_Toc86124039"/>
      <w:bookmarkStart w:id="87" w:name="_Toc14623"/>
      <w:bookmarkStart w:id="88" w:name="_Toc11472"/>
      <w:bookmarkStart w:id="89" w:name="_Toc26957"/>
      <w:bookmarkStart w:id="90" w:name="_Toc432197765"/>
      <w:r>
        <w:rPr>
          <w:rFonts w:hint="eastAsia" w:asciiTheme="minorEastAsia" w:hAnsiTheme="minorEastAsia" w:eastAsiaTheme="minorEastAsia" w:cstheme="minorEastAsia"/>
          <w:color w:val="auto"/>
          <w:szCs w:val="28"/>
          <w:highlight w:val="none"/>
        </w:rPr>
        <w:t>供应商须知前附表</w:t>
      </w:r>
      <w:bookmarkEnd w:id="86"/>
      <w:bookmarkEnd w:id="87"/>
      <w:bookmarkEnd w:id="88"/>
      <w:bookmarkEnd w:id="89"/>
      <w:bookmarkEnd w:id="90"/>
    </w:p>
    <w:tbl>
      <w:tblPr>
        <w:tblStyle w:val="27"/>
        <w:tblW w:w="9648"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23" w:type="dxa"/>
          <w:bottom w:w="0" w:type="dxa"/>
          <w:right w:w="23" w:type="dxa"/>
        </w:tblCellMar>
      </w:tblPr>
      <w:tblGrid>
        <w:gridCol w:w="873"/>
        <w:gridCol w:w="2079"/>
        <w:gridCol w:w="6696"/>
      </w:tblGrid>
      <w:tr w14:paraId="7824866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tblHeader/>
          <w:jc w:val="center"/>
        </w:trPr>
        <w:tc>
          <w:tcPr>
            <w:tcW w:w="873" w:type="dxa"/>
            <w:tcBorders>
              <w:tl2br w:val="nil"/>
              <w:tr2bl w:val="nil"/>
            </w:tcBorders>
            <w:vAlign w:val="center"/>
          </w:tcPr>
          <w:p w14:paraId="46727B81">
            <w:pPr>
              <w:pStyle w:val="15"/>
              <w:jc w:val="center"/>
              <w:rPr>
                <w:rFonts w:asciiTheme="minorEastAsia" w:hAnsiTheme="minorEastAsia" w:eastAsiaTheme="minorEastAsia" w:cstheme="minorEastAsia"/>
                <w:b/>
                <w:color w:val="auto"/>
                <w:szCs w:val="21"/>
                <w:highlight w:val="none"/>
              </w:rPr>
            </w:pPr>
            <w:bookmarkStart w:id="91" w:name="_Toc432197766"/>
            <w:bookmarkStart w:id="92" w:name="_Toc30350"/>
            <w:bookmarkStart w:id="93" w:name="_Toc86124040"/>
            <w:r>
              <w:rPr>
                <w:rFonts w:hint="eastAsia" w:asciiTheme="minorEastAsia" w:hAnsiTheme="minorEastAsia" w:eastAsiaTheme="minorEastAsia" w:cstheme="minorEastAsia"/>
                <w:b/>
                <w:color w:val="auto"/>
                <w:szCs w:val="21"/>
                <w:highlight w:val="none"/>
              </w:rPr>
              <w:t>条款号</w:t>
            </w:r>
          </w:p>
        </w:tc>
        <w:tc>
          <w:tcPr>
            <w:tcW w:w="2079" w:type="dxa"/>
            <w:tcBorders>
              <w:tl2br w:val="nil"/>
              <w:tr2bl w:val="nil"/>
            </w:tcBorders>
            <w:vAlign w:val="center"/>
          </w:tcPr>
          <w:p w14:paraId="4AC33806">
            <w:pPr>
              <w:pStyle w:val="15"/>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条 款 名 称</w:t>
            </w:r>
          </w:p>
        </w:tc>
        <w:tc>
          <w:tcPr>
            <w:tcW w:w="6696" w:type="dxa"/>
            <w:tcBorders>
              <w:tl2br w:val="nil"/>
              <w:tr2bl w:val="nil"/>
            </w:tcBorders>
            <w:vAlign w:val="center"/>
          </w:tcPr>
          <w:p w14:paraId="3A3179C2">
            <w:pPr>
              <w:pStyle w:val="15"/>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编 列 内 容</w:t>
            </w:r>
          </w:p>
        </w:tc>
      </w:tr>
      <w:tr w14:paraId="21A30E1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vMerge w:val="restart"/>
            <w:tcBorders>
              <w:tl2br w:val="nil"/>
              <w:tr2bl w:val="nil"/>
            </w:tcBorders>
            <w:vAlign w:val="center"/>
          </w:tcPr>
          <w:p w14:paraId="4A006354">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w:t>
            </w:r>
          </w:p>
        </w:tc>
        <w:tc>
          <w:tcPr>
            <w:tcW w:w="2079" w:type="dxa"/>
            <w:tcBorders>
              <w:tl2br w:val="nil"/>
              <w:tr2bl w:val="nil"/>
            </w:tcBorders>
            <w:vAlign w:val="center"/>
          </w:tcPr>
          <w:p w14:paraId="55C20485">
            <w:pPr>
              <w:pStyle w:val="15"/>
              <w:jc w:val="center"/>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bCs/>
                <w:color w:val="auto"/>
                <w:szCs w:val="21"/>
                <w:highlight w:val="none"/>
              </w:rPr>
              <w:t>采购人</w:t>
            </w:r>
          </w:p>
        </w:tc>
        <w:tc>
          <w:tcPr>
            <w:tcW w:w="6696" w:type="dxa"/>
            <w:tcBorders>
              <w:tl2br w:val="nil"/>
              <w:tr2bl w:val="nil"/>
            </w:tcBorders>
            <w:vAlign w:val="center"/>
          </w:tcPr>
          <w:p w14:paraId="20D11E69">
            <w:pPr>
              <w:pStyle w:val="15"/>
              <w:rPr>
                <w:rFonts w:hint="eastAsia" w:asciiTheme="minorEastAsia" w:hAnsiTheme="minorEastAsia" w:eastAsiaTheme="minorEastAsia" w:cstheme="minorEastAsia"/>
                <w:bCs/>
                <w:color w:val="auto"/>
                <w:szCs w:val="21"/>
                <w:highlight w:val="none"/>
                <w:lang w:eastAsia="zh-CN"/>
              </w:rPr>
            </w:pPr>
            <w:r>
              <w:rPr>
                <w:rFonts w:hint="eastAsia" w:asciiTheme="minorEastAsia" w:hAnsiTheme="minorEastAsia" w:eastAsiaTheme="minorEastAsia" w:cstheme="minorEastAsia"/>
                <w:bCs/>
                <w:color w:val="auto"/>
                <w:szCs w:val="21"/>
                <w:highlight w:val="none"/>
                <w:lang w:eastAsia="zh-CN"/>
              </w:rPr>
              <w:t>腾冲市团田乡人民政府。</w:t>
            </w:r>
          </w:p>
        </w:tc>
      </w:tr>
      <w:tr w14:paraId="1EDD37F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vMerge w:val="continue"/>
            <w:tcBorders>
              <w:tl2br w:val="nil"/>
              <w:tr2bl w:val="nil"/>
            </w:tcBorders>
            <w:vAlign w:val="center"/>
          </w:tcPr>
          <w:p w14:paraId="281761CD">
            <w:pPr>
              <w:rPr>
                <w:rFonts w:asciiTheme="minorEastAsia" w:hAnsiTheme="minorEastAsia" w:eastAsiaTheme="minorEastAsia" w:cstheme="minorEastAsia"/>
                <w:color w:val="auto"/>
                <w:szCs w:val="21"/>
                <w:highlight w:val="none"/>
              </w:rPr>
            </w:pPr>
          </w:p>
        </w:tc>
        <w:tc>
          <w:tcPr>
            <w:tcW w:w="2079" w:type="dxa"/>
            <w:tcBorders>
              <w:tl2br w:val="nil"/>
              <w:tr2bl w:val="nil"/>
            </w:tcBorders>
            <w:vAlign w:val="center"/>
          </w:tcPr>
          <w:p w14:paraId="2E9B3F14">
            <w:pPr>
              <w:pStyle w:val="15"/>
              <w:jc w:val="center"/>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采购代理机构</w:t>
            </w:r>
          </w:p>
        </w:tc>
        <w:tc>
          <w:tcPr>
            <w:tcW w:w="6696" w:type="dxa"/>
            <w:tcBorders>
              <w:tl2br w:val="nil"/>
              <w:tr2bl w:val="nil"/>
            </w:tcBorders>
            <w:vAlign w:val="center"/>
          </w:tcPr>
          <w:p w14:paraId="5DF7B810">
            <w:pPr>
              <w:pStyle w:val="15"/>
              <w:rPr>
                <w:rFonts w:hint="eastAsia" w:asciiTheme="minorEastAsia" w:hAnsiTheme="minorEastAsia" w:eastAsiaTheme="minorEastAsia" w:cstheme="minorEastAsia"/>
                <w:bCs/>
                <w:color w:val="auto"/>
                <w:szCs w:val="21"/>
                <w:highlight w:val="none"/>
                <w:lang w:eastAsia="zh-CN"/>
              </w:rPr>
            </w:pPr>
            <w:r>
              <w:rPr>
                <w:rFonts w:hint="eastAsia" w:asciiTheme="minorEastAsia" w:hAnsiTheme="minorEastAsia" w:eastAsiaTheme="minorEastAsia" w:cstheme="minorEastAsia"/>
                <w:bCs/>
                <w:color w:val="auto"/>
                <w:szCs w:val="21"/>
                <w:highlight w:val="none"/>
                <w:lang w:val="en-US" w:eastAsia="zh-CN"/>
              </w:rPr>
              <w:t>云南文星招标有限公司。</w:t>
            </w:r>
          </w:p>
        </w:tc>
      </w:tr>
      <w:tr w14:paraId="6F93BFD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vMerge w:val="continue"/>
            <w:tcBorders>
              <w:tl2br w:val="nil"/>
              <w:tr2bl w:val="nil"/>
            </w:tcBorders>
            <w:vAlign w:val="center"/>
          </w:tcPr>
          <w:p w14:paraId="22C9DBD6">
            <w:pPr>
              <w:rPr>
                <w:rFonts w:asciiTheme="minorEastAsia" w:hAnsiTheme="minorEastAsia" w:eastAsiaTheme="minorEastAsia" w:cstheme="minorEastAsia"/>
                <w:color w:val="auto"/>
                <w:szCs w:val="21"/>
                <w:highlight w:val="none"/>
              </w:rPr>
            </w:pPr>
          </w:p>
        </w:tc>
        <w:tc>
          <w:tcPr>
            <w:tcW w:w="2079" w:type="dxa"/>
            <w:tcBorders>
              <w:tl2br w:val="nil"/>
              <w:tr2bl w:val="nil"/>
            </w:tcBorders>
            <w:vAlign w:val="center"/>
          </w:tcPr>
          <w:p w14:paraId="63D64942">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项目名称</w:t>
            </w:r>
          </w:p>
        </w:tc>
        <w:tc>
          <w:tcPr>
            <w:tcW w:w="6696" w:type="dxa"/>
            <w:tcBorders>
              <w:tl2br w:val="nil"/>
              <w:tr2bl w:val="nil"/>
            </w:tcBorders>
            <w:vAlign w:val="center"/>
          </w:tcPr>
          <w:p w14:paraId="0AD5973B">
            <w:pPr>
              <w:pStyle w:val="15"/>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2026年保山市腾冲市团田乡弄玲村农村公益事业建设财政奖补项目(普惠)。</w:t>
            </w:r>
          </w:p>
        </w:tc>
      </w:tr>
      <w:tr w14:paraId="47AE34D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vMerge w:val="continue"/>
            <w:tcBorders>
              <w:tl2br w:val="nil"/>
              <w:tr2bl w:val="nil"/>
            </w:tcBorders>
            <w:vAlign w:val="center"/>
          </w:tcPr>
          <w:p w14:paraId="0E9E6BC8">
            <w:pPr>
              <w:rPr>
                <w:rFonts w:asciiTheme="minorEastAsia" w:hAnsiTheme="minorEastAsia" w:eastAsiaTheme="minorEastAsia" w:cstheme="minorEastAsia"/>
                <w:color w:val="auto"/>
                <w:szCs w:val="21"/>
                <w:highlight w:val="none"/>
              </w:rPr>
            </w:pPr>
          </w:p>
        </w:tc>
        <w:tc>
          <w:tcPr>
            <w:tcW w:w="2079" w:type="dxa"/>
            <w:tcBorders>
              <w:tl2br w:val="nil"/>
              <w:tr2bl w:val="nil"/>
            </w:tcBorders>
            <w:vAlign w:val="center"/>
          </w:tcPr>
          <w:p w14:paraId="6FCF0F1B">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项目编号</w:t>
            </w:r>
          </w:p>
        </w:tc>
        <w:tc>
          <w:tcPr>
            <w:tcW w:w="6696" w:type="dxa"/>
            <w:tcBorders>
              <w:tl2br w:val="nil"/>
              <w:tr2bl w:val="nil"/>
            </w:tcBorders>
            <w:vAlign w:val="center"/>
          </w:tcPr>
          <w:p w14:paraId="3720E2E0">
            <w:pPr>
              <w:pStyle w:val="15"/>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WXZBZC—TC2026【113】号</w:t>
            </w:r>
          </w:p>
          <w:p w14:paraId="6DDE8B44">
            <w:pPr>
              <w:pStyle w:val="15"/>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政采云项目</w:t>
            </w:r>
            <w:r>
              <w:rPr>
                <w:rFonts w:hint="eastAsia" w:asciiTheme="minorEastAsia" w:hAnsiTheme="minorEastAsia" w:eastAsiaTheme="minorEastAsia" w:cstheme="minorEastAsia"/>
                <w:color w:val="auto"/>
                <w:szCs w:val="21"/>
                <w:highlight w:val="none"/>
                <w:lang w:eastAsia="zh-CN"/>
              </w:rPr>
              <w:t>编号： BSZC2026-C2-01124-YNWX-0064</w:t>
            </w:r>
          </w:p>
        </w:tc>
      </w:tr>
      <w:tr w14:paraId="00215AC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tcBorders>
              <w:tl2br w:val="nil"/>
              <w:tr2bl w:val="nil"/>
            </w:tcBorders>
            <w:vAlign w:val="center"/>
          </w:tcPr>
          <w:p w14:paraId="6D240E35">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2.1</w:t>
            </w:r>
          </w:p>
        </w:tc>
        <w:tc>
          <w:tcPr>
            <w:tcW w:w="2079" w:type="dxa"/>
            <w:tcBorders>
              <w:tl2br w:val="nil"/>
              <w:tr2bl w:val="nil"/>
            </w:tcBorders>
            <w:vAlign w:val="center"/>
          </w:tcPr>
          <w:p w14:paraId="269302E2">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资金来源</w:t>
            </w:r>
          </w:p>
        </w:tc>
        <w:tc>
          <w:tcPr>
            <w:tcW w:w="6696" w:type="dxa"/>
            <w:tcBorders>
              <w:tl2br w:val="nil"/>
              <w:tr2bl w:val="nil"/>
            </w:tcBorders>
            <w:vAlign w:val="center"/>
          </w:tcPr>
          <w:p w14:paraId="0ECB409E">
            <w:pPr>
              <w:pStyle w:val="15"/>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bCs/>
                <w:color w:val="auto"/>
                <w:szCs w:val="21"/>
                <w:highlight w:val="none"/>
              </w:rPr>
              <w:t>已落实</w:t>
            </w:r>
            <w:r>
              <w:rPr>
                <w:rFonts w:hint="eastAsia" w:asciiTheme="minorEastAsia" w:hAnsiTheme="minorEastAsia" w:eastAsiaTheme="minorEastAsia" w:cstheme="minorEastAsia"/>
                <w:bCs/>
                <w:color w:val="auto"/>
                <w:szCs w:val="21"/>
                <w:highlight w:val="none"/>
                <w:lang w:eastAsia="zh-CN"/>
              </w:rPr>
              <w:t>。</w:t>
            </w:r>
          </w:p>
        </w:tc>
      </w:tr>
      <w:tr w14:paraId="12B8FBF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tcBorders>
              <w:tl2br w:val="nil"/>
              <w:tr2bl w:val="nil"/>
            </w:tcBorders>
            <w:vAlign w:val="center"/>
          </w:tcPr>
          <w:p w14:paraId="7C607F71">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3.1</w:t>
            </w:r>
          </w:p>
        </w:tc>
        <w:tc>
          <w:tcPr>
            <w:tcW w:w="2079" w:type="dxa"/>
            <w:tcBorders>
              <w:tl2br w:val="nil"/>
              <w:tr2bl w:val="nil"/>
            </w:tcBorders>
            <w:vAlign w:val="center"/>
          </w:tcPr>
          <w:p w14:paraId="586F0F21">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采购内容</w:t>
            </w:r>
          </w:p>
        </w:tc>
        <w:tc>
          <w:tcPr>
            <w:tcW w:w="6696" w:type="dxa"/>
            <w:tcBorders>
              <w:tl2br w:val="nil"/>
              <w:tr2bl w:val="nil"/>
            </w:tcBorders>
            <w:vAlign w:val="center"/>
          </w:tcPr>
          <w:p w14:paraId="777A03BD">
            <w:pPr>
              <w:pStyle w:val="15"/>
              <w:rPr>
                <w:rFonts w:hint="eastAsia" w:eastAsia="宋体" w:asciiTheme="minorEastAsia" w:hAnsiTheme="minorEastAsia" w:cstheme="minorEastAsia"/>
                <w:color w:val="auto"/>
                <w:szCs w:val="21"/>
                <w:highlight w:val="none"/>
                <w:lang w:eastAsia="zh-CN"/>
              </w:rPr>
            </w:pPr>
            <w:r>
              <w:rPr>
                <w:rFonts w:hint="eastAsia"/>
                <w:b/>
                <w:color w:val="auto"/>
                <w:szCs w:val="21"/>
                <w:highlight w:val="none"/>
              </w:rPr>
              <w:t>详见第一章“竞争性磋商公告”</w:t>
            </w:r>
            <w:r>
              <w:rPr>
                <w:rFonts w:hint="eastAsia"/>
                <w:b/>
                <w:color w:val="auto"/>
                <w:szCs w:val="21"/>
                <w:highlight w:val="none"/>
                <w:lang w:eastAsia="zh-CN"/>
              </w:rPr>
              <w:t>。</w:t>
            </w:r>
          </w:p>
        </w:tc>
      </w:tr>
      <w:tr w14:paraId="4E7E38D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tcBorders>
              <w:tl2br w:val="nil"/>
              <w:tr2bl w:val="nil"/>
            </w:tcBorders>
            <w:vAlign w:val="center"/>
          </w:tcPr>
          <w:p w14:paraId="4FA8D5C5">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3.2</w:t>
            </w:r>
          </w:p>
        </w:tc>
        <w:tc>
          <w:tcPr>
            <w:tcW w:w="2079" w:type="dxa"/>
            <w:tcBorders>
              <w:tl2br w:val="nil"/>
              <w:tr2bl w:val="nil"/>
            </w:tcBorders>
            <w:vAlign w:val="center"/>
          </w:tcPr>
          <w:p w14:paraId="59926D29">
            <w:pPr>
              <w:pStyle w:val="15"/>
              <w:jc w:val="center"/>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合同履行期限</w:t>
            </w:r>
          </w:p>
        </w:tc>
        <w:tc>
          <w:tcPr>
            <w:tcW w:w="6696" w:type="dxa"/>
            <w:tcBorders>
              <w:tl2br w:val="nil"/>
              <w:tr2bl w:val="nil"/>
            </w:tcBorders>
            <w:vAlign w:val="center"/>
          </w:tcPr>
          <w:p w14:paraId="0D366FD3">
            <w:pPr>
              <w:pStyle w:val="15"/>
              <w:rPr>
                <w:rFonts w:hint="eastAsia" w:asciiTheme="minorEastAsia" w:hAnsiTheme="minorEastAsia" w:eastAsiaTheme="minorEastAsia" w:cstheme="minorEastAsia"/>
                <w:color w:val="auto"/>
                <w:kern w:val="0"/>
                <w:szCs w:val="21"/>
                <w:highlight w:val="none"/>
                <w:lang w:eastAsia="zh-CN"/>
              </w:rPr>
            </w:pPr>
            <w:r>
              <w:rPr>
                <w:rFonts w:hint="eastAsia" w:asciiTheme="minorEastAsia" w:hAnsiTheme="minorEastAsia" w:eastAsiaTheme="minorEastAsia" w:cstheme="minorEastAsia"/>
                <w:color w:val="auto"/>
                <w:szCs w:val="21"/>
                <w:highlight w:val="none"/>
                <w:lang w:val="en-US" w:eastAsia="zh-CN"/>
              </w:rPr>
              <w:t>合同签订后90个日历天内完成</w:t>
            </w:r>
            <w:r>
              <w:rPr>
                <w:rFonts w:hint="eastAsia" w:asciiTheme="minorEastAsia" w:hAnsiTheme="minorEastAsia" w:eastAsiaTheme="minorEastAsia" w:cstheme="minorEastAsia"/>
                <w:color w:val="auto"/>
                <w:szCs w:val="21"/>
                <w:highlight w:val="none"/>
                <w:lang w:eastAsia="zh-CN"/>
              </w:rPr>
              <w:t>。</w:t>
            </w:r>
          </w:p>
        </w:tc>
      </w:tr>
      <w:tr w14:paraId="19F764B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tcBorders>
              <w:tl2br w:val="nil"/>
              <w:tr2bl w:val="nil"/>
            </w:tcBorders>
            <w:vAlign w:val="center"/>
          </w:tcPr>
          <w:p w14:paraId="66CF4C1A">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3.3</w:t>
            </w:r>
          </w:p>
        </w:tc>
        <w:tc>
          <w:tcPr>
            <w:tcW w:w="2079" w:type="dxa"/>
            <w:tcBorders>
              <w:tl2br w:val="nil"/>
              <w:tr2bl w:val="nil"/>
            </w:tcBorders>
            <w:vAlign w:val="center"/>
          </w:tcPr>
          <w:p w14:paraId="0847AC14">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工程地点</w:t>
            </w:r>
          </w:p>
        </w:tc>
        <w:tc>
          <w:tcPr>
            <w:tcW w:w="6696" w:type="dxa"/>
            <w:tcBorders>
              <w:tl2br w:val="nil"/>
              <w:tr2bl w:val="nil"/>
            </w:tcBorders>
            <w:vAlign w:val="center"/>
          </w:tcPr>
          <w:p w14:paraId="074C78CA">
            <w:pPr>
              <w:pStyle w:val="15"/>
              <w:rPr>
                <w:rFonts w:hint="eastAsia" w:asciiTheme="minorEastAsia" w:hAnsiTheme="minorEastAsia" w:eastAsiaTheme="minorEastAsia" w:cstheme="minorEastAsia"/>
                <w:bCs/>
                <w:color w:val="auto"/>
                <w:szCs w:val="21"/>
                <w:highlight w:val="none"/>
                <w:lang w:eastAsia="zh-CN"/>
              </w:rPr>
            </w:pPr>
            <w:r>
              <w:rPr>
                <w:rFonts w:hint="eastAsia" w:asciiTheme="minorEastAsia" w:hAnsiTheme="minorEastAsia" w:eastAsiaTheme="minorEastAsia" w:cstheme="minorEastAsia"/>
                <w:bCs/>
                <w:color w:val="auto"/>
                <w:szCs w:val="21"/>
                <w:highlight w:val="none"/>
                <w:lang w:eastAsia="zh-CN"/>
              </w:rPr>
              <w:t>腾冲市</w:t>
            </w:r>
            <w:r>
              <w:rPr>
                <w:rFonts w:hint="eastAsia" w:asciiTheme="minorEastAsia" w:hAnsiTheme="minorEastAsia" w:eastAsiaTheme="minorEastAsia" w:cstheme="minorEastAsia"/>
                <w:bCs/>
                <w:color w:val="auto"/>
                <w:szCs w:val="21"/>
                <w:highlight w:val="none"/>
              </w:rPr>
              <w:t>（采购人指定地点）</w:t>
            </w:r>
            <w:r>
              <w:rPr>
                <w:rFonts w:hint="eastAsia" w:asciiTheme="minorEastAsia" w:hAnsiTheme="minorEastAsia" w:eastAsiaTheme="minorEastAsia" w:cstheme="minorEastAsia"/>
                <w:bCs/>
                <w:color w:val="auto"/>
                <w:szCs w:val="21"/>
                <w:highlight w:val="none"/>
                <w:lang w:eastAsia="zh-CN"/>
              </w:rPr>
              <w:t>。</w:t>
            </w:r>
          </w:p>
        </w:tc>
      </w:tr>
      <w:tr w14:paraId="7E61BB7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tcBorders>
              <w:tl2br w:val="nil"/>
              <w:tr2bl w:val="nil"/>
            </w:tcBorders>
            <w:vAlign w:val="center"/>
          </w:tcPr>
          <w:p w14:paraId="5D4BBED8">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★4.1</w:t>
            </w:r>
          </w:p>
        </w:tc>
        <w:tc>
          <w:tcPr>
            <w:tcW w:w="2079" w:type="dxa"/>
            <w:tcBorders>
              <w:tl2br w:val="nil"/>
              <w:tr2bl w:val="nil"/>
            </w:tcBorders>
            <w:vAlign w:val="center"/>
          </w:tcPr>
          <w:p w14:paraId="007B5847">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申请人资格条件</w:t>
            </w:r>
          </w:p>
        </w:tc>
        <w:tc>
          <w:tcPr>
            <w:tcW w:w="6696" w:type="dxa"/>
            <w:tcBorders>
              <w:tl2br w:val="nil"/>
              <w:tr2bl w:val="nil"/>
            </w:tcBorders>
            <w:vAlign w:val="center"/>
          </w:tcPr>
          <w:p w14:paraId="3232FE68">
            <w:pPr>
              <w:rPr>
                <w:rFonts w:hint="eastAsia" w:eastAsia="宋体" w:asciiTheme="minorEastAsia" w:hAnsiTheme="minorEastAsia" w:cstheme="minorEastAsia"/>
                <w:b/>
                <w:color w:val="auto"/>
                <w:szCs w:val="21"/>
                <w:highlight w:val="none"/>
                <w:lang w:eastAsia="zh-CN"/>
              </w:rPr>
            </w:pPr>
            <w:r>
              <w:rPr>
                <w:rFonts w:hint="eastAsia"/>
                <w:b/>
                <w:color w:val="auto"/>
                <w:szCs w:val="21"/>
                <w:highlight w:val="none"/>
              </w:rPr>
              <w:t>详见第一章“竞争性磋商公告”</w:t>
            </w:r>
            <w:r>
              <w:rPr>
                <w:rFonts w:hint="eastAsia"/>
                <w:b/>
                <w:color w:val="auto"/>
                <w:szCs w:val="21"/>
                <w:highlight w:val="none"/>
                <w:lang w:eastAsia="zh-CN"/>
              </w:rPr>
              <w:t>。</w:t>
            </w:r>
          </w:p>
        </w:tc>
      </w:tr>
      <w:tr w14:paraId="090EC14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tcBorders>
              <w:tl2br w:val="nil"/>
              <w:tr2bl w:val="nil"/>
            </w:tcBorders>
            <w:vAlign w:val="center"/>
          </w:tcPr>
          <w:p w14:paraId="6F1C1300">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★4.2</w:t>
            </w:r>
          </w:p>
        </w:tc>
        <w:tc>
          <w:tcPr>
            <w:tcW w:w="2079" w:type="dxa"/>
            <w:tcBorders>
              <w:tl2br w:val="nil"/>
              <w:tr2bl w:val="nil"/>
            </w:tcBorders>
            <w:vAlign w:val="center"/>
          </w:tcPr>
          <w:p w14:paraId="28C58CE7">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是否接受联合体磋商</w:t>
            </w:r>
          </w:p>
        </w:tc>
        <w:tc>
          <w:tcPr>
            <w:tcW w:w="6696" w:type="dxa"/>
            <w:tcBorders>
              <w:tl2br w:val="nil"/>
              <w:tr2bl w:val="nil"/>
            </w:tcBorders>
            <w:vAlign w:val="center"/>
          </w:tcPr>
          <w:p w14:paraId="0875FF77">
            <w:pPr>
              <w:pStyle w:val="15"/>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不接受</w:t>
            </w:r>
            <w:r>
              <w:rPr>
                <w:rFonts w:hint="eastAsia" w:asciiTheme="minorEastAsia" w:hAnsiTheme="minorEastAsia" w:eastAsiaTheme="minorEastAsia" w:cstheme="minorEastAsia"/>
                <w:color w:val="auto"/>
                <w:szCs w:val="21"/>
                <w:highlight w:val="none"/>
                <w:lang w:eastAsia="zh-CN"/>
              </w:rPr>
              <w:t>。</w:t>
            </w:r>
          </w:p>
        </w:tc>
      </w:tr>
      <w:tr w14:paraId="654FFE8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vMerge w:val="restart"/>
            <w:tcBorders>
              <w:tl2br w:val="nil"/>
              <w:tr2bl w:val="nil"/>
            </w:tcBorders>
            <w:vAlign w:val="center"/>
          </w:tcPr>
          <w:p w14:paraId="1A412206">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7.1</w:t>
            </w:r>
          </w:p>
        </w:tc>
        <w:tc>
          <w:tcPr>
            <w:tcW w:w="2079" w:type="dxa"/>
            <w:tcBorders>
              <w:tl2br w:val="nil"/>
              <w:tr2bl w:val="nil"/>
            </w:tcBorders>
            <w:vAlign w:val="center"/>
          </w:tcPr>
          <w:p w14:paraId="76331AF1">
            <w:pPr>
              <w:autoSpaceDE w:val="0"/>
              <w:autoSpaceDN w:val="0"/>
              <w:snapToGrid w:val="0"/>
              <w:jc w:val="center"/>
              <w:textAlignment w:val="bottom"/>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竞争性磋商文件澄清</w:t>
            </w:r>
            <w:r>
              <w:rPr>
                <w:rFonts w:hint="eastAsia" w:asciiTheme="minorEastAsia" w:hAnsiTheme="minorEastAsia" w:eastAsiaTheme="minorEastAsia" w:cstheme="minorEastAsia"/>
                <w:color w:val="auto"/>
                <w:szCs w:val="21"/>
                <w:highlight w:val="none"/>
              </w:rPr>
              <w:t>截止时间</w:t>
            </w:r>
          </w:p>
        </w:tc>
        <w:tc>
          <w:tcPr>
            <w:tcW w:w="6696" w:type="dxa"/>
            <w:tcBorders>
              <w:tl2br w:val="nil"/>
              <w:tr2bl w:val="nil"/>
            </w:tcBorders>
            <w:vAlign w:val="center"/>
          </w:tcPr>
          <w:p w14:paraId="34F1F841">
            <w:pPr>
              <w:autoSpaceDE w:val="0"/>
              <w:autoSpaceDN w:val="0"/>
              <w:snapToGrid w:val="0"/>
              <w:textAlignment w:val="bottom"/>
              <w:rPr>
                <w:rFonts w:hint="eastAsia" w:asciiTheme="minorEastAsia" w:hAnsiTheme="minorEastAsia" w:eastAsiaTheme="minorEastAsia" w:cstheme="minorEastAsia"/>
                <w:color w:val="auto"/>
                <w:kern w:val="0"/>
                <w:szCs w:val="21"/>
                <w:highlight w:val="none"/>
                <w:lang w:eastAsia="zh-CN"/>
              </w:rPr>
            </w:pPr>
            <w:r>
              <w:rPr>
                <w:rFonts w:hint="eastAsia" w:asciiTheme="minorEastAsia" w:hAnsiTheme="minorEastAsia" w:eastAsiaTheme="minorEastAsia" w:cstheme="minorEastAsia"/>
                <w:color w:val="auto"/>
                <w:szCs w:val="21"/>
                <w:highlight w:val="none"/>
              </w:rPr>
              <w:t>提交响应文件截止时间</w:t>
            </w:r>
            <w:r>
              <w:rPr>
                <w:rFonts w:hint="eastAsia" w:asciiTheme="minorEastAsia" w:hAnsiTheme="minorEastAsia" w:eastAsiaTheme="minorEastAsia" w:cstheme="minorEastAsia"/>
                <w:color w:val="auto"/>
                <w:szCs w:val="21"/>
                <w:highlight w:val="none"/>
                <w:u w:val="single"/>
              </w:rPr>
              <w:t>5</w:t>
            </w:r>
            <w:r>
              <w:rPr>
                <w:rFonts w:hint="eastAsia" w:asciiTheme="minorEastAsia" w:hAnsiTheme="minorEastAsia" w:eastAsiaTheme="minorEastAsia" w:cstheme="minorEastAsia"/>
                <w:color w:val="auto"/>
                <w:szCs w:val="21"/>
                <w:highlight w:val="none"/>
              </w:rPr>
              <w:t>日前</w:t>
            </w:r>
            <w:r>
              <w:rPr>
                <w:rFonts w:hint="eastAsia" w:asciiTheme="minorEastAsia" w:hAnsiTheme="minorEastAsia" w:eastAsiaTheme="minorEastAsia" w:cstheme="minorEastAsia"/>
                <w:color w:val="auto"/>
                <w:szCs w:val="21"/>
                <w:highlight w:val="none"/>
                <w:lang w:eastAsia="zh-CN"/>
              </w:rPr>
              <w:t>。</w:t>
            </w:r>
          </w:p>
        </w:tc>
      </w:tr>
      <w:tr w14:paraId="5481920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vMerge w:val="continue"/>
            <w:tcBorders>
              <w:tl2br w:val="nil"/>
              <w:tr2bl w:val="nil"/>
            </w:tcBorders>
            <w:vAlign w:val="center"/>
          </w:tcPr>
          <w:p w14:paraId="349AD979">
            <w:pPr>
              <w:pStyle w:val="15"/>
              <w:jc w:val="center"/>
              <w:rPr>
                <w:rFonts w:asciiTheme="minorEastAsia" w:hAnsiTheme="minorEastAsia" w:eastAsiaTheme="minorEastAsia" w:cstheme="minorEastAsia"/>
                <w:color w:val="auto"/>
                <w:szCs w:val="21"/>
                <w:highlight w:val="none"/>
              </w:rPr>
            </w:pPr>
          </w:p>
        </w:tc>
        <w:tc>
          <w:tcPr>
            <w:tcW w:w="2079" w:type="dxa"/>
            <w:tcBorders>
              <w:tl2br w:val="nil"/>
              <w:tr2bl w:val="nil"/>
            </w:tcBorders>
            <w:vAlign w:val="center"/>
          </w:tcPr>
          <w:p w14:paraId="5253D3B7">
            <w:pPr>
              <w:autoSpaceDE w:val="0"/>
              <w:autoSpaceDN w:val="0"/>
              <w:snapToGrid w:val="0"/>
              <w:jc w:val="center"/>
              <w:textAlignment w:val="bottom"/>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竞争性磋商文件澄清联系方式</w:t>
            </w:r>
          </w:p>
        </w:tc>
        <w:tc>
          <w:tcPr>
            <w:tcW w:w="6696" w:type="dxa"/>
            <w:tcBorders>
              <w:tl2br w:val="nil"/>
              <w:tr2bl w:val="nil"/>
            </w:tcBorders>
            <w:vAlign w:val="center"/>
          </w:tcPr>
          <w:p w14:paraId="4A328D91">
            <w:pPr>
              <w:widowControl/>
              <w:adjustRightInd w:val="0"/>
              <w:snapToGrid w:val="0"/>
              <w:jc w:val="left"/>
              <w:rPr>
                <w:rFonts w:hint="default" w:asciiTheme="minorEastAsia" w:hAnsiTheme="minorEastAsia" w:eastAsiaTheme="minorEastAsia" w:cstheme="minorEastAsia"/>
                <w:color w:val="auto"/>
                <w:szCs w:val="21"/>
                <w:highlight w:val="none"/>
                <w:lang w:val="en-US"/>
              </w:rPr>
            </w:pPr>
            <w:r>
              <w:rPr>
                <w:rFonts w:hint="eastAsia" w:asciiTheme="minorEastAsia" w:hAnsiTheme="minorEastAsia" w:eastAsiaTheme="minorEastAsia" w:cstheme="minorEastAsia"/>
                <w:color w:val="auto"/>
                <w:szCs w:val="21"/>
                <w:highlight w:val="none"/>
              </w:rPr>
              <w:t>澄清联系人</w:t>
            </w:r>
            <w:r>
              <w:rPr>
                <w:rFonts w:hint="eastAsia" w:asciiTheme="minorEastAsia" w:hAnsiTheme="minorEastAsia" w:eastAsiaTheme="minorEastAsia" w:cstheme="minorEastAsia"/>
                <w:color w:val="auto"/>
                <w:szCs w:val="21"/>
                <w:highlight w:val="none"/>
                <w:lang w:val="en-US" w:eastAsia="zh-CN"/>
              </w:rPr>
              <w:t>：段工 0875—5186117、13987599066。</w:t>
            </w:r>
          </w:p>
        </w:tc>
      </w:tr>
      <w:tr w14:paraId="18485B5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tcBorders>
              <w:tl2br w:val="nil"/>
              <w:tr2bl w:val="nil"/>
            </w:tcBorders>
            <w:vAlign w:val="center"/>
          </w:tcPr>
          <w:p w14:paraId="3A518EFA">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7.5</w:t>
            </w:r>
          </w:p>
        </w:tc>
        <w:tc>
          <w:tcPr>
            <w:tcW w:w="2079" w:type="dxa"/>
            <w:tcBorders>
              <w:tl2br w:val="nil"/>
              <w:tr2bl w:val="nil"/>
            </w:tcBorders>
            <w:vAlign w:val="center"/>
          </w:tcPr>
          <w:p w14:paraId="400F4116">
            <w:pPr>
              <w:autoSpaceDE w:val="0"/>
              <w:autoSpaceDN w:val="0"/>
              <w:snapToGrid w:val="0"/>
              <w:jc w:val="center"/>
              <w:textAlignment w:val="bottom"/>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本项目竞争性磋商小组根据与供应商磋商情况可能变动的内容</w:t>
            </w:r>
          </w:p>
        </w:tc>
        <w:tc>
          <w:tcPr>
            <w:tcW w:w="6696" w:type="dxa"/>
            <w:tcBorders>
              <w:tl2br w:val="nil"/>
              <w:tr2bl w:val="nil"/>
            </w:tcBorders>
            <w:vAlign w:val="center"/>
          </w:tcPr>
          <w:p w14:paraId="202659A9">
            <w:pPr>
              <w:autoSpaceDE w:val="0"/>
              <w:autoSpaceDN w:val="0"/>
              <w:snapToGrid w:val="0"/>
              <w:textAlignment w:val="bottom"/>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在磋商过程中，竞争性磋商小组可以根据竞争性磋商文件和磋商情况实质性变动采购需求中的技术、服务要求以及合同草案条款，但不得变动竞争性磋商文件中的其他内容。实质性变动的内容，须经采购人代表确认</w:t>
            </w:r>
            <w:r>
              <w:rPr>
                <w:rFonts w:hint="eastAsia" w:asciiTheme="minorEastAsia" w:hAnsiTheme="minorEastAsia" w:eastAsiaTheme="minorEastAsia" w:cstheme="minorEastAsia"/>
                <w:color w:val="auto"/>
                <w:szCs w:val="21"/>
                <w:highlight w:val="none"/>
                <w:lang w:eastAsia="zh-CN"/>
              </w:rPr>
              <w:t>。</w:t>
            </w:r>
          </w:p>
        </w:tc>
      </w:tr>
      <w:tr w14:paraId="6AFB5DB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tcBorders>
              <w:tl2br w:val="nil"/>
              <w:tr2bl w:val="nil"/>
            </w:tcBorders>
            <w:vAlign w:val="center"/>
          </w:tcPr>
          <w:p w14:paraId="41A05830">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9.1</w:t>
            </w:r>
          </w:p>
        </w:tc>
        <w:tc>
          <w:tcPr>
            <w:tcW w:w="2079" w:type="dxa"/>
            <w:tcBorders>
              <w:tl2br w:val="nil"/>
              <w:tr2bl w:val="nil"/>
            </w:tcBorders>
            <w:vAlign w:val="center"/>
          </w:tcPr>
          <w:p w14:paraId="69B7C6F0">
            <w:pPr>
              <w:autoSpaceDE w:val="0"/>
              <w:autoSpaceDN w:val="0"/>
              <w:snapToGrid w:val="0"/>
              <w:jc w:val="center"/>
              <w:textAlignment w:val="bottom"/>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szCs w:val="21"/>
                <w:highlight w:val="none"/>
              </w:rPr>
              <w:t>构成响应文件的其他资料</w:t>
            </w:r>
          </w:p>
        </w:tc>
        <w:tc>
          <w:tcPr>
            <w:tcW w:w="6696" w:type="dxa"/>
            <w:tcBorders>
              <w:tl2br w:val="nil"/>
              <w:tr2bl w:val="nil"/>
            </w:tcBorders>
            <w:vAlign w:val="center"/>
          </w:tcPr>
          <w:p w14:paraId="03EFCD81">
            <w:pPr>
              <w:pStyle w:val="15"/>
              <w:jc w:val="left"/>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澄清、承诺及最后报价等</w:t>
            </w:r>
            <w:r>
              <w:rPr>
                <w:rFonts w:hint="eastAsia" w:asciiTheme="minorEastAsia" w:hAnsiTheme="minorEastAsia" w:eastAsiaTheme="minorEastAsia" w:cstheme="minorEastAsia"/>
                <w:color w:val="auto"/>
                <w:szCs w:val="21"/>
                <w:highlight w:val="none"/>
                <w:lang w:eastAsia="zh-CN"/>
              </w:rPr>
              <w:t>。</w:t>
            </w:r>
          </w:p>
        </w:tc>
      </w:tr>
      <w:tr w14:paraId="6F0FBEB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tcBorders>
              <w:tl2br w:val="nil"/>
              <w:tr2bl w:val="nil"/>
            </w:tcBorders>
            <w:vAlign w:val="center"/>
          </w:tcPr>
          <w:p w14:paraId="18151D0F">
            <w:pPr>
              <w:pStyle w:val="15"/>
              <w:jc w:val="left"/>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★10.1</w:t>
            </w:r>
          </w:p>
        </w:tc>
        <w:tc>
          <w:tcPr>
            <w:tcW w:w="2079" w:type="dxa"/>
            <w:tcBorders>
              <w:tl2br w:val="nil"/>
              <w:tr2bl w:val="nil"/>
            </w:tcBorders>
            <w:vAlign w:val="center"/>
          </w:tcPr>
          <w:p w14:paraId="30B28E87">
            <w:pPr>
              <w:pStyle w:val="15"/>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最高限价及报价要求</w:t>
            </w:r>
          </w:p>
        </w:tc>
        <w:tc>
          <w:tcPr>
            <w:tcW w:w="6696" w:type="dxa"/>
            <w:tcBorders>
              <w:tl2br w:val="nil"/>
              <w:tr2bl w:val="nil"/>
            </w:tcBorders>
            <w:vAlign w:val="center"/>
          </w:tcPr>
          <w:p w14:paraId="26DD88F0">
            <w:pPr>
              <w:pStyle w:val="15"/>
              <w:jc w:val="left"/>
              <w:rPr>
                <w:rFonts w:hint="eastAsia"/>
                <w:b/>
                <w:color w:val="auto"/>
                <w:szCs w:val="21"/>
                <w:highlight w:val="none"/>
                <w:lang w:eastAsia="zh-CN"/>
              </w:rPr>
            </w:pPr>
            <w:r>
              <w:rPr>
                <w:rFonts w:hint="eastAsia" w:asciiTheme="minorEastAsia" w:hAnsiTheme="minorEastAsia" w:eastAsiaTheme="minorEastAsia" w:cstheme="minorEastAsia"/>
                <w:b/>
                <w:color w:val="auto"/>
                <w:szCs w:val="21"/>
                <w:highlight w:val="none"/>
              </w:rPr>
              <w:t>最高限价</w:t>
            </w:r>
            <w:r>
              <w:rPr>
                <w:rFonts w:hint="eastAsia"/>
                <w:b/>
                <w:color w:val="auto"/>
                <w:szCs w:val="21"/>
                <w:highlight w:val="none"/>
              </w:rPr>
              <w:t>详见第一章“竞争性磋商公告”</w:t>
            </w:r>
            <w:r>
              <w:rPr>
                <w:rFonts w:hint="eastAsia"/>
                <w:b/>
                <w:color w:val="auto"/>
                <w:szCs w:val="21"/>
                <w:highlight w:val="none"/>
                <w:lang w:eastAsia="zh-CN"/>
              </w:rPr>
              <w:t>。</w:t>
            </w:r>
          </w:p>
          <w:p w14:paraId="6D71D693">
            <w:pPr>
              <w:rPr>
                <w:rFonts w:hint="default"/>
                <w:b/>
                <w:color w:val="auto"/>
                <w:szCs w:val="21"/>
                <w:highlight w:val="none"/>
                <w:lang w:val="en-US" w:eastAsia="zh-CN"/>
              </w:rPr>
            </w:pPr>
            <w:r>
              <w:rPr>
                <w:rFonts w:hint="eastAsia"/>
                <w:b/>
                <w:color w:val="auto"/>
                <w:szCs w:val="21"/>
                <w:highlight w:val="none"/>
                <w:lang w:val="en-US" w:eastAsia="zh-CN"/>
              </w:rPr>
              <w:t>报价要求：磋商报价完整且报价不高于所有公布的最高限价，已标价工程量清单满足竞争性磋商文件及工程量清单要求。</w:t>
            </w:r>
          </w:p>
        </w:tc>
      </w:tr>
      <w:tr w14:paraId="56D4E9E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tcBorders>
              <w:tl2br w:val="nil"/>
              <w:tr2bl w:val="nil"/>
            </w:tcBorders>
            <w:vAlign w:val="center"/>
          </w:tcPr>
          <w:p w14:paraId="7AE40EAD">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11.1</w:t>
            </w:r>
          </w:p>
        </w:tc>
        <w:tc>
          <w:tcPr>
            <w:tcW w:w="2079" w:type="dxa"/>
            <w:tcBorders>
              <w:tl2br w:val="nil"/>
              <w:tr2bl w:val="nil"/>
            </w:tcBorders>
            <w:vAlign w:val="center"/>
          </w:tcPr>
          <w:p w14:paraId="391D73A1">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有效期</w:t>
            </w:r>
          </w:p>
        </w:tc>
        <w:tc>
          <w:tcPr>
            <w:tcW w:w="6696" w:type="dxa"/>
            <w:tcBorders>
              <w:tl2br w:val="nil"/>
              <w:tr2bl w:val="nil"/>
            </w:tcBorders>
            <w:vAlign w:val="center"/>
          </w:tcPr>
          <w:p w14:paraId="67FEA87D">
            <w:pPr>
              <w:pStyle w:val="15"/>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递交响应文件的截止日期后</w:t>
            </w:r>
            <w:r>
              <w:rPr>
                <w:rFonts w:hint="eastAsia" w:asciiTheme="minorEastAsia" w:hAnsiTheme="minorEastAsia" w:eastAsiaTheme="minorEastAsia" w:cstheme="minorEastAsia"/>
                <w:color w:val="auto"/>
                <w:szCs w:val="21"/>
                <w:highlight w:val="none"/>
                <w:u w:val="single"/>
              </w:rPr>
              <w:t>90</w:t>
            </w:r>
            <w:r>
              <w:rPr>
                <w:rFonts w:hint="eastAsia" w:asciiTheme="minorEastAsia" w:hAnsiTheme="minorEastAsia" w:eastAsiaTheme="minorEastAsia" w:cstheme="minorEastAsia"/>
                <w:color w:val="auto"/>
                <w:szCs w:val="21"/>
                <w:highlight w:val="none"/>
              </w:rPr>
              <w:t>天</w:t>
            </w:r>
            <w:r>
              <w:rPr>
                <w:rFonts w:hint="eastAsia" w:asciiTheme="minorEastAsia" w:hAnsiTheme="minorEastAsia" w:eastAsiaTheme="minorEastAsia" w:cstheme="minorEastAsia"/>
                <w:color w:val="auto"/>
                <w:szCs w:val="21"/>
                <w:highlight w:val="none"/>
                <w:lang w:eastAsia="zh-CN"/>
              </w:rPr>
              <w:t>。</w:t>
            </w:r>
          </w:p>
        </w:tc>
      </w:tr>
      <w:tr w14:paraId="752FCBF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tcBorders>
              <w:tl2br w:val="nil"/>
              <w:tr2bl w:val="nil"/>
            </w:tcBorders>
            <w:vAlign w:val="center"/>
          </w:tcPr>
          <w:p w14:paraId="1392C9BA">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12.4</w:t>
            </w:r>
          </w:p>
        </w:tc>
        <w:tc>
          <w:tcPr>
            <w:tcW w:w="2079" w:type="dxa"/>
            <w:tcBorders>
              <w:tl2br w:val="nil"/>
              <w:tr2bl w:val="nil"/>
            </w:tcBorders>
            <w:vAlign w:val="center"/>
          </w:tcPr>
          <w:p w14:paraId="252B8C13">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响应文件份数</w:t>
            </w:r>
          </w:p>
        </w:tc>
        <w:tc>
          <w:tcPr>
            <w:tcW w:w="6696" w:type="dxa"/>
            <w:tcBorders>
              <w:tl2br w:val="nil"/>
              <w:tr2bl w:val="nil"/>
            </w:tcBorders>
            <w:vAlign w:val="center"/>
          </w:tcPr>
          <w:p w14:paraId="1424AC8B">
            <w:pPr>
              <w:pStyle w:val="15"/>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按“政采云”要求，上传电子响应文件壹份。供应商应安装“政采云”投标客户端，根据采购文件格式编制响应文件，生成加密标书后进行上传</w:t>
            </w:r>
            <w:r>
              <w:rPr>
                <w:rFonts w:hint="eastAsia" w:asciiTheme="minorEastAsia" w:hAnsiTheme="minorEastAsia" w:eastAsiaTheme="minorEastAsia" w:cstheme="minorEastAsia"/>
                <w:color w:val="auto"/>
                <w:szCs w:val="21"/>
                <w:highlight w:val="none"/>
                <w:lang w:eastAsia="zh-CN"/>
              </w:rPr>
              <w:t>。</w:t>
            </w:r>
          </w:p>
        </w:tc>
      </w:tr>
      <w:tr w14:paraId="3D93F47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tcBorders>
              <w:tl2br w:val="nil"/>
              <w:tr2bl w:val="nil"/>
            </w:tcBorders>
            <w:vAlign w:val="center"/>
          </w:tcPr>
          <w:p w14:paraId="22B0B9BA">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13.1</w:t>
            </w:r>
          </w:p>
        </w:tc>
        <w:tc>
          <w:tcPr>
            <w:tcW w:w="2079" w:type="dxa"/>
            <w:tcBorders>
              <w:tl2br w:val="nil"/>
              <w:tr2bl w:val="nil"/>
            </w:tcBorders>
            <w:vAlign w:val="center"/>
          </w:tcPr>
          <w:p w14:paraId="749C1559">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磋商保证金</w:t>
            </w:r>
          </w:p>
        </w:tc>
        <w:tc>
          <w:tcPr>
            <w:tcW w:w="6696" w:type="dxa"/>
            <w:tcBorders>
              <w:tl2br w:val="nil"/>
              <w:tr2bl w:val="nil"/>
            </w:tcBorders>
            <w:vAlign w:val="center"/>
          </w:tcPr>
          <w:p w14:paraId="4789CEF8">
            <w:pPr>
              <w:shd w:val="clear"/>
              <w:spacing w:line="420" w:lineRule="exac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1.本项目磋商保证金金额：8000.00元。</w:t>
            </w:r>
          </w:p>
          <w:p w14:paraId="0D7D7C13">
            <w:pPr>
              <w:shd w:val="clear"/>
              <w:spacing w:line="420" w:lineRule="exac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2. 本项目投标保证金形式为转账或银行保函或保证保险或其他非现金方式（不接收现场缴纳现金），采用转账的方式提交投标保证金的，保证金凭证上需写明“项目名称” 或“ 采购编号第几标段”投标保证金。</w:t>
            </w:r>
          </w:p>
          <w:p w14:paraId="742A860E">
            <w:pPr>
              <w:shd w:val="clear"/>
              <w:spacing w:line="420" w:lineRule="exac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3. 采用银行转账：投标保证金应以投标人自身的名义提交，并且必须从其基本账户转出（按照规定，投标人可以为自然人的项目除外）。</w:t>
            </w:r>
          </w:p>
          <w:p w14:paraId="78A8195A">
            <w:pPr>
              <w:shd w:val="clear"/>
              <w:spacing w:line="420" w:lineRule="exac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投标保证金交纳专用账户信息如下：</w:t>
            </w:r>
          </w:p>
          <w:p w14:paraId="5F8A00BB">
            <w:pPr>
              <w:shd w:val="clear"/>
              <w:spacing w:line="420" w:lineRule="exac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开户名称：云南文星招标有限公司</w:t>
            </w:r>
          </w:p>
          <w:p w14:paraId="03FBE1B4">
            <w:pPr>
              <w:shd w:val="clear"/>
              <w:spacing w:line="420" w:lineRule="exac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开户银行：云南省腾冲农村商业银行股份有限公司</w:t>
            </w:r>
          </w:p>
          <w:p w14:paraId="68A50DB8">
            <w:pPr>
              <w:shd w:val="clear"/>
              <w:spacing w:line="420" w:lineRule="exac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账号：2300018315052012</w:t>
            </w:r>
          </w:p>
          <w:p w14:paraId="7227C0A8">
            <w:pPr>
              <w:shd w:val="clear"/>
              <w:spacing w:line="420" w:lineRule="exac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业务咨询电话：0875-5186117</w:t>
            </w:r>
          </w:p>
          <w:p w14:paraId="5BF22EAB">
            <w:pPr>
              <w:shd w:val="clear"/>
              <w:spacing w:line="420" w:lineRule="exac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联系人：付女士。</w:t>
            </w:r>
          </w:p>
          <w:p w14:paraId="04F82E15">
            <w:pPr>
              <w:shd w:val="clear"/>
              <w:spacing w:line="420" w:lineRule="exac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4.采用银行保函：</w:t>
            </w:r>
          </w:p>
          <w:p w14:paraId="62B11E04">
            <w:pPr>
              <w:shd w:val="clear"/>
              <w:spacing w:line="420" w:lineRule="exac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保函申请人必须是投标人，受益人必须是采购人，保证人必须是投标人基本账户的开户银行；银行保函必须正确填写受益人和申请人的全称，并与招标文件规定的名称一致，以免造成投标无效。</w:t>
            </w:r>
          </w:p>
          <w:p w14:paraId="40580163">
            <w:pPr>
              <w:shd w:val="clear"/>
              <w:spacing w:line="420" w:lineRule="exac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5.采用保证保险：</w:t>
            </w:r>
          </w:p>
          <w:p w14:paraId="537FAA68">
            <w:pPr>
              <w:shd w:val="clear"/>
              <w:spacing w:line="420" w:lineRule="exac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须按照国家关于保证保险的要求购买保证保险，投标人持保证保险材料参加投标。</w:t>
            </w:r>
          </w:p>
          <w:p w14:paraId="6B18C622">
            <w:pP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kern w:val="2"/>
                <w:sz w:val="21"/>
                <w:szCs w:val="21"/>
                <w:highlight w:val="none"/>
                <w:lang w:val="en-US" w:eastAsia="zh-CN" w:bidi="ar-SA"/>
              </w:rPr>
              <w:t>注：在中标公告发布后，请未中标的投标人将保证金汇款凭证及开户许可证明扫描件发送至848610454@qq.com办理保证金退还；成交人的投标保证金必须在合同签订后将保证金汇款凭证及开户许可证明、合同扫描件发送至848610454@qq.com办理保证金退还。</w:t>
            </w:r>
          </w:p>
        </w:tc>
      </w:tr>
      <w:tr w14:paraId="3A73C58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tcBorders>
              <w:tl2br w:val="nil"/>
              <w:tr2bl w:val="nil"/>
            </w:tcBorders>
            <w:vAlign w:val="center"/>
          </w:tcPr>
          <w:p w14:paraId="04FA73D9">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14.1</w:t>
            </w:r>
          </w:p>
        </w:tc>
        <w:tc>
          <w:tcPr>
            <w:tcW w:w="2079" w:type="dxa"/>
            <w:tcBorders>
              <w:tl2br w:val="nil"/>
              <w:tr2bl w:val="nil"/>
            </w:tcBorders>
            <w:vAlign w:val="center"/>
          </w:tcPr>
          <w:p w14:paraId="3D09EB6B">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响应文件的提交</w:t>
            </w:r>
          </w:p>
        </w:tc>
        <w:tc>
          <w:tcPr>
            <w:tcW w:w="6696" w:type="dxa"/>
            <w:tcBorders>
              <w:tl2br w:val="nil"/>
              <w:tr2bl w:val="nil"/>
            </w:tcBorders>
            <w:vAlign w:val="center"/>
          </w:tcPr>
          <w:p w14:paraId="06E1A052">
            <w:pP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供应商应按照本项目采购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r>
              <w:rPr>
                <w:rFonts w:hint="eastAsia" w:asciiTheme="minorEastAsia" w:hAnsiTheme="minorEastAsia" w:eastAsiaTheme="minorEastAsia" w:cstheme="minorEastAsia"/>
                <w:color w:val="auto"/>
                <w:szCs w:val="21"/>
                <w:highlight w:val="none"/>
                <w:lang w:eastAsia="zh-CN"/>
              </w:rPr>
              <w:t>。</w:t>
            </w:r>
          </w:p>
        </w:tc>
      </w:tr>
      <w:tr w14:paraId="394BD3D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tcBorders>
              <w:tl2br w:val="nil"/>
              <w:tr2bl w:val="nil"/>
            </w:tcBorders>
            <w:vAlign w:val="center"/>
          </w:tcPr>
          <w:p w14:paraId="0EA590C1">
            <w:pPr>
              <w:pStyle w:val="22"/>
              <w:spacing w:after="0" w:line="240" w:lineRule="auto"/>
              <w:jc w:val="center"/>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15.1</w:t>
            </w:r>
          </w:p>
        </w:tc>
        <w:tc>
          <w:tcPr>
            <w:tcW w:w="2079" w:type="dxa"/>
            <w:tcBorders>
              <w:tl2br w:val="nil"/>
              <w:tr2bl w:val="nil"/>
            </w:tcBorders>
            <w:vAlign w:val="center"/>
          </w:tcPr>
          <w:p w14:paraId="5F20CFAC">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递交响应文件的截止时间</w:t>
            </w:r>
          </w:p>
        </w:tc>
        <w:tc>
          <w:tcPr>
            <w:tcW w:w="6696" w:type="dxa"/>
            <w:tcBorders>
              <w:tl2br w:val="nil"/>
              <w:tr2bl w:val="nil"/>
            </w:tcBorders>
            <w:vAlign w:val="center"/>
          </w:tcPr>
          <w:p w14:paraId="5E0F95B9">
            <w:pPr>
              <w:pStyle w:val="15"/>
              <w:rPr>
                <w:rFonts w:hint="eastAsia" w:eastAsia="宋体" w:asciiTheme="minorEastAsia" w:hAnsiTheme="minorEastAsia" w:cstheme="minorEastAsia"/>
                <w:color w:val="auto"/>
                <w:szCs w:val="21"/>
                <w:highlight w:val="none"/>
                <w:lang w:eastAsia="zh-CN"/>
              </w:rPr>
            </w:pPr>
            <w:r>
              <w:rPr>
                <w:rFonts w:hint="eastAsia"/>
                <w:bCs/>
                <w:color w:val="auto"/>
                <w:highlight w:val="none"/>
              </w:rPr>
              <w:t>详见第一章“竞争性磋商公告”</w:t>
            </w:r>
            <w:r>
              <w:rPr>
                <w:rFonts w:hint="eastAsia"/>
                <w:bCs/>
                <w:color w:val="auto"/>
                <w:highlight w:val="none"/>
                <w:lang w:eastAsia="zh-CN"/>
              </w:rPr>
              <w:t>。</w:t>
            </w:r>
          </w:p>
        </w:tc>
      </w:tr>
      <w:tr w14:paraId="1E4D3DE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tcBorders>
              <w:tl2br w:val="nil"/>
              <w:tr2bl w:val="nil"/>
            </w:tcBorders>
            <w:vAlign w:val="center"/>
          </w:tcPr>
          <w:p w14:paraId="54A71A94">
            <w:pPr>
              <w:pStyle w:val="22"/>
              <w:spacing w:after="0" w:line="240" w:lineRule="auto"/>
              <w:jc w:val="center"/>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15.2</w:t>
            </w:r>
          </w:p>
        </w:tc>
        <w:tc>
          <w:tcPr>
            <w:tcW w:w="2079" w:type="dxa"/>
            <w:tcBorders>
              <w:tl2br w:val="nil"/>
              <w:tr2bl w:val="nil"/>
            </w:tcBorders>
            <w:vAlign w:val="center"/>
          </w:tcPr>
          <w:p w14:paraId="42F313F9">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递交响应文件地点</w:t>
            </w:r>
          </w:p>
        </w:tc>
        <w:tc>
          <w:tcPr>
            <w:tcW w:w="6696" w:type="dxa"/>
            <w:tcBorders>
              <w:tl2br w:val="nil"/>
              <w:tr2bl w:val="nil"/>
            </w:tcBorders>
            <w:vAlign w:val="center"/>
          </w:tcPr>
          <w:p w14:paraId="41B500F7">
            <w:pPr>
              <w:pStyle w:val="15"/>
              <w:rPr>
                <w:rFonts w:hint="eastAsia" w:eastAsia="宋体" w:asciiTheme="minorEastAsia" w:hAnsiTheme="minorEastAsia" w:cstheme="minorEastAsia"/>
                <w:color w:val="auto"/>
                <w:szCs w:val="21"/>
                <w:highlight w:val="none"/>
                <w:lang w:eastAsia="zh-CN"/>
              </w:rPr>
            </w:pPr>
            <w:r>
              <w:rPr>
                <w:rFonts w:hint="eastAsia"/>
                <w:bCs/>
                <w:color w:val="auto"/>
                <w:highlight w:val="none"/>
              </w:rPr>
              <w:t>请登录政采云投标客户端投标</w:t>
            </w:r>
            <w:r>
              <w:rPr>
                <w:rFonts w:hint="eastAsia"/>
                <w:bCs/>
                <w:color w:val="auto"/>
                <w:highlight w:val="none"/>
                <w:lang w:eastAsia="zh-CN"/>
              </w:rPr>
              <w:t>。</w:t>
            </w:r>
          </w:p>
        </w:tc>
      </w:tr>
      <w:tr w14:paraId="498F9A9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tcBorders>
              <w:tl2br w:val="nil"/>
              <w:tr2bl w:val="nil"/>
            </w:tcBorders>
            <w:vAlign w:val="center"/>
          </w:tcPr>
          <w:p w14:paraId="4CAB94C0">
            <w:pPr>
              <w:pStyle w:val="22"/>
              <w:spacing w:after="0" w:line="240" w:lineRule="auto"/>
              <w:jc w:val="center"/>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15.3</w:t>
            </w:r>
          </w:p>
        </w:tc>
        <w:tc>
          <w:tcPr>
            <w:tcW w:w="2079" w:type="dxa"/>
            <w:tcBorders>
              <w:tl2br w:val="nil"/>
              <w:tr2bl w:val="nil"/>
            </w:tcBorders>
            <w:vAlign w:val="center"/>
          </w:tcPr>
          <w:p w14:paraId="1A61EFD5">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是否退还响应文件</w:t>
            </w:r>
          </w:p>
        </w:tc>
        <w:tc>
          <w:tcPr>
            <w:tcW w:w="6696" w:type="dxa"/>
            <w:tcBorders>
              <w:tl2br w:val="nil"/>
              <w:tr2bl w:val="nil"/>
            </w:tcBorders>
            <w:vAlign w:val="center"/>
          </w:tcPr>
          <w:p w14:paraId="309BA283">
            <w:pPr>
              <w:pStyle w:val="15"/>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否</w:t>
            </w:r>
            <w:r>
              <w:rPr>
                <w:rFonts w:hint="eastAsia" w:asciiTheme="minorEastAsia" w:hAnsiTheme="minorEastAsia" w:eastAsiaTheme="minorEastAsia" w:cstheme="minorEastAsia"/>
                <w:color w:val="auto"/>
                <w:szCs w:val="21"/>
                <w:highlight w:val="none"/>
                <w:lang w:eastAsia="zh-CN"/>
              </w:rPr>
              <w:t>。</w:t>
            </w:r>
          </w:p>
        </w:tc>
      </w:tr>
      <w:tr w14:paraId="1F37AC3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tcBorders>
              <w:tl2br w:val="nil"/>
              <w:tr2bl w:val="nil"/>
            </w:tcBorders>
            <w:vAlign w:val="center"/>
          </w:tcPr>
          <w:p w14:paraId="5D33D3AB">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16</w:t>
            </w:r>
          </w:p>
        </w:tc>
        <w:tc>
          <w:tcPr>
            <w:tcW w:w="2079" w:type="dxa"/>
            <w:tcBorders>
              <w:tl2br w:val="nil"/>
              <w:tr2bl w:val="nil"/>
            </w:tcBorders>
            <w:vAlign w:val="center"/>
          </w:tcPr>
          <w:p w14:paraId="2B9EC424">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磋商时间和地点</w:t>
            </w:r>
          </w:p>
        </w:tc>
        <w:tc>
          <w:tcPr>
            <w:tcW w:w="6696" w:type="dxa"/>
            <w:tcBorders>
              <w:tl2br w:val="nil"/>
              <w:tr2bl w:val="nil"/>
            </w:tcBorders>
            <w:vAlign w:val="center"/>
          </w:tcPr>
          <w:p w14:paraId="3330FF5A">
            <w:pP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磋商时间：</w:t>
            </w:r>
            <w:r>
              <w:rPr>
                <w:rFonts w:hint="eastAsia" w:asciiTheme="minorEastAsia" w:hAnsiTheme="minorEastAsia" w:eastAsiaTheme="minorEastAsia" w:cstheme="minorEastAsia"/>
                <w:color w:val="auto"/>
                <w:szCs w:val="21"/>
                <w:highlight w:val="none"/>
                <w:lang w:eastAsia="zh-CN"/>
              </w:rPr>
              <w:t>2026年10月09日15时00分</w:t>
            </w:r>
            <w:r>
              <w:rPr>
                <w:rFonts w:hint="eastAsia" w:asciiTheme="minorEastAsia" w:hAnsiTheme="minorEastAsia" w:eastAsiaTheme="minorEastAsia" w:cstheme="minorEastAsia"/>
                <w:color w:val="auto"/>
                <w:szCs w:val="21"/>
                <w:highlight w:val="none"/>
              </w:rPr>
              <w:t>（北京时间）开始</w:t>
            </w:r>
            <w:r>
              <w:rPr>
                <w:rFonts w:hint="eastAsia" w:asciiTheme="minorEastAsia" w:hAnsiTheme="minorEastAsia" w:eastAsiaTheme="minorEastAsia" w:cstheme="minorEastAsia"/>
                <w:color w:val="auto"/>
                <w:szCs w:val="21"/>
                <w:highlight w:val="none"/>
                <w:lang w:eastAsia="zh-CN"/>
              </w:rPr>
              <w:t>；</w:t>
            </w:r>
          </w:p>
          <w:p w14:paraId="038EA253">
            <w:pP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磋商地点：政采云平台</w:t>
            </w:r>
            <w:r>
              <w:rPr>
                <w:rFonts w:hint="eastAsia" w:asciiTheme="minorEastAsia" w:hAnsiTheme="minorEastAsia" w:eastAsiaTheme="minorEastAsia" w:cstheme="minorEastAsia"/>
                <w:color w:val="auto"/>
                <w:szCs w:val="21"/>
                <w:highlight w:val="none"/>
                <w:lang w:eastAsia="zh-CN"/>
              </w:rPr>
              <w:t>。</w:t>
            </w:r>
          </w:p>
        </w:tc>
      </w:tr>
      <w:tr w14:paraId="70320D5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tcBorders>
              <w:tl2br w:val="nil"/>
              <w:tr2bl w:val="nil"/>
            </w:tcBorders>
            <w:vAlign w:val="center"/>
          </w:tcPr>
          <w:p w14:paraId="67FFFE06">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23.1</w:t>
            </w:r>
          </w:p>
        </w:tc>
        <w:tc>
          <w:tcPr>
            <w:tcW w:w="2079" w:type="dxa"/>
            <w:tcBorders>
              <w:tl2br w:val="nil"/>
              <w:tr2bl w:val="nil"/>
            </w:tcBorders>
            <w:vAlign w:val="center"/>
          </w:tcPr>
          <w:p w14:paraId="016FB511">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履约保证金金额</w:t>
            </w:r>
          </w:p>
        </w:tc>
        <w:tc>
          <w:tcPr>
            <w:tcW w:w="6696" w:type="dxa"/>
            <w:tcBorders>
              <w:tl2br w:val="nil"/>
              <w:tr2bl w:val="nil"/>
            </w:tcBorders>
            <w:vAlign w:val="center"/>
          </w:tcPr>
          <w:p w14:paraId="79C45268">
            <w:pP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双方合同约定</w:t>
            </w:r>
            <w:r>
              <w:rPr>
                <w:rFonts w:hint="eastAsia" w:asciiTheme="minorEastAsia" w:hAnsiTheme="minorEastAsia" w:eastAsiaTheme="minorEastAsia" w:cstheme="minorEastAsia"/>
                <w:color w:val="auto"/>
                <w:szCs w:val="21"/>
                <w:highlight w:val="none"/>
                <w:lang w:eastAsia="zh-CN"/>
              </w:rPr>
              <w:t>。</w:t>
            </w:r>
          </w:p>
        </w:tc>
      </w:tr>
      <w:tr w14:paraId="6AE6674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tcBorders>
              <w:tl2br w:val="nil"/>
              <w:tr2bl w:val="nil"/>
            </w:tcBorders>
            <w:vAlign w:val="center"/>
          </w:tcPr>
          <w:p w14:paraId="4003144B">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23.3</w:t>
            </w:r>
          </w:p>
        </w:tc>
        <w:tc>
          <w:tcPr>
            <w:tcW w:w="2079" w:type="dxa"/>
            <w:tcBorders>
              <w:tl2br w:val="nil"/>
              <w:tr2bl w:val="nil"/>
            </w:tcBorders>
            <w:vAlign w:val="center"/>
          </w:tcPr>
          <w:p w14:paraId="45896951">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pacing w:val="-11"/>
                <w:szCs w:val="21"/>
                <w:highlight w:val="none"/>
              </w:rPr>
              <w:t>履约保证金退还时间</w:t>
            </w:r>
          </w:p>
        </w:tc>
        <w:tc>
          <w:tcPr>
            <w:tcW w:w="6696" w:type="dxa"/>
            <w:tcBorders>
              <w:tl2br w:val="nil"/>
              <w:tr2bl w:val="nil"/>
            </w:tcBorders>
            <w:vAlign w:val="center"/>
          </w:tcPr>
          <w:p w14:paraId="6CF8610E">
            <w:pPr>
              <w:pStyle w:val="15"/>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双方合同约定</w:t>
            </w:r>
            <w:r>
              <w:rPr>
                <w:rFonts w:hint="eastAsia" w:asciiTheme="minorEastAsia" w:hAnsiTheme="minorEastAsia" w:eastAsiaTheme="minorEastAsia" w:cstheme="minorEastAsia"/>
                <w:color w:val="auto"/>
                <w:szCs w:val="21"/>
                <w:highlight w:val="none"/>
                <w:lang w:eastAsia="zh-CN"/>
              </w:rPr>
              <w:t>。</w:t>
            </w:r>
          </w:p>
        </w:tc>
      </w:tr>
      <w:tr w14:paraId="444B8A7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323" w:hRule="atLeast"/>
          <w:jc w:val="center"/>
        </w:trPr>
        <w:tc>
          <w:tcPr>
            <w:tcW w:w="873" w:type="dxa"/>
            <w:tcBorders>
              <w:tl2br w:val="nil"/>
              <w:tr2bl w:val="nil"/>
            </w:tcBorders>
            <w:vAlign w:val="center"/>
          </w:tcPr>
          <w:p w14:paraId="220D4A95">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25</w:t>
            </w:r>
          </w:p>
        </w:tc>
        <w:tc>
          <w:tcPr>
            <w:tcW w:w="2079" w:type="dxa"/>
            <w:tcBorders>
              <w:tl2br w:val="nil"/>
              <w:tr2bl w:val="nil"/>
            </w:tcBorders>
            <w:vAlign w:val="center"/>
          </w:tcPr>
          <w:p w14:paraId="626E8F12">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中标（成交）服务费</w:t>
            </w:r>
          </w:p>
        </w:tc>
        <w:tc>
          <w:tcPr>
            <w:tcW w:w="6696" w:type="dxa"/>
            <w:tcBorders>
              <w:tl2br w:val="nil"/>
              <w:tr2bl w:val="nil"/>
            </w:tcBorders>
            <w:vAlign w:val="center"/>
          </w:tcPr>
          <w:p w14:paraId="7EF92A69">
            <w:pPr>
              <w:jc w:val="left"/>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 本项目按《云南省建设工程及政府采购代理服务收费参考意见》（云建招协〔2026〕11号）收取，由成交供应商支付。</w:t>
            </w:r>
          </w:p>
        </w:tc>
      </w:tr>
      <w:tr w14:paraId="1B45AE3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tcBorders>
              <w:tl2br w:val="nil"/>
              <w:tr2bl w:val="nil"/>
            </w:tcBorders>
            <w:vAlign w:val="center"/>
          </w:tcPr>
          <w:p w14:paraId="786A3311">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27</w:t>
            </w:r>
          </w:p>
        </w:tc>
        <w:tc>
          <w:tcPr>
            <w:tcW w:w="8775" w:type="dxa"/>
            <w:gridSpan w:val="2"/>
            <w:tcBorders>
              <w:tl2br w:val="nil"/>
              <w:tr2bl w:val="nil"/>
            </w:tcBorders>
            <w:vAlign w:val="center"/>
          </w:tcPr>
          <w:p w14:paraId="78C39C2D">
            <w:pPr>
              <w:pStyle w:val="15"/>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需要补充的其他内容</w:t>
            </w:r>
            <w:r>
              <w:rPr>
                <w:rFonts w:hint="eastAsia" w:asciiTheme="minorEastAsia" w:hAnsiTheme="minorEastAsia" w:eastAsiaTheme="minorEastAsia" w:cstheme="minorEastAsia"/>
                <w:color w:val="auto"/>
                <w:szCs w:val="21"/>
                <w:highlight w:val="none"/>
                <w:lang w:eastAsia="zh-CN"/>
              </w:rPr>
              <w:t>：</w:t>
            </w:r>
          </w:p>
        </w:tc>
      </w:tr>
      <w:tr w14:paraId="35D0250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tcBorders>
              <w:tl2br w:val="nil"/>
              <w:tr2bl w:val="nil"/>
            </w:tcBorders>
            <w:vAlign w:val="center"/>
          </w:tcPr>
          <w:p w14:paraId="28DCD6B1">
            <w:pPr>
              <w:pStyle w:val="15"/>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p>
        </w:tc>
        <w:tc>
          <w:tcPr>
            <w:tcW w:w="8775" w:type="dxa"/>
            <w:gridSpan w:val="2"/>
            <w:tcBorders>
              <w:tl2br w:val="nil"/>
              <w:tr2bl w:val="nil"/>
            </w:tcBorders>
            <w:vAlign w:val="center"/>
          </w:tcPr>
          <w:p w14:paraId="66C43581">
            <w:pPr>
              <w:pStyle w:val="15"/>
              <w:jc w:val="left"/>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1、小型和微型企业价格评分优惠政策</w:t>
            </w:r>
          </w:p>
          <w:p w14:paraId="570355DC">
            <w:pPr>
              <w:pStyle w:val="15"/>
              <w:jc w:val="left"/>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根据《政府采购促进中小企业发展管理办法》（财库〔2020〕46号）、云南省财政厅关于贯彻《财政部关于进一步加大政府采购支持中小企业力度的通知》的通知（云财采〔2022〕9号）、《云南省人民政府关于贯彻落实扎实稳住经济一揽子政策措施的意见》（云政发〔2022〕32号）、《云南省人民政府办公厅关于印发云南省进一步帮扶中小微企业纾困发展工作方案的通知》（云政办发〔2022〕42号）、根据《国家统计局关于印发统计上大中小微型企业划分办法的通知》(国统字〔2017〕213号)的规定。</w:t>
            </w:r>
          </w:p>
          <w:p w14:paraId="29FF876B">
            <w:pPr>
              <w:pStyle w:val="15"/>
              <w:jc w:val="left"/>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
                <w:color w:val="auto"/>
                <w:szCs w:val="21"/>
                <w:highlight w:val="none"/>
              </w:rPr>
              <w:t>注：</w:t>
            </w:r>
            <w:r>
              <w:rPr>
                <w:rFonts w:hint="eastAsia" w:asciiTheme="minorEastAsia" w:hAnsiTheme="minorEastAsia" w:eastAsiaTheme="minorEastAsia" w:cstheme="minorEastAsia"/>
                <w:bCs/>
                <w:color w:val="auto"/>
                <w:szCs w:val="21"/>
                <w:highlight w:val="none"/>
              </w:rPr>
              <w:t>中小企业是指在中华人民共和国境内依法设立，依据国务院批准的中小企业划分标准确定的中型企业、小型企业和微型企业，但与大企业的负责人为同一人，或者与大企业存在直接控股、管理系的除外。符合中小企业划分标准的个体工商户，在政府采购活动中视同中小企业。</w:t>
            </w:r>
          </w:p>
          <w:p w14:paraId="1689E396">
            <w:pPr>
              <w:pStyle w:val="15"/>
              <w:jc w:val="left"/>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2、监狱企业优惠政策</w:t>
            </w:r>
          </w:p>
          <w:p w14:paraId="2406EF89">
            <w:pPr>
              <w:pStyle w:val="15"/>
              <w:jc w:val="left"/>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根据《关于政府采购支持监狱企业发展有关问题的通知》(财库[2014]68号)的规定，监狱企业优惠政策，监狱企业参与本项目磋商时，提供由省级以上监狱管理局、戒毒管理局(含新疆生产建设兵团)出具的属于监狱企业的证明文件的，视同小型、微型企业。</w:t>
            </w:r>
          </w:p>
          <w:p w14:paraId="6AA6801C">
            <w:pPr>
              <w:pStyle w:val="15"/>
              <w:jc w:val="left"/>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3、残疾人福利性单位优惠政策</w:t>
            </w:r>
          </w:p>
          <w:p w14:paraId="0B33C090">
            <w:pPr>
              <w:pStyle w:val="15"/>
              <w:jc w:val="left"/>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根据《关于促进残疾人就业政府采购政策的通知》(财库[2017]141号)的规定，残疾人福利性单位优惠政策，残疾人福利性单位参与本项目磋商时，提供《残疾人福利性单位声明函》并对声明的真实性负责，视同小型、微型企业。</w:t>
            </w:r>
          </w:p>
          <w:p w14:paraId="6E05AA09">
            <w:pPr>
              <w:pStyle w:val="15"/>
              <w:jc w:val="left"/>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4、环保节能政策</w:t>
            </w:r>
          </w:p>
          <w:p w14:paraId="3857E239">
            <w:pPr>
              <w:pStyle w:val="15"/>
              <w:jc w:val="left"/>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根据《关于调整优化节能产品、环境标志产品政府采购执行机制的通知》（财库〔2019〕9号）的规定，对政府采购节能产品、环境标志产品实施品目清单管理，依据品目清单和认证证书实施政府优先采购和强制采购。</w:t>
            </w:r>
          </w:p>
          <w:p w14:paraId="2883E4E9">
            <w:pPr>
              <w:pStyle w:val="15"/>
              <w:jc w:val="left"/>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5、进口产品政策</w:t>
            </w:r>
          </w:p>
          <w:p w14:paraId="7FE92889">
            <w:pPr>
              <w:pStyle w:val="15"/>
              <w:jc w:val="left"/>
              <w:rPr>
                <w:rFonts w:asciiTheme="minorEastAsia" w:hAnsiTheme="minorEastAsia" w:eastAsiaTheme="minorEastAsia" w:cstheme="minorEastAsia"/>
                <w:b/>
                <w:color w:val="auto"/>
                <w:szCs w:val="21"/>
                <w:highlight w:val="none"/>
                <w:u w:val="single"/>
              </w:rPr>
            </w:pPr>
            <w:r>
              <w:rPr>
                <w:rFonts w:hint="eastAsia" w:asciiTheme="minorEastAsia" w:hAnsiTheme="minorEastAsia" w:eastAsiaTheme="minorEastAsia" w:cstheme="minorEastAsia"/>
                <w:bCs/>
                <w:color w:val="auto"/>
                <w:szCs w:val="21"/>
                <w:highlight w:val="none"/>
              </w:rPr>
              <w:t>根据《政府采购进口产品管理办法》(财库〔2007〕119号)、《关于政府采购进口产品管理有关问题的通知》(财办库〔2008〕248号)的规定，实施进口产品采购。</w:t>
            </w:r>
          </w:p>
        </w:tc>
      </w:tr>
      <w:tr w14:paraId="2E1C146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tcBorders>
              <w:tl2br w:val="nil"/>
              <w:tr2bl w:val="nil"/>
            </w:tcBorders>
            <w:vAlign w:val="center"/>
          </w:tcPr>
          <w:p w14:paraId="1E699946">
            <w:pPr>
              <w:pStyle w:val="15"/>
              <w:jc w:val="center"/>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（2）</w:t>
            </w:r>
          </w:p>
        </w:tc>
        <w:tc>
          <w:tcPr>
            <w:tcW w:w="8775" w:type="dxa"/>
            <w:gridSpan w:val="2"/>
            <w:tcBorders>
              <w:tl2br w:val="nil"/>
              <w:tr2bl w:val="nil"/>
            </w:tcBorders>
            <w:vAlign w:val="center"/>
          </w:tcPr>
          <w:p w14:paraId="1568A524">
            <w:pPr>
              <w:pStyle w:val="15"/>
              <w:jc w:val="left"/>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采购代理机构将依托电子交易平台发起开始解密指令，供应商的法定代表人或其委托代理人须使用加密时所用的CA锁按平台提示和采购文件的规定登录到“政采云”平台电子开标大厅签到并在发起解密指令之时起</w:t>
            </w:r>
            <w:r>
              <w:rPr>
                <w:rFonts w:hint="eastAsia" w:asciiTheme="minorEastAsia" w:hAnsiTheme="minorEastAsia" w:eastAsiaTheme="minorEastAsia" w:cstheme="minorEastAsia"/>
                <w:b/>
                <w:color w:val="auto"/>
                <w:szCs w:val="21"/>
                <w:highlight w:val="none"/>
                <w:lang w:val="en-US" w:eastAsia="zh-CN"/>
              </w:rPr>
              <w:t>3</w:t>
            </w:r>
            <w:r>
              <w:rPr>
                <w:rFonts w:hint="eastAsia" w:asciiTheme="minorEastAsia" w:hAnsiTheme="minorEastAsia" w:eastAsiaTheme="minorEastAsia" w:cstheme="minorEastAsia"/>
                <w:b/>
                <w:color w:val="auto"/>
                <w:szCs w:val="21"/>
                <w:highlight w:val="none"/>
              </w:rPr>
              <w:t>0分钟内完成对电子响应文件在线解密。响应文件未按时解密的，视为响应文件无效。</w:t>
            </w:r>
          </w:p>
        </w:tc>
      </w:tr>
      <w:tr w14:paraId="22AB0DD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tcBorders>
              <w:tl2br w:val="nil"/>
              <w:tr2bl w:val="nil"/>
            </w:tcBorders>
            <w:vAlign w:val="center"/>
          </w:tcPr>
          <w:p w14:paraId="7A40CCEB">
            <w:pPr>
              <w:pStyle w:val="15"/>
              <w:jc w:val="center"/>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（3）</w:t>
            </w:r>
          </w:p>
        </w:tc>
        <w:tc>
          <w:tcPr>
            <w:tcW w:w="8775" w:type="dxa"/>
            <w:gridSpan w:val="2"/>
            <w:tcBorders>
              <w:tl2br w:val="nil"/>
              <w:tr2bl w:val="nil"/>
            </w:tcBorders>
            <w:vAlign w:val="center"/>
          </w:tcPr>
          <w:p w14:paraId="3992FD65">
            <w:pPr>
              <w:pStyle w:val="15"/>
              <w:jc w:val="left"/>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本项目为电子标，响应文件格式中要求盖章的地方均可以进行电子签章。</w:t>
            </w:r>
          </w:p>
        </w:tc>
      </w:tr>
      <w:tr w14:paraId="28068AE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tcBorders>
              <w:tl2br w:val="nil"/>
              <w:tr2bl w:val="nil"/>
            </w:tcBorders>
            <w:vAlign w:val="center"/>
          </w:tcPr>
          <w:p w14:paraId="04B6C875">
            <w:pPr>
              <w:pStyle w:val="15"/>
              <w:jc w:val="center"/>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（4）</w:t>
            </w:r>
          </w:p>
        </w:tc>
        <w:tc>
          <w:tcPr>
            <w:tcW w:w="8775" w:type="dxa"/>
            <w:gridSpan w:val="2"/>
            <w:tcBorders>
              <w:tl2br w:val="nil"/>
              <w:tr2bl w:val="nil"/>
            </w:tcBorders>
            <w:vAlign w:val="center"/>
          </w:tcPr>
          <w:p w14:paraId="7BA86B2C">
            <w:pPr>
              <w:pStyle w:val="15"/>
              <w:jc w:val="left"/>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本项目合同价格形式：固定单价合同，结算方式：据实结算。</w:t>
            </w:r>
          </w:p>
          <w:p w14:paraId="0D7A8ABF">
            <w:pPr>
              <w:pStyle w:val="15"/>
              <w:jc w:val="left"/>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为体现安全文明施工费、规费、税金不下浮的原则并与中标价相吻合，施工合同签订时</w:t>
            </w:r>
            <w:r>
              <w:rPr>
                <w:rFonts w:hint="eastAsia" w:asciiTheme="minorEastAsia" w:hAnsiTheme="minorEastAsia" w:eastAsiaTheme="minorEastAsia" w:cstheme="minorEastAsia"/>
                <w:bCs/>
                <w:color w:val="auto"/>
                <w:szCs w:val="21"/>
                <w:highlight w:val="none"/>
                <w:lang w:eastAsia="zh-CN"/>
              </w:rPr>
              <w:t>成交人</w:t>
            </w:r>
            <w:r>
              <w:rPr>
                <w:rFonts w:hint="eastAsia" w:asciiTheme="minorEastAsia" w:hAnsiTheme="minorEastAsia" w:eastAsiaTheme="minorEastAsia" w:cstheme="minorEastAsia"/>
                <w:bCs/>
                <w:color w:val="auto"/>
                <w:szCs w:val="21"/>
                <w:highlight w:val="none"/>
              </w:rPr>
              <w:t>应根据最后报价调整已标价工程量清单综合单价。</w:t>
            </w:r>
          </w:p>
          <w:p w14:paraId="651B9E89">
            <w:pPr>
              <w:pStyle w:val="15"/>
              <w:jc w:val="left"/>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eastAsia="zh-CN"/>
              </w:rPr>
              <w:t>成交人</w:t>
            </w:r>
            <w:r>
              <w:rPr>
                <w:rFonts w:hint="eastAsia" w:asciiTheme="minorEastAsia" w:hAnsiTheme="minorEastAsia" w:eastAsiaTheme="minorEastAsia" w:cstheme="minorEastAsia"/>
                <w:bCs/>
                <w:color w:val="auto"/>
                <w:szCs w:val="21"/>
                <w:highlight w:val="none"/>
              </w:rPr>
              <w:t>应免费提供采购人一套签字盖章完整的总价与中标价（即最后报价）相符的已标价工程量清单作为结算依据，含纸质版贰份，广联达格式电子版一份，PDF版一份。</w:t>
            </w:r>
          </w:p>
        </w:tc>
      </w:tr>
      <w:tr w14:paraId="3911209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873" w:type="dxa"/>
            <w:tcBorders>
              <w:tl2br w:val="nil"/>
              <w:tr2bl w:val="nil"/>
            </w:tcBorders>
            <w:vAlign w:val="center"/>
          </w:tcPr>
          <w:p w14:paraId="3C26CA1A">
            <w:pPr>
              <w:pStyle w:val="15"/>
              <w:jc w:val="center"/>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（5）</w:t>
            </w:r>
          </w:p>
        </w:tc>
        <w:tc>
          <w:tcPr>
            <w:tcW w:w="8775" w:type="dxa"/>
            <w:gridSpan w:val="2"/>
            <w:tcBorders>
              <w:tl2br w:val="nil"/>
              <w:tr2bl w:val="nil"/>
            </w:tcBorders>
            <w:vAlign w:val="center"/>
          </w:tcPr>
          <w:p w14:paraId="39E2D21F">
            <w:pPr>
              <w:pStyle w:val="15"/>
              <w:jc w:val="left"/>
              <w:rPr>
                <w:rFonts w:hint="eastAsia" w:asciiTheme="minorEastAsia" w:hAnsiTheme="minorEastAsia" w:eastAsiaTheme="minorEastAsia" w:cstheme="minorEastAsia"/>
                <w:bCs/>
                <w:color w:val="auto"/>
                <w:szCs w:val="21"/>
                <w:highlight w:val="none"/>
                <w:lang w:eastAsia="zh-CN"/>
              </w:rPr>
            </w:pPr>
            <w:r>
              <w:rPr>
                <w:rFonts w:hint="eastAsia" w:asciiTheme="minorEastAsia" w:hAnsiTheme="minorEastAsia" w:eastAsiaTheme="minorEastAsia" w:cstheme="minorEastAsia"/>
                <w:bCs/>
                <w:color w:val="auto"/>
                <w:szCs w:val="21"/>
                <w:highlight w:val="none"/>
              </w:rPr>
              <w:t>★电子证书提示：根据行业行政主管部门关于电子注册证书的签名要求，本项目人员电子注册证书如要求个人手写签名的，应在个人签名处再次手写本人签名，未手写签名或与签名图像笔迹不一致的，该电子证书无效</w:t>
            </w:r>
            <w:r>
              <w:rPr>
                <w:rFonts w:hint="eastAsia" w:asciiTheme="minorEastAsia" w:hAnsiTheme="minorEastAsia" w:eastAsiaTheme="minorEastAsia" w:cstheme="minorEastAsia"/>
                <w:bCs/>
                <w:color w:val="auto"/>
                <w:szCs w:val="21"/>
                <w:highlight w:val="none"/>
                <w:lang w:eastAsia="zh-CN"/>
              </w:rPr>
              <w:t>。</w:t>
            </w:r>
          </w:p>
        </w:tc>
      </w:tr>
    </w:tbl>
    <w:p w14:paraId="0818024D">
      <w:pPr>
        <w:spacing w:line="360" w:lineRule="auto"/>
        <w:ind w:firstLine="420" w:firstLineChars="200"/>
        <w:rPr>
          <w:rFonts w:asciiTheme="minorEastAsia" w:hAnsiTheme="minorEastAsia" w:eastAsiaTheme="minorEastAsia" w:cstheme="minorEastAsia"/>
          <w:color w:val="auto"/>
          <w:szCs w:val="28"/>
          <w:highlight w:val="none"/>
        </w:rPr>
      </w:pPr>
    </w:p>
    <w:p w14:paraId="51A52C35">
      <w:pPr>
        <w:spacing w:line="360" w:lineRule="auto"/>
        <w:ind w:firstLine="420" w:firstLineChars="200"/>
        <w:rPr>
          <w:rFonts w:asciiTheme="minorEastAsia" w:hAnsiTheme="minorEastAsia" w:eastAsiaTheme="minorEastAsia" w:cstheme="minorEastAsia"/>
          <w:color w:val="auto"/>
          <w:szCs w:val="28"/>
          <w:highlight w:val="none"/>
        </w:rPr>
      </w:pPr>
      <w:r>
        <w:rPr>
          <w:rFonts w:hint="eastAsia" w:asciiTheme="minorEastAsia" w:hAnsiTheme="minorEastAsia" w:eastAsiaTheme="minorEastAsia" w:cstheme="minorEastAsia"/>
          <w:color w:val="auto"/>
          <w:szCs w:val="28"/>
          <w:highlight w:val="none"/>
        </w:rPr>
        <w:br w:type="page"/>
      </w:r>
      <w:bookmarkStart w:id="94" w:name="_Toc3866"/>
    </w:p>
    <w:p w14:paraId="32CF6233">
      <w:pPr>
        <w:pStyle w:val="4"/>
        <w:numPr>
          <w:ilvl w:val="0"/>
          <w:numId w:val="0"/>
        </w:numPr>
        <w:tabs>
          <w:tab w:val="clear" w:pos="3690"/>
        </w:tabs>
        <w:spacing w:before="0" w:after="0" w:line="360" w:lineRule="auto"/>
        <w:jc w:val="center"/>
        <w:rPr>
          <w:rFonts w:asciiTheme="minorEastAsia" w:hAnsiTheme="minorEastAsia" w:eastAsiaTheme="minorEastAsia" w:cstheme="minorEastAsia"/>
          <w:color w:val="auto"/>
          <w:sz w:val="24"/>
          <w:szCs w:val="24"/>
          <w:highlight w:val="none"/>
        </w:rPr>
      </w:pPr>
      <w:bookmarkStart w:id="95" w:name="_Toc450"/>
      <w:r>
        <w:rPr>
          <w:rFonts w:hint="eastAsia" w:asciiTheme="minorEastAsia" w:hAnsiTheme="minorEastAsia" w:eastAsiaTheme="minorEastAsia" w:cstheme="minorEastAsia"/>
          <w:color w:val="auto"/>
          <w:sz w:val="24"/>
          <w:szCs w:val="24"/>
          <w:highlight w:val="none"/>
        </w:rPr>
        <w:t>一、总  则</w:t>
      </w:r>
      <w:bookmarkEnd w:id="91"/>
      <w:bookmarkEnd w:id="92"/>
      <w:bookmarkEnd w:id="93"/>
      <w:bookmarkEnd w:id="94"/>
      <w:bookmarkEnd w:id="95"/>
    </w:p>
    <w:p w14:paraId="16E12943">
      <w:pPr>
        <w:pStyle w:val="2"/>
        <w:numPr>
          <w:ilvl w:val="0"/>
          <w:numId w:val="4"/>
        </w:numPr>
        <w:spacing w:before="0" w:after="0" w:line="360" w:lineRule="auto"/>
        <w:jc w:val="both"/>
        <w:rPr>
          <w:rFonts w:asciiTheme="minorEastAsia" w:hAnsiTheme="minorEastAsia" w:eastAsiaTheme="minorEastAsia" w:cstheme="minorEastAsia"/>
          <w:color w:val="auto"/>
          <w:sz w:val="24"/>
          <w:szCs w:val="24"/>
          <w:highlight w:val="none"/>
        </w:rPr>
      </w:pPr>
      <w:bookmarkStart w:id="96" w:name="_Toc383175474"/>
      <w:bookmarkStart w:id="97" w:name="_Toc383175276"/>
      <w:bookmarkStart w:id="98" w:name="_Toc29429"/>
      <w:bookmarkStart w:id="99" w:name="_Toc383175052"/>
      <w:bookmarkStart w:id="100" w:name="_Toc432197767"/>
      <w:bookmarkStart w:id="101" w:name="_Toc25743"/>
      <w:bookmarkStart w:id="102" w:name="_Toc329810186"/>
      <w:bookmarkStart w:id="103" w:name="_Toc19374"/>
      <w:bookmarkStart w:id="104" w:name="_Toc21575"/>
      <w:bookmarkStart w:id="105" w:name="_Toc86124047"/>
      <w:bookmarkStart w:id="106" w:name="_Toc432197772"/>
      <w:r>
        <w:rPr>
          <w:rFonts w:hint="eastAsia" w:asciiTheme="minorEastAsia" w:hAnsiTheme="minorEastAsia" w:eastAsiaTheme="minorEastAsia" w:cstheme="minorEastAsia"/>
          <w:color w:val="auto"/>
          <w:sz w:val="24"/>
          <w:szCs w:val="24"/>
          <w:highlight w:val="none"/>
        </w:rPr>
        <w:t>项目概况</w:t>
      </w:r>
      <w:bookmarkEnd w:id="96"/>
      <w:bookmarkEnd w:id="97"/>
      <w:bookmarkEnd w:id="98"/>
      <w:bookmarkEnd w:id="99"/>
      <w:bookmarkEnd w:id="100"/>
      <w:bookmarkEnd w:id="101"/>
      <w:bookmarkEnd w:id="102"/>
      <w:bookmarkEnd w:id="103"/>
      <w:bookmarkEnd w:id="104"/>
    </w:p>
    <w:p w14:paraId="5B3F0815">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 根据《中华人民共和国政府采购法》、《中华人民共和国政府采购法实施条例》、《政府采购竞争性磋商采购方式管理暂行办法》等有关法律、法规和规章的规定，本项目资金已落实，现采用竞争性磋商方式对本项目进行采购。</w:t>
      </w:r>
    </w:p>
    <w:p w14:paraId="78770E9B">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 本项目采购人、采购代理机构、项目名称及项目编号：见</w:t>
      </w:r>
      <w:r>
        <w:rPr>
          <w:rFonts w:hint="eastAsia" w:asciiTheme="minorEastAsia" w:hAnsiTheme="minorEastAsia" w:eastAsiaTheme="minorEastAsia" w:cstheme="minorEastAsia"/>
          <w:b/>
          <w:bCs/>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w:t>
      </w:r>
    </w:p>
    <w:p w14:paraId="300A3E4E">
      <w:pPr>
        <w:pStyle w:val="2"/>
        <w:numPr>
          <w:ilvl w:val="0"/>
          <w:numId w:val="4"/>
        </w:numPr>
        <w:spacing w:before="0" w:after="0" w:line="360" w:lineRule="auto"/>
        <w:jc w:val="both"/>
        <w:rPr>
          <w:rFonts w:asciiTheme="minorEastAsia" w:hAnsiTheme="minorEastAsia" w:eastAsiaTheme="minorEastAsia" w:cstheme="minorEastAsia"/>
          <w:color w:val="auto"/>
          <w:sz w:val="24"/>
          <w:szCs w:val="24"/>
          <w:highlight w:val="none"/>
        </w:rPr>
      </w:pPr>
      <w:bookmarkStart w:id="107" w:name="_Toc432197768"/>
      <w:bookmarkStart w:id="108" w:name="_Toc265142411"/>
      <w:bookmarkStart w:id="109" w:name="_Toc13010"/>
      <w:bookmarkStart w:id="110" w:name="_Toc31982"/>
      <w:bookmarkStart w:id="111" w:name="_Toc329810187"/>
      <w:bookmarkStart w:id="112" w:name="_Toc383175475"/>
      <w:bookmarkStart w:id="113" w:name="_Toc30202"/>
      <w:bookmarkStart w:id="114" w:name="_Toc383175277"/>
      <w:bookmarkStart w:id="115" w:name="_Toc29480"/>
      <w:bookmarkStart w:id="116" w:name="_Toc383175053"/>
      <w:r>
        <w:rPr>
          <w:rFonts w:hint="eastAsia" w:asciiTheme="minorEastAsia" w:hAnsiTheme="minorEastAsia" w:eastAsiaTheme="minorEastAsia" w:cstheme="minorEastAsia"/>
          <w:color w:val="auto"/>
          <w:sz w:val="24"/>
          <w:szCs w:val="24"/>
          <w:highlight w:val="none"/>
        </w:rPr>
        <w:t>资金来源</w:t>
      </w:r>
      <w:bookmarkEnd w:id="107"/>
      <w:bookmarkEnd w:id="108"/>
      <w:bookmarkEnd w:id="109"/>
      <w:bookmarkEnd w:id="110"/>
      <w:bookmarkEnd w:id="111"/>
      <w:bookmarkEnd w:id="112"/>
      <w:bookmarkEnd w:id="113"/>
      <w:bookmarkEnd w:id="114"/>
      <w:bookmarkEnd w:id="115"/>
      <w:bookmarkEnd w:id="116"/>
    </w:p>
    <w:p w14:paraId="3FD2855B">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 </w:t>
      </w:r>
      <w:r>
        <w:rPr>
          <w:rFonts w:hint="eastAsia" w:asciiTheme="minorEastAsia" w:hAnsiTheme="minorEastAsia" w:eastAsiaTheme="minorEastAsia" w:cstheme="minorEastAsia"/>
          <w:b/>
          <w:bCs/>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中所述的采购人已获得一笔采购资金，用于采购“采购需求”所列工程。</w:t>
      </w:r>
    </w:p>
    <w:p w14:paraId="2AFF8BC6">
      <w:pPr>
        <w:pStyle w:val="2"/>
        <w:numPr>
          <w:ilvl w:val="0"/>
          <w:numId w:val="4"/>
        </w:numPr>
        <w:spacing w:before="0" w:after="0" w:line="360" w:lineRule="auto"/>
        <w:jc w:val="both"/>
        <w:rPr>
          <w:rFonts w:asciiTheme="minorEastAsia" w:hAnsiTheme="minorEastAsia" w:eastAsiaTheme="minorEastAsia" w:cstheme="minorEastAsia"/>
          <w:color w:val="auto"/>
          <w:sz w:val="24"/>
          <w:szCs w:val="24"/>
          <w:highlight w:val="none"/>
        </w:rPr>
      </w:pPr>
      <w:bookmarkStart w:id="117" w:name="_Toc1697"/>
      <w:bookmarkStart w:id="118" w:name="_Toc17470"/>
      <w:r>
        <w:rPr>
          <w:rFonts w:hint="eastAsia" w:asciiTheme="minorEastAsia" w:hAnsiTheme="minorEastAsia" w:eastAsiaTheme="minorEastAsia" w:cstheme="minorEastAsia"/>
          <w:color w:val="auto"/>
          <w:sz w:val="24"/>
          <w:szCs w:val="24"/>
          <w:highlight w:val="none"/>
        </w:rPr>
        <w:t>采购内容</w:t>
      </w:r>
      <w:bookmarkEnd w:id="117"/>
      <w:bookmarkEnd w:id="118"/>
    </w:p>
    <w:p w14:paraId="0B04DB75">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 本项目采购内容：见</w:t>
      </w:r>
      <w:r>
        <w:rPr>
          <w:rFonts w:hint="eastAsia" w:asciiTheme="minorEastAsia" w:hAnsiTheme="minorEastAsia" w:eastAsiaTheme="minorEastAsia" w:cstheme="minorEastAsia"/>
          <w:b/>
          <w:bCs/>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w:t>
      </w:r>
    </w:p>
    <w:p w14:paraId="42A74C77">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 本项目合同履行期限：见</w:t>
      </w:r>
      <w:r>
        <w:rPr>
          <w:rFonts w:hint="eastAsia" w:asciiTheme="minorEastAsia" w:hAnsiTheme="minorEastAsia" w:eastAsiaTheme="minorEastAsia" w:cstheme="minorEastAsia"/>
          <w:b/>
          <w:bCs/>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w:t>
      </w:r>
    </w:p>
    <w:p w14:paraId="4F97AE27">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3.3本项目工程地点：见</w:t>
      </w:r>
      <w:r>
        <w:rPr>
          <w:rFonts w:hint="eastAsia" w:asciiTheme="minorEastAsia" w:hAnsiTheme="minorEastAsia" w:eastAsiaTheme="minorEastAsia" w:cstheme="minorEastAsia"/>
          <w:b/>
          <w:bCs/>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w:t>
      </w:r>
    </w:p>
    <w:p w14:paraId="00495473">
      <w:pPr>
        <w:pStyle w:val="2"/>
        <w:numPr>
          <w:ilvl w:val="0"/>
          <w:numId w:val="4"/>
        </w:numPr>
        <w:spacing w:before="0" w:after="0" w:line="360" w:lineRule="auto"/>
        <w:jc w:val="both"/>
        <w:rPr>
          <w:rFonts w:asciiTheme="minorEastAsia" w:hAnsiTheme="minorEastAsia" w:eastAsiaTheme="minorEastAsia" w:cstheme="minorEastAsia"/>
          <w:color w:val="auto"/>
          <w:sz w:val="24"/>
          <w:szCs w:val="24"/>
          <w:highlight w:val="none"/>
        </w:rPr>
      </w:pPr>
      <w:bookmarkStart w:id="119" w:name="_Toc21350"/>
      <w:bookmarkStart w:id="120" w:name="_Toc432197770"/>
      <w:bookmarkStart w:id="121" w:name="_Toc383175279"/>
      <w:bookmarkStart w:id="122" w:name="_Toc23041"/>
      <w:bookmarkStart w:id="123" w:name="_Toc24568"/>
      <w:bookmarkStart w:id="124" w:name="_Toc24694"/>
      <w:bookmarkStart w:id="125" w:name="_Toc329810189"/>
      <w:bookmarkStart w:id="126" w:name="_Toc383175055"/>
      <w:bookmarkStart w:id="127" w:name="_Toc383175477"/>
      <w:r>
        <w:rPr>
          <w:rFonts w:hint="eastAsia" w:asciiTheme="minorEastAsia" w:hAnsiTheme="minorEastAsia" w:eastAsiaTheme="minorEastAsia" w:cstheme="minorEastAsia"/>
          <w:color w:val="auto"/>
          <w:sz w:val="24"/>
          <w:szCs w:val="24"/>
          <w:highlight w:val="none"/>
        </w:rPr>
        <w:t>合格的供应商（以下简称供应商）</w:t>
      </w:r>
      <w:bookmarkEnd w:id="119"/>
      <w:bookmarkEnd w:id="120"/>
      <w:bookmarkEnd w:id="121"/>
      <w:bookmarkEnd w:id="122"/>
      <w:bookmarkEnd w:id="123"/>
      <w:bookmarkEnd w:id="124"/>
      <w:bookmarkEnd w:id="125"/>
      <w:bookmarkEnd w:id="126"/>
      <w:bookmarkEnd w:id="127"/>
    </w:p>
    <w:p w14:paraId="1F17EA38">
      <w:pPr>
        <w:spacing w:line="360" w:lineRule="auto"/>
        <w:ind w:firstLine="480" w:firstLineChars="200"/>
        <w:jc w:val="left"/>
        <w:rPr>
          <w:rFonts w:asciiTheme="minorEastAsia" w:hAnsiTheme="minorEastAsia" w:eastAsiaTheme="minorEastAsia" w:cstheme="minorEastAsia"/>
          <w:color w:val="auto"/>
          <w:sz w:val="24"/>
          <w:szCs w:val="24"/>
          <w:highlight w:val="none"/>
        </w:rPr>
      </w:pPr>
      <w:bookmarkStart w:id="128" w:name="_Hlt200176664"/>
      <w:bookmarkEnd w:id="128"/>
      <w:bookmarkStart w:id="129" w:name="_Toc24654"/>
      <w:bookmarkStart w:id="130" w:name="_Toc432197771"/>
      <w:bookmarkStart w:id="131" w:name="_Toc329810190"/>
      <w:bookmarkStart w:id="132" w:name="_Toc383175478"/>
      <w:bookmarkStart w:id="133" w:name="_Toc383175056"/>
      <w:bookmarkStart w:id="134" w:name="_Toc383175280"/>
      <w:r>
        <w:rPr>
          <w:rFonts w:hint="eastAsia" w:asciiTheme="minorEastAsia" w:hAnsiTheme="minorEastAsia" w:eastAsiaTheme="minorEastAsia" w:cstheme="minorEastAsia"/>
          <w:color w:val="auto"/>
          <w:sz w:val="24"/>
          <w:szCs w:val="24"/>
          <w:highlight w:val="none"/>
        </w:rPr>
        <w:t>4.1</w:t>
      </w:r>
      <w:bookmarkEnd w:id="129"/>
      <w:r>
        <w:rPr>
          <w:rFonts w:hint="eastAsia" w:asciiTheme="minorEastAsia" w:hAnsiTheme="minorEastAsia" w:eastAsiaTheme="minorEastAsia" w:cstheme="minorEastAsia"/>
          <w:color w:val="auto"/>
          <w:sz w:val="24"/>
          <w:szCs w:val="24"/>
          <w:highlight w:val="none"/>
        </w:rPr>
        <w:t xml:space="preserve">申请人资格要求：具体条件见 </w:t>
      </w:r>
      <w:r>
        <w:rPr>
          <w:rFonts w:hint="eastAsia" w:asciiTheme="minorEastAsia" w:hAnsiTheme="minorEastAsia" w:eastAsiaTheme="minorEastAsia" w:cstheme="minorEastAsia"/>
          <w:b/>
          <w:bCs/>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w:t>
      </w:r>
    </w:p>
    <w:p w14:paraId="430B1A06">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 本项目不接受联合体磋商。</w:t>
      </w:r>
    </w:p>
    <w:p w14:paraId="47BB1736">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 符合上述条件的供应商应承担磋商及履约中应承担的全部责任与义务。</w:t>
      </w:r>
    </w:p>
    <w:p w14:paraId="0C6EC3C5">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4.4供应商存在下列情况之一的，投标无效：</w:t>
      </w:r>
    </w:p>
    <w:p w14:paraId="0E581D95">
      <w:pPr>
        <w:spacing w:line="360" w:lineRule="auto"/>
        <w:ind w:firstLine="480" w:firstLineChars="200"/>
        <w:jc w:val="left"/>
        <w:rPr>
          <w:rFonts w:asciiTheme="minorEastAsia" w:hAnsiTheme="minorEastAsia" w:eastAsiaTheme="minorEastAsia" w:cstheme="minorEastAsia"/>
          <w:color w:val="auto"/>
          <w:sz w:val="24"/>
          <w:szCs w:val="24"/>
          <w:highlight w:val="none"/>
        </w:rPr>
      </w:pPr>
      <w:bookmarkStart w:id="135" w:name="page22"/>
      <w:bookmarkEnd w:id="135"/>
      <w:bookmarkStart w:id="136" w:name="_Toc30175"/>
      <w:bookmarkStart w:id="137" w:name="_Toc14637"/>
      <w:r>
        <w:rPr>
          <w:rFonts w:hint="eastAsia" w:asciiTheme="minorEastAsia" w:hAnsiTheme="minorEastAsia" w:eastAsiaTheme="minorEastAsia" w:cstheme="minorEastAsia"/>
          <w:color w:val="auto"/>
          <w:sz w:val="24"/>
          <w:szCs w:val="24"/>
          <w:highlight w:val="none"/>
        </w:rPr>
        <w:t>(1)未按照竞争性磋商文件的规定提交磋商保证金的；</w:t>
      </w:r>
      <w:bookmarkEnd w:id="136"/>
      <w:bookmarkEnd w:id="137"/>
    </w:p>
    <w:p w14:paraId="1364F070">
      <w:pPr>
        <w:spacing w:line="360" w:lineRule="auto"/>
        <w:ind w:firstLine="480" w:firstLineChars="200"/>
        <w:rPr>
          <w:rFonts w:asciiTheme="minorEastAsia" w:hAnsiTheme="minorEastAsia" w:eastAsiaTheme="minorEastAsia" w:cstheme="minorEastAsia"/>
          <w:color w:val="auto"/>
          <w:sz w:val="24"/>
          <w:szCs w:val="24"/>
          <w:highlight w:val="none"/>
        </w:rPr>
      </w:pPr>
      <w:bookmarkStart w:id="138" w:name="_Toc8522"/>
      <w:bookmarkStart w:id="139" w:name="_Toc21406"/>
      <w:r>
        <w:rPr>
          <w:rFonts w:hint="eastAsia" w:asciiTheme="minorEastAsia" w:hAnsiTheme="minorEastAsia" w:eastAsiaTheme="minorEastAsia" w:cstheme="minorEastAsia"/>
          <w:color w:val="auto"/>
          <w:sz w:val="24"/>
          <w:szCs w:val="24"/>
          <w:highlight w:val="none"/>
        </w:rPr>
        <w:t>(2)响应文件未按竞争性磋商文件要求签署、盖章的；</w:t>
      </w:r>
      <w:bookmarkEnd w:id="138"/>
      <w:bookmarkEnd w:id="139"/>
    </w:p>
    <w:p w14:paraId="79FE464B">
      <w:pPr>
        <w:spacing w:line="360" w:lineRule="auto"/>
        <w:ind w:firstLine="480" w:firstLineChars="200"/>
        <w:rPr>
          <w:rFonts w:asciiTheme="minorEastAsia" w:hAnsiTheme="minorEastAsia" w:eastAsiaTheme="minorEastAsia" w:cstheme="minorEastAsia"/>
          <w:color w:val="auto"/>
          <w:sz w:val="24"/>
          <w:szCs w:val="24"/>
          <w:highlight w:val="none"/>
        </w:rPr>
      </w:pPr>
      <w:bookmarkStart w:id="140" w:name="_Toc27945"/>
      <w:bookmarkStart w:id="141" w:name="_Toc15661"/>
      <w:r>
        <w:rPr>
          <w:rFonts w:hint="eastAsia" w:asciiTheme="minorEastAsia" w:hAnsiTheme="minorEastAsia" w:eastAsiaTheme="minorEastAsia" w:cstheme="minorEastAsia"/>
          <w:color w:val="auto"/>
          <w:sz w:val="24"/>
          <w:szCs w:val="24"/>
          <w:highlight w:val="none"/>
        </w:rPr>
        <w:t>(3)不具备竞争性磋商文件中规定的资格要求的；</w:t>
      </w:r>
      <w:bookmarkEnd w:id="140"/>
      <w:bookmarkEnd w:id="141"/>
    </w:p>
    <w:p w14:paraId="0EB25DDC">
      <w:pPr>
        <w:spacing w:line="360" w:lineRule="auto"/>
        <w:ind w:firstLine="480" w:firstLineChars="200"/>
        <w:rPr>
          <w:rFonts w:asciiTheme="minorEastAsia" w:hAnsiTheme="minorEastAsia" w:eastAsiaTheme="minorEastAsia" w:cstheme="minorEastAsia"/>
          <w:color w:val="auto"/>
          <w:sz w:val="24"/>
          <w:szCs w:val="24"/>
          <w:highlight w:val="none"/>
        </w:rPr>
      </w:pPr>
      <w:bookmarkStart w:id="142" w:name="_Toc17751"/>
      <w:bookmarkStart w:id="143" w:name="_Toc16270"/>
      <w:r>
        <w:rPr>
          <w:rFonts w:hint="eastAsia" w:asciiTheme="minorEastAsia" w:hAnsiTheme="minorEastAsia" w:eastAsiaTheme="minorEastAsia" w:cstheme="minorEastAsia"/>
          <w:color w:val="auto"/>
          <w:sz w:val="24"/>
          <w:szCs w:val="24"/>
          <w:highlight w:val="none"/>
        </w:rPr>
        <w:t>(4)报价超过竞争性磋商文件中规定的项目预算价或者最高限价的；</w:t>
      </w:r>
      <w:bookmarkEnd w:id="142"/>
      <w:bookmarkEnd w:id="143"/>
    </w:p>
    <w:p w14:paraId="2B60576D">
      <w:pPr>
        <w:spacing w:line="360" w:lineRule="auto"/>
        <w:ind w:firstLine="480" w:firstLineChars="200"/>
        <w:rPr>
          <w:rFonts w:asciiTheme="minorEastAsia" w:hAnsiTheme="minorEastAsia" w:eastAsiaTheme="minorEastAsia" w:cstheme="minorEastAsia"/>
          <w:color w:val="auto"/>
          <w:sz w:val="24"/>
          <w:szCs w:val="24"/>
          <w:highlight w:val="none"/>
        </w:rPr>
      </w:pPr>
      <w:bookmarkStart w:id="144" w:name="_Toc28703"/>
      <w:bookmarkStart w:id="145" w:name="_Toc25839"/>
      <w:r>
        <w:rPr>
          <w:rFonts w:hint="eastAsia" w:asciiTheme="minorEastAsia" w:hAnsiTheme="minorEastAsia" w:eastAsiaTheme="minorEastAsia" w:cstheme="minorEastAsia"/>
          <w:color w:val="auto"/>
          <w:sz w:val="24"/>
          <w:szCs w:val="24"/>
          <w:highlight w:val="none"/>
        </w:rPr>
        <w:t>(5)响应文件含有采购人不能接受的附加条件的；</w:t>
      </w:r>
      <w:bookmarkEnd w:id="144"/>
      <w:bookmarkEnd w:id="145"/>
    </w:p>
    <w:p w14:paraId="78D9AC25">
      <w:pPr>
        <w:spacing w:line="360" w:lineRule="auto"/>
        <w:ind w:firstLine="480" w:firstLineChars="200"/>
        <w:rPr>
          <w:rFonts w:asciiTheme="minorEastAsia" w:hAnsiTheme="minorEastAsia" w:eastAsiaTheme="minorEastAsia" w:cstheme="minorEastAsia"/>
          <w:color w:val="auto"/>
          <w:sz w:val="24"/>
          <w:szCs w:val="24"/>
          <w:highlight w:val="none"/>
        </w:rPr>
      </w:pPr>
      <w:bookmarkStart w:id="146" w:name="_Toc25023"/>
      <w:bookmarkStart w:id="147" w:name="_Toc29232"/>
      <w:r>
        <w:rPr>
          <w:rFonts w:hint="eastAsia" w:asciiTheme="minorEastAsia" w:hAnsiTheme="minorEastAsia" w:eastAsiaTheme="minorEastAsia" w:cstheme="minorEastAsia"/>
          <w:color w:val="auto"/>
          <w:sz w:val="24"/>
          <w:szCs w:val="24"/>
          <w:highlight w:val="none"/>
        </w:rPr>
        <w:t>(6)法律、法规和竞争性磋商文件规定的其他无效情形。</w:t>
      </w:r>
      <w:bookmarkEnd w:id="146"/>
      <w:bookmarkEnd w:id="147"/>
    </w:p>
    <w:p w14:paraId="494E5BB8">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4.5有下列情形之一的，视为供应商串通投标，其投标无效：</w:t>
      </w:r>
    </w:p>
    <w:p w14:paraId="4AA82ADD">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(1)不同供应商的响应文件由同一单位或者个人编制；</w:t>
      </w:r>
    </w:p>
    <w:p w14:paraId="2E654619">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(2)不同供应商委托同一单位或者个人办理投标事宜；</w:t>
      </w:r>
    </w:p>
    <w:p w14:paraId="44ED0FDF">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(3)不同供应商的响应文件载明的项目管理成员或者联系人员为同一人；</w:t>
      </w:r>
    </w:p>
    <w:p w14:paraId="66CB9FE3">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(4)不同供应商的响应文件异常一致或者磋商报价呈规律性差异；</w:t>
      </w:r>
    </w:p>
    <w:p w14:paraId="19E15442">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(5)不同供应商的响应文件相互混装；</w:t>
      </w:r>
    </w:p>
    <w:p w14:paraId="3141BEB5">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(6)不同供应商的磋商保证金从同一单位或者个人的账户转出。</w:t>
      </w:r>
    </w:p>
    <w:p w14:paraId="45B2D55A">
      <w:pPr>
        <w:pStyle w:val="2"/>
        <w:numPr>
          <w:ilvl w:val="0"/>
          <w:numId w:val="4"/>
        </w:numPr>
        <w:spacing w:before="0" w:after="0" w:line="360" w:lineRule="auto"/>
        <w:jc w:val="both"/>
        <w:rPr>
          <w:rFonts w:asciiTheme="minorEastAsia" w:hAnsiTheme="minorEastAsia" w:eastAsiaTheme="minorEastAsia" w:cstheme="minorEastAsia"/>
          <w:color w:val="auto"/>
          <w:sz w:val="24"/>
          <w:szCs w:val="24"/>
          <w:highlight w:val="none"/>
        </w:rPr>
      </w:pPr>
      <w:bookmarkStart w:id="148" w:name="_Toc19307"/>
      <w:bookmarkStart w:id="149" w:name="_Toc19496"/>
      <w:bookmarkStart w:id="150" w:name="_Toc21444"/>
      <w:bookmarkStart w:id="151" w:name="_Toc23594"/>
      <w:r>
        <w:rPr>
          <w:rFonts w:hint="eastAsia" w:asciiTheme="minorEastAsia" w:hAnsiTheme="minorEastAsia" w:eastAsiaTheme="minorEastAsia" w:cstheme="minorEastAsia"/>
          <w:color w:val="auto"/>
          <w:sz w:val="24"/>
          <w:szCs w:val="24"/>
          <w:highlight w:val="none"/>
        </w:rPr>
        <w:t>磋商费用</w:t>
      </w:r>
      <w:bookmarkEnd w:id="130"/>
      <w:bookmarkEnd w:id="131"/>
      <w:bookmarkEnd w:id="132"/>
      <w:bookmarkEnd w:id="133"/>
      <w:bookmarkEnd w:id="134"/>
      <w:bookmarkEnd w:id="148"/>
      <w:bookmarkEnd w:id="149"/>
      <w:bookmarkEnd w:id="150"/>
      <w:bookmarkEnd w:id="151"/>
    </w:p>
    <w:p w14:paraId="70080BCE">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无论是否成交，供应商自行承担所有与参加磋商有关的全部费用。</w:t>
      </w:r>
    </w:p>
    <w:p w14:paraId="3C2792CC">
      <w:pPr>
        <w:pStyle w:val="4"/>
        <w:numPr>
          <w:ilvl w:val="0"/>
          <w:numId w:val="0"/>
        </w:numPr>
        <w:tabs>
          <w:tab w:val="clear" w:pos="3690"/>
        </w:tabs>
        <w:spacing w:before="0" w:after="0" w:line="360" w:lineRule="auto"/>
        <w:jc w:val="center"/>
        <w:rPr>
          <w:rFonts w:asciiTheme="minorEastAsia" w:hAnsiTheme="minorEastAsia" w:eastAsiaTheme="minorEastAsia" w:cstheme="minorEastAsia"/>
          <w:color w:val="auto"/>
          <w:sz w:val="24"/>
          <w:szCs w:val="24"/>
          <w:highlight w:val="none"/>
        </w:rPr>
      </w:pPr>
      <w:bookmarkStart w:id="152" w:name="_Toc558"/>
      <w:bookmarkStart w:id="153" w:name="_Toc14277"/>
      <w:bookmarkStart w:id="154" w:name="_Toc13847"/>
      <w:r>
        <w:rPr>
          <w:rFonts w:hint="eastAsia" w:asciiTheme="minorEastAsia" w:hAnsiTheme="minorEastAsia" w:eastAsiaTheme="minorEastAsia" w:cstheme="minorEastAsia"/>
          <w:color w:val="auto"/>
          <w:sz w:val="24"/>
          <w:szCs w:val="24"/>
          <w:highlight w:val="none"/>
        </w:rPr>
        <w:t>二、</w:t>
      </w:r>
      <w:bookmarkEnd w:id="105"/>
      <w:bookmarkEnd w:id="106"/>
      <w:r>
        <w:rPr>
          <w:rFonts w:hint="eastAsia" w:asciiTheme="minorEastAsia" w:hAnsiTheme="minorEastAsia" w:eastAsiaTheme="minorEastAsia" w:cstheme="minorEastAsia"/>
          <w:color w:val="auto"/>
          <w:sz w:val="24"/>
          <w:szCs w:val="24"/>
          <w:highlight w:val="none"/>
        </w:rPr>
        <w:t>竞争性磋商文件</w:t>
      </w:r>
      <w:bookmarkEnd w:id="152"/>
      <w:bookmarkEnd w:id="153"/>
      <w:bookmarkEnd w:id="154"/>
    </w:p>
    <w:p w14:paraId="062CECE8">
      <w:pPr>
        <w:pStyle w:val="2"/>
        <w:numPr>
          <w:ilvl w:val="0"/>
          <w:numId w:val="4"/>
        </w:numPr>
        <w:spacing w:before="0" w:after="0" w:line="360" w:lineRule="auto"/>
        <w:jc w:val="both"/>
        <w:rPr>
          <w:rFonts w:asciiTheme="minorEastAsia" w:hAnsiTheme="minorEastAsia" w:eastAsiaTheme="minorEastAsia" w:cstheme="minorEastAsia"/>
          <w:color w:val="auto"/>
          <w:sz w:val="24"/>
          <w:szCs w:val="24"/>
          <w:highlight w:val="none"/>
        </w:rPr>
      </w:pPr>
      <w:bookmarkStart w:id="155" w:name="_Toc383175058"/>
      <w:bookmarkStart w:id="156" w:name="_Toc383175282"/>
      <w:bookmarkStart w:id="157" w:name="_Toc18239"/>
      <w:bookmarkStart w:id="158" w:name="_Toc24073"/>
      <w:bookmarkStart w:id="159" w:name="_Toc432197773"/>
      <w:bookmarkStart w:id="160" w:name="_Toc329810192"/>
      <w:bookmarkStart w:id="161" w:name="_Toc14820"/>
      <w:bookmarkStart w:id="162" w:name="_Toc383175480"/>
      <w:r>
        <w:rPr>
          <w:rFonts w:hint="eastAsia" w:asciiTheme="minorEastAsia" w:hAnsiTheme="minorEastAsia" w:eastAsiaTheme="minorEastAsia" w:cstheme="minorEastAsia"/>
          <w:color w:val="auto"/>
          <w:sz w:val="24"/>
          <w:szCs w:val="24"/>
          <w:highlight w:val="none"/>
        </w:rPr>
        <w:t>竞争性磋商文件的组成</w:t>
      </w:r>
      <w:bookmarkEnd w:id="155"/>
      <w:bookmarkEnd w:id="156"/>
      <w:bookmarkEnd w:id="157"/>
      <w:bookmarkEnd w:id="158"/>
      <w:bookmarkEnd w:id="159"/>
      <w:bookmarkEnd w:id="160"/>
      <w:bookmarkEnd w:id="161"/>
      <w:bookmarkEnd w:id="162"/>
    </w:p>
    <w:p w14:paraId="32C59CA7">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要求提供的工程、采购过程及合同条款在竞争性磋商文件中均有说明，竞争性磋商文件共六章，各章的内容如下：</w:t>
      </w:r>
    </w:p>
    <w:p w14:paraId="19F25421">
      <w:pPr>
        <w:spacing w:line="360" w:lineRule="auto"/>
        <w:ind w:left="502"/>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第一章 竞争性磋商公告；</w:t>
      </w:r>
    </w:p>
    <w:p w14:paraId="13656385">
      <w:pPr>
        <w:spacing w:line="360" w:lineRule="auto"/>
        <w:ind w:left="502"/>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第二章 供应商须知；</w:t>
      </w:r>
    </w:p>
    <w:p w14:paraId="791BDBF6">
      <w:pPr>
        <w:spacing w:line="360" w:lineRule="auto"/>
        <w:ind w:left="502"/>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第三章 合同书样式及主要条款；</w:t>
      </w:r>
    </w:p>
    <w:p w14:paraId="66172312">
      <w:pPr>
        <w:spacing w:line="360" w:lineRule="auto"/>
        <w:ind w:left="502"/>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第四章 响应文件格式；</w:t>
      </w:r>
    </w:p>
    <w:p w14:paraId="06071A0C">
      <w:pPr>
        <w:spacing w:line="360" w:lineRule="auto"/>
        <w:ind w:left="502"/>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第五章 采购需求；</w:t>
      </w:r>
    </w:p>
    <w:p w14:paraId="6896D3CF">
      <w:pPr>
        <w:spacing w:line="360" w:lineRule="auto"/>
        <w:ind w:left="502"/>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第六章 磋商程序及方法。</w:t>
      </w:r>
    </w:p>
    <w:p w14:paraId="59797F55">
      <w:pPr>
        <w:pStyle w:val="2"/>
        <w:numPr>
          <w:ilvl w:val="0"/>
          <w:numId w:val="4"/>
        </w:numPr>
        <w:spacing w:before="0" w:after="0" w:line="360" w:lineRule="auto"/>
        <w:jc w:val="both"/>
        <w:rPr>
          <w:rFonts w:asciiTheme="minorEastAsia" w:hAnsiTheme="minorEastAsia" w:eastAsiaTheme="minorEastAsia" w:cstheme="minorEastAsia"/>
          <w:color w:val="auto"/>
          <w:sz w:val="24"/>
          <w:szCs w:val="24"/>
          <w:highlight w:val="none"/>
        </w:rPr>
      </w:pPr>
      <w:bookmarkStart w:id="163" w:name="_Toc86124049"/>
      <w:bookmarkStart w:id="164" w:name="_Toc3620"/>
      <w:bookmarkStart w:id="165" w:name="_Toc432197774"/>
      <w:bookmarkStart w:id="166" w:name="_Toc329810193"/>
      <w:bookmarkStart w:id="167" w:name="_Toc805"/>
      <w:bookmarkStart w:id="168" w:name="_Toc383175283"/>
      <w:bookmarkStart w:id="169" w:name="_Toc383175059"/>
      <w:bookmarkStart w:id="170" w:name="_Toc383175481"/>
      <w:bookmarkStart w:id="171" w:name="_Toc19939"/>
      <w:r>
        <w:rPr>
          <w:rFonts w:hint="eastAsia" w:asciiTheme="minorEastAsia" w:hAnsiTheme="minorEastAsia" w:eastAsiaTheme="minorEastAsia" w:cstheme="minorEastAsia"/>
          <w:color w:val="auto"/>
          <w:sz w:val="24"/>
          <w:szCs w:val="24"/>
          <w:highlight w:val="none"/>
        </w:rPr>
        <w:t>竞争性磋商文件的澄清</w:t>
      </w:r>
      <w:bookmarkEnd w:id="163"/>
      <w:r>
        <w:rPr>
          <w:rFonts w:hint="eastAsia" w:asciiTheme="minorEastAsia" w:hAnsiTheme="minorEastAsia" w:eastAsiaTheme="minorEastAsia" w:cstheme="minorEastAsia"/>
          <w:color w:val="auto"/>
          <w:sz w:val="24"/>
          <w:szCs w:val="24"/>
          <w:highlight w:val="none"/>
        </w:rPr>
        <w:t>、修改</w:t>
      </w:r>
      <w:bookmarkEnd w:id="164"/>
      <w:bookmarkEnd w:id="165"/>
      <w:bookmarkEnd w:id="166"/>
      <w:bookmarkEnd w:id="167"/>
      <w:bookmarkEnd w:id="168"/>
      <w:bookmarkEnd w:id="169"/>
      <w:bookmarkEnd w:id="170"/>
      <w:bookmarkEnd w:id="171"/>
    </w:p>
    <w:p w14:paraId="4FC19077">
      <w:pPr>
        <w:spacing w:line="360" w:lineRule="auto"/>
        <w:ind w:firstLine="480" w:firstLineChars="200"/>
        <w:jc w:val="left"/>
        <w:rPr>
          <w:rFonts w:asciiTheme="minorEastAsia" w:hAnsiTheme="minorEastAsia" w:eastAsiaTheme="minorEastAsia" w:cstheme="minorEastAsia"/>
          <w:color w:val="auto"/>
          <w:sz w:val="24"/>
          <w:szCs w:val="24"/>
          <w:highlight w:val="none"/>
        </w:rPr>
      </w:pPr>
      <w:bookmarkStart w:id="172" w:name="_Toc432197775"/>
      <w:bookmarkStart w:id="173" w:name="_Toc86124051"/>
      <w:r>
        <w:rPr>
          <w:rFonts w:hint="eastAsia" w:asciiTheme="minorEastAsia" w:hAnsiTheme="minorEastAsia" w:eastAsiaTheme="minorEastAsia" w:cstheme="minorEastAsia"/>
          <w:color w:val="auto"/>
          <w:sz w:val="24"/>
          <w:szCs w:val="24"/>
          <w:highlight w:val="none"/>
        </w:rPr>
        <w:t>7.1 供应商应认真阅读竞争性磋商文件，如有疑问的，供应商可以在</w:t>
      </w:r>
      <w:r>
        <w:rPr>
          <w:rFonts w:hint="eastAsia" w:asciiTheme="minorEastAsia" w:hAnsiTheme="minorEastAsia" w:eastAsiaTheme="minorEastAsia" w:cstheme="minorEastAsia"/>
          <w:b/>
          <w:bCs/>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规定截止时间前以澄清函形式（加电子签章）要求采购代理机构澄清，截止时间后送达的澄清要求概不接受。</w:t>
      </w:r>
    </w:p>
    <w:p w14:paraId="152DBD9F">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7.2 采购代理机构将以书面形式答复所有获取竞争性磋商文件的供应商（答复中不包含问题的来源）要求澄清的问题，其他澄清方式无效。</w:t>
      </w:r>
    </w:p>
    <w:p w14:paraId="3A7086E5">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采购人、采购代理机构对已发出的竞争性磋商文件进行必要的澄清或者修改的，澄清或者修改的内容作为竞争性磋商文件的组成部分。澄清或者修改的内容可能影响响应文件编制的，采购人、采购代理机构将在提交首次响应文件截止之日5日前，以书面形式通知所有接收竞争性磋商文件的供应商，不足5日的，将顺延提交首次响应文件截止之日。</w:t>
      </w:r>
    </w:p>
    <w:p w14:paraId="4AD17F6B">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7.4采购代理机构和采购人可以视采购具体情况，推迟响应文件递交截止时间，并将变更时间书面通知所有获取竞争性磋商文件的供应商。</w:t>
      </w:r>
    </w:p>
    <w:p w14:paraId="09528DFA">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在磋商过程中，竞争性磋商小组可以根据竞争性磋商文件和磋商情况实质性变动采购需求中的技术、服务要求以及合同草案条款，但不得变动竞争性磋商文件中的其他内容。实质性变动的内容，须经采购人代表确认。本项目竞争性磋商小组根据与供应商磋商情况可能实质性变动的内容见</w:t>
      </w:r>
      <w:r>
        <w:rPr>
          <w:rFonts w:hint="eastAsia" w:asciiTheme="minorEastAsia" w:hAnsiTheme="minorEastAsia" w:eastAsiaTheme="minorEastAsia" w:cstheme="minorEastAsia"/>
          <w:b/>
          <w:bCs/>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w:t>
      </w:r>
    </w:p>
    <w:p w14:paraId="6D1DD419">
      <w:pPr>
        <w:pStyle w:val="4"/>
        <w:numPr>
          <w:ilvl w:val="0"/>
          <w:numId w:val="0"/>
        </w:numPr>
        <w:tabs>
          <w:tab w:val="clear" w:pos="3690"/>
        </w:tabs>
        <w:spacing w:before="0" w:after="0" w:line="360" w:lineRule="auto"/>
        <w:jc w:val="center"/>
        <w:rPr>
          <w:rFonts w:asciiTheme="minorEastAsia" w:hAnsiTheme="minorEastAsia" w:eastAsiaTheme="minorEastAsia" w:cstheme="minorEastAsia"/>
          <w:color w:val="auto"/>
          <w:sz w:val="24"/>
          <w:szCs w:val="24"/>
          <w:highlight w:val="none"/>
        </w:rPr>
      </w:pPr>
      <w:bookmarkStart w:id="174" w:name="_Toc19768"/>
      <w:bookmarkStart w:id="175" w:name="_Toc26958"/>
      <w:bookmarkStart w:id="176" w:name="_Toc2548"/>
      <w:r>
        <w:rPr>
          <w:rFonts w:hint="eastAsia" w:asciiTheme="minorEastAsia" w:hAnsiTheme="minorEastAsia" w:eastAsiaTheme="minorEastAsia" w:cstheme="minorEastAsia"/>
          <w:color w:val="auto"/>
          <w:sz w:val="24"/>
          <w:szCs w:val="24"/>
          <w:highlight w:val="none"/>
        </w:rPr>
        <w:t>三、响应文件</w:t>
      </w:r>
      <w:bookmarkEnd w:id="172"/>
      <w:bookmarkEnd w:id="173"/>
      <w:bookmarkEnd w:id="174"/>
      <w:bookmarkEnd w:id="175"/>
      <w:bookmarkEnd w:id="176"/>
    </w:p>
    <w:p w14:paraId="515AD3B0">
      <w:pPr>
        <w:pStyle w:val="2"/>
        <w:numPr>
          <w:ilvl w:val="0"/>
          <w:numId w:val="4"/>
        </w:numPr>
        <w:spacing w:before="0" w:after="0" w:line="360" w:lineRule="auto"/>
        <w:jc w:val="both"/>
        <w:rPr>
          <w:rFonts w:asciiTheme="minorEastAsia" w:hAnsiTheme="minorEastAsia" w:eastAsiaTheme="minorEastAsia" w:cstheme="minorEastAsia"/>
          <w:color w:val="auto"/>
          <w:sz w:val="24"/>
          <w:szCs w:val="24"/>
          <w:highlight w:val="none"/>
        </w:rPr>
      </w:pPr>
      <w:bookmarkStart w:id="177" w:name="_Toc383175285"/>
      <w:bookmarkStart w:id="178" w:name="_Toc383175483"/>
      <w:bookmarkStart w:id="179" w:name="_Toc24007"/>
      <w:bookmarkStart w:id="180" w:name="_Toc32617"/>
      <w:bookmarkStart w:id="181" w:name="_Toc432197776"/>
      <w:bookmarkStart w:id="182" w:name="_Toc10969"/>
      <w:bookmarkStart w:id="183" w:name="_Toc383175061"/>
      <w:bookmarkStart w:id="184" w:name="_Toc86124052"/>
      <w:bookmarkStart w:id="185" w:name="_Toc329810195"/>
      <w:r>
        <w:rPr>
          <w:rFonts w:hint="eastAsia" w:asciiTheme="minorEastAsia" w:hAnsiTheme="minorEastAsia" w:eastAsiaTheme="minorEastAsia" w:cstheme="minorEastAsia"/>
          <w:color w:val="auto"/>
          <w:sz w:val="24"/>
          <w:szCs w:val="24"/>
          <w:highlight w:val="none"/>
        </w:rPr>
        <w:t>响应文件编写注意事项</w:t>
      </w:r>
      <w:bookmarkEnd w:id="177"/>
      <w:bookmarkEnd w:id="178"/>
      <w:bookmarkEnd w:id="179"/>
      <w:bookmarkEnd w:id="180"/>
      <w:bookmarkEnd w:id="181"/>
      <w:bookmarkEnd w:id="182"/>
      <w:bookmarkEnd w:id="183"/>
      <w:bookmarkEnd w:id="184"/>
      <w:bookmarkEnd w:id="185"/>
    </w:p>
    <w:p w14:paraId="00B6CAFD">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8.1 供应商应仔细阅读竞争性磋商文件，在完全了解采购的内容、技术性能要求（见第五章</w:t>
      </w:r>
      <w:r>
        <w:rPr>
          <w:rFonts w:hint="eastAsia" w:asciiTheme="minorEastAsia" w:hAnsiTheme="minorEastAsia" w:eastAsiaTheme="minorEastAsia" w:cstheme="minorEastAsia"/>
          <w:b/>
          <w:bCs/>
          <w:color w:val="auto"/>
          <w:sz w:val="24"/>
          <w:szCs w:val="24"/>
          <w:highlight w:val="none"/>
        </w:rPr>
        <w:t>“采购需求”</w:t>
      </w:r>
      <w:r>
        <w:rPr>
          <w:rFonts w:hint="eastAsia" w:asciiTheme="minorEastAsia" w:hAnsiTheme="minorEastAsia" w:eastAsiaTheme="minorEastAsia" w:cstheme="minorEastAsia"/>
          <w:color w:val="auto"/>
          <w:sz w:val="24"/>
          <w:szCs w:val="24"/>
          <w:highlight w:val="none"/>
        </w:rPr>
        <w:t>）和商务条件后，编写响应文件。</w:t>
      </w:r>
    </w:p>
    <w:p w14:paraId="06C25E2B">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8.2 对竞争性磋商文件提出的实质性要求和条件作出响应是指供应商必须对竞争性磋商文件中规定的成交实质性要求和条件作出满足或者优于原要求和条件的承诺，并提供相应的证明材料。</w:t>
      </w:r>
    </w:p>
    <w:p w14:paraId="5CC6868C">
      <w:pPr>
        <w:pStyle w:val="2"/>
        <w:numPr>
          <w:ilvl w:val="0"/>
          <w:numId w:val="4"/>
        </w:numPr>
        <w:spacing w:before="0" w:after="0" w:line="360" w:lineRule="auto"/>
        <w:jc w:val="both"/>
        <w:rPr>
          <w:rFonts w:asciiTheme="minorEastAsia" w:hAnsiTheme="minorEastAsia" w:eastAsiaTheme="minorEastAsia" w:cstheme="minorEastAsia"/>
          <w:color w:val="auto"/>
          <w:sz w:val="24"/>
          <w:szCs w:val="24"/>
          <w:highlight w:val="none"/>
        </w:rPr>
      </w:pPr>
      <w:bookmarkStart w:id="186" w:name="_Toc8464"/>
      <w:bookmarkStart w:id="187" w:name="_Toc432197777"/>
      <w:bookmarkStart w:id="188" w:name="_Toc383175062"/>
      <w:bookmarkStart w:id="189" w:name="_Toc383175286"/>
      <w:bookmarkStart w:id="190" w:name="_Toc18228"/>
      <w:bookmarkStart w:id="191" w:name="_Toc329810196"/>
      <w:bookmarkStart w:id="192" w:name="_Toc29131"/>
      <w:bookmarkStart w:id="193" w:name="_Toc86124054"/>
      <w:bookmarkStart w:id="194" w:name="_Toc383175484"/>
      <w:r>
        <w:rPr>
          <w:rFonts w:hint="eastAsia" w:asciiTheme="minorEastAsia" w:hAnsiTheme="minorEastAsia" w:eastAsiaTheme="minorEastAsia" w:cstheme="minorEastAsia"/>
          <w:color w:val="auto"/>
          <w:sz w:val="24"/>
          <w:szCs w:val="24"/>
          <w:highlight w:val="none"/>
        </w:rPr>
        <w:t>响应文件构成</w:t>
      </w:r>
      <w:bookmarkEnd w:id="186"/>
      <w:bookmarkEnd w:id="187"/>
      <w:bookmarkEnd w:id="188"/>
      <w:bookmarkEnd w:id="189"/>
      <w:bookmarkEnd w:id="190"/>
      <w:bookmarkEnd w:id="191"/>
      <w:bookmarkEnd w:id="192"/>
      <w:bookmarkEnd w:id="193"/>
      <w:bookmarkEnd w:id="194"/>
    </w:p>
    <w:p w14:paraId="50DD4BE8">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9.1供应商编写的响应文件应按第四章</w:t>
      </w:r>
      <w:r>
        <w:rPr>
          <w:rFonts w:hint="eastAsia" w:asciiTheme="minorEastAsia" w:hAnsiTheme="minorEastAsia" w:eastAsiaTheme="minorEastAsia" w:cstheme="minorEastAsia"/>
          <w:b/>
          <w:bCs/>
          <w:color w:val="auto"/>
          <w:sz w:val="24"/>
          <w:szCs w:val="24"/>
          <w:highlight w:val="none"/>
        </w:rPr>
        <w:t>“响应文件格式”</w:t>
      </w:r>
      <w:r>
        <w:rPr>
          <w:rFonts w:hint="eastAsia" w:asciiTheme="minorEastAsia" w:hAnsiTheme="minorEastAsia" w:eastAsiaTheme="minorEastAsia" w:cstheme="minorEastAsia"/>
          <w:color w:val="auto"/>
          <w:sz w:val="24"/>
          <w:szCs w:val="24"/>
          <w:highlight w:val="none"/>
        </w:rPr>
        <w:t>要求填写。</w:t>
      </w:r>
    </w:p>
    <w:p w14:paraId="70B8290F">
      <w:pPr>
        <w:pStyle w:val="2"/>
        <w:numPr>
          <w:ilvl w:val="0"/>
          <w:numId w:val="4"/>
        </w:numPr>
        <w:spacing w:before="0" w:after="0" w:line="360" w:lineRule="auto"/>
        <w:jc w:val="both"/>
        <w:rPr>
          <w:rFonts w:asciiTheme="minorEastAsia" w:hAnsiTheme="minorEastAsia" w:eastAsiaTheme="minorEastAsia" w:cstheme="minorEastAsia"/>
          <w:color w:val="auto"/>
          <w:sz w:val="24"/>
          <w:szCs w:val="24"/>
          <w:highlight w:val="none"/>
        </w:rPr>
      </w:pPr>
      <w:bookmarkStart w:id="195" w:name="_Toc86124056"/>
      <w:bookmarkStart w:id="196" w:name="_Toc329810197"/>
      <w:bookmarkStart w:id="197" w:name="_Toc27430"/>
      <w:bookmarkStart w:id="198" w:name="_Toc383175063"/>
      <w:bookmarkStart w:id="199" w:name="_Toc432197778"/>
      <w:bookmarkStart w:id="200" w:name="_Toc383175485"/>
      <w:bookmarkStart w:id="201" w:name="_Toc383175287"/>
      <w:bookmarkStart w:id="202" w:name="_Toc27693"/>
      <w:bookmarkStart w:id="203" w:name="_Toc4404"/>
      <w:r>
        <w:rPr>
          <w:rFonts w:hint="eastAsia" w:asciiTheme="minorEastAsia" w:hAnsiTheme="minorEastAsia" w:eastAsiaTheme="minorEastAsia" w:cstheme="minorEastAsia"/>
          <w:color w:val="auto"/>
          <w:sz w:val="24"/>
          <w:szCs w:val="24"/>
          <w:highlight w:val="none"/>
        </w:rPr>
        <w:t>报价</w:t>
      </w:r>
      <w:bookmarkEnd w:id="195"/>
      <w:r>
        <w:rPr>
          <w:rFonts w:hint="eastAsia" w:asciiTheme="minorEastAsia" w:hAnsiTheme="minorEastAsia" w:eastAsiaTheme="minorEastAsia" w:cstheme="minorEastAsia"/>
          <w:color w:val="auto"/>
          <w:sz w:val="24"/>
          <w:szCs w:val="24"/>
          <w:highlight w:val="none"/>
        </w:rPr>
        <w:t>和报价货币</w:t>
      </w:r>
      <w:bookmarkEnd w:id="196"/>
      <w:bookmarkEnd w:id="197"/>
      <w:bookmarkEnd w:id="198"/>
      <w:bookmarkEnd w:id="199"/>
      <w:bookmarkEnd w:id="200"/>
      <w:bookmarkEnd w:id="201"/>
      <w:bookmarkEnd w:id="202"/>
      <w:bookmarkEnd w:id="203"/>
    </w:p>
    <w:p w14:paraId="7F075C79">
      <w:pPr>
        <w:spacing w:line="360" w:lineRule="auto"/>
        <w:ind w:firstLine="480" w:firstLineChars="200"/>
        <w:jc w:val="left"/>
        <w:rPr>
          <w:rFonts w:asciiTheme="minorEastAsia" w:hAnsiTheme="minorEastAsia" w:eastAsiaTheme="minorEastAsia" w:cstheme="minorEastAsia"/>
          <w:color w:val="auto"/>
          <w:sz w:val="24"/>
          <w:szCs w:val="24"/>
          <w:highlight w:val="none"/>
        </w:rPr>
      </w:pPr>
      <w:bookmarkStart w:id="204" w:name="_Toc383175486"/>
      <w:bookmarkStart w:id="205" w:name="_Toc12855"/>
      <w:bookmarkStart w:id="206" w:name="_Toc329810198"/>
      <w:bookmarkStart w:id="207" w:name="_Toc383175288"/>
      <w:bookmarkStart w:id="208" w:name="_Toc383175064"/>
      <w:bookmarkStart w:id="209" w:name="_Toc8291"/>
      <w:bookmarkStart w:id="210" w:name="_Toc432197779"/>
      <w:bookmarkStart w:id="211" w:name="_Toc86124058"/>
      <w:r>
        <w:rPr>
          <w:rFonts w:hint="eastAsia" w:asciiTheme="minorEastAsia" w:hAnsiTheme="minorEastAsia" w:eastAsiaTheme="minorEastAsia" w:cstheme="minorEastAsia"/>
          <w:color w:val="auto"/>
          <w:sz w:val="24"/>
          <w:szCs w:val="24"/>
          <w:highlight w:val="none"/>
        </w:rPr>
        <w:t>10.1本项目最高限价及报价要求：见</w:t>
      </w:r>
      <w:r>
        <w:rPr>
          <w:rFonts w:hint="eastAsia" w:asciiTheme="minorEastAsia" w:hAnsiTheme="minorEastAsia" w:eastAsiaTheme="minorEastAsia" w:cstheme="minorEastAsia"/>
          <w:b/>
          <w:bCs/>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w:t>
      </w:r>
    </w:p>
    <w:p w14:paraId="4FC29686">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10.2 报价应为人民币含税价（元），包括完成整个项目所需的成本（含人工、所需材料、机械设备、各类措施费等）、管理、利润、规费、税金、合理风险、中标服务费等所需的全部费用。</w:t>
      </w:r>
    </w:p>
    <w:p w14:paraId="6D3CEC42">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10.3 供应商须就“采购需求”中的内容作完整唯一报价。</w:t>
      </w:r>
    </w:p>
    <w:p w14:paraId="46B591ED">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10.4供应商的报价应依据竞争性磋商文件的要求及有关资料，执行国家规定的现行技术、经济标准、定额及规范，由供应商自行测算出现行市场的各类价格。报价包括但不仅限于完成整个项目期间发生的成本（含人工、所需材料、机械设备、各类措施费等）、管理、利润、规费、税金、合理风险等所需的全部费用，该报价应符合实际情况并能保证成交人完成履行合同所需的一切工作。</w:t>
      </w:r>
    </w:p>
    <w:p w14:paraId="476FA55B">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10.5本项目合同价格形式：固定单价合同，结算方式：据实结算。</w:t>
      </w:r>
    </w:p>
    <w:p w14:paraId="0184870E">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为体现安全文明施工费、规费、税金不下浮的原则并与中标价相吻合，施工合同签订时</w:t>
      </w:r>
      <w:r>
        <w:rPr>
          <w:rFonts w:hint="eastAsia" w:asciiTheme="minorEastAsia" w:hAnsiTheme="minorEastAsia" w:eastAsiaTheme="minorEastAsia" w:cstheme="minorEastAsia"/>
          <w:color w:val="auto"/>
          <w:sz w:val="24"/>
          <w:szCs w:val="24"/>
          <w:highlight w:val="none"/>
          <w:lang w:eastAsia="zh-CN"/>
        </w:rPr>
        <w:t>成交人</w:t>
      </w:r>
      <w:r>
        <w:rPr>
          <w:rFonts w:hint="eastAsia" w:asciiTheme="minorEastAsia" w:hAnsiTheme="minorEastAsia" w:eastAsiaTheme="minorEastAsia" w:cstheme="minorEastAsia"/>
          <w:color w:val="auto"/>
          <w:sz w:val="24"/>
          <w:szCs w:val="24"/>
          <w:highlight w:val="none"/>
        </w:rPr>
        <w:t>应根据最后报价调整已标价工程量清单综合单价。</w:t>
      </w:r>
    </w:p>
    <w:p w14:paraId="04B8422F">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成交人</w:t>
      </w:r>
      <w:r>
        <w:rPr>
          <w:rFonts w:hint="eastAsia" w:asciiTheme="minorEastAsia" w:hAnsiTheme="minorEastAsia" w:eastAsiaTheme="minorEastAsia" w:cstheme="minorEastAsia"/>
          <w:color w:val="auto"/>
          <w:sz w:val="24"/>
          <w:szCs w:val="24"/>
          <w:highlight w:val="none"/>
        </w:rPr>
        <w:t>应免费提供采购人一套签字盖章完整的总价与中标价（即最后报价）相符的已标价工程量清单作为结算依据，含纸质版贰份，广联达格式电子版一份，PDF版一份。</w:t>
      </w:r>
    </w:p>
    <w:p w14:paraId="4CDC95E1">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10.6通过实质性审查的供应商将进行磋商，磋商完成后供应商应在规定的时间内提交最后报价，最后报价是供应商响应文件的有效组成部分。供应商未在规定时间提交最后报价的，视为退出磋商，不再进行后续评审。</w:t>
      </w:r>
    </w:p>
    <w:p w14:paraId="3AFEB0A1">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10.7 报价货币为人民币。</w:t>
      </w:r>
    </w:p>
    <w:p w14:paraId="434BCE4C">
      <w:pPr>
        <w:pStyle w:val="2"/>
        <w:numPr>
          <w:ilvl w:val="0"/>
          <w:numId w:val="4"/>
        </w:numPr>
        <w:tabs>
          <w:tab w:val="left" w:pos="900"/>
        </w:tabs>
        <w:spacing w:before="0" w:after="0" w:line="360" w:lineRule="auto"/>
        <w:rPr>
          <w:rFonts w:asciiTheme="minorEastAsia" w:hAnsiTheme="minorEastAsia" w:eastAsiaTheme="minorEastAsia" w:cstheme="minorEastAsia"/>
          <w:color w:val="auto"/>
          <w:sz w:val="24"/>
          <w:szCs w:val="24"/>
          <w:highlight w:val="none"/>
        </w:rPr>
      </w:pPr>
      <w:bookmarkStart w:id="212" w:name="_Toc23292"/>
      <w:r>
        <w:rPr>
          <w:rFonts w:hint="eastAsia" w:asciiTheme="minorEastAsia" w:hAnsiTheme="minorEastAsia" w:eastAsiaTheme="minorEastAsia" w:cstheme="minorEastAsia"/>
          <w:color w:val="auto"/>
          <w:sz w:val="24"/>
          <w:szCs w:val="24"/>
          <w:highlight w:val="none"/>
        </w:rPr>
        <w:t>有效期</w:t>
      </w:r>
      <w:bookmarkEnd w:id="204"/>
      <w:bookmarkEnd w:id="205"/>
      <w:bookmarkEnd w:id="206"/>
      <w:bookmarkEnd w:id="207"/>
      <w:bookmarkEnd w:id="208"/>
      <w:bookmarkEnd w:id="209"/>
      <w:bookmarkEnd w:id="210"/>
      <w:bookmarkEnd w:id="211"/>
      <w:bookmarkEnd w:id="212"/>
    </w:p>
    <w:p w14:paraId="1BBD9FFD">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 在</w:t>
      </w:r>
      <w:r>
        <w:rPr>
          <w:rFonts w:hint="eastAsia" w:asciiTheme="minorEastAsia" w:hAnsiTheme="minorEastAsia" w:eastAsiaTheme="minorEastAsia" w:cstheme="minorEastAsia"/>
          <w:b/>
          <w:bCs/>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规定的有效期内，供应商不得要求撤销或修改其响应文件。</w:t>
      </w:r>
    </w:p>
    <w:p w14:paraId="1E704609">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 因特殊情况需要延长有效期的，采购代理机构以书面形式通知所有供应商延长有效期。供应商同意延长的，应相应延长其保证金的有效期，但不得要求或被允许修改或撤销其响应文件；供应商拒绝延长的，其响应文件失效，但供应商有权收回其保证金。</w:t>
      </w:r>
    </w:p>
    <w:p w14:paraId="114F87F8">
      <w:pPr>
        <w:pStyle w:val="2"/>
        <w:numPr>
          <w:ilvl w:val="0"/>
          <w:numId w:val="4"/>
        </w:numPr>
        <w:tabs>
          <w:tab w:val="left" w:pos="360"/>
        </w:tabs>
        <w:spacing w:before="0" w:after="0" w:line="360" w:lineRule="auto"/>
        <w:rPr>
          <w:rFonts w:asciiTheme="minorEastAsia" w:hAnsiTheme="minorEastAsia" w:eastAsiaTheme="minorEastAsia" w:cstheme="minorEastAsia"/>
          <w:color w:val="auto"/>
          <w:sz w:val="24"/>
          <w:szCs w:val="24"/>
          <w:highlight w:val="none"/>
        </w:rPr>
      </w:pPr>
      <w:bookmarkStart w:id="213" w:name="_Toc86124059"/>
      <w:bookmarkStart w:id="214" w:name="_Toc329810199"/>
      <w:bookmarkStart w:id="215" w:name="_Toc8844"/>
      <w:bookmarkStart w:id="216" w:name="_Toc14622"/>
      <w:bookmarkStart w:id="217" w:name="_Toc30506"/>
      <w:bookmarkStart w:id="218" w:name="_Toc383175487"/>
      <w:bookmarkStart w:id="219" w:name="_Toc383175289"/>
      <w:bookmarkStart w:id="220" w:name="_Toc383175065"/>
      <w:bookmarkStart w:id="221" w:name="_Toc432197780"/>
      <w:r>
        <w:rPr>
          <w:rFonts w:hint="eastAsia" w:asciiTheme="minorEastAsia" w:hAnsiTheme="minorEastAsia" w:eastAsiaTheme="minorEastAsia" w:cstheme="minorEastAsia"/>
          <w:color w:val="auto"/>
          <w:sz w:val="24"/>
          <w:szCs w:val="24"/>
          <w:highlight w:val="none"/>
        </w:rPr>
        <w:t>响应文件的</w:t>
      </w:r>
      <w:bookmarkEnd w:id="213"/>
      <w:bookmarkEnd w:id="214"/>
      <w:r>
        <w:rPr>
          <w:rFonts w:hint="eastAsia" w:asciiTheme="minorEastAsia" w:hAnsiTheme="minorEastAsia" w:eastAsiaTheme="minorEastAsia" w:cstheme="minorEastAsia"/>
          <w:color w:val="auto"/>
          <w:sz w:val="24"/>
          <w:szCs w:val="24"/>
          <w:highlight w:val="none"/>
        </w:rPr>
        <w:t>编制</w:t>
      </w:r>
      <w:bookmarkEnd w:id="215"/>
      <w:bookmarkEnd w:id="216"/>
      <w:bookmarkEnd w:id="217"/>
      <w:bookmarkEnd w:id="218"/>
      <w:bookmarkEnd w:id="219"/>
      <w:bookmarkEnd w:id="220"/>
      <w:bookmarkEnd w:id="221"/>
    </w:p>
    <w:p w14:paraId="7130C715">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12.1 响应文件签署：响应文件编制完成后须用云南CA按格式进行电子签章，在所要求的位置、有法定代表人或委托代理人的电子签名或盖章，均使用云南CA按格式进行电子签章，联合体参加磋商的除格式要求外，可由联合体牵头单位签署。</w:t>
      </w:r>
    </w:p>
    <w:p w14:paraId="26B07F33">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12.2响应文件应尽量避免涂改、行间插字或删除。如果出现上述情况，改动之处应加盖供应商的公章或供应商法定代表人或其委托代理人签字确认。</w:t>
      </w:r>
    </w:p>
    <w:p w14:paraId="43E32664">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12.3响应文件应由法定代表人或其委托代理人在竞争性磋商文件规定签字处逐一电子签名或盖章，要求盖章处应加盖供应商电子公章，若以“投标专用章”或“合同专用章”代替的，须出具供应商单位公章对“投标专用章”或“合同专用章”的授权函原件。</w:t>
      </w:r>
    </w:p>
    <w:p w14:paraId="40418DBD">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12.4 响应文件份数：按“政采云”要求，上传电子响应文件壹份。供应商应安装“政采云”投标客户端，根据采购文件格式编制响应文件，生成加密标书后进行上传。</w:t>
      </w:r>
    </w:p>
    <w:p w14:paraId="2945CB78">
      <w:pPr>
        <w:pStyle w:val="2"/>
        <w:numPr>
          <w:ilvl w:val="0"/>
          <w:numId w:val="4"/>
        </w:numPr>
        <w:tabs>
          <w:tab w:val="left" w:pos="360"/>
        </w:tabs>
        <w:spacing w:before="0" w:after="0" w:line="360" w:lineRule="auto"/>
        <w:rPr>
          <w:rFonts w:asciiTheme="minorEastAsia" w:hAnsiTheme="minorEastAsia" w:eastAsiaTheme="minorEastAsia" w:cstheme="minorEastAsia"/>
          <w:color w:val="auto"/>
          <w:sz w:val="24"/>
          <w:szCs w:val="24"/>
          <w:highlight w:val="none"/>
        </w:rPr>
      </w:pPr>
      <w:bookmarkStart w:id="222" w:name="_Toc432197781"/>
      <w:bookmarkStart w:id="223" w:name="_Toc18002"/>
      <w:bookmarkStart w:id="224" w:name="_Toc11469"/>
      <w:bookmarkStart w:id="225" w:name="_Toc331"/>
      <w:r>
        <w:rPr>
          <w:rFonts w:hint="eastAsia" w:asciiTheme="minorEastAsia" w:hAnsiTheme="minorEastAsia" w:eastAsiaTheme="minorEastAsia" w:cstheme="minorEastAsia"/>
          <w:color w:val="auto"/>
          <w:sz w:val="24"/>
          <w:szCs w:val="24"/>
          <w:highlight w:val="none"/>
        </w:rPr>
        <w:t>磋商保证金</w:t>
      </w:r>
      <w:bookmarkEnd w:id="222"/>
      <w:bookmarkEnd w:id="223"/>
      <w:bookmarkEnd w:id="224"/>
      <w:bookmarkEnd w:id="225"/>
    </w:p>
    <w:p w14:paraId="0AC4622C">
      <w:pPr>
        <w:spacing w:line="360" w:lineRule="auto"/>
        <w:ind w:firstLine="480" w:firstLineChars="200"/>
        <w:jc w:val="left"/>
        <w:rPr>
          <w:rFonts w:asciiTheme="minorEastAsia" w:hAnsiTheme="minorEastAsia" w:eastAsiaTheme="minorEastAsia" w:cstheme="minorEastAsia"/>
          <w:color w:val="auto"/>
          <w:sz w:val="24"/>
          <w:szCs w:val="24"/>
          <w:highlight w:val="none"/>
        </w:rPr>
      </w:pPr>
      <w:bookmarkStart w:id="226" w:name="_Toc432197782"/>
      <w:bookmarkStart w:id="227" w:name="_Toc86124061"/>
      <w:bookmarkStart w:id="228" w:name="_Toc8848"/>
      <w:r>
        <w:rPr>
          <w:rFonts w:hint="eastAsia" w:asciiTheme="minorEastAsia" w:hAnsiTheme="minorEastAsia" w:eastAsiaTheme="minorEastAsia" w:cstheme="minorEastAsia"/>
          <w:color w:val="auto"/>
          <w:sz w:val="24"/>
          <w:szCs w:val="24"/>
          <w:highlight w:val="none"/>
        </w:rPr>
        <w:t>13.1 磋商保证金为人民币。供应商应在响应文件递交截止时间以前按</w:t>
      </w:r>
      <w:r>
        <w:rPr>
          <w:rFonts w:hint="eastAsia" w:asciiTheme="minorEastAsia" w:hAnsiTheme="minorEastAsia" w:eastAsiaTheme="minorEastAsia" w:cstheme="minorEastAsia"/>
          <w:b/>
          <w:bCs/>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规定的方式及金额交至采购代理机构，并在磋商有效期内保持有效。</w:t>
      </w:r>
    </w:p>
    <w:p w14:paraId="624CE920">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13.2 办理磋商保证金手续时，请务必在银行进账单或电汇单的用途栏或空白栏上注明项目编号。</w:t>
      </w:r>
    </w:p>
    <w:p w14:paraId="191FFC0F">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13.3 未成交的供应商可在成交通知书发出后五个工作日内退还；成交供应商的保证金，在签订合同后五个工作日内由采购代理机构退还。</w:t>
      </w:r>
    </w:p>
    <w:p w14:paraId="77855551">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13.4 有下列情形之一的，磋商保证金不予退还：</w:t>
      </w:r>
    </w:p>
    <w:p w14:paraId="65A4E40C">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（1）供应商在提交响应文件截止时间后撤回响应文件的；</w:t>
      </w:r>
    </w:p>
    <w:p w14:paraId="186C6BB4">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（2）供应商在响应文件中提供虚假材料的；</w:t>
      </w:r>
    </w:p>
    <w:p w14:paraId="38D6B5A6">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（3）除因不可抗力或竞争性磋商文件认可的情形以外，中标供应商不与采购人签订合同的；</w:t>
      </w:r>
    </w:p>
    <w:p w14:paraId="01B41118">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（4）供应商与采购人、其他供应商或者采购代理机构恶意串通的；</w:t>
      </w:r>
    </w:p>
    <w:p w14:paraId="30B96C8E">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（5）采购文件规定的其他情形。</w:t>
      </w:r>
    </w:p>
    <w:p w14:paraId="4B5B37E9">
      <w:pPr>
        <w:pStyle w:val="4"/>
        <w:numPr>
          <w:ilvl w:val="0"/>
          <w:numId w:val="0"/>
        </w:numPr>
        <w:tabs>
          <w:tab w:val="clear" w:pos="3690"/>
        </w:tabs>
        <w:spacing w:before="0" w:after="0" w:line="360" w:lineRule="auto"/>
        <w:ind w:left="3330"/>
        <w:rPr>
          <w:rFonts w:asciiTheme="minorEastAsia" w:hAnsiTheme="minorEastAsia" w:eastAsiaTheme="minorEastAsia" w:cstheme="minorEastAsia"/>
          <w:color w:val="auto"/>
          <w:sz w:val="24"/>
          <w:szCs w:val="24"/>
          <w:highlight w:val="none"/>
        </w:rPr>
      </w:pPr>
      <w:bookmarkStart w:id="229" w:name="_Toc28685"/>
      <w:bookmarkStart w:id="230" w:name="_Toc2097"/>
      <w:r>
        <w:rPr>
          <w:rFonts w:hint="eastAsia" w:asciiTheme="minorEastAsia" w:hAnsiTheme="minorEastAsia" w:eastAsiaTheme="minorEastAsia" w:cstheme="minorEastAsia"/>
          <w:color w:val="auto"/>
          <w:sz w:val="24"/>
          <w:szCs w:val="24"/>
          <w:highlight w:val="none"/>
        </w:rPr>
        <w:t>四、响应文件的提交</w:t>
      </w:r>
      <w:bookmarkEnd w:id="226"/>
      <w:bookmarkEnd w:id="227"/>
      <w:bookmarkEnd w:id="228"/>
      <w:bookmarkEnd w:id="229"/>
      <w:bookmarkEnd w:id="230"/>
    </w:p>
    <w:p w14:paraId="3B3DC276">
      <w:pPr>
        <w:pStyle w:val="2"/>
        <w:numPr>
          <w:ilvl w:val="0"/>
          <w:numId w:val="4"/>
        </w:numPr>
        <w:tabs>
          <w:tab w:val="left" w:pos="360"/>
        </w:tabs>
        <w:spacing w:before="0" w:after="0" w:line="360" w:lineRule="auto"/>
        <w:rPr>
          <w:rFonts w:asciiTheme="minorEastAsia" w:hAnsiTheme="minorEastAsia" w:eastAsiaTheme="minorEastAsia" w:cstheme="minorEastAsia"/>
          <w:color w:val="auto"/>
          <w:sz w:val="24"/>
          <w:szCs w:val="24"/>
          <w:highlight w:val="none"/>
        </w:rPr>
      </w:pPr>
      <w:bookmarkStart w:id="231" w:name="_Toc26215"/>
      <w:bookmarkStart w:id="232" w:name="_Toc383175490"/>
      <w:bookmarkStart w:id="233" w:name="_Toc383175292"/>
      <w:bookmarkStart w:id="234" w:name="_Toc2364"/>
      <w:bookmarkStart w:id="235" w:name="_Toc432197783"/>
      <w:bookmarkStart w:id="236" w:name="_Toc28550"/>
      <w:bookmarkStart w:id="237" w:name="_Toc329810202"/>
      <w:bookmarkStart w:id="238" w:name="_Toc383175068"/>
      <w:bookmarkStart w:id="239" w:name="_Toc86124062"/>
      <w:r>
        <w:rPr>
          <w:rFonts w:hint="eastAsia" w:asciiTheme="minorEastAsia" w:hAnsiTheme="minorEastAsia" w:eastAsiaTheme="minorEastAsia" w:cstheme="minorEastAsia"/>
          <w:color w:val="auto"/>
          <w:sz w:val="24"/>
          <w:szCs w:val="24"/>
          <w:highlight w:val="none"/>
        </w:rPr>
        <w:t>响应文件的密封与标记</w:t>
      </w:r>
      <w:bookmarkEnd w:id="231"/>
      <w:bookmarkEnd w:id="232"/>
      <w:bookmarkEnd w:id="233"/>
      <w:bookmarkEnd w:id="234"/>
      <w:bookmarkEnd w:id="235"/>
      <w:bookmarkEnd w:id="236"/>
      <w:bookmarkEnd w:id="237"/>
      <w:bookmarkEnd w:id="238"/>
      <w:bookmarkEnd w:id="239"/>
    </w:p>
    <w:p w14:paraId="1ABB951A">
      <w:pPr>
        <w:pStyle w:val="10"/>
        <w:spacing w:line="360" w:lineRule="auto"/>
        <w:ind w:firstLine="480" w:firstLineChars="20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14.1 按照“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p>
    <w:p w14:paraId="313758C8">
      <w:pPr>
        <w:pStyle w:val="2"/>
        <w:numPr>
          <w:ilvl w:val="0"/>
          <w:numId w:val="4"/>
        </w:numPr>
        <w:tabs>
          <w:tab w:val="left" w:pos="360"/>
        </w:tabs>
        <w:spacing w:before="0" w:after="0" w:line="360" w:lineRule="auto"/>
        <w:rPr>
          <w:rFonts w:asciiTheme="minorEastAsia" w:hAnsiTheme="minorEastAsia" w:eastAsiaTheme="minorEastAsia" w:cstheme="minorEastAsia"/>
          <w:color w:val="auto"/>
          <w:sz w:val="24"/>
          <w:szCs w:val="24"/>
          <w:highlight w:val="none"/>
        </w:rPr>
      </w:pPr>
      <w:bookmarkStart w:id="240" w:name="_Toc383175293"/>
      <w:bookmarkStart w:id="241" w:name="_Toc383175491"/>
      <w:bookmarkStart w:id="242" w:name="_Toc20653"/>
      <w:bookmarkStart w:id="243" w:name="_Toc432197784"/>
      <w:bookmarkStart w:id="244" w:name="_Toc23510"/>
      <w:bookmarkStart w:id="245" w:name="_Toc329810203"/>
      <w:bookmarkStart w:id="246" w:name="_Toc13862"/>
      <w:bookmarkStart w:id="247" w:name="_Toc383175069"/>
      <w:bookmarkStart w:id="248" w:name="_Toc86124063"/>
      <w:r>
        <w:rPr>
          <w:rFonts w:hint="eastAsia" w:asciiTheme="minorEastAsia" w:hAnsiTheme="minorEastAsia" w:eastAsiaTheme="minorEastAsia" w:cstheme="minorEastAsia"/>
          <w:color w:val="auto"/>
          <w:sz w:val="24"/>
          <w:szCs w:val="24"/>
          <w:highlight w:val="none"/>
        </w:rPr>
        <w:t>递交响应文件的截止时间和地点</w:t>
      </w:r>
      <w:bookmarkEnd w:id="240"/>
      <w:bookmarkEnd w:id="241"/>
      <w:bookmarkEnd w:id="242"/>
      <w:bookmarkEnd w:id="243"/>
      <w:bookmarkEnd w:id="244"/>
      <w:bookmarkEnd w:id="245"/>
      <w:bookmarkEnd w:id="246"/>
      <w:bookmarkEnd w:id="247"/>
      <w:bookmarkEnd w:id="248"/>
    </w:p>
    <w:p w14:paraId="0F4208DF">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15.1 响应文件的递交不得迟于</w:t>
      </w:r>
      <w:r>
        <w:rPr>
          <w:rFonts w:hint="eastAsia" w:asciiTheme="minorEastAsia" w:hAnsiTheme="minorEastAsia" w:eastAsiaTheme="minorEastAsia" w:cstheme="minorEastAsia"/>
          <w:b/>
          <w:bCs/>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规定的响应文件递交截止时间。</w:t>
      </w:r>
    </w:p>
    <w:p w14:paraId="5463C32F">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15.2 供应商必须在规定时间内将响应文件上传到</w:t>
      </w:r>
      <w:r>
        <w:rPr>
          <w:rFonts w:hint="eastAsia" w:asciiTheme="minorEastAsia" w:hAnsiTheme="minorEastAsia" w:eastAsiaTheme="minorEastAsia" w:cstheme="minorEastAsia"/>
          <w:b/>
          <w:bCs/>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规定的地点。</w:t>
      </w:r>
    </w:p>
    <w:p w14:paraId="18C7C6F2">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15.3 除</w:t>
      </w:r>
      <w:r>
        <w:rPr>
          <w:rFonts w:hint="eastAsia" w:asciiTheme="minorEastAsia" w:hAnsiTheme="minorEastAsia" w:eastAsiaTheme="minorEastAsia" w:cstheme="minorEastAsia"/>
          <w:b/>
          <w:bCs/>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另有规定外，供应商所递交的响应文件不予退还。</w:t>
      </w:r>
    </w:p>
    <w:p w14:paraId="755D3FA9">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15.4 响应文件提交截止时间前出现下列情况的视为撤回响应文件：（1）政采云电子平台显示供应商未上传响应文件；（2）因供应商原因上传的响应文件在开启文件时无法解密。</w:t>
      </w:r>
    </w:p>
    <w:p w14:paraId="55CC6AA1">
      <w:pPr>
        <w:pStyle w:val="4"/>
        <w:numPr>
          <w:ilvl w:val="0"/>
          <w:numId w:val="0"/>
        </w:numPr>
        <w:tabs>
          <w:tab w:val="clear" w:pos="3690"/>
        </w:tabs>
        <w:spacing w:before="0" w:after="0" w:line="360" w:lineRule="auto"/>
        <w:jc w:val="center"/>
        <w:rPr>
          <w:rFonts w:asciiTheme="minorEastAsia" w:hAnsiTheme="minorEastAsia" w:eastAsiaTheme="minorEastAsia" w:cstheme="minorEastAsia"/>
          <w:color w:val="auto"/>
          <w:sz w:val="24"/>
          <w:szCs w:val="24"/>
          <w:highlight w:val="none"/>
        </w:rPr>
      </w:pPr>
      <w:bookmarkStart w:id="249" w:name="_Toc29196"/>
      <w:bookmarkStart w:id="250" w:name="_Toc86124064"/>
      <w:bookmarkStart w:id="251" w:name="_Toc17276"/>
      <w:bookmarkStart w:id="252" w:name="_Toc18035"/>
      <w:bookmarkStart w:id="253" w:name="_Toc432197785"/>
      <w:r>
        <w:rPr>
          <w:rFonts w:hint="eastAsia" w:asciiTheme="minorEastAsia" w:hAnsiTheme="minorEastAsia" w:eastAsiaTheme="minorEastAsia" w:cstheme="minorEastAsia"/>
          <w:color w:val="auto"/>
          <w:sz w:val="24"/>
          <w:szCs w:val="24"/>
          <w:highlight w:val="none"/>
        </w:rPr>
        <w:t>五、磋商</w:t>
      </w:r>
      <w:bookmarkEnd w:id="249"/>
      <w:bookmarkEnd w:id="250"/>
      <w:bookmarkEnd w:id="251"/>
      <w:bookmarkEnd w:id="252"/>
      <w:bookmarkEnd w:id="253"/>
    </w:p>
    <w:p w14:paraId="0A2EB7C2">
      <w:pPr>
        <w:pStyle w:val="2"/>
        <w:numPr>
          <w:ilvl w:val="0"/>
          <w:numId w:val="4"/>
        </w:numPr>
        <w:tabs>
          <w:tab w:val="left" w:pos="360"/>
        </w:tabs>
        <w:spacing w:before="0" w:after="0" w:line="360" w:lineRule="auto"/>
        <w:rPr>
          <w:rFonts w:asciiTheme="minorEastAsia" w:hAnsiTheme="minorEastAsia" w:eastAsiaTheme="minorEastAsia" w:cstheme="minorEastAsia"/>
          <w:color w:val="auto"/>
          <w:sz w:val="24"/>
          <w:szCs w:val="24"/>
          <w:highlight w:val="none"/>
        </w:rPr>
      </w:pPr>
      <w:bookmarkStart w:id="254" w:name="_Toc4054"/>
      <w:bookmarkStart w:id="255" w:name="_Toc21564"/>
      <w:bookmarkStart w:id="256" w:name="_Toc21703"/>
      <w:bookmarkStart w:id="257" w:name="_Toc432197786"/>
      <w:r>
        <w:rPr>
          <w:rFonts w:hint="eastAsia" w:asciiTheme="minorEastAsia" w:hAnsiTheme="minorEastAsia" w:eastAsiaTheme="minorEastAsia" w:cstheme="minorEastAsia"/>
          <w:color w:val="auto"/>
          <w:sz w:val="24"/>
          <w:szCs w:val="24"/>
          <w:highlight w:val="none"/>
        </w:rPr>
        <w:t>磋商</w:t>
      </w:r>
      <w:bookmarkEnd w:id="254"/>
      <w:bookmarkEnd w:id="255"/>
      <w:bookmarkEnd w:id="256"/>
      <w:bookmarkEnd w:id="257"/>
    </w:p>
    <w:p w14:paraId="781D6A63">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采购代理机构将在</w:t>
      </w:r>
      <w:r>
        <w:rPr>
          <w:rFonts w:hint="eastAsia" w:asciiTheme="minorEastAsia" w:hAnsiTheme="minorEastAsia" w:eastAsiaTheme="minorEastAsia" w:cstheme="minorEastAsia"/>
          <w:b/>
          <w:bCs/>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规定的时间和地点进行磋商，供应商的法定代表人或其委托代理人应按时参加。</w:t>
      </w:r>
    </w:p>
    <w:p w14:paraId="74C48307">
      <w:pPr>
        <w:pStyle w:val="2"/>
        <w:numPr>
          <w:ilvl w:val="0"/>
          <w:numId w:val="4"/>
        </w:numPr>
        <w:tabs>
          <w:tab w:val="left" w:pos="360"/>
        </w:tabs>
        <w:spacing w:before="0" w:after="0" w:line="360" w:lineRule="auto"/>
        <w:rPr>
          <w:rFonts w:asciiTheme="minorEastAsia" w:hAnsiTheme="minorEastAsia" w:eastAsiaTheme="minorEastAsia" w:cstheme="minorEastAsia"/>
          <w:color w:val="auto"/>
          <w:sz w:val="24"/>
          <w:szCs w:val="24"/>
          <w:highlight w:val="none"/>
        </w:rPr>
      </w:pPr>
      <w:bookmarkStart w:id="258" w:name="_Toc25026"/>
      <w:r>
        <w:rPr>
          <w:rFonts w:hint="eastAsia" w:asciiTheme="minorEastAsia" w:hAnsiTheme="minorEastAsia" w:eastAsiaTheme="minorEastAsia" w:cstheme="minorEastAsia"/>
          <w:color w:val="auto"/>
          <w:sz w:val="24"/>
          <w:szCs w:val="24"/>
          <w:highlight w:val="none"/>
        </w:rPr>
        <w:t>评审</w:t>
      </w:r>
      <w:bookmarkEnd w:id="258"/>
    </w:p>
    <w:p w14:paraId="093AAD2E">
      <w:pPr>
        <w:spacing w:line="360" w:lineRule="auto"/>
        <w:ind w:firstLine="480" w:firstLineChars="200"/>
        <w:jc w:val="left"/>
        <w:rPr>
          <w:rFonts w:asciiTheme="minorEastAsia" w:hAnsiTheme="minorEastAsia" w:eastAsiaTheme="minorEastAsia" w:cstheme="minorEastAsia"/>
          <w:color w:val="auto"/>
          <w:sz w:val="24"/>
          <w:szCs w:val="24"/>
          <w:highlight w:val="none"/>
        </w:rPr>
      </w:pPr>
      <w:bookmarkStart w:id="259" w:name="_Toc86124068"/>
      <w:bookmarkStart w:id="260" w:name="_Toc432197788"/>
      <w:bookmarkStart w:id="261" w:name="_Toc28332"/>
      <w:bookmarkStart w:id="262" w:name="_Toc378499713"/>
      <w:bookmarkStart w:id="263" w:name="_Toc383175297"/>
      <w:bookmarkStart w:id="264" w:name="_Toc329810208"/>
      <w:bookmarkStart w:id="265" w:name="_Toc29996"/>
      <w:bookmarkStart w:id="266" w:name="_Toc383175495"/>
      <w:bookmarkStart w:id="267" w:name="_Toc383175073"/>
      <w:r>
        <w:rPr>
          <w:rFonts w:hint="eastAsia" w:asciiTheme="minorEastAsia" w:hAnsiTheme="minorEastAsia" w:eastAsiaTheme="minorEastAsia" w:cstheme="minorEastAsia"/>
          <w:color w:val="auto"/>
          <w:sz w:val="24"/>
          <w:szCs w:val="24"/>
          <w:highlight w:val="none"/>
        </w:rPr>
        <w:t>17.1 评审由磋商小组负责。磋商小组由采购人代表和有关专家按相关规定组成，其中专家的人数不得少于成员总数的三分之二。</w:t>
      </w:r>
    </w:p>
    <w:p w14:paraId="0CC9C21A">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17.2 磋商小组及其成员不得有下列行为：</w:t>
      </w:r>
    </w:p>
    <w:p w14:paraId="6DB5CBE2">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（一）确定参与评审至评审结束前私自接触供应商；</w:t>
      </w:r>
    </w:p>
    <w:p w14:paraId="60DB209B">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（二）接受供应商提出的与响应文件不一致的澄清或者说明（按照《政府采购竞争性磋商采购方式管理暂行办法》第十八条规定的情形除外）；</w:t>
      </w:r>
    </w:p>
    <w:p w14:paraId="316F67E3">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（三）违反评审纪律发表倾向性意见或者征询采购人的倾向性意见；</w:t>
      </w:r>
    </w:p>
    <w:p w14:paraId="656D93FD">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（四）对需要专业判断的主观评审因素协商评分；</w:t>
      </w:r>
    </w:p>
    <w:p w14:paraId="7B608F7B">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（五）在评审过程中擅离职守，影响评审程序正常进行的；</w:t>
      </w:r>
    </w:p>
    <w:p w14:paraId="6080B9F6">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（六）记录、复制或者带走任何评审资料；</w:t>
      </w:r>
    </w:p>
    <w:p w14:paraId="4F4C2C1F">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（七）其他不遵守评审纪律的行为。</w:t>
      </w:r>
    </w:p>
    <w:p w14:paraId="6C2D42D9">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17.3 评审</w:t>
      </w:r>
    </w:p>
    <w:p w14:paraId="6A703CB7">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磋商小组对各供应商的响应文件进行详细评审。评审完成后，竞争性磋商小组应当向采购人提交书面评审报告，按照得分由高到低的顺序推荐三名成交候选供应商。</w:t>
      </w:r>
    </w:p>
    <w:p w14:paraId="05C0FDB1">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bookmarkEnd w:id="259"/>
    <w:bookmarkEnd w:id="260"/>
    <w:bookmarkEnd w:id="261"/>
    <w:bookmarkEnd w:id="262"/>
    <w:bookmarkEnd w:id="263"/>
    <w:bookmarkEnd w:id="264"/>
    <w:bookmarkEnd w:id="265"/>
    <w:bookmarkEnd w:id="266"/>
    <w:bookmarkEnd w:id="267"/>
    <w:p w14:paraId="53CB54B7">
      <w:pPr>
        <w:pStyle w:val="2"/>
        <w:numPr>
          <w:ilvl w:val="0"/>
          <w:numId w:val="4"/>
        </w:numPr>
        <w:tabs>
          <w:tab w:val="left" w:pos="360"/>
        </w:tabs>
        <w:spacing w:before="0" w:after="0" w:line="360" w:lineRule="auto"/>
        <w:ind w:left="-6" w:firstLine="426"/>
        <w:rPr>
          <w:rFonts w:asciiTheme="minorEastAsia" w:hAnsiTheme="minorEastAsia" w:eastAsiaTheme="minorEastAsia" w:cstheme="minorEastAsia"/>
          <w:color w:val="auto"/>
          <w:sz w:val="24"/>
          <w:szCs w:val="24"/>
          <w:highlight w:val="none"/>
        </w:rPr>
      </w:pPr>
      <w:bookmarkStart w:id="268" w:name="_Toc4484"/>
      <w:bookmarkStart w:id="269" w:name="_Toc12685"/>
      <w:bookmarkStart w:id="270" w:name="_Toc30516"/>
      <w:bookmarkStart w:id="271" w:name="_Toc1728"/>
      <w:bookmarkStart w:id="272" w:name="_Toc8818"/>
      <w:bookmarkStart w:id="273" w:name="_Toc15933"/>
      <w:r>
        <w:rPr>
          <w:rFonts w:hint="eastAsia" w:asciiTheme="minorEastAsia" w:hAnsiTheme="minorEastAsia" w:eastAsiaTheme="minorEastAsia" w:cstheme="minorEastAsia"/>
          <w:color w:val="auto"/>
          <w:sz w:val="24"/>
          <w:szCs w:val="24"/>
          <w:highlight w:val="none"/>
        </w:rPr>
        <w:t>评审过程的保密</w:t>
      </w:r>
      <w:bookmarkEnd w:id="268"/>
      <w:bookmarkEnd w:id="269"/>
      <w:bookmarkEnd w:id="270"/>
      <w:bookmarkEnd w:id="271"/>
      <w:bookmarkEnd w:id="272"/>
      <w:bookmarkEnd w:id="273"/>
    </w:p>
    <w:p w14:paraId="4743DAB7">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磋商开始后，直到授予供应商合同止，凡是属于审查、澄清、评审和比较的有关资料以及成交建议等均不向供应商或其他无关的人员透露。供应商在评审过程中，所进行的力图影响评审结果的不公正活动，可能导致其申请被拒绝。</w:t>
      </w:r>
    </w:p>
    <w:p w14:paraId="2DB37506">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磋商小组成员及与评审工作有关的人员不得泄露评审情况以及评审过程中获悉的国家及商业秘密。</w:t>
      </w:r>
    </w:p>
    <w:p w14:paraId="2BE89899">
      <w:pPr>
        <w:pStyle w:val="2"/>
        <w:numPr>
          <w:ilvl w:val="0"/>
          <w:numId w:val="4"/>
        </w:numPr>
        <w:tabs>
          <w:tab w:val="left" w:pos="360"/>
        </w:tabs>
        <w:spacing w:before="0" w:after="0" w:line="360" w:lineRule="auto"/>
        <w:rPr>
          <w:rFonts w:asciiTheme="minorEastAsia" w:hAnsiTheme="minorEastAsia" w:eastAsiaTheme="minorEastAsia" w:cstheme="minorEastAsia"/>
          <w:color w:val="auto"/>
          <w:sz w:val="24"/>
          <w:szCs w:val="24"/>
          <w:highlight w:val="none"/>
        </w:rPr>
      </w:pPr>
      <w:bookmarkStart w:id="274" w:name="_Toc30135"/>
      <w:r>
        <w:rPr>
          <w:rFonts w:hint="eastAsia" w:asciiTheme="minorEastAsia" w:hAnsiTheme="minorEastAsia" w:eastAsiaTheme="minorEastAsia" w:cstheme="minorEastAsia"/>
          <w:color w:val="auto"/>
          <w:sz w:val="24"/>
          <w:szCs w:val="24"/>
          <w:highlight w:val="none"/>
        </w:rPr>
        <w:t>出现下列情形之一的，项目终止</w:t>
      </w:r>
      <w:bookmarkEnd w:id="274"/>
    </w:p>
    <w:p w14:paraId="20EB93D4">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（1）因情况变化，不再符合规定的竞争性磋商采购方式适用情形的；</w:t>
      </w:r>
    </w:p>
    <w:p w14:paraId="1E56A5B4">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（2）出现影响采购公正的违法、违规行为的；</w:t>
      </w:r>
    </w:p>
    <w:p w14:paraId="7B2ADB62">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（3）在采购过程中符合竞争要求的供应商或者报价未超过采购预算的供应商不足3家的。</w:t>
      </w:r>
    </w:p>
    <w:p w14:paraId="39E9369E">
      <w:pPr>
        <w:spacing w:line="360" w:lineRule="auto"/>
        <w:ind w:firstLine="482" w:firstLineChars="200"/>
        <w:jc w:val="left"/>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注：在采购活动中因重大变故，采购任务取消的，采购活动终止。</w:t>
      </w:r>
    </w:p>
    <w:p w14:paraId="2312AC1A">
      <w:pPr>
        <w:pStyle w:val="4"/>
        <w:numPr>
          <w:ilvl w:val="0"/>
          <w:numId w:val="0"/>
        </w:numPr>
        <w:tabs>
          <w:tab w:val="clear" w:pos="3690"/>
        </w:tabs>
        <w:spacing w:before="0" w:after="0" w:line="360" w:lineRule="auto"/>
        <w:jc w:val="center"/>
        <w:rPr>
          <w:rFonts w:asciiTheme="minorEastAsia" w:hAnsiTheme="minorEastAsia" w:eastAsiaTheme="minorEastAsia" w:cstheme="minorEastAsia"/>
          <w:color w:val="auto"/>
          <w:sz w:val="24"/>
          <w:szCs w:val="24"/>
          <w:highlight w:val="none"/>
        </w:rPr>
      </w:pPr>
      <w:bookmarkStart w:id="275" w:name="_Toc86124069"/>
      <w:bookmarkStart w:id="276" w:name="_Toc13279"/>
      <w:bookmarkStart w:id="277" w:name="_Toc432197789"/>
      <w:bookmarkStart w:id="278" w:name="_Toc31277"/>
      <w:bookmarkStart w:id="279" w:name="_Toc8949"/>
      <w:r>
        <w:rPr>
          <w:rFonts w:hint="eastAsia" w:asciiTheme="minorEastAsia" w:hAnsiTheme="minorEastAsia" w:eastAsiaTheme="minorEastAsia" w:cstheme="minorEastAsia"/>
          <w:color w:val="auto"/>
          <w:sz w:val="24"/>
          <w:szCs w:val="24"/>
          <w:highlight w:val="none"/>
        </w:rPr>
        <w:t>六、成交结果</w:t>
      </w:r>
      <w:bookmarkEnd w:id="275"/>
      <w:bookmarkEnd w:id="276"/>
      <w:bookmarkEnd w:id="277"/>
      <w:bookmarkEnd w:id="278"/>
      <w:bookmarkEnd w:id="279"/>
    </w:p>
    <w:p w14:paraId="112A4B1A">
      <w:pPr>
        <w:pStyle w:val="2"/>
        <w:numPr>
          <w:ilvl w:val="0"/>
          <w:numId w:val="4"/>
        </w:numPr>
        <w:tabs>
          <w:tab w:val="left" w:pos="360"/>
        </w:tabs>
        <w:spacing w:before="0" w:after="0" w:line="360" w:lineRule="auto"/>
        <w:rPr>
          <w:rFonts w:asciiTheme="minorEastAsia" w:hAnsiTheme="minorEastAsia" w:eastAsiaTheme="minorEastAsia" w:cstheme="minorEastAsia"/>
          <w:color w:val="auto"/>
          <w:sz w:val="24"/>
          <w:szCs w:val="24"/>
          <w:highlight w:val="none"/>
        </w:rPr>
      </w:pPr>
      <w:bookmarkStart w:id="280" w:name="_Toc383175497"/>
      <w:bookmarkStart w:id="281" w:name="_Toc2252"/>
      <w:bookmarkStart w:id="282" w:name="_Toc383175075"/>
      <w:bookmarkStart w:id="283" w:name="_Toc21267"/>
      <w:bookmarkStart w:id="284" w:name="_Toc432197790"/>
      <w:bookmarkStart w:id="285" w:name="_Toc12519"/>
      <w:bookmarkStart w:id="286" w:name="_Toc86124070"/>
      <w:bookmarkStart w:id="287" w:name="_Toc383175299"/>
      <w:bookmarkStart w:id="288" w:name="_Toc329810210"/>
      <w:r>
        <w:rPr>
          <w:rFonts w:hint="eastAsia" w:asciiTheme="minorEastAsia" w:hAnsiTheme="minorEastAsia" w:eastAsiaTheme="minorEastAsia" w:cstheme="minorEastAsia"/>
          <w:color w:val="auto"/>
          <w:sz w:val="24"/>
          <w:szCs w:val="24"/>
          <w:highlight w:val="none"/>
        </w:rPr>
        <w:t>成交供应商的确定</w:t>
      </w:r>
      <w:bookmarkEnd w:id="280"/>
      <w:bookmarkEnd w:id="281"/>
      <w:bookmarkEnd w:id="282"/>
      <w:bookmarkEnd w:id="283"/>
      <w:bookmarkEnd w:id="284"/>
      <w:bookmarkEnd w:id="285"/>
      <w:bookmarkEnd w:id="286"/>
      <w:bookmarkEnd w:id="287"/>
      <w:bookmarkEnd w:id="288"/>
    </w:p>
    <w:p w14:paraId="286670C1">
      <w:pPr>
        <w:spacing w:line="360" w:lineRule="auto"/>
        <w:ind w:firstLine="480" w:firstLineChars="200"/>
        <w:jc w:val="left"/>
        <w:rPr>
          <w:rFonts w:asciiTheme="minorEastAsia" w:hAnsiTheme="minorEastAsia" w:eastAsiaTheme="minorEastAsia" w:cstheme="minorEastAsia"/>
          <w:color w:val="auto"/>
          <w:sz w:val="24"/>
          <w:szCs w:val="24"/>
          <w:highlight w:val="none"/>
        </w:rPr>
      </w:pPr>
      <w:bookmarkStart w:id="289" w:name="_Toc329810211"/>
      <w:r>
        <w:rPr>
          <w:rFonts w:hint="eastAsia" w:asciiTheme="minorEastAsia" w:hAnsiTheme="minorEastAsia" w:eastAsiaTheme="minorEastAsia" w:cstheme="minorEastAsia"/>
          <w:color w:val="auto"/>
          <w:sz w:val="24"/>
          <w:szCs w:val="24"/>
          <w:highlight w:val="none"/>
        </w:rPr>
        <w:t>20.1 采购代理机构在评审结束后2个工作日内将评审报告送采购人确认。</w:t>
      </w:r>
    </w:p>
    <w:p w14:paraId="0DEC052C">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20.2 采购人在收到评审报告后5个工作日内，按照评审报告中推荐的成交候选供应商顺序确定成交供应商。</w:t>
      </w:r>
    </w:p>
    <w:p w14:paraId="17DD8ED7">
      <w:pPr>
        <w:pStyle w:val="2"/>
        <w:numPr>
          <w:ilvl w:val="0"/>
          <w:numId w:val="4"/>
        </w:numPr>
        <w:tabs>
          <w:tab w:val="left" w:pos="360"/>
        </w:tabs>
        <w:spacing w:before="0" w:after="0" w:line="360" w:lineRule="auto"/>
        <w:rPr>
          <w:rFonts w:asciiTheme="minorEastAsia" w:hAnsiTheme="minorEastAsia" w:eastAsiaTheme="minorEastAsia" w:cstheme="minorEastAsia"/>
          <w:color w:val="auto"/>
          <w:sz w:val="24"/>
          <w:szCs w:val="24"/>
          <w:highlight w:val="none"/>
        </w:rPr>
      </w:pPr>
      <w:bookmarkStart w:id="290" w:name="_Toc21505"/>
      <w:bookmarkStart w:id="291" w:name="_Toc2711"/>
      <w:bookmarkStart w:id="292" w:name="_Toc383175498"/>
      <w:bookmarkStart w:id="293" w:name="_Toc383175300"/>
      <w:bookmarkStart w:id="294" w:name="_Toc383175076"/>
      <w:bookmarkStart w:id="295" w:name="_Toc2109"/>
      <w:bookmarkStart w:id="296" w:name="_Toc432197791"/>
      <w:r>
        <w:rPr>
          <w:rFonts w:hint="eastAsia" w:asciiTheme="minorEastAsia" w:hAnsiTheme="minorEastAsia" w:eastAsiaTheme="minorEastAsia" w:cstheme="minorEastAsia"/>
          <w:color w:val="auto"/>
          <w:sz w:val="24"/>
          <w:szCs w:val="24"/>
          <w:highlight w:val="none"/>
        </w:rPr>
        <w:t>成交通知书</w:t>
      </w:r>
      <w:bookmarkEnd w:id="289"/>
      <w:bookmarkEnd w:id="290"/>
      <w:bookmarkEnd w:id="291"/>
      <w:bookmarkEnd w:id="292"/>
      <w:bookmarkEnd w:id="293"/>
      <w:bookmarkEnd w:id="294"/>
      <w:bookmarkEnd w:id="295"/>
      <w:bookmarkEnd w:id="296"/>
    </w:p>
    <w:p w14:paraId="3AB2AE56">
      <w:pPr>
        <w:spacing w:line="360" w:lineRule="auto"/>
        <w:ind w:firstLine="480" w:firstLineChars="200"/>
        <w:jc w:val="left"/>
        <w:rPr>
          <w:rFonts w:asciiTheme="minorEastAsia" w:hAnsiTheme="minorEastAsia" w:eastAsiaTheme="minorEastAsia" w:cstheme="minorEastAsia"/>
          <w:color w:val="auto"/>
          <w:sz w:val="24"/>
          <w:szCs w:val="24"/>
          <w:highlight w:val="none"/>
        </w:rPr>
      </w:pPr>
      <w:bookmarkStart w:id="297" w:name="_Toc86124072"/>
      <w:bookmarkStart w:id="298" w:name="_Toc329810212"/>
      <w:r>
        <w:rPr>
          <w:rFonts w:hint="eastAsia" w:asciiTheme="minorEastAsia" w:hAnsiTheme="minorEastAsia" w:eastAsiaTheme="minorEastAsia" w:cstheme="minorEastAsia"/>
          <w:color w:val="auto"/>
          <w:sz w:val="24"/>
          <w:szCs w:val="24"/>
          <w:highlight w:val="none"/>
        </w:rPr>
        <w:t>21.1采购代理机构将在成交供应商确定后二个工作日内，成交结果由采购代理机构在采购公告发布的同一媒体上公告，同时向成交供应商发出成交通知书。</w:t>
      </w:r>
    </w:p>
    <w:p w14:paraId="292EFDEA">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21.2 成交通知书是合同的一个组成部分。</w:t>
      </w:r>
    </w:p>
    <w:p w14:paraId="4366DF74">
      <w:pPr>
        <w:pStyle w:val="2"/>
        <w:numPr>
          <w:ilvl w:val="0"/>
          <w:numId w:val="4"/>
        </w:numPr>
        <w:tabs>
          <w:tab w:val="left" w:pos="360"/>
        </w:tabs>
        <w:spacing w:before="0" w:after="0" w:line="360" w:lineRule="auto"/>
        <w:rPr>
          <w:rFonts w:asciiTheme="minorEastAsia" w:hAnsiTheme="minorEastAsia" w:eastAsiaTheme="minorEastAsia" w:cstheme="minorEastAsia"/>
          <w:color w:val="auto"/>
          <w:sz w:val="24"/>
          <w:szCs w:val="24"/>
          <w:highlight w:val="none"/>
        </w:rPr>
      </w:pPr>
      <w:bookmarkStart w:id="299" w:name="_Toc432197792"/>
      <w:bookmarkStart w:id="300" w:name="_Toc28560"/>
      <w:bookmarkStart w:id="301" w:name="_Toc6676"/>
      <w:bookmarkStart w:id="302" w:name="_Toc383175077"/>
      <w:bookmarkStart w:id="303" w:name="_Toc383175499"/>
      <w:bookmarkStart w:id="304" w:name="_Toc3050"/>
      <w:bookmarkStart w:id="305" w:name="_Toc383175301"/>
      <w:r>
        <w:rPr>
          <w:rFonts w:hint="eastAsia" w:asciiTheme="minorEastAsia" w:hAnsiTheme="minorEastAsia" w:eastAsiaTheme="minorEastAsia" w:cstheme="minorEastAsia"/>
          <w:color w:val="auto"/>
          <w:sz w:val="24"/>
          <w:szCs w:val="24"/>
          <w:highlight w:val="none"/>
        </w:rPr>
        <w:t>签订合同</w:t>
      </w:r>
      <w:bookmarkEnd w:id="297"/>
      <w:bookmarkEnd w:id="298"/>
      <w:bookmarkEnd w:id="299"/>
      <w:bookmarkEnd w:id="300"/>
      <w:bookmarkEnd w:id="301"/>
      <w:bookmarkEnd w:id="302"/>
      <w:bookmarkEnd w:id="303"/>
      <w:bookmarkEnd w:id="304"/>
      <w:bookmarkEnd w:id="305"/>
    </w:p>
    <w:p w14:paraId="2BFA4A91">
      <w:pPr>
        <w:spacing w:line="360" w:lineRule="auto"/>
        <w:ind w:firstLine="480" w:firstLineChars="200"/>
        <w:jc w:val="left"/>
        <w:rPr>
          <w:rFonts w:asciiTheme="minorEastAsia" w:hAnsiTheme="minorEastAsia" w:eastAsiaTheme="minorEastAsia" w:cstheme="minorEastAsia"/>
          <w:color w:val="auto"/>
          <w:sz w:val="24"/>
          <w:szCs w:val="24"/>
          <w:highlight w:val="none"/>
        </w:rPr>
      </w:pPr>
      <w:bookmarkStart w:id="306" w:name="_Toc86124073"/>
      <w:bookmarkStart w:id="307" w:name="_Toc329810213"/>
      <w:r>
        <w:rPr>
          <w:rFonts w:hint="eastAsia" w:asciiTheme="minorEastAsia" w:hAnsiTheme="minorEastAsia" w:eastAsiaTheme="minorEastAsia" w:cstheme="minorEastAsia"/>
          <w:color w:val="auto"/>
          <w:sz w:val="24"/>
          <w:szCs w:val="24"/>
          <w:highlight w:val="none"/>
        </w:rPr>
        <w:t>22.1 成交供应商收到成交通知书后，按竞争性磋商文件、响应文件及有关澄清承诺书的要求与采购人签订合同。</w:t>
      </w:r>
    </w:p>
    <w:p w14:paraId="05EDC15F">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22.2 成交供应商拒绝与采购人签订合同的，采购人可以按照评审报告推荐的成交候选人名单排序，确定下一候选人为成交供应商，也可以重新开展政府采购活动。</w:t>
      </w:r>
    </w:p>
    <w:p w14:paraId="3FB21637">
      <w:pPr>
        <w:pStyle w:val="2"/>
        <w:numPr>
          <w:ilvl w:val="0"/>
          <w:numId w:val="4"/>
        </w:numPr>
        <w:tabs>
          <w:tab w:val="left" w:pos="360"/>
        </w:tabs>
        <w:spacing w:before="0" w:after="0" w:line="360" w:lineRule="auto"/>
        <w:rPr>
          <w:rFonts w:asciiTheme="minorEastAsia" w:hAnsiTheme="minorEastAsia" w:eastAsiaTheme="minorEastAsia" w:cstheme="minorEastAsia"/>
          <w:color w:val="auto"/>
          <w:sz w:val="24"/>
          <w:szCs w:val="24"/>
          <w:highlight w:val="none"/>
        </w:rPr>
      </w:pPr>
      <w:bookmarkStart w:id="308" w:name="_Toc16228"/>
      <w:bookmarkStart w:id="309" w:name="_Toc17314"/>
      <w:bookmarkStart w:id="310" w:name="_Toc17514"/>
      <w:bookmarkStart w:id="311" w:name="_Toc18050"/>
      <w:bookmarkStart w:id="312" w:name="_Toc27983"/>
      <w:bookmarkStart w:id="313" w:name="_Toc14120"/>
      <w:r>
        <w:rPr>
          <w:rFonts w:hint="eastAsia" w:asciiTheme="minorEastAsia" w:hAnsiTheme="minorEastAsia" w:eastAsiaTheme="minorEastAsia" w:cstheme="minorEastAsia"/>
          <w:color w:val="auto"/>
          <w:sz w:val="24"/>
          <w:szCs w:val="24"/>
          <w:highlight w:val="none"/>
        </w:rPr>
        <w:t>履约保证金</w:t>
      </w:r>
      <w:bookmarkEnd w:id="308"/>
      <w:bookmarkEnd w:id="309"/>
      <w:bookmarkEnd w:id="310"/>
      <w:bookmarkEnd w:id="311"/>
      <w:bookmarkEnd w:id="312"/>
      <w:r>
        <w:rPr>
          <w:rFonts w:hint="eastAsia" w:asciiTheme="minorEastAsia" w:hAnsiTheme="minorEastAsia" w:eastAsiaTheme="minorEastAsia" w:cstheme="minorEastAsia"/>
          <w:color w:val="auto"/>
          <w:sz w:val="24"/>
          <w:szCs w:val="24"/>
          <w:highlight w:val="none"/>
        </w:rPr>
        <w:t>（本项目不收取）</w:t>
      </w:r>
      <w:bookmarkEnd w:id="313"/>
    </w:p>
    <w:p w14:paraId="27EC4E5B">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23.1 拟签订的合同文本要求成交供应商提交履约保证金的，供应商应当以支票、汇票、本票或者金融机构、担保机构出具的保函等非现金形式提交。履约保证金的数额详见</w:t>
      </w:r>
      <w:r>
        <w:rPr>
          <w:rFonts w:hint="eastAsia" w:asciiTheme="minorEastAsia" w:hAnsiTheme="minorEastAsia" w:eastAsiaTheme="minorEastAsia" w:cstheme="minorEastAsia"/>
          <w:b/>
          <w:bCs/>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w:t>
      </w:r>
    </w:p>
    <w:p w14:paraId="24832293">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23.2 签订合同后，如成交供应商不按双方签订合同约定履约，则没收其全部履约保证金，履约保证金不足以赔偿损失的，按实际损失赔偿。</w:t>
      </w:r>
    </w:p>
    <w:p w14:paraId="7AE66799">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23.3履约保证金按“供应商须知前附表”的规定退还。</w:t>
      </w:r>
    </w:p>
    <w:bookmarkEnd w:id="306"/>
    <w:bookmarkEnd w:id="307"/>
    <w:p w14:paraId="6115C62A">
      <w:pPr>
        <w:pStyle w:val="4"/>
        <w:numPr>
          <w:ilvl w:val="0"/>
          <w:numId w:val="0"/>
        </w:numPr>
        <w:tabs>
          <w:tab w:val="clear" w:pos="3690"/>
        </w:tabs>
        <w:spacing w:before="0" w:after="0" w:line="360" w:lineRule="auto"/>
        <w:jc w:val="center"/>
        <w:rPr>
          <w:rFonts w:asciiTheme="minorEastAsia" w:hAnsiTheme="minorEastAsia" w:eastAsiaTheme="minorEastAsia" w:cstheme="minorEastAsia"/>
          <w:color w:val="auto"/>
          <w:sz w:val="24"/>
          <w:szCs w:val="24"/>
          <w:highlight w:val="none"/>
        </w:rPr>
      </w:pPr>
      <w:bookmarkStart w:id="314" w:name="_Toc12055"/>
      <w:bookmarkStart w:id="315" w:name="_Toc86124074"/>
      <w:bookmarkStart w:id="316" w:name="_Toc432197793"/>
      <w:bookmarkStart w:id="317" w:name="_Toc18480"/>
      <w:bookmarkStart w:id="318" w:name="_Toc22961"/>
      <w:r>
        <w:rPr>
          <w:rFonts w:hint="eastAsia" w:asciiTheme="minorEastAsia" w:hAnsiTheme="minorEastAsia" w:eastAsiaTheme="minorEastAsia" w:cstheme="minorEastAsia"/>
          <w:color w:val="auto"/>
          <w:sz w:val="24"/>
          <w:szCs w:val="24"/>
          <w:highlight w:val="none"/>
        </w:rPr>
        <w:t>七、其他事项</w:t>
      </w:r>
      <w:bookmarkEnd w:id="314"/>
      <w:bookmarkEnd w:id="315"/>
      <w:bookmarkEnd w:id="316"/>
      <w:bookmarkEnd w:id="317"/>
      <w:bookmarkEnd w:id="318"/>
    </w:p>
    <w:p w14:paraId="790E4F21">
      <w:pPr>
        <w:pStyle w:val="2"/>
        <w:numPr>
          <w:ilvl w:val="0"/>
          <w:numId w:val="4"/>
        </w:numPr>
        <w:spacing w:before="0" w:after="0" w:line="360" w:lineRule="auto"/>
        <w:jc w:val="both"/>
        <w:rPr>
          <w:rFonts w:asciiTheme="minorEastAsia" w:hAnsiTheme="minorEastAsia" w:eastAsiaTheme="minorEastAsia" w:cstheme="minorEastAsia"/>
          <w:color w:val="auto"/>
          <w:sz w:val="24"/>
          <w:szCs w:val="24"/>
          <w:highlight w:val="none"/>
        </w:rPr>
      </w:pPr>
      <w:bookmarkStart w:id="319" w:name="_Toc383175502"/>
      <w:bookmarkStart w:id="320" w:name="_Toc329810215"/>
      <w:bookmarkStart w:id="321" w:name="_Toc432197794"/>
      <w:bookmarkStart w:id="322" w:name="_Toc383175304"/>
      <w:bookmarkStart w:id="323" w:name="_Toc28087"/>
      <w:bookmarkStart w:id="324" w:name="_Toc383175080"/>
      <w:bookmarkStart w:id="325" w:name="_Toc24169"/>
      <w:bookmarkStart w:id="326" w:name="_Toc24751"/>
      <w:r>
        <w:rPr>
          <w:rFonts w:hint="eastAsia" w:asciiTheme="minorEastAsia" w:hAnsiTheme="minorEastAsia" w:eastAsiaTheme="minorEastAsia" w:cstheme="minorEastAsia"/>
          <w:color w:val="auto"/>
          <w:sz w:val="24"/>
          <w:szCs w:val="24"/>
          <w:highlight w:val="none"/>
        </w:rPr>
        <w:t>质疑和投诉</w:t>
      </w:r>
      <w:bookmarkEnd w:id="319"/>
      <w:bookmarkEnd w:id="320"/>
      <w:bookmarkEnd w:id="321"/>
      <w:bookmarkEnd w:id="322"/>
      <w:bookmarkEnd w:id="323"/>
      <w:bookmarkEnd w:id="324"/>
      <w:bookmarkEnd w:id="325"/>
      <w:bookmarkEnd w:id="326"/>
    </w:p>
    <w:p w14:paraId="4D0244DA">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24.1供应商认为采购文件、采购过程和成交（中标）结果使自己的权益受到损害的，可以在知道或者应知其权益受到损害之日起7个工作日内，以书面形式向采购人、采购代理机构提出质疑。供应商应在法定质疑期内一次性提出针对同一采购程序环节的质疑，否则采购人、采购代理机构有权拒收。质疑内容不得含有虚假、恶意成分。提出质疑时应当有明确的请求和必要的证明材料，同时还必须提交相关证据材料和注明事实的确切来源。</w:t>
      </w:r>
    </w:p>
    <w:p w14:paraId="45C11A57">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24.2供应商知其权益受到损害之日，是指：</w:t>
      </w:r>
    </w:p>
    <w:p w14:paraId="3D32DE7E">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（一）对可以质疑的采购文件提出质疑的，为收到采购文件之日或者采购文件公告期限届满之日；</w:t>
      </w:r>
    </w:p>
    <w:p w14:paraId="2A6CF1DE">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（二）对采购过程提出质疑的，为各采购程序环节结束之日；</w:t>
      </w:r>
    </w:p>
    <w:p w14:paraId="6985ABD6">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（三）对中标或者成交结果提出质疑的，为中标或者成交结果公告期限届满之日。</w:t>
      </w:r>
    </w:p>
    <w:p w14:paraId="1BC56A23">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24.3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14:paraId="07235179">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24.4提出质疑的供应商应当是参与所质疑项目采购活动的供应商。其中，对采购文件质疑的，应当是已依法获取其可质疑的采购文件的潜在供应商。</w:t>
      </w:r>
    </w:p>
    <w:p w14:paraId="17894F16">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24.5供应商提出质疑应符合《政府采购质疑和投诉办法》（中华人民共和国财政部令第94号）和财政部《政府采购供应商质疑函范本》的规定。供应商提出质疑应当提交质疑函和必要的证明材料。质疑函应当包括下列内容：</w:t>
      </w:r>
    </w:p>
    <w:p w14:paraId="1456FF23">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（一）供应商的姓名或者名称、地址、邮编、联系人及联系电话；</w:t>
      </w:r>
    </w:p>
    <w:p w14:paraId="01B74506">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（二）质疑项目的名称、编号；</w:t>
      </w:r>
    </w:p>
    <w:p w14:paraId="0F96AF2C">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（三）具体、明确的质疑事项和与质疑事项相关的请求；</w:t>
      </w:r>
    </w:p>
    <w:p w14:paraId="138192AF">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（四）事实依据；</w:t>
      </w:r>
    </w:p>
    <w:p w14:paraId="17BE98F2">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（五）必要的法律依据；</w:t>
      </w:r>
    </w:p>
    <w:p w14:paraId="47F1D2EC">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（六）提出质疑的日期。</w:t>
      </w:r>
    </w:p>
    <w:p w14:paraId="7AAE1CF9">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供应商为自然人的，应当由本人签字；供应商为法人或者其他组织的，应当由法定代表人、主要负责人，或者其授权代表签字或者盖章，并加盖公章。</w:t>
      </w:r>
    </w:p>
    <w:p w14:paraId="749E42EF">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24.6供应商不得捏造事实、提供虚假材料或者以非法手段取得证明材料。</w:t>
      </w:r>
    </w:p>
    <w:p w14:paraId="635E1579">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24.7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3E431A70">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24.8采购人、采购代理机构将在收到供应商质疑函后七个工作日内作出答复，但质疑答复的内容不涉及商业秘密。</w:t>
      </w:r>
    </w:p>
    <w:p w14:paraId="2BDD4FD5">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24.9供应商对评审过程、中标或者成交结果提出质疑的，采购人、采购代理机构可以组织原评审委员会、竞争性谈判小组、询价小组或者竞争性磋商小组协助答复质疑。质疑答复导致中标（成交）结果改变的，采购人或者采购代理机构会将有关情况书面报告本级财政部门。</w:t>
      </w:r>
    </w:p>
    <w:p w14:paraId="4F651D0D">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24.10接收质疑的方式</w:t>
      </w:r>
    </w:p>
    <w:p w14:paraId="5F405C8A">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受理质疑部门：本项目采购代理机构。</w:t>
      </w:r>
    </w:p>
    <w:p w14:paraId="6FD98045">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通讯地址及联系方式：同竞争性公告。</w:t>
      </w:r>
    </w:p>
    <w:p w14:paraId="25ECBF1B">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24.11投诉人必须首先经过质疑程序，在对采购人、采购代理机构的答复不满意，或者采购人、采购代理机构未在规定的时间内做出答复的，可以在答复期满后十五个工作日内向同级政府采购监督管理部门投诉。</w:t>
      </w:r>
    </w:p>
    <w:p w14:paraId="5DDEB35F">
      <w:pPr>
        <w:pStyle w:val="2"/>
        <w:numPr>
          <w:ilvl w:val="0"/>
          <w:numId w:val="4"/>
        </w:numPr>
        <w:tabs>
          <w:tab w:val="left" w:pos="360"/>
        </w:tabs>
        <w:spacing w:before="0" w:after="0" w:line="360" w:lineRule="auto"/>
        <w:rPr>
          <w:rFonts w:asciiTheme="minorEastAsia" w:hAnsiTheme="minorEastAsia" w:eastAsiaTheme="minorEastAsia" w:cstheme="minorEastAsia"/>
          <w:color w:val="auto"/>
          <w:sz w:val="24"/>
          <w:szCs w:val="24"/>
          <w:highlight w:val="none"/>
        </w:rPr>
      </w:pPr>
      <w:bookmarkStart w:id="327" w:name="_Toc17398"/>
      <w:r>
        <w:rPr>
          <w:rFonts w:hint="eastAsia" w:asciiTheme="minorEastAsia" w:hAnsiTheme="minorEastAsia" w:eastAsiaTheme="minorEastAsia" w:cstheme="minorEastAsia"/>
          <w:color w:val="auto"/>
          <w:sz w:val="24"/>
          <w:szCs w:val="24"/>
          <w:highlight w:val="none"/>
        </w:rPr>
        <w:t>中标服务费</w:t>
      </w:r>
      <w:bookmarkEnd w:id="327"/>
    </w:p>
    <w:p w14:paraId="27B0A538">
      <w:pPr>
        <w:spacing w:line="360" w:lineRule="auto"/>
        <w:ind w:firstLine="480" w:firstLineChars="200"/>
        <w:jc w:val="left"/>
        <w:rPr>
          <w:rFonts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详见供应商须知前附表</w:t>
      </w:r>
      <w:r>
        <w:rPr>
          <w:rFonts w:hint="eastAsia" w:asciiTheme="minorEastAsia" w:hAnsiTheme="minorEastAsia" w:eastAsiaTheme="minorEastAsia" w:cstheme="minorEastAsia"/>
          <w:color w:val="auto"/>
          <w:sz w:val="24"/>
          <w:szCs w:val="24"/>
          <w:highlight w:val="none"/>
          <w:lang w:val="zh-CN"/>
        </w:rPr>
        <w:t>。</w:t>
      </w:r>
    </w:p>
    <w:p w14:paraId="388F7352">
      <w:pPr>
        <w:pStyle w:val="2"/>
        <w:numPr>
          <w:ilvl w:val="0"/>
          <w:numId w:val="4"/>
        </w:numPr>
        <w:tabs>
          <w:tab w:val="left" w:pos="360"/>
        </w:tabs>
        <w:spacing w:before="0" w:after="0" w:line="360" w:lineRule="auto"/>
        <w:rPr>
          <w:rFonts w:asciiTheme="minorEastAsia" w:hAnsiTheme="minorEastAsia" w:eastAsiaTheme="minorEastAsia" w:cstheme="minorEastAsia"/>
          <w:color w:val="auto"/>
          <w:sz w:val="24"/>
          <w:szCs w:val="24"/>
          <w:highlight w:val="none"/>
        </w:rPr>
      </w:pPr>
      <w:bookmarkStart w:id="328" w:name="_Toc15030"/>
      <w:bookmarkStart w:id="329" w:name="_Toc3537"/>
      <w:bookmarkStart w:id="330" w:name="_Toc11528"/>
      <w:bookmarkStart w:id="331" w:name="_Toc23734"/>
      <w:bookmarkStart w:id="332" w:name="_Toc16123"/>
      <w:bookmarkStart w:id="333" w:name="_Toc30224"/>
      <w:r>
        <w:rPr>
          <w:rFonts w:hint="eastAsia" w:asciiTheme="minorEastAsia" w:hAnsiTheme="minorEastAsia" w:eastAsiaTheme="minorEastAsia" w:cstheme="minorEastAsia"/>
          <w:color w:val="auto"/>
          <w:sz w:val="24"/>
          <w:szCs w:val="24"/>
          <w:highlight w:val="none"/>
        </w:rPr>
        <w:t>实质性变动</w:t>
      </w:r>
      <w:bookmarkEnd w:id="328"/>
      <w:bookmarkEnd w:id="329"/>
      <w:bookmarkEnd w:id="330"/>
      <w:bookmarkEnd w:id="331"/>
      <w:bookmarkEnd w:id="332"/>
      <w:bookmarkEnd w:id="333"/>
    </w:p>
    <w:p w14:paraId="14290874">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在磋商过程中，磋商小组可以根据竞争性磋商文件和磋商情况实质性变动采购需求中的技术、服务要求以及合同草案条款，但不得变动竞争性磋商文件中的其他内容。实质性变动的内容，须经采购人代表确认。</w:t>
      </w:r>
    </w:p>
    <w:p w14:paraId="679F090A">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对竞争性磋商文件作出的实质性变动是竞争性磋商文件的有效组成部分，磋商小组应当及时以书面形式同时通知所有参加磋商的供应商。</w:t>
      </w:r>
    </w:p>
    <w:p w14:paraId="7200977E">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应当按照竞争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04F006F8">
      <w:pPr>
        <w:pStyle w:val="2"/>
        <w:numPr>
          <w:ilvl w:val="0"/>
          <w:numId w:val="4"/>
        </w:numPr>
        <w:tabs>
          <w:tab w:val="left" w:pos="360"/>
        </w:tabs>
        <w:spacing w:before="0" w:after="0" w:line="360" w:lineRule="auto"/>
        <w:rPr>
          <w:rFonts w:asciiTheme="minorEastAsia" w:hAnsiTheme="minorEastAsia" w:eastAsiaTheme="minorEastAsia" w:cstheme="minorEastAsia"/>
          <w:color w:val="auto"/>
          <w:sz w:val="24"/>
          <w:szCs w:val="24"/>
          <w:highlight w:val="none"/>
        </w:rPr>
      </w:pPr>
      <w:bookmarkStart w:id="334" w:name="_Toc329810218"/>
      <w:bookmarkStart w:id="335" w:name="_Toc14895"/>
      <w:bookmarkStart w:id="336" w:name="_Toc86124077"/>
      <w:bookmarkStart w:id="337" w:name="_Toc6321"/>
      <w:bookmarkStart w:id="338" w:name="_Toc432197797"/>
      <w:bookmarkStart w:id="339" w:name="_Toc383175307"/>
      <w:bookmarkStart w:id="340" w:name="_Toc383175083"/>
      <w:bookmarkStart w:id="341" w:name="_Toc20556"/>
      <w:bookmarkStart w:id="342" w:name="_Toc383175505"/>
      <w:r>
        <w:rPr>
          <w:rFonts w:hint="eastAsia" w:asciiTheme="minorEastAsia" w:hAnsiTheme="minorEastAsia" w:eastAsiaTheme="minorEastAsia" w:cstheme="minorEastAsia"/>
          <w:color w:val="auto"/>
          <w:sz w:val="24"/>
          <w:szCs w:val="24"/>
          <w:highlight w:val="none"/>
        </w:rPr>
        <w:t>需要补充的其他内容</w:t>
      </w:r>
      <w:bookmarkEnd w:id="334"/>
      <w:bookmarkEnd w:id="335"/>
      <w:bookmarkEnd w:id="336"/>
      <w:bookmarkEnd w:id="337"/>
      <w:bookmarkEnd w:id="338"/>
      <w:bookmarkEnd w:id="339"/>
      <w:bookmarkEnd w:id="340"/>
      <w:bookmarkEnd w:id="341"/>
      <w:bookmarkEnd w:id="342"/>
    </w:p>
    <w:p w14:paraId="3CAE92F6">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需要补充的其他内容：见“</w:t>
      </w:r>
      <w:r>
        <w:rPr>
          <w:rFonts w:hint="eastAsia" w:asciiTheme="minorEastAsia" w:hAnsiTheme="minorEastAsia" w:eastAsiaTheme="minorEastAsia" w:cstheme="minorEastAsia"/>
          <w:b/>
          <w:color w:val="auto"/>
          <w:sz w:val="24"/>
          <w:szCs w:val="24"/>
          <w:highlight w:val="none"/>
        </w:rPr>
        <w:t>供应商须知前附表</w:t>
      </w:r>
      <w:r>
        <w:rPr>
          <w:rFonts w:hint="eastAsia" w:asciiTheme="minorEastAsia" w:hAnsiTheme="minorEastAsia" w:eastAsiaTheme="minorEastAsia" w:cstheme="minorEastAsia"/>
          <w:color w:val="auto"/>
          <w:sz w:val="24"/>
          <w:szCs w:val="24"/>
          <w:highlight w:val="none"/>
        </w:rPr>
        <w:t>”。</w:t>
      </w:r>
    </w:p>
    <w:p w14:paraId="0C7813CA">
      <w:pPr>
        <w:pStyle w:val="2"/>
        <w:numPr>
          <w:ilvl w:val="0"/>
          <w:numId w:val="4"/>
        </w:numPr>
        <w:tabs>
          <w:tab w:val="left" w:pos="360"/>
        </w:tabs>
        <w:spacing w:before="0" w:after="0" w:line="360" w:lineRule="auto"/>
        <w:rPr>
          <w:rFonts w:asciiTheme="minorEastAsia" w:hAnsiTheme="minorEastAsia" w:eastAsiaTheme="minorEastAsia" w:cstheme="minorEastAsia"/>
          <w:color w:val="auto"/>
          <w:sz w:val="24"/>
          <w:szCs w:val="24"/>
          <w:highlight w:val="none"/>
        </w:rPr>
      </w:pPr>
      <w:bookmarkStart w:id="343" w:name="_Toc32339"/>
      <w:bookmarkStart w:id="344" w:name="_Toc22390"/>
      <w:bookmarkStart w:id="345" w:name="_Toc28329"/>
      <w:bookmarkStart w:id="346" w:name="_Toc27644"/>
      <w:bookmarkStart w:id="347" w:name="_Toc569"/>
      <w:bookmarkStart w:id="348" w:name="_Toc30121"/>
      <w:r>
        <w:rPr>
          <w:rFonts w:hint="eastAsia" w:asciiTheme="minorEastAsia" w:hAnsiTheme="minorEastAsia" w:eastAsiaTheme="minorEastAsia" w:cstheme="minorEastAsia"/>
          <w:color w:val="auto"/>
          <w:sz w:val="24"/>
          <w:szCs w:val="24"/>
          <w:highlight w:val="none"/>
        </w:rPr>
        <w:t>解释权</w:t>
      </w:r>
      <w:bookmarkEnd w:id="343"/>
      <w:bookmarkEnd w:id="344"/>
      <w:bookmarkEnd w:id="345"/>
      <w:bookmarkEnd w:id="346"/>
      <w:bookmarkEnd w:id="347"/>
      <w:bookmarkEnd w:id="348"/>
    </w:p>
    <w:p w14:paraId="4D42AB37">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本文件是根据《中华人民共和国政府采购法》及相关法律法规编制，解释权属采购代理机构。</w:t>
      </w:r>
      <w:bookmarkStart w:id="349" w:name="_Toc86124078"/>
      <w:bookmarkStart w:id="350" w:name="_Toc18181"/>
      <w:bookmarkStart w:id="351" w:name="_Toc432197798"/>
    </w:p>
    <w:p w14:paraId="73A95A5F">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br w:type="page"/>
      </w:r>
    </w:p>
    <w:p w14:paraId="2518BD9C">
      <w:pPr>
        <w:pStyle w:val="3"/>
        <w:numPr>
          <w:ilvl w:val="0"/>
          <w:numId w:val="0"/>
        </w:numPr>
        <w:tabs>
          <w:tab w:val="clear" w:pos="1665"/>
        </w:tabs>
        <w:jc w:val="center"/>
        <w:rPr>
          <w:rFonts w:asciiTheme="minorEastAsia" w:hAnsiTheme="minorEastAsia" w:eastAsiaTheme="minorEastAsia" w:cstheme="minorEastAsia"/>
          <w:color w:val="auto"/>
          <w:sz w:val="36"/>
          <w:szCs w:val="36"/>
          <w:highlight w:val="none"/>
        </w:rPr>
      </w:pPr>
      <w:bookmarkStart w:id="352" w:name="_Toc20120"/>
      <w:bookmarkStart w:id="353" w:name="_Toc13805"/>
      <w:r>
        <w:rPr>
          <w:rFonts w:hint="eastAsia" w:asciiTheme="minorEastAsia" w:hAnsiTheme="minorEastAsia" w:eastAsiaTheme="minorEastAsia" w:cstheme="minorEastAsia"/>
          <w:color w:val="auto"/>
          <w:sz w:val="36"/>
          <w:szCs w:val="36"/>
          <w:highlight w:val="none"/>
        </w:rPr>
        <w:t>第三章  合同书样式及主要条款</w:t>
      </w:r>
      <w:bookmarkEnd w:id="349"/>
      <w:bookmarkEnd w:id="350"/>
      <w:bookmarkEnd w:id="351"/>
      <w:bookmarkEnd w:id="352"/>
      <w:bookmarkEnd w:id="353"/>
    </w:p>
    <w:p w14:paraId="3649EDDF">
      <w:pPr>
        <w:widowControl/>
        <w:jc w:val="left"/>
        <w:rPr>
          <w:rFonts w:asciiTheme="minorEastAsia" w:hAnsiTheme="minorEastAsia" w:eastAsiaTheme="minorEastAsia" w:cstheme="minorEastAsia"/>
          <w:color w:val="auto"/>
          <w:highlight w:val="none"/>
        </w:rPr>
      </w:pPr>
      <w:bookmarkStart w:id="354" w:name="_Toc7452"/>
      <w:bookmarkStart w:id="355" w:name="_Toc19757"/>
      <w:bookmarkStart w:id="356" w:name="_Toc21912"/>
      <w:bookmarkStart w:id="357" w:name="_Toc432197800"/>
      <w:bookmarkStart w:id="358" w:name="_Toc86124081"/>
    </w:p>
    <w:p w14:paraId="0D036288">
      <w:pPr>
        <w:autoSpaceDE w:val="0"/>
        <w:autoSpaceDN w:val="0"/>
        <w:adjustRightInd w:val="0"/>
        <w:spacing w:line="360" w:lineRule="auto"/>
        <w:ind w:right="-72"/>
        <w:rPr>
          <w:rFonts w:asciiTheme="minorEastAsia" w:hAnsiTheme="minorEastAsia" w:eastAsiaTheme="minorEastAsia" w:cstheme="minorEastAsia"/>
          <w:color w:val="auto"/>
          <w:highlight w:val="none"/>
        </w:rPr>
      </w:pPr>
    </w:p>
    <w:p w14:paraId="1822156B">
      <w:pPr>
        <w:autoSpaceDE w:val="0"/>
        <w:autoSpaceDN w:val="0"/>
        <w:adjustRightInd w:val="0"/>
        <w:spacing w:line="360" w:lineRule="auto"/>
        <w:ind w:right="-7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合同编号：                         合同自编号：                   项目编号：</w:t>
      </w:r>
    </w:p>
    <w:p w14:paraId="3E51BFB5">
      <w:pPr>
        <w:autoSpaceDE w:val="0"/>
        <w:autoSpaceDN w:val="0"/>
        <w:adjustRightInd w:val="0"/>
        <w:spacing w:line="360" w:lineRule="auto"/>
        <w:ind w:right="568"/>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●本合同须加盖甲乙双方骑缝章有效</w:t>
      </w:r>
    </w:p>
    <w:p w14:paraId="7D722CEF">
      <w:pPr>
        <w:autoSpaceDE w:val="0"/>
        <w:autoSpaceDN w:val="0"/>
        <w:adjustRightInd w:val="0"/>
        <w:spacing w:line="360" w:lineRule="auto"/>
        <w:rPr>
          <w:rFonts w:asciiTheme="minorEastAsia" w:hAnsiTheme="minorEastAsia" w:eastAsiaTheme="minorEastAsia" w:cstheme="minorEastAsia"/>
          <w:color w:val="auto"/>
          <w:kern w:val="0"/>
          <w:sz w:val="32"/>
          <w:szCs w:val="32"/>
          <w:highlight w:val="none"/>
        </w:rPr>
      </w:pPr>
    </w:p>
    <w:p w14:paraId="7A62F901">
      <w:pPr>
        <w:autoSpaceDE w:val="0"/>
        <w:autoSpaceDN w:val="0"/>
        <w:adjustRightInd w:val="0"/>
        <w:spacing w:line="360" w:lineRule="auto"/>
        <w:jc w:val="center"/>
        <w:rPr>
          <w:rFonts w:asciiTheme="minorEastAsia" w:hAnsiTheme="minorEastAsia" w:eastAsiaTheme="minorEastAsia" w:cstheme="minorEastAsia"/>
          <w:b/>
          <w:color w:val="auto"/>
          <w:kern w:val="0"/>
          <w:sz w:val="44"/>
          <w:szCs w:val="44"/>
          <w:highlight w:val="none"/>
        </w:rPr>
      </w:pPr>
      <w:r>
        <w:rPr>
          <w:rFonts w:hint="eastAsia" w:asciiTheme="minorEastAsia" w:hAnsiTheme="minorEastAsia" w:eastAsiaTheme="minorEastAsia" w:cstheme="minorEastAsia"/>
          <w:color w:val="auto"/>
          <w:kern w:val="0"/>
          <w:sz w:val="52"/>
          <w:szCs w:val="52"/>
          <w:highlight w:val="none"/>
        </w:rPr>
        <w:t>云南省省级政府采购</w:t>
      </w:r>
    </w:p>
    <w:p w14:paraId="1A4C1D5F">
      <w:pPr>
        <w:autoSpaceDE w:val="0"/>
        <w:autoSpaceDN w:val="0"/>
        <w:adjustRightInd w:val="0"/>
        <w:spacing w:line="360" w:lineRule="auto"/>
        <w:jc w:val="center"/>
        <w:rPr>
          <w:rFonts w:asciiTheme="minorEastAsia" w:hAnsiTheme="minorEastAsia" w:eastAsiaTheme="minorEastAsia" w:cstheme="minorEastAsia"/>
          <w:b/>
          <w:color w:val="auto"/>
          <w:kern w:val="0"/>
          <w:sz w:val="44"/>
          <w:szCs w:val="44"/>
          <w:highlight w:val="none"/>
        </w:rPr>
      </w:pPr>
      <w:r>
        <w:rPr>
          <w:rFonts w:hint="eastAsia" w:asciiTheme="minorEastAsia" w:hAnsiTheme="minorEastAsia" w:eastAsiaTheme="minorEastAsia" w:cstheme="minorEastAsia"/>
          <w:color w:val="auto"/>
          <w:sz w:val="33"/>
          <w:szCs w:val="33"/>
          <w:highlight w:val="none"/>
        </w:rPr>
        <w:t>（委托采购）</w:t>
      </w:r>
    </w:p>
    <w:p w14:paraId="06A51909">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（本合同内容仅供参考，甲乙双方可根据国家相关法律法规及本项目的情况另行约定）</w:t>
      </w:r>
    </w:p>
    <w:p w14:paraId="7A0A40E3">
      <w:pPr>
        <w:rPr>
          <w:rFonts w:asciiTheme="minorEastAsia" w:hAnsiTheme="minorEastAsia" w:eastAsiaTheme="minorEastAsia" w:cstheme="minorEastAsia"/>
          <w:color w:val="auto"/>
          <w:highlight w:val="none"/>
        </w:rPr>
      </w:pPr>
    </w:p>
    <w:p w14:paraId="68495EE8">
      <w:pPr>
        <w:rPr>
          <w:rFonts w:asciiTheme="minorEastAsia" w:hAnsiTheme="minorEastAsia" w:eastAsiaTheme="minorEastAsia" w:cstheme="minorEastAsia"/>
          <w:color w:val="auto"/>
          <w:highlight w:val="none"/>
        </w:rPr>
      </w:pPr>
    </w:p>
    <w:p w14:paraId="6572D933">
      <w:pPr>
        <w:autoSpaceDE w:val="0"/>
        <w:autoSpaceDN w:val="0"/>
        <w:adjustRightInd w:val="0"/>
        <w:spacing w:line="360" w:lineRule="auto"/>
        <w:jc w:val="center"/>
        <w:rPr>
          <w:rFonts w:asciiTheme="minorEastAsia" w:hAnsiTheme="minorEastAsia" w:eastAsiaTheme="minorEastAsia" w:cstheme="minorEastAsia"/>
          <w:color w:val="auto"/>
          <w:kern w:val="0"/>
          <w:sz w:val="84"/>
          <w:szCs w:val="84"/>
          <w:highlight w:val="none"/>
        </w:rPr>
      </w:pPr>
      <w:r>
        <w:rPr>
          <w:rFonts w:hint="eastAsia" w:asciiTheme="minorEastAsia" w:hAnsiTheme="minorEastAsia" w:eastAsiaTheme="minorEastAsia" w:cstheme="minorEastAsia"/>
          <w:color w:val="auto"/>
          <w:kern w:val="0"/>
          <w:sz w:val="84"/>
          <w:szCs w:val="84"/>
          <w:highlight w:val="none"/>
        </w:rPr>
        <w:t xml:space="preserve">合 </w:t>
      </w:r>
    </w:p>
    <w:p w14:paraId="0F3C1AE3">
      <w:pPr>
        <w:autoSpaceDE w:val="0"/>
        <w:autoSpaceDN w:val="0"/>
        <w:adjustRightInd w:val="0"/>
        <w:spacing w:line="360" w:lineRule="auto"/>
        <w:jc w:val="center"/>
        <w:rPr>
          <w:rFonts w:asciiTheme="minorEastAsia" w:hAnsiTheme="minorEastAsia" w:eastAsiaTheme="minorEastAsia" w:cstheme="minorEastAsia"/>
          <w:color w:val="auto"/>
          <w:kern w:val="0"/>
          <w:sz w:val="72"/>
          <w:szCs w:val="72"/>
          <w:highlight w:val="none"/>
        </w:rPr>
      </w:pPr>
      <w:r>
        <w:rPr>
          <w:rFonts w:hint="eastAsia" w:asciiTheme="minorEastAsia" w:hAnsiTheme="minorEastAsia" w:eastAsiaTheme="minorEastAsia" w:cstheme="minorEastAsia"/>
          <w:color w:val="auto"/>
          <w:kern w:val="0"/>
          <w:sz w:val="84"/>
          <w:szCs w:val="84"/>
          <w:highlight w:val="none"/>
        </w:rPr>
        <w:t xml:space="preserve">同 </w:t>
      </w:r>
    </w:p>
    <w:p w14:paraId="65559F67">
      <w:pPr>
        <w:autoSpaceDE w:val="0"/>
        <w:autoSpaceDN w:val="0"/>
        <w:adjustRightInd w:val="0"/>
        <w:spacing w:line="360" w:lineRule="auto"/>
        <w:jc w:val="center"/>
        <w:rPr>
          <w:rFonts w:asciiTheme="minorEastAsia" w:hAnsiTheme="minorEastAsia" w:eastAsiaTheme="minorEastAsia" w:cstheme="minorEastAsia"/>
          <w:color w:val="auto"/>
          <w:kern w:val="0"/>
          <w:sz w:val="84"/>
          <w:szCs w:val="84"/>
          <w:highlight w:val="none"/>
        </w:rPr>
      </w:pPr>
      <w:r>
        <w:rPr>
          <w:rFonts w:hint="eastAsia" w:asciiTheme="minorEastAsia" w:hAnsiTheme="minorEastAsia" w:eastAsiaTheme="minorEastAsia" w:cstheme="minorEastAsia"/>
          <w:color w:val="auto"/>
          <w:kern w:val="0"/>
          <w:sz w:val="84"/>
          <w:szCs w:val="84"/>
          <w:highlight w:val="none"/>
        </w:rPr>
        <w:t xml:space="preserve">书 </w:t>
      </w:r>
    </w:p>
    <w:p w14:paraId="7648857D">
      <w:pPr>
        <w:autoSpaceDE w:val="0"/>
        <w:autoSpaceDN w:val="0"/>
        <w:adjustRightInd w:val="0"/>
        <w:spacing w:line="360" w:lineRule="auto"/>
        <w:jc w:val="center"/>
        <w:rPr>
          <w:rFonts w:asciiTheme="minorEastAsia" w:hAnsiTheme="minorEastAsia" w:eastAsiaTheme="minorEastAsia" w:cstheme="minorEastAsia"/>
          <w:color w:val="auto"/>
          <w:kern w:val="0"/>
          <w:sz w:val="72"/>
          <w:szCs w:val="72"/>
          <w:highlight w:val="none"/>
        </w:rPr>
      </w:pPr>
    </w:p>
    <w:p w14:paraId="2AE388A2">
      <w:pPr>
        <w:pStyle w:val="13"/>
        <w:ind w:left="0"/>
        <w:rPr>
          <w:rFonts w:asciiTheme="minorEastAsia" w:hAnsiTheme="minorEastAsia" w:eastAsiaTheme="minorEastAsia" w:cstheme="minorEastAsia"/>
          <w:color w:val="auto"/>
          <w:highlight w:val="none"/>
        </w:rPr>
      </w:pPr>
    </w:p>
    <w:p w14:paraId="49184B59">
      <w:pPr>
        <w:rPr>
          <w:rFonts w:asciiTheme="minorEastAsia" w:hAnsiTheme="minorEastAsia" w:eastAsiaTheme="minorEastAsia" w:cstheme="minorEastAsia"/>
          <w:color w:val="auto"/>
          <w:highlight w:val="none"/>
        </w:rPr>
      </w:pPr>
    </w:p>
    <w:p w14:paraId="673D4381">
      <w:pPr>
        <w:rPr>
          <w:rFonts w:asciiTheme="minorEastAsia" w:hAnsiTheme="minorEastAsia" w:eastAsiaTheme="minorEastAsia" w:cstheme="minorEastAsia"/>
          <w:color w:val="auto"/>
          <w:highlight w:val="none"/>
        </w:rPr>
      </w:pPr>
    </w:p>
    <w:p w14:paraId="6EB290E6">
      <w:pPr>
        <w:rPr>
          <w:rFonts w:asciiTheme="minorEastAsia" w:hAnsiTheme="minorEastAsia" w:eastAsiaTheme="minorEastAsia" w:cstheme="minorEastAsia"/>
          <w:color w:val="auto"/>
          <w:highlight w:val="none"/>
        </w:rPr>
      </w:pPr>
    </w:p>
    <w:p w14:paraId="72248A74">
      <w:pPr>
        <w:pStyle w:val="10"/>
        <w:rPr>
          <w:rFonts w:asciiTheme="minorEastAsia" w:hAnsiTheme="minorEastAsia" w:eastAsiaTheme="minorEastAsia" w:cstheme="minorEastAsia"/>
          <w:color w:val="auto"/>
          <w:highlight w:val="none"/>
        </w:rPr>
      </w:pPr>
    </w:p>
    <w:p w14:paraId="50B7FF05">
      <w:pPr>
        <w:rPr>
          <w:rFonts w:asciiTheme="minorEastAsia" w:hAnsiTheme="minorEastAsia" w:eastAsiaTheme="minorEastAsia" w:cstheme="minorEastAsia"/>
          <w:color w:val="auto"/>
          <w:highlight w:val="none"/>
        </w:rPr>
      </w:pPr>
    </w:p>
    <w:p w14:paraId="5705CB85">
      <w:pPr>
        <w:widowControl/>
        <w:spacing w:line="520" w:lineRule="exact"/>
        <w:jc w:val="center"/>
        <w:rPr>
          <w:rFonts w:asciiTheme="minorEastAsia" w:hAnsiTheme="minorEastAsia" w:eastAsiaTheme="minorEastAsia" w:cstheme="minorEastAsia"/>
          <w:b/>
          <w:bCs/>
          <w:color w:val="auto"/>
          <w:kern w:val="0"/>
          <w:sz w:val="28"/>
          <w:szCs w:val="28"/>
          <w:highlight w:val="none"/>
        </w:rPr>
      </w:pPr>
      <w:r>
        <w:rPr>
          <w:rFonts w:hint="eastAsia" w:asciiTheme="minorEastAsia" w:hAnsiTheme="minorEastAsia" w:eastAsiaTheme="minorEastAsia" w:cstheme="minorEastAsia"/>
          <w:b/>
          <w:bCs/>
          <w:color w:val="auto"/>
          <w:kern w:val="0"/>
          <w:sz w:val="28"/>
          <w:szCs w:val="28"/>
          <w:highlight w:val="none"/>
        </w:rPr>
        <w:t xml:space="preserve">签订地点:  </w:t>
      </w:r>
    </w:p>
    <w:p w14:paraId="55367639">
      <w:pPr>
        <w:pStyle w:val="33"/>
        <w:outlineLvl w:val="9"/>
        <w:rPr>
          <w:rFonts w:asciiTheme="minorEastAsia" w:hAnsiTheme="minorEastAsia" w:eastAsiaTheme="minorEastAsia" w:cstheme="minorEastAsia"/>
          <w:color w:val="auto"/>
          <w:highlight w:val="none"/>
        </w:rPr>
      </w:pPr>
    </w:p>
    <w:p w14:paraId="31ECF805">
      <w:pPr>
        <w:widowControl/>
        <w:spacing w:line="520" w:lineRule="exact"/>
        <w:jc w:val="center"/>
        <w:rPr>
          <w:rFonts w:asciiTheme="minorEastAsia" w:hAnsiTheme="minorEastAsia" w:eastAsiaTheme="minorEastAsia" w:cstheme="minorEastAsia"/>
          <w:b/>
          <w:bCs/>
          <w:color w:val="auto"/>
          <w:kern w:val="0"/>
          <w:sz w:val="28"/>
          <w:szCs w:val="28"/>
          <w:highlight w:val="none"/>
        </w:rPr>
      </w:pPr>
      <w:r>
        <w:rPr>
          <w:rFonts w:hint="eastAsia" w:asciiTheme="minorEastAsia" w:hAnsiTheme="minorEastAsia" w:eastAsiaTheme="minorEastAsia" w:cstheme="minorEastAsia"/>
          <w:b/>
          <w:bCs/>
          <w:color w:val="auto"/>
          <w:kern w:val="0"/>
          <w:sz w:val="28"/>
          <w:szCs w:val="28"/>
          <w:highlight w:val="none"/>
        </w:rPr>
        <w:t>云南省财政厅  制</w:t>
      </w:r>
    </w:p>
    <w:bookmarkEnd w:id="354"/>
    <w:bookmarkEnd w:id="355"/>
    <w:bookmarkEnd w:id="356"/>
    <w:p w14:paraId="36FBA0FD">
      <w:pPr>
        <w:rPr>
          <w:rFonts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br w:type="page"/>
      </w:r>
    </w:p>
    <w:p w14:paraId="79285DD9">
      <w:pPr>
        <w:spacing w:line="600" w:lineRule="exact"/>
        <w:jc w:val="left"/>
        <w:rPr>
          <w:rFonts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甲方（采购人公章）名 称：</w:t>
      </w:r>
    </w:p>
    <w:p w14:paraId="26D3F1FF">
      <w:pPr>
        <w:spacing w:line="600" w:lineRule="exact"/>
        <w:jc w:val="left"/>
        <w:rPr>
          <w:rFonts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ab/>
      </w:r>
      <w:r>
        <w:rPr>
          <w:rFonts w:hint="eastAsia" w:asciiTheme="minorEastAsia" w:hAnsiTheme="minorEastAsia" w:eastAsiaTheme="minorEastAsia" w:cstheme="minorEastAsia"/>
          <w:color w:val="auto"/>
          <w:sz w:val="24"/>
          <w:szCs w:val="28"/>
          <w:highlight w:val="none"/>
        </w:rPr>
        <w:t xml:space="preserve">             地 址：</w:t>
      </w:r>
    </w:p>
    <w:p w14:paraId="0D3A1541">
      <w:pPr>
        <w:spacing w:line="600" w:lineRule="exact"/>
        <w:jc w:val="left"/>
        <w:rPr>
          <w:rFonts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ab/>
      </w:r>
      <w:r>
        <w:rPr>
          <w:rFonts w:hint="eastAsia" w:asciiTheme="minorEastAsia" w:hAnsiTheme="minorEastAsia" w:eastAsiaTheme="minorEastAsia" w:cstheme="minorEastAsia"/>
          <w:color w:val="auto"/>
          <w:sz w:val="24"/>
          <w:szCs w:val="28"/>
          <w:highlight w:val="none"/>
        </w:rPr>
        <w:t xml:space="preserve">             邮 编：</w:t>
      </w:r>
    </w:p>
    <w:p w14:paraId="4751954F">
      <w:pPr>
        <w:spacing w:line="600" w:lineRule="exact"/>
        <w:jc w:val="left"/>
        <w:rPr>
          <w:rFonts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ab/>
      </w:r>
      <w:r>
        <w:rPr>
          <w:rFonts w:hint="eastAsia" w:asciiTheme="minorEastAsia" w:hAnsiTheme="minorEastAsia" w:eastAsiaTheme="minorEastAsia" w:cstheme="minorEastAsia"/>
          <w:color w:val="auto"/>
          <w:sz w:val="24"/>
          <w:szCs w:val="28"/>
          <w:highlight w:val="none"/>
        </w:rPr>
        <w:t xml:space="preserve">             法定代表人或委托代理人：</w:t>
      </w:r>
    </w:p>
    <w:p w14:paraId="24467D9E">
      <w:pPr>
        <w:spacing w:line="600" w:lineRule="exact"/>
        <w:jc w:val="left"/>
        <w:rPr>
          <w:rFonts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ab/>
      </w:r>
      <w:r>
        <w:rPr>
          <w:rFonts w:hint="eastAsia" w:asciiTheme="minorEastAsia" w:hAnsiTheme="minorEastAsia" w:eastAsiaTheme="minorEastAsia" w:cstheme="minorEastAsia"/>
          <w:color w:val="auto"/>
          <w:sz w:val="24"/>
          <w:szCs w:val="28"/>
          <w:highlight w:val="none"/>
        </w:rPr>
        <w:t xml:space="preserve">             项目（技术）负责人：</w:t>
      </w:r>
    </w:p>
    <w:p w14:paraId="6B81F57C">
      <w:pPr>
        <w:spacing w:line="600" w:lineRule="exact"/>
        <w:jc w:val="left"/>
        <w:rPr>
          <w:rFonts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ab/>
      </w:r>
      <w:r>
        <w:rPr>
          <w:rFonts w:hint="eastAsia" w:asciiTheme="minorEastAsia" w:hAnsiTheme="minorEastAsia" w:eastAsiaTheme="minorEastAsia" w:cstheme="minorEastAsia"/>
          <w:color w:val="auto"/>
          <w:sz w:val="24"/>
          <w:szCs w:val="28"/>
          <w:highlight w:val="none"/>
        </w:rPr>
        <w:t xml:space="preserve">             电 话：</w:t>
      </w:r>
    </w:p>
    <w:p w14:paraId="6A7BCDB8">
      <w:pPr>
        <w:spacing w:line="600" w:lineRule="exact"/>
        <w:jc w:val="left"/>
        <w:rPr>
          <w:rFonts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ab/>
      </w:r>
      <w:r>
        <w:rPr>
          <w:rFonts w:hint="eastAsia" w:asciiTheme="minorEastAsia" w:hAnsiTheme="minorEastAsia" w:eastAsiaTheme="minorEastAsia" w:cstheme="minorEastAsia"/>
          <w:color w:val="auto"/>
          <w:sz w:val="24"/>
          <w:szCs w:val="28"/>
          <w:highlight w:val="none"/>
        </w:rPr>
        <w:t xml:space="preserve">             签订日期：</w:t>
      </w:r>
    </w:p>
    <w:p w14:paraId="1590DB3F">
      <w:pPr>
        <w:spacing w:line="600" w:lineRule="exact"/>
        <w:jc w:val="left"/>
        <w:rPr>
          <w:rFonts w:asciiTheme="minorEastAsia" w:hAnsiTheme="minorEastAsia" w:eastAsiaTheme="minorEastAsia" w:cstheme="minorEastAsia"/>
          <w:color w:val="auto"/>
          <w:sz w:val="24"/>
          <w:szCs w:val="28"/>
          <w:highlight w:val="none"/>
        </w:rPr>
      </w:pPr>
    </w:p>
    <w:p w14:paraId="13174315">
      <w:pPr>
        <w:spacing w:line="600" w:lineRule="exact"/>
        <w:jc w:val="left"/>
        <w:rPr>
          <w:rFonts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乙方（供应商公章）名 称：</w:t>
      </w:r>
    </w:p>
    <w:p w14:paraId="7C331128">
      <w:pPr>
        <w:spacing w:line="600" w:lineRule="exact"/>
        <w:jc w:val="left"/>
        <w:rPr>
          <w:rFonts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ab/>
      </w:r>
      <w:r>
        <w:rPr>
          <w:rFonts w:hint="eastAsia" w:asciiTheme="minorEastAsia" w:hAnsiTheme="minorEastAsia" w:eastAsiaTheme="minorEastAsia" w:cstheme="minorEastAsia"/>
          <w:color w:val="auto"/>
          <w:sz w:val="24"/>
          <w:szCs w:val="28"/>
          <w:highlight w:val="none"/>
        </w:rPr>
        <w:t xml:space="preserve">             地 址：</w:t>
      </w:r>
    </w:p>
    <w:p w14:paraId="1C2FD15B">
      <w:pPr>
        <w:spacing w:line="600" w:lineRule="exact"/>
        <w:jc w:val="left"/>
        <w:rPr>
          <w:rFonts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ab/>
      </w:r>
      <w:r>
        <w:rPr>
          <w:rFonts w:hint="eastAsia" w:asciiTheme="minorEastAsia" w:hAnsiTheme="minorEastAsia" w:eastAsiaTheme="minorEastAsia" w:cstheme="minorEastAsia"/>
          <w:color w:val="auto"/>
          <w:sz w:val="24"/>
          <w:szCs w:val="28"/>
          <w:highlight w:val="none"/>
        </w:rPr>
        <w:t xml:space="preserve">             邮 编：</w:t>
      </w:r>
    </w:p>
    <w:p w14:paraId="337598BC">
      <w:pPr>
        <w:spacing w:line="600" w:lineRule="exact"/>
        <w:jc w:val="left"/>
        <w:rPr>
          <w:rFonts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ab/>
      </w:r>
      <w:r>
        <w:rPr>
          <w:rFonts w:hint="eastAsia" w:asciiTheme="minorEastAsia" w:hAnsiTheme="minorEastAsia" w:eastAsiaTheme="minorEastAsia" w:cstheme="minorEastAsia"/>
          <w:color w:val="auto"/>
          <w:sz w:val="24"/>
          <w:szCs w:val="28"/>
          <w:highlight w:val="none"/>
        </w:rPr>
        <w:t xml:space="preserve">             法定代表人或委托代理人：</w:t>
      </w:r>
    </w:p>
    <w:p w14:paraId="37208337">
      <w:pPr>
        <w:spacing w:line="600" w:lineRule="exact"/>
        <w:jc w:val="left"/>
        <w:rPr>
          <w:rFonts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ab/>
      </w:r>
      <w:r>
        <w:rPr>
          <w:rFonts w:hint="eastAsia" w:asciiTheme="minorEastAsia" w:hAnsiTheme="minorEastAsia" w:eastAsiaTheme="minorEastAsia" w:cstheme="minorEastAsia"/>
          <w:color w:val="auto"/>
          <w:sz w:val="24"/>
          <w:szCs w:val="28"/>
          <w:highlight w:val="none"/>
        </w:rPr>
        <w:t xml:space="preserve">             经办人：</w:t>
      </w:r>
    </w:p>
    <w:p w14:paraId="63146756">
      <w:pPr>
        <w:spacing w:line="600" w:lineRule="exact"/>
        <w:jc w:val="left"/>
        <w:rPr>
          <w:rFonts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ab/>
      </w:r>
      <w:r>
        <w:rPr>
          <w:rFonts w:hint="eastAsia" w:asciiTheme="minorEastAsia" w:hAnsiTheme="minorEastAsia" w:eastAsiaTheme="minorEastAsia" w:cstheme="minorEastAsia"/>
          <w:color w:val="auto"/>
          <w:sz w:val="24"/>
          <w:szCs w:val="28"/>
          <w:highlight w:val="none"/>
        </w:rPr>
        <w:t xml:space="preserve">             电 话：</w:t>
      </w:r>
    </w:p>
    <w:p w14:paraId="6E3339FD">
      <w:pPr>
        <w:spacing w:line="600" w:lineRule="exact"/>
        <w:jc w:val="left"/>
        <w:rPr>
          <w:rFonts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ab/>
      </w:r>
      <w:r>
        <w:rPr>
          <w:rFonts w:hint="eastAsia" w:asciiTheme="minorEastAsia" w:hAnsiTheme="minorEastAsia" w:eastAsiaTheme="minorEastAsia" w:cstheme="minorEastAsia"/>
          <w:color w:val="auto"/>
          <w:sz w:val="24"/>
          <w:szCs w:val="28"/>
          <w:highlight w:val="none"/>
        </w:rPr>
        <w:t xml:space="preserve">             签订日期：</w:t>
      </w:r>
    </w:p>
    <w:p w14:paraId="108A6598">
      <w:pPr>
        <w:spacing w:line="600" w:lineRule="exact"/>
        <w:jc w:val="left"/>
        <w:rPr>
          <w:rFonts w:asciiTheme="minorEastAsia" w:hAnsiTheme="minorEastAsia" w:eastAsiaTheme="minorEastAsia" w:cstheme="minorEastAsia"/>
          <w:color w:val="auto"/>
          <w:sz w:val="24"/>
          <w:szCs w:val="28"/>
          <w:highlight w:val="none"/>
        </w:rPr>
      </w:pPr>
    </w:p>
    <w:p w14:paraId="271734D1">
      <w:pPr>
        <w:spacing w:line="600" w:lineRule="exact"/>
        <w:jc w:val="left"/>
        <w:rPr>
          <w:rFonts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丙方（鉴证方公章）名 称：</w:t>
      </w:r>
    </w:p>
    <w:p w14:paraId="04174C33">
      <w:pPr>
        <w:spacing w:line="600" w:lineRule="exact"/>
        <w:jc w:val="left"/>
        <w:rPr>
          <w:rFonts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ab/>
      </w:r>
      <w:r>
        <w:rPr>
          <w:rFonts w:hint="eastAsia" w:asciiTheme="minorEastAsia" w:hAnsiTheme="minorEastAsia" w:eastAsiaTheme="minorEastAsia" w:cstheme="minorEastAsia"/>
          <w:color w:val="auto"/>
          <w:sz w:val="24"/>
          <w:szCs w:val="28"/>
          <w:highlight w:val="none"/>
        </w:rPr>
        <w:t xml:space="preserve">             地 址：</w:t>
      </w:r>
    </w:p>
    <w:p w14:paraId="128AC50F">
      <w:pPr>
        <w:spacing w:line="600" w:lineRule="exact"/>
        <w:jc w:val="left"/>
        <w:rPr>
          <w:rFonts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ab/>
      </w:r>
      <w:r>
        <w:rPr>
          <w:rFonts w:hint="eastAsia" w:asciiTheme="minorEastAsia" w:hAnsiTheme="minorEastAsia" w:eastAsiaTheme="minorEastAsia" w:cstheme="minorEastAsia"/>
          <w:color w:val="auto"/>
          <w:sz w:val="24"/>
          <w:szCs w:val="28"/>
          <w:highlight w:val="none"/>
        </w:rPr>
        <w:t xml:space="preserve">             邮 编：</w:t>
      </w:r>
    </w:p>
    <w:p w14:paraId="2957B87F">
      <w:pPr>
        <w:spacing w:line="600" w:lineRule="exact"/>
        <w:jc w:val="left"/>
        <w:rPr>
          <w:rFonts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ab/>
      </w:r>
      <w:r>
        <w:rPr>
          <w:rFonts w:hint="eastAsia" w:asciiTheme="minorEastAsia" w:hAnsiTheme="minorEastAsia" w:eastAsiaTheme="minorEastAsia" w:cstheme="minorEastAsia"/>
          <w:color w:val="auto"/>
          <w:sz w:val="24"/>
          <w:szCs w:val="28"/>
          <w:highlight w:val="none"/>
        </w:rPr>
        <w:t xml:space="preserve">             法定代表人或委托代理人：</w:t>
      </w:r>
    </w:p>
    <w:p w14:paraId="0743481A">
      <w:pPr>
        <w:spacing w:line="600" w:lineRule="exact"/>
        <w:jc w:val="left"/>
        <w:rPr>
          <w:rFonts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ab/>
      </w:r>
      <w:r>
        <w:rPr>
          <w:rFonts w:hint="eastAsia" w:asciiTheme="minorEastAsia" w:hAnsiTheme="minorEastAsia" w:eastAsiaTheme="minorEastAsia" w:cstheme="minorEastAsia"/>
          <w:color w:val="auto"/>
          <w:sz w:val="24"/>
          <w:szCs w:val="28"/>
          <w:highlight w:val="none"/>
        </w:rPr>
        <w:t xml:space="preserve">             经办人：</w:t>
      </w:r>
    </w:p>
    <w:p w14:paraId="4FDD6438">
      <w:pPr>
        <w:spacing w:line="600" w:lineRule="exact"/>
        <w:jc w:val="left"/>
        <w:rPr>
          <w:rFonts w:asciiTheme="minorEastAsia" w:hAnsiTheme="minorEastAsia" w:eastAsiaTheme="minorEastAsia" w:cstheme="minorEastAsia"/>
          <w:color w:val="auto"/>
          <w:sz w:val="24"/>
          <w:szCs w:val="28"/>
          <w:highlight w:val="none"/>
        </w:rPr>
      </w:pPr>
      <w:r>
        <w:rPr>
          <w:rFonts w:hint="eastAsia" w:asciiTheme="minorEastAsia" w:hAnsiTheme="minorEastAsia" w:eastAsiaTheme="minorEastAsia" w:cstheme="minorEastAsia"/>
          <w:color w:val="auto"/>
          <w:sz w:val="24"/>
          <w:szCs w:val="28"/>
          <w:highlight w:val="none"/>
        </w:rPr>
        <w:tab/>
      </w:r>
      <w:r>
        <w:rPr>
          <w:rFonts w:hint="eastAsia" w:asciiTheme="minorEastAsia" w:hAnsiTheme="minorEastAsia" w:eastAsiaTheme="minorEastAsia" w:cstheme="minorEastAsia"/>
          <w:color w:val="auto"/>
          <w:sz w:val="24"/>
          <w:szCs w:val="28"/>
          <w:highlight w:val="none"/>
        </w:rPr>
        <w:t xml:space="preserve">             电 话：</w:t>
      </w:r>
    </w:p>
    <w:p w14:paraId="2F041A64">
      <w:pPr>
        <w:tabs>
          <w:tab w:val="left" w:pos="5000"/>
        </w:tabs>
        <w:spacing w:line="440" w:lineRule="exact"/>
        <w:ind w:firstLine="49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br w:type="page"/>
      </w:r>
    </w:p>
    <w:p w14:paraId="4599DB2B">
      <w:pPr>
        <w:spacing w:line="700" w:lineRule="exact"/>
        <w:jc w:val="center"/>
        <w:textAlignment w:val="baseline"/>
        <w:rPr>
          <w:rFonts w:ascii="宋体" w:hAnsi="宋体" w:cs="宋体"/>
          <w:b/>
          <w:color w:val="auto"/>
          <w:sz w:val="52"/>
          <w:szCs w:val="52"/>
          <w:highlight w:val="none"/>
        </w:rPr>
      </w:pPr>
      <w:bookmarkStart w:id="359" w:name="_Toc15431"/>
      <w:r>
        <w:rPr>
          <w:rFonts w:hint="eastAsia" w:ascii="宋体" w:hAnsi="宋体" w:cs="宋体"/>
          <w:b/>
          <w:color w:val="auto"/>
          <w:sz w:val="48"/>
          <w:szCs w:val="48"/>
          <w:highlight w:val="none"/>
          <w:lang w:eastAsia="zh-CN"/>
        </w:rPr>
        <w:t>2026年保山市腾冲市团田乡弄玲村农村公益事业建设财政奖补项目(普惠)</w:t>
      </w:r>
    </w:p>
    <w:p w14:paraId="14415EC4">
      <w:pPr>
        <w:spacing w:line="700" w:lineRule="exact"/>
        <w:jc w:val="center"/>
        <w:textAlignment w:val="baseline"/>
        <w:rPr>
          <w:rFonts w:ascii="宋体" w:hAnsi="宋体" w:cs="宋体"/>
          <w:b/>
          <w:color w:val="auto"/>
          <w:sz w:val="52"/>
          <w:szCs w:val="52"/>
          <w:highlight w:val="none"/>
        </w:rPr>
      </w:pPr>
    </w:p>
    <w:p w14:paraId="25E1B790">
      <w:pPr>
        <w:spacing w:line="700" w:lineRule="exact"/>
        <w:jc w:val="center"/>
        <w:textAlignment w:val="baseline"/>
        <w:rPr>
          <w:rFonts w:ascii="宋体" w:hAnsi="宋体" w:cs="宋体"/>
          <w:b/>
          <w:color w:val="auto"/>
          <w:sz w:val="52"/>
          <w:szCs w:val="52"/>
          <w:highlight w:val="none"/>
        </w:rPr>
      </w:pPr>
    </w:p>
    <w:p w14:paraId="62561006">
      <w:pPr>
        <w:spacing w:line="700" w:lineRule="exact"/>
        <w:jc w:val="center"/>
        <w:textAlignment w:val="baseline"/>
        <w:rPr>
          <w:rFonts w:ascii="宋体" w:hAnsi="宋体" w:cs="宋体"/>
          <w:b/>
          <w:color w:val="auto"/>
          <w:sz w:val="52"/>
          <w:szCs w:val="52"/>
          <w:highlight w:val="none"/>
        </w:rPr>
      </w:pPr>
    </w:p>
    <w:p w14:paraId="7757B1FD">
      <w:pPr>
        <w:spacing w:line="700" w:lineRule="exact"/>
        <w:jc w:val="center"/>
        <w:textAlignment w:val="baseline"/>
        <w:rPr>
          <w:rFonts w:ascii="宋体" w:hAnsi="宋体" w:cs="宋体"/>
          <w:b/>
          <w:color w:val="auto"/>
          <w:sz w:val="52"/>
          <w:szCs w:val="52"/>
          <w:highlight w:val="none"/>
        </w:rPr>
      </w:pPr>
    </w:p>
    <w:p w14:paraId="038DED84">
      <w:pPr>
        <w:spacing w:line="700" w:lineRule="exact"/>
        <w:jc w:val="center"/>
        <w:textAlignment w:val="baseline"/>
        <w:rPr>
          <w:rFonts w:ascii="宋体" w:hAnsi="宋体" w:cs="宋体"/>
          <w:b/>
          <w:color w:val="auto"/>
          <w:sz w:val="72"/>
          <w:szCs w:val="72"/>
          <w:highlight w:val="none"/>
        </w:rPr>
      </w:pPr>
      <w:r>
        <w:rPr>
          <w:rFonts w:hint="eastAsia" w:ascii="宋体" w:hAnsi="宋体" w:cs="宋体"/>
          <w:b/>
          <w:color w:val="auto"/>
          <w:sz w:val="72"/>
          <w:szCs w:val="72"/>
          <w:highlight w:val="none"/>
        </w:rPr>
        <w:t>工程施工合同</w:t>
      </w:r>
    </w:p>
    <w:p w14:paraId="7D393E56">
      <w:pPr>
        <w:spacing w:line="700" w:lineRule="exact"/>
        <w:jc w:val="center"/>
        <w:textAlignment w:val="baseline"/>
        <w:rPr>
          <w:rFonts w:ascii="宋体" w:hAnsi="宋体" w:cs="宋体"/>
          <w:bCs/>
          <w:color w:val="auto"/>
          <w:sz w:val="52"/>
          <w:szCs w:val="52"/>
          <w:highlight w:val="none"/>
        </w:rPr>
      </w:pPr>
      <w:r>
        <w:rPr>
          <w:rFonts w:hint="eastAsia" w:ascii="宋体" w:hAnsi="宋体" w:cs="宋体"/>
          <w:bCs/>
          <w:color w:val="auto"/>
          <w:sz w:val="52"/>
          <w:szCs w:val="52"/>
          <w:highlight w:val="none"/>
        </w:rPr>
        <w:t>（GF—2017—0201）</w:t>
      </w:r>
    </w:p>
    <w:p w14:paraId="4335DE93">
      <w:pPr>
        <w:spacing w:line="700" w:lineRule="exact"/>
        <w:jc w:val="center"/>
        <w:textAlignment w:val="baseline"/>
        <w:rPr>
          <w:rFonts w:ascii="宋体" w:hAnsi="宋体" w:cs="宋体"/>
          <w:b/>
          <w:color w:val="auto"/>
          <w:sz w:val="52"/>
          <w:szCs w:val="52"/>
          <w:highlight w:val="none"/>
        </w:rPr>
      </w:pPr>
    </w:p>
    <w:p w14:paraId="01E4F0B0">
      <w:pPr>
        <w:spacing w:line="700" w:lineRule="exact"/>
        <w:jc w:val="center"/>
        <w:textAlignment w:val="baseline"/>
        <w:rPr>
          <w:rFonts w:ascii="宋体" w:hAnsi="宋体" w:cs="宋体"/>
          <w:b/>
          <w:color w:val="auto"/>
          <w:sz w:val="52"/>
          <w:szCs w:val="52"/>
          <w:highlight w:val="none"/>
        </w:rPr>
      </w:pPr>
    </w:p>
    <w:p w14:paraId="0C7B6BB5">
      <w:pPr>
        <w:spacing w:line="700" w:lineRule="exact"/>
        <w:jc w:val="center"/>
        <w:textAlignment w:val="baseline"/>
        <w:rPr>
          <w:rFonts w:ascii="宋体" w:hAnsi="宋体" w:cs="宋体"/>
          <w:b/>
          <w:color w:val="auto"/>
          <w:sz w:val="52"/>
          <w:szCs w:val="52"/>
          <w:highlight w:val="none"/>
        </w:rPr>
      </w:pPr>
    </w:p>
    <w:p w14:paraId="309FCB09">
      <w:pPr>
        <w:spacing w:line="700" w:lineRule="exact"/>
        <w:textAlignment w:val="baseline"/>
        <w:rPr>
          <w:rFonts w:ascii="宋体" w:hAnsi="宋体" w:cs="宋体"/>
          <w:b/>
          <w:color w:val="auto"/>
          <w:sz w:val="36"/>
          <w:szCs w:val="36"/>
          <w:highlight w:val="none"/>
        </w:rPr>
      </w:pPr>
    </w:p>
    <w:p w14:paraId="765B022B">
      <w:pPr>
        <w:spacing w:line="700" w:lineRule="exact"/>
        <w:textAlignment w:val="baseline"/>
        <w:rPr>
          <w:rFonts w:ascii="宋体" w:hAnsi="宋体" w:cs="宋体"/>
          <w:b/>
          <w:color w:val="auto"/>
          <w:sz w:val="36"/>
          <w:szCs w:val="36"/>
          <w:highlight w:val="none"/>
        </w:rPr>
      </w:pPr>
    </w:p>
    <w:p w14:paraId="1F087EA6">
      <w:pPr>
        <w:spacing w:line="700" w:lineRule="exact"/>
        <w:textAlignment w:val="baseline"/>
        <w:rPr>
          <w:rFonts w:ascii="宋体" w:hAnsi="宋体" w:cs="宋体"/>
          <w:b/>
          <w:color w:val="auto"/>
          <w:sz w:val="36"/>
          <w:szCs w:val="36"/>
          <w:highlight w:val="none"/>
        </w:rPr>
      </w:pPr>
    </w:p>
    <w:p w14:paraId="35812D38">
      <w:pPr>
        <w:spacing w:line="500" w:lineRule="exact"/>
        <w:textAlignment w:val="baseline"/>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                中华人民共和国建设部</w:t>
      </w:r>
    </w:p>
    <w:p w14:paraId="0FFEA441">
      <w:pPr>
        <w:spacing w:line="500" w:lineRule="exact"/>
        <w:jc w:val="center"/>
        <w:textAlignment w:val="baseline"/>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                        制定</w:t>
      </w:r>
    </w:p>
    <w:p w14:paraId="6125D102">
      <w:pPr>
        <w:spacing w:line="500" w:lineRule="exact"/>
        <w:ind w:firstLine="1626" w:firstLineChars="450"/>
        <w:textAlignment w:val="baseline"/>
        <w:rPr>
          <w:rFonts w:ascii="宋体" w:hAnsi="宋体" w:cs="宋体"/>
          <w:b/>
          <w:bCs/>
          <w:color w:val="auto"/>
          <w:spacing w:val="20"/>
          <w:sz w:val="32"/>
          <w:szCs w:val="32"/>
          <w:highlight w:val="none"/>
        </w:rPr>
      </w:pPr>
      <w:r>
        <w:rPr>
          <w:rFonts w:hint="eastAsia" w:ascii="宋体" w:hAnsi="宋体" w:cs="宋体"/>
          <w:b/>
          <w:bCs/>
          <w:color w:val="auto"/>
          <w:spacing w:val="20"/>
          <w:sz w:val="32"/>
          <w:szCs w:val="32"/>
          <w:highlight w:val="none"/>
        </w:rPr>
        <w:t xml:space="preserve">     国家工商行政管理局</w:t>
      </w:r>
    </w:p>
    <w:p w14:paraId="2D1D68E7">
      <w:pPr>
        <w:pStyle w:val="4"/>
        <w:numPr>
          <w:ilvl w:val="2"/>
          <w:numId w:val="0"/>
        </w:numPr>
        <w:tabs>
          <w:tab w:val="left" w:pos="1200"/>
          <w:tab w:val="clear" w:pos="3690"/>
        </w:tabs>
        <w:jc w:val="center"/>
        <w:outlineLvl w:val="1"/>
        <w:rPr>
          <w:rFonts w:ascii="宋体" w:hAnsi="宋体"/>
          <w:b w:val="0"/>
          <w:color w:val="auto"/>
          <w:sz w:val="24"/>
          <w:szCs w:val="24"/>
          <w:highlight w:val="none"/>
        </w:rPr>
      </w:pPr>
      <w:r>
        <w:rPr>
          <w:rFonts w:ascii="宋体" w:hAnsi="宋体"/>
          <w:color w:val="auto"/>
          <w:sz w:val="52"/>
          <w:szCs w:val="52"/>
          <w:highlight w:val="none"/>
        </w:rPr>
        <w:br w:type="page"/>
      </w:r>
      <w:bookmarkStart w:id="360" w:name="_Toc27480"/>
      <w:bookmarkStart w:id="361" w:name="_Toc24092"/>
      <w:bookmarkStart w:id="362" w:name="_Toc18260"/>
      <w:r>
        <w:rPr>
          <w:rFonts w:hint="eastAsia" w:ascii="宋体" w:hAnsi="宋体"/>
          <w:color w:val="auto"/>
          <w:sz w:val="24"/>
          <w:szCs w:val="24"/>
          <w:highlight w:val="none"/>
        </w:rPr>
        <w:t>第一部分 合同协议书</w:t>
      </w:r>
      <w:bookmarkEnd w:id="360"/>
      <w:bookmarkEnd w:id="361"/>
      <w:bookmarkEnd w:id="362"/>
    </w:p>
    <w:p w14:paraId="400BDB06">
      <w:pPr>
        <w:spacing w:line="460" w:lineRule="exact"/>
        <w:rPr>
          <w:rFonts w:ascii="宋体" w:hAnsi="宋体"/>
          <w:b/>
          <w:color w:val="auto"/>
          <w:sz w:val="24"/>
          <w:szCs w:val="24"/>
          <w:highlight w:val="none"/>
          <w:u w:val="single"/>
        </w:rPr>
      </w:pPr>
      <w:r>
        <w:rPr>
          <w:rFonts w:hint="eastAsia" w:ascii="宋体" w:hAnsi="宋体"/>
          <w:b/>
          <w:color w:val="auto"/>
          <w:sz w:val="24"/>
          <w:szCs w:val="24"/>
          <w:highlight w:val="none"/>
        </w:rPr>
        <w:t>发包人（全称）：</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u w:val="single"/>
          <w:lang w:eastAsia="zh-CN"/>
        </w:rPr>
        <w:t>腾冲市团田乡人民政府</w:t>
      </w:r>
      <w:r>
        <w:rPr>
          <w:rFonts w:hint="eastAsia" w:ascii="宋体" w:hAnsi="宋体"/>
          <w:b/>
          <w:color w:val="auto"/>
          <w:sz w:val="24"/>
          <w:szCs w:val="24"/>
          <w:highlight w:val="none"/>
          <w:u w:val="single"/>
        </w:rPr>
        <w:t xml:space="preserve"> </w:t>
      </w:r>
    </w:p>
    <w:p w14:paraId="20AC6A22">
      <w:pPr>
        <w:rPr>
          <w:color w:val="auto"/>
          <w:highlight w:val="none"/>
        </w:rPr>
      </w:pPr>
      <w:r>
        <w:rPr>
          <w:rFonts w:hint="eastAsia" w:ascii="宋体" w:hAnsi="宋体"/>
          <w:b/>
          <w:color w:val="auto"/>
          <w:sz w:val="24"/>
          <w:szCs w:val="24"/>
          <w:highlight w:val="none"/>
        </w:rPr>
        <w:t>承包人（全称）：</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rPr>
        <w:t xml:space="preserve">                        </w:t>
      </w:r>
    </w:p>
    <w:p w14:paraId="0FA70717">
      <w:pPr>
        <w:spacing w:line="460" w:lineRule="exact"/>
        <w:rPr>
          <w:rFonts w:ascii="宋体" w:hAnsi="宋体"/>
          <w:b/>
          <w:color w:val="auto"/>
          <w:sz w:val="24"/>
          <w:szCs w:val="24"/>
          <w:highlight w:val="none"/>
          <w:u w:val="single"/>
        </w:rPr>
      </w:pPr>
    </w:p>
    <w:p w14:paraId="29157A02">
      <w:pPr>
        <w:spacing w:line="4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根据《中华人民共和国民法典》、《中华人民共和国建筑法》及有关法律规定，遵循平等、自愿、公平和诚实信用的原则，双方就</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lang w:val="en-US" w:eastAsia="zh-CN"/>
        </w:rPr>
        <w:t>项目</w:t>
      </w:r>
      <w:r>
        <w:rPr>
          <w:rFonts w:hint="eastAsia" w:ascii="宋体" w:hAnsi="宋体"/>
          <w:color w:val="auto"/>
          <w:sz w:val="24"/>
          <w:szCs w:val="24"/>
          <w:highlight w:val="none"/>
        </w:rPr>
        <w:t>及有关事项协商一致，共同达成如下协议：</w:t>
      </w:r>
    </w:p>
    <w:p w14:paraId="7CF83F73">
      <w:pPr>
        <w:pStyle w:val="5"/>
        <w:spacing w:before="120" w:after="120" w:line="460" w:lineRule="exact"/>
        <w:rPr>
          <w:rFonts w:ascii="宋体" w:hAnsi="宋体"/>
          <w:bCs w:val="0"/>
          <w:color w:val="auto"/>
          <w:sz w:val="24"/>
          <w:szCs w:val="24"/>
          <w:highlight w:val="none"/>
        </w:rPr>
      </w:pPr>
      <w:r>
        <w:rPr>
          <w:rFonts w:ascii="宋体" w:hAnsi="宋体"/>
          <w:bCs w:val="0"/>
          <w:color w:val="auto"/>
          <w:sz w:val="24"/>
          <w:szCs w:val="24"/>
          <w:highlight w:val="none"/>
        </w:rPr>
        <w:t xml:space="preserve">   </w:t>
      </w:r>
      <w:r>
        <w:rPr>
          <w:rFonts w:ascii="宋体" w:hAnsi="宋体"/>
          <w:b w:val="0"/>
          <w:color w:val="auto"/>
          <w:sz w:val="24"/>
          <w:szCs w:val="24"/>
          <w:highlight w:val="none"/>
        </w:rPr>
        <w:t xml:space="preserve"> </w:t>
      </w:r>
      <w:bookmarkStart w:id="363" w:name="_Toc351203481"/>
      <w:r>
        <w:rPr>
          <w:rFonts w:hint="eastAsia" w:ascii="宋体" w:hAnsi="宋体"/>
          <w:b w:val="0"/>
          <w:color w:val="auto"/>
          <w:sz w:val="24"/>
          <w:szCs w:val="24"/>
          <w:highlight w:val="none"/>
        </w:rPr>
        <w:t>一、工程概况</w:t>
      </w:r>
      <w:bookmarkEnd w:id="363"/>
    </w:p>
    <w:p w14:paraId="610E3AF1">
      <w:pPr>
        <w:spacing w:line="460" w:lineRule="exact"/>
        <w:ind w:firstLine="470" w:firstLineChars="196"/>
        <w:rPr>
          <w:rFonts w:ascii="宋体" w:hAnsi="宋体"/>
          <w:b/>
          <w:color w:val="auto"/>
          <w:sz w:val="24"/>
          <w:szCs w:val="24"/>
          <w:highlight w:val="none"/>
          <w:u w:val="single"/>
        </w:rPr>
      </w:pPr>
      <w:r>
        <w:rPr>
          <w:rFonts w:ascii="宋体" w:hAnsi="宋体"/>
          <w:bCs/>
          <w:color w:val="auto"/>
          <w:sz w:val="24"/>
          <w:szCs w:val="24"/>
          <w:highlight w:val="none"/>
        </w:rPr>
        <w:t>1.</w:t>
      </w:r>
      <w:r>
        <w:rPr>
          <w:rFonts w:hint="eastAsia" w:ascii="宋体" w:hAnsi="宋体"/>
          <w:bCs/>
          <w:color w:val="auto"/>
          <w:sz w:val="24"/>
          <w:szCs w:val="24"/>
          <w:highlight w:val="none"/>
        </w:rPr>
        <w:t>工程名称</w:t>
      </w:r>
      <w:r>
        <w:rPr>
          <w:rFonts w:hint="eastAsia" w:ascii="宋体" w:hAnsi="宋体"/>
          <w:color w:val="auto"/>
          <w:sz w:val="24"/>
          <w:szCs w:val="24"/>
          <w:highlight w:val="none"/>
        </w:rPr>
        <w:t>：</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w:t>
      </w:r>
    </w:p>
    <w:p w14:paraId="3885CD96">
      <w:pPr>
        <w:spacing w:line="460" w:lineRule="exact"/>
        <w:ind w:firstLine="470" w:firstLineChars="196"/>
        <w:rPr>
          <w:rFonts w:ascii="宋体" w:hAnsi="宋体"/>
          <w:b/>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工程地点：</w:t>
      </w:r>
      <w:r>
        <w:rPr>
          <w:rFonts w:hint="eastAsia" w:ascii="宋体" w:hAnsi="宋体"/>
          <w:b/>
          <w:color w:val="auto"/>
          <w:sz w:val="24"/>
          <w:szCs w:val="24"/>
          <w:highlight w:val="none"/>
          <w:u w:val="single"/>
        </w:rPr>
        <w:t xml:space="preserve"> </w:t>
      </w:r>
      <w:r>
        <w:rPr>
          <w:rFonts w:hint="eastAsia" w:ascii="宋体" w:hAnsi="宋体"/>
          <w:b/>
          <w:bCs/>
          <w:color w:val="auto"/>
          <w:sz w:val="24"/>
          <w:szCs w:val="24"/>
          <w:highlight w:val="none"/>
          <w:u w:val="single"/>
        </w:rPr>
        <w:t xml:space="preserve">              </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w:t>
      </w:r>
    </w:p>
    <w:p w14:paraId="799BF790">
      <w:pPr>
        <w:adjustRightInd w:val="0"/>
        <w:snapToGrid w:val="0"/>
        <w:spacing w:line="46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3.工程立项批准文号：</w:t>
      </w:r>
      <w:r>
        <w:rPr>
          <w:rFonts w:hint="eastAsia" w:ascii="宋体" w:hAnsi="宋体"/>
          <w:bCs/>
          <w:color w:val="auto"/>
          <w:sz w:val="24"/>
          <w:szCs w:val="24"/>
          <w:highlight w:val="none"/>
          <w:u w:val="single"/>
        </w:rPr>
        <w:t>/</w:t>
      </w:r>
      <w:r>
        <w:rPr>
          <w:rFonts w:hint="eastAsia" w:ascii="宋体" w:hAnsi="宋体"/>
          <w:bCs/>
          <w:color w:val="auto"/>
          <w:sz w:val="24"/>
          <w:szCs w:val="24"/>
          <w:highlight w:val="none"/>
        </w:rPr>
        <w:t xml:space="preserve"> 。</w:t>
      </w:r>
    </w:p>
    <w:p w14:paraId="7354F696">
      <w:pPr>
        <w:adjustRightInd w:val="0"/>
        <w:snapToGrid w:val="0"/>
        <w:spacing w:line="46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4.资金来源：</w:t>
      </w:r>
      <w:r>
        <w:rPr>
          <w:rFonts w:hint="eastAsia" w:ascii="宋体" w:hAnsi="宋体"/>
          <w:bCs/>
          <w:color w:val="auto"/>
          <w:sz w:val="24"/>
          <w:szCs w:val="24"/>
          <w:highlight w:val="none"/>
          <w:u w:val="single"/>
        </w:rPr>
        <w:t>财政性资金，已落实</w:t>
      </w:r>
      <w:r>
        <w:rPr>
          <w:rFonts w:hint="eastAsia" w:ascii="宋体" w:hAnsi="宋体"/>
          <w:bCs/>
          <w:color w:val="auto"/>
          <w:sz w:val="24"/>
          <w:szCs w:val="24"/>
          <w:highlight w:val="none"/>
        </w:rPr>
        <w:t>。</w:t>
      </w:r>
    </w:p>
    <w:p w14:paraId="0E9648BA">
      <w:pPr>
        <w:spacing w:line="360" w:lineRule="auto"/>
        <w:ind w:firstLine="456" w:firstLineChars="190"/>
        <w:rPr>
          <w:rFonts w:ascii="宋体" w:hAnsi="宋体"/>
          <w:bCs/>
          <w:color w:val="auto"/>
          <w:sz w:val="24"/>
          <w:szCs w:val="24"/>
          <w:highlight w:val="none"/>
        </w:rPr>
      </w:pPr>
      <w:r>
        <w:rPr>
          <w:rFonts w:ascii="宋体" w:hAnsi="宋体"/>
          <w:bCs/>
          <w:color w:val="auto"/>
          <w:sz w:val="24"/>
          <w:szCs w:val="24"/>
          <w:highlight w:val="none"/>
        </w:rPr>
        <w:t>5.</w:t>
      </w:r>
      <w:r>
        <w:rPr>
          <w:rFonts w:hint="eastAsia" w:ascii="宋体" w:hAnsi="宋体"/>
          <w:bCs/>
          <w:color w:val="auto"/>
          <w:sz w:val="24"/>
          <w:szCs w:val="24"/>
          <w:highlight w:val="none"/>
        </w:rPr>
        <w:t>工程内容：</w:t>
      </w:r>
    </w:p>
    <w:p w14:paraId="6BFFFBE0">
      <w:pPr>
        <w:spacing w:line="360" w:lineRule="auto"/>
        <w:ind w:firstLine="456" w:firstLineChars="190"/>
        <w:rPr>
          <w:rFonts w:ascii="宋体" w:hAnsi="宋体" w:cs="宋体"/>
          <w:color w:val="auto"/>
          <w:sz w:val="24"/>
          <w:szCs w:val="24"/>
          <w:highlight w:val="none"/>
        </w:rPr>
      </w:pPr>
      <w:r>
        <w:rPr>
          <w:rFonts w:hint="eastAsia" w:ascii="宋体" w:hAnsi="宋体"/>
          <w:snapToGrid w:val="0"/>
          <w:color w:val="auto"/>
          <w:kern w:val="21"/>
          <w:sz w:val="24"/>
          <w:highlight w:val="none"/>
          <w:u w:val="single"/>
        </w:rPr>
        <w:t xml:space="preserve">                      </w:t>
      </w:r>
      <w:r>
        <w:rPr>
          <w:rFonts w:hint="eastAsia" w:ascii="宋体" w:hAnsi="宋体" w:cs="宋体"/>
          <w:color w:val="auto"/>
          <w:sz w:val="24"/>
          <w:szCs w:val="24"/>
          <w:highlight w:val="none"/>
        </w:rPr>
        <w:t>。</w:t>
      </w:r>
    </w:p>
    <w:p w14:paraId="1A681FCC">
      <w:pPr>
        <w:spacing w:line="360" w:lineRule="auto"/>
        <w:ind w:firstLine="456" w:firstLineChars="190"/>
        <w:rPr>
          <w:rFonts w:ascii="宋体" w:hAnsi="宋体"/>
          <w:bCs/>
          <w:color w:val="auto"/>
          <w:sz w:val="24"/>
          <w:szCs w:val="24"/>
          <w:highlight w:val="none"/>
          <w:u w:val="single"/>
        </w:rPr>
      </w:pPr>
      <w:r>
        <w:rPr>
          <w:rFonts w:hint="eastAsia" w:ascii="宋体" w:hAnsi="宋体" w:cs="宋体"/>
          <w:color w:val="auto"/>
          <w:sz w:val="24"/>
          <w:szCs w:val="24"/>
          <w:highlight w:val="none"/>
        </w:rPr>
        <w:t>具体内容详见工程量清单。</w:t>
      </w:r>
    </w:p>
    <w:p w14:paraId="12CB7874">
      <w:pPr>
        <w:spacing w:line="460" w:lineRule="exact"/>
        <w:ind w:firstLine="470" w:firstLineChars="196"/>
        <w:rPr>
          <w:rFonts w:ascii="宋体" w:hAnsi="宋体"/>
          <w:bCs/>
          <w:color w:val="auto"/>
          <w:sz w:val="24"/>
          <w:szCs w:val="24"/>
          <w:highlight w:val="none"/>
        </w:rPr>
      </w:pPr>
      <w:r>
        <w:rPr>
          <w:rFonts w:ascii="宋体" w:hAnsi="宋体"/>
          <w:bCs/>
          <w:color w:val="auto"/>
          <w:sz w:val="24"/>
          <w:szCs w:val="24"/>
          <w:highlight w:val="none"/>
        </w:rPr>
        <w:t>6.</w:t>
      </w:r>
      <w:r>
        <w:rPr>
          <w:rFonts w:hint="eastAsia" w:ascii="宋体" w:hAnsi="宋体"/>
          <w:bCs/>
          <w:color w:val="auto"/>
          <w:sz w:val="24"/>
          <w:szCs w:val="24"/>
          <w:highlight w:val="none"/>
        </w:rPr>
        <w:t>工程承包范围：</w:t>
      </w:r>
    </w:p>
    <w:p w14:paraId="5B88F05D">
      <w:pPr>
        <w:spacing w:line="460" w:lineRule="exact"/>
        <w:ind w:firstLine="463" w:firstLineChars="193"/>
        <w:rPr>
          <w:rFonts w:ascii="宋体" w:hAnsi="宋体"/>
          <w:bCs/>
          <w:color w:val="auto"/>
          <w:sz w:val="24"/>
          <w:szCs w:val="24"/>
          <w:highlight w:val="none"/>
        </w:rPr>
      </w:pPr>
      <w:r>
        <w:rPr>
          <w:rFonts w:hint="eastAsia" w:ascii="宋体" w:hAnsi="宋体"/>
          <w:bCs/>
          <w:color w:val="auto"/>
          <w:sz w:val="24"/>
          <w:szCs w:val="24"/>
          <w:highlight w:val="none"/>
        </w:rPr>
        <w:t>完成</w:t>
      </w:r>
      <w:r>
        <w:rPr>
          <w:rFonts w:hint="eastAsia" w:ascii="宋体" w:hAnsi="宋体"/>
          <w:bCs/>
          <w:color w:val="auto"/>
          <w:sz w:val="24"/>
          <w:szCs w:val="24"/>
          <w:highlight w:val="none"/>
          <w:lang w:eastAsia="zh-CN"/>
        </w:rPr>
        <w:t>腾冲市团田乡人民政府</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所包含的所有工作内容，具体以发包人提供的工程量清单为准，成交后在中标价的范围内根据实际调整；</w:t>
      </w:r>
    </w:p>
    <w:p w14:paraId="53FFEED9">
      <w:pPr>
        <w:pStyle w:val="5"/>
        <w:spacing w:before="120" w:after="120" w:line="460" w:lineRule="exact"/>
        <w:rPr>
          <w:rFonts w:ascii="宋体" w:hAnsi="宋体"/>
          <w:b w:val="0"/>
          <w:color w:val="auto"/>
          <w:sz w:val="24"/>
          <w:szCs w:val="24"/>
          <w:highlight w:val="none"/>
        </w:rPr>
      </w:pPr>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 </w:t>
      </w:r>
      <w:r>
        <w:rPr>
          <w:rFonts w:ascii="宋体" w:hAnsi="宋体"/>
          <w:b w:val="0"/>
          <w:color w:val="auto"/>
          <w:sz w:val="24"/>
          <w:szCs w:val="24"/>
          <w:highlight w:val="none"/>
        </w:rPr>
        <w:t xml:space="preserve"> </w:t>
      </w:r>
      <w:bookmarkStart w:id="364" w:name="_Toc351203482"/>
      <w:r>
        <w:rPr>
          <w:rFonts w:hint="eastAsia" w:ascii="宋体" w:hAnsi="宋体"/>
          <w:b w:val="0"/>
          <w:color w:val="auto"/>
          <w:sz w:val="24"/>
          <w:szCs w:val="24"/>
          <w:highlight w:val="none"/>
        </w:rPr>
        <w:t>二、</w:t>
      </w:r>
      <w:bookmarkEnd w:id="364"/>
      <w:r>
        <w:rPr>
          <w:rFonts w:hint="eastAsia" w:ascii="宋体" w:hAnsi="宋体"/>
          <w:b w:val="0"/>
          <w:color w:val="auto"/>
          <w:sz w:val="24"/>
          <w:szCs w:val="24"/>
          <w:highlight w:val="none"/>
        </w:rPr>
        <w:t>合同工期：</w:t>
      </w:r>
    </w:p>
    <w:p w14:paraId="582F1A0C">
      <w:pPr>
        <w:spacing w:line="460" w:lineRule="exact"/>
        <w:ind w:firstLine="470" w:firstLineChars="196"/>
        <w:rPr>
          <w:rFonts w:ascii="宋体" w:hAnsi="宋体"/>
          <w:bCs/>
          <w:color w:val="auto"/>
          <w:sz w:val="24"/>
          <w:szCs w:val="24"/>
          <w:highlight w:val="none"/>
        </w:rPr>
      </w:pPr>
      <w:r>
        <w:rPr>
          <w:rFonts w:hint="eastAsia" w:ascii="宋体" w:hAnsi="宋体"/>
          <w:bCs/>
          <w:color w:val="auto"/>
          <w:sz w:val="24"/>
          <w:szCs w:val="24"/>
          <w:highlight w:val="none"/>
        </w:rPr>
        <w:t>自合同签订生效之日起</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60</w:t>
      </w:r>
      <w:r>
        <w:rPr>
          <w:rFonts w:hint="eastAsia" w:ascii="宋体" w:hAnsi="宋体"/>
          <w:bCs/>
          <w:color w:val="auto"/>
          <w:sz w:val="24"/>
          <w:szCs w:val="24"/>
          <w:highlight w:val="none"/>
          <w:u w:val="single"/>
          <w:lang w:eastAsia="zh-CN"/>
        </w:rPr>
        <w:t>个日历天</w:t>
      </w:r>
      <w:r>
        <w:rPr>
          <w:rFonts w:ascii="宋体" w:hAnsi="宋体"/>
          <w:bCs/>
          <w:color w:val="auto"/>
          <w:sz w:val="24"/>
          <w:szCs w:val="24"/>
          <w:highlight w:val="none"/>
        </w:rPr>
        <w:t>完工</w:t>
      </w:r>
      <w:r>
        <w:rPr>
          <w:rFonts w:hint="eastAsia" w:ascii="宋体" w:hAnsi="宋体"/>
          <w:bCs/>
          <w:color w:val="auto"/>
          <w:sz w:val="24"/>
          <w:szCs w:val="24"/>
          <w:highlight w:val="none"/>
        </w:rPr>
        <w:t>并经发包人验收合格。</w:t>
      </w:r>
    </w:p>
    <w:p w14:paraId="519F64EC">
      <w:pPr>
        <w:pStyle w:val="5"/>
        <w:spacing w:before="120" w:after="120" w:line="460" w:lineRule="exact"/>
        <w:rPr>
          <w:rFonts w:ascii="宋体" w:hAnsi="宋体"/>
          <w:bCs w:val="0"/>
          <w:color w:val="auto"/>
          <w:sz w:val="24"/>
          <w:szCs w:val="24"/>
          <w:highlight w:val="none"/>
        </w:rPr>
      </w:pPr>
      <w:r>
        <w:rPr>
          <w:rFonts w:ascii="宋体" w:hAnsi="宋体"/>
          <w:bCs w:val="0"/>
          <w:color w:val="auto"/>
          <w:sz w:val="24"/>
          <w:szCs w:val="24"/>
          <w:highlight w:val="none"/>
        </w:rPr>
        <w:t xml:space="preserve">    </w:t>
      </w:r>
      <w:bookmarkStart w:id="365" w:name="_Toc351203483"/>
      <w:r>
        <w:rPr>
          <w:rFonts w:hint="eastAsia" w:ascii="宋体" w:hAnsi="宋体"/>
          <w:b w:val="0"/>
          <w:color w:val="auto"/>
          <w:sz w:val="24"/>
          <w:szCs w:val="24"/>
          <w:highlight w:val="none"/>
        </w:rPr>
        <w:t>三、质量标准</w:t>
      </w:r>
      <w:bookmarkEnd w:id="365"/>
    </w:p>
    <w:p w14:paraId="5FE2E9C8">
      <w:pPr>
        <w:spacing w:line="460" w:lineRule="exact"/>
        <w:ind w:firstLine="459"/>
        <w:rPr>
          <w:rFonts w:ascii="宋体" w:hAnsi="宋体"/>
          <w:color w:val="auto"/>
          <w:sz w:val="24"/>
          <w:szCs w:val="24"/>
          <w:highlight w:val="none"/>
        </w:rPr>
      </w:pPr>
      <w:r>
        <w:rPr>
          <w:rFonts w:hint="eastAsia" w:ascii="宋体" w:hAnsi="宋体"/>
          <w:color w:val="auto"/>
          <w:sz w:val="24"/>
          <w:szCs w:val="24"/>
          <w:highlight w:val="none"/>
        </w:rPr>
        <w:t>工程质量符合</w:t>
      </w:r>
      <w:r>
        <w:rPr>
          <w:rFonts w:hint="eastAsia" w:ascii="宋体" w:hAnsi="宋体"/>
          <w:color w:val="auto"/>
          <w:sz w:val="24"/>
          <w:szCs w:val="24"/>
          <w:highlight w:val="none"/>
          <w:u w:val="single"/>
        </w:rPr>
        <w:t>国家及云南省相关规范要求，一次性验收合格</w:t>
      </w:r>
      <w:r>
        <w:rPr>
          <w:rFonts w:hint="eastAsia" w:ascii="宋体" w:hAnsi="宋体"/>
          <w:color w:val="auto"/>
          <w:sz w:val="24"/>
          <w:szCs w:val="24"/>
          <w:highlight w:val="none"/>
        </w:rPr>
        <w:t>标准。</w:t>
      </w:r>
    </w:p>
    <w:p w14:paraId="4307AEF7">
      <w:pPr>
        <w:pStyle w:val="5"/>
        <w:spacing w:before="120" w:after="120" w:line="460" w:lineRule="exact"/>
        <w:rPr>
          <w:rFonts w:ascii="宋体" w:hAnsi="宋体"/>
          <w:bCs w:val="0"/>
          <w:color w:val="auto"/>
          <w:sz w:val="24"/>
          <w:szCs w:val="24"/>
          <w:highlight w:val="none"/>
        </w:rPr>
      </w:pPr>
      <w:r>
        <w:rPr>
          <w:rFonts w:ascii="宋体" w:hAnsi="宋体"/>
          <w:bCs w:val="0"/>
          <w:color w:val="auto"/>
          <w:sz w:val="24"/>
          <w:szCs w:val="24"/>
          <w:highlight w:val="none"/>
        </w:rPr>
        <w:t xml:space="preserve">   </w:t>
      </w:r>
      <w:r>
        <w:rPr>
          <w:rFonts w:ascii="宋体" w:hAnsi="宋体"/>
          <w:b w:val="0"/>
          <w:color w:val="auto"/>
          <w:sz w:val="24"/>
          <w:szCs w:val="24"/>
          <w:highlight w:val="none"/>
        </w:rPr>
        <w:t xml:space="preserve"> </w:t>
      </w:r>
      <w:bookmarkStart w:id="366" w:name="_Toc351203484"/>
      <w:r>
        <w:rPr>
          <w:rFonts w:hint="eastAsia" w:ascii="宋体" w:hAnsi="宋体"/>
          <w:b w:val="0"/>
          <w:color w:val="auto"/>
          <w:sz w:val="24"/>
          <w:szCs w:val="24"/>
          <w:highlight w:val="none"/>
        </w:rPr>
        <w:t>四、签约合同价与合同价格形式</w:t>
      </w:r>
      <w:bookmarkEnd w:id="366"/>
      <w:r>
        <w:rPr>
          <w:rFonts w:ascii="宋体" w:hAnsi="宋体"/>
          <w:b w:val="0"/>
          <w:color w:val="auto"/>
          <w:sz w:val="24"/>
          <w:szCs w:val="24"/>
          <w:highlight w:val="none"/>
        </w:rPr>
        <w:tab/>
      </w:r>
    </w:p>
    <w:p w14:paraId="50247E8F">
      <w:pPr>
        <w:spacing w:line="460" w:lineRule="exact"/>
        <w:ind w:left="959" w:leftChars="228" w:hanging="480" w:hangingChars="20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签约合同暂定总价(含税价)为: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人民币（大写）</w:t>
      </w:r>
    </w:p>
    <w:p w14:paraId="6B6A5ECC">
      <w:pPr>
        <w:spacing w:line="460" w:lineRule="exact"/>
        <w:ind w:left="959" w:leftChars="228" w:hanging="480" w:hangingChars="200"/>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b/>
          <w:bCs/>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rPr>
        <w:t>(¥</w:t>
      </w:r>
      <w:r>
        <w:rPr>
          <w:rFonts w:hint="eastAsia" w:ascii="宋体" w:hAnsi="宋体"/>
          <w:b/>
          <w:bCs/>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元</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 xml:space="preserve"> </w:t>
      </w:r>
    </w:p>
    <w:p w14:paraId="13D30A2D">
      <w:pPr>
        <w:spacing w:line="460" w:lineRule="exact"/>
        <w:ind w:firstLine="482" w:firstLineChars="200"/>
        <w:rPr>
          <w:rFonts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）安全文明施工费：</w:t>
      </w:r>
    </w:p>
    <w:p w14:paraId="4D03E8D0">
      <w:pPr>
        <w:spacing w:line="460" w:lineRule="exact"/>
        <w:ind w:firstLine="1080" w:firstLineChars="450"/>
        <w:rPr>
          <w:rFonts w:ascii="宋体" w:hAnsi="宋体"/>
          <w:color w:val="auto"/>
          <w:sz w:val="24"/>
          <w:szCs w:val="24"/>
          <w:highlight w:val="none"/>
        </w:rPr>
      </w:pPr>
      <w:r>
        <w:rPr>
          <w:rFonts w:hint="eastAsia" w:ascii="宋体" w:hAnsi="宋体"/>
          <w:color w:val="auto"/>
          <w:sz w:val="24"/>
          <w:szCs w:val="24"/>
          <w:highlight w:val="none"/>
        </w:rPr>
        <w:t>人民币（大写）</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元</w:t>
      </w:r>
      <w:r>
        <w:rPr>
          <w:rFonts w:ascii="宋体" w:hAnsi="宋体"/>
          <w:color w:val="auto"/>
          <w:sz w:val="24"/>
          <w:szCs w:val="24"/>
          <w:highlight w:val="none"/>
        </w:rPr>
        <w:t>)</w:t>
      </w:r>
      <w:r>
        <w:rPr>
          <w:rFonts w:hint="eastAsia" w:ascii="宋体" w:hAnsi="宋体"/>
          <w:color w:val="auto"/>
          <w:sz w:val="24"/>
          <w:szCs w:val="24"/>
          <w:highlight w:val="none"/>
        </w:rPr>
        <w:t>；</w:t>
      </w:r>
    </w:p>
    <w:p w14:paraId="08C885A0">
      <w:pPr>
        <w:spacing w:line="46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）材料和工程设备暂估价金额：</w:t>
      </w:r>
    </w:p>
    <w:p w14:paraId="4CB30180">
      <w:pPr>
        <w:spacing w:line="460" w:lineRule="exact"/>
        <w:ind w:firstLine="1080" w:firstLineChars="450"/>
        <w:rPr>
          <w:rFonts w:ascii="宋体" w:hAnsi="宋体"/>
          <w:color w:val="auto"/>
          <w:sz w:val="24"/>
          <w:szCs w:val="24"/>
          <w:highlight w:val="none"/>
        </w:rPr>
      </w:pPr>
      <w:r>
        <w:rPr>
          <w:rFonts w:hint="eastAsia" w:ascii="宋体" w:hAnsi="宋体"/>
          <w:color w:val="auto"/>
          <w:sz w:val="24"/>
          <w:szCs w:val="24"/>
          <w:highlight w:val="none"/>
        </w:rPr>
        <w:t>人民币（大写）</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w:t>
      </w:r>
      <w:r>
        <w:rPr>
          <w:rFonts w:ascii="宋体" w:hAnsi="宋体"/>
          <w:color w:val="auto"/>
          <w:sz w:val="24"/>
          <w:szCs w:val="24"/>
          <w:highlight w:val="none"/>
          <w:u w:val="single"/>
        </w:rPr>
        <w:t xml:space="preserve">   </w:t>
      </w:r>
      <w:r>
        <w:rPr>
          <w:rFonts w:hint="eastAsia" w:ascii="宋体" w:hAnsi="宋体"/>
          <w:color w:val="auto"/>
          <w:sz w:val="24"/>
          <w:szCs w:val="24"/>
          <w:highlight w:val="none"/>
        </w:rPr>
        <w:t>元</w:t>
      </w:r>
      <w:r>
        <w:rPr>
          <w:rFonts w:ascii="宋体" w:hAnsi="宋体"/>
          <w:color w:val="auto"/>
          <w:sz w:val="24"/>
          <w:szCs w:val="24"/>
          <w:highlight w:val="none"/>
        </w:rPr>
        <w:t>)</w:t>
      </w:r>
      <w:r>
        <w:rPr>
          <w:rFonts w:hint="eastAsia" w:ascii="宋体" w:hAnsi="宋体"/>
          <w:color w:val="auto"/>
          <w:sz w:val="24"/>
          <w:szCs w:val="24"/>
          <w:highlight w:val="none"/>
        </w:rPr>
        <w:t>；</w:t>
      </w:r>
    </w:p>
    <w:p w14:paraId="5D83633D">
      <w:pPr>
        <w:spacing w:line="4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3</w:t>
      </w:r>
      <w:r>
        <w:rPr>
          <w:rFonts w:hint="eastAsia" w:ascii="宋体" w:hAnsi="宋体"/>
          <w:color w:val="auto"/>
          <w:sz w:val="24"/>
          <w:szCs w:val="24"/>
          <w:highlight w:val="none"/>
        </w:rPr>
        <w:t>）专业工程暂估价金额：</w:t>
      </w:r>
    </w:p>
    <w:p w14:paraId="29AD525A">
      <w:pPr>
        <w:spacing w:line="460" w:lineRule="exact"/>
        <w:ind w:firstLine="960" w:firstLineChars="400"/>
        <w:rPr>
          <w:rFonts w:ascii="宋体" w:hAnsi="宋体"/>
          <w:color w:val="auto"/>
          <w:sz w:val="24"/>
          <w:szCs w:val="24"/>
          <w:highlight w:val="none"/>
        </w:rPr>
      </w:pPr>
      <w:r>
        <w:rPr>
          <w:rFonts w:hint="eastAsia" w:ascii="宋体" w:hAnsi="宋体"/>
          <w:color w:val="auto"/>
          <w:sz w:val="24"/>
          <w:szCs w:val="24"/>
          <w:highlight w:val="none"/>
        </w:rPr>
        <w:t>人民币（大写）</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 xml:space="preserve"> (¥</w:t>
      </w:r>
      <w:r>
        <w:rPr>
          <w:rFonts w:hint="eastAsia" w:ascii="宋体" w:hAnsi="宋体"/>
          <w:color w:val="auto"/>
          <w:sz w:val="24"/>
          <w:szCs w:val="24"/>
          <w:highlight w:val="none"/>
          <w:u w:val="single"/>
        </w:rPr>
        <w:t xml:space="preserve">    /   元)</w:t>
      </w:r>
      <w:r>
        <w:rPr>
          <w:rFonts w:hint="eastAsia" w:ascii="宋体" w:hAnsi="宋体"/>
          <w:color w:val="auto"/>
          <w:sz w:val="24"/>
          <w:szCs w:val="24"/>
          <w:highlight w:val="none"/>
        </w:rPr>
        <w:t>；</w:t>
      </w:r>
    </w:p>
    <w:p w14:paraId="517C297F">
      <w:pPr>
        <w:spacing w:line="4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4</w:t>
      </w:r>
      <w:r>
        <w:rPr>
          <w:rFonts w:hint="eastAsia" w:ascii="宋体" w:hAnsi="宋体"/>
          <w:color w:val="auto"/>
          <w:sz w:val="24"/>
          <w:szCs w:val="24"/>
          <w:highlight w:val="none"/>
        </w:rPr>
        <w:t>）暂列金额：</w:t>
      </w:r>
    </w:p>
    <w:p w14:paraId="3C1C410F">
      <w:pPr>
        <w:spacing w:line="460" w:lineRule="exact"/>
        <w:ind w:firstLine="1080" w:firstLineChars="450"/>
        <w:rPr>
          <w:rFonts w:ascii="宋体" w:hAnsi="宋体"/>
          <w:color w:val="auto"/>
          <w:sz w:val="24"/>
          <w:szCs w:val="24"/>
          <w:highlight w:val="none"/>
        </w:rPr>
      </w:pPr>
      <w:r>
        <w:rPr>
          <w:rFonts w:hint="eastAsia" w:ascii="宋体" w:hAnsi="宋体"/>
          <w:color w:val="auto"/>
          <w:sz w:val="24"/>
          <w:szCs w:val="24"/>
          <w:highlight w:val="none"/>
        </w:rPr>
        <w:t>人民币（大写）</w:t>
      </w:r>
      <w:r>
        <w:rPr>
          <w:rFonts w:hint="eastAsia" w:ascii="宋体" w:hAnsi="宋体"/>
          <w:color w:val="auto"/>
          <w:sz w:val="24"/>
          <w:szCs w:val="24"/>
          <w:highlight w:val="none"/>
          <w:u w:val="single"/>
        </w:rPr>
        <w:t xml:space="preserve">   </w:t>
      </w:r>
      <w:r>
        <w:rPr>
          <w:rFonts w:ascii="宋体" w:hAnsi="宋体"/>
          <w:b/>
          <w:bCs/>
          <w:color w:val="auto"/>
          <w:sz w:val="24"/>
          <w:szCs w:val="24"/>
          <w:highlight w:val="none"/>
          <w:u w:val="single"/>
        </w:rPr>
        <w:t xml:space="preserve"> </w:t>
      </w:r>
      <w:r>
        <w:rPr>
          <w:rFonts w:hint="eastAsia" w:ascii="宋体" w:hAnsi="宋体"/>
          <w:b/>
          <w:bCs/>
          <w:color w:val="auto"/>
          <w:sz w:val="24"/>
          <w:szCs w:val="24"/>
          <w:highlight w:val="none"/>
          <w:u w:val="single"/>
        </w:rPr>
        <w:t xml:space="preserve">/     </w:t>
      </w:r>
      <w:r>
        <w:rPr>
          <w:rFonts w:ascii="宋体" w:hAnsi="宋体"/>
          <w:color w:val="auto"/>
          <w:sz w:val="24"/>
          <w:szCs w:val="24"/>
          <w:highlight w:val="none"/>
        </w:rPr>
        <w:t>(¥</w:t>
      </w:r>
      <w:r>
        <w:rPr>
          <w:rFonts w:ascii="宋体" w:hAnsi="宋体"/>
          <w:color w:val="auto"/>
          <w:sz w:val="24"/>
          <w:szCs w:val="24"/>
          <w:highlight w:val="none"/>
          <w:u w:val="single"/>
        </w:rPr>
        <w:t xml:space="preserve"> </w:t>
      </w:r>
      <w:r>
        <w:rPr>
          <w:rFonts w:hint="eastAsia" w:ascii="宋体" w:hAnsi="宋体"/>
          <w:b/>
          <w:bCs/>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b/>
          <w:bCs/>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元</w:t>
      </w:r>
      <w:r>
        <w:rPr>
          <w:rFonts w:ascii="宋体" w:hAnsi="宋体"/>
          <w:color w:val="auto"/>
          <w:sz w:val="24"/>
          <w:szCs w:val="24"/>
          <w:highlight w:val="none"/>
        </w:rPr>
        <w:t>)</w:t>
      </w:r>
      <w:r>
        <w:rPr>
          <w:rFonts w:hint="eastAsia" w:ascii="宋体" w:hAnsi="宋体"/>
          <w:color w:val="auto"/>
          <w:sz w:val="24"/>
          <w:szCs w:val="24"/>
          <w:highlight w:val="none"/>
        </w:rPr>
        <w:t>。</w:t>
      </w:r>
    </w:p>
    <w:p w14:paraId="437932A0">
      <w:pPr>
        <w:spacing w:line="460" w:lineRule="exact"/>
        <w:ind w:firstLine="480" w:firstLineChars="20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合同价格形式：</w:t>
      </w:r>
      <w:r>
        <w:rPr>
          <w:rFonts w:hint="eastAsia" w:ascii="宋体" w:hAnsi="宋体"/>
          <w:b/>
          <w:color w:val="auto"/>
          <w:sz w:val="24"/>
          <w:szCs w:val="24"/>
          <w:highlight w:val="none"/>
          <w:u w:val="single"/>
        </w:rPr>
        <w:t>固定综合单价</w:t>
      </w:r>
      <w:r>
        <w:rPr>
          <w:rFonts w:hint="eastAsia" w:ascii="宋体" w:hAnsi="宋体" w:cs="宋体"/>
          <w:b/>
          <w:bCs/>
          <w:color w:val="auto"/>
          <w:sz w:val="24"/>
          <w:szCs w:val="24"/>
          <w:highlight w:val="none"/>
        </w:rPr>
        <w:t>（中标的工程量清单综合单价）</w:t>
      </w:r>
      <w:r>
        <w:rPr>
          <w:rFonts w:hint="eastAsia" w:ascii="宋体" w:hAnsi="宋体"/>
          <w:color w:val="auto"/>
          <w:sz w:val="24"/>
          <w:szCs w:val="24"/>
          <w:highlight w:val="none"/>
        </w:rPr>
        <w:t>。</w:t>
      </w:r>
    </w:p>
    <w:p w14:paraId="0BA891C5">
      <w:pPr>
        <w:pStyle w:val="5"/>
        <w:spacing w:before="120" w:after="120" w:line="460" w:lineRule="exact"/>
        <w:rPr>
          <w:rFonts w:ascii="宋体" w:hAnsi="宋体"/>
          <w:b w:val="0"/>
          <w:color w:val="auto"/>
          <w:sz w:val="24"/>
          <w:szCs w:val="24"/>
          <w:highlight w:val="none"/>
        </w:rPr>
      </w:pPr>
      <w:r>
        <w:rPr>
          <w:rFonts w:ascii="宋体" w:hAnsi="宋体"/>
          <w:bCs w:val="0"/>
          <w:color w:val="auto"/>
          <w:sz w:val="24"/>
          <w:szCs w:val="24"/>
          <w:highlight w:val="none"/>
        </w:rPr>
        <w:t xml:space="preserve">   </w:t>
      </w:r>
      <w:r>
        <w:rPr>
          <w:rFonts w:ascii="宋体" w:hAnsi="宋体"/>
          <w:b w:val="0"/>
          <w:color w:val="auto"/>
          <w:sz w:val="24"/>
          <w:szCs w:val="24"/>
          <w:highlight w:val="none"/>
        </w:rPr>
        <w:t xml:space="preserve"> </w:t>
      </w:r>
      <w:bookmarkStart w:id="367" w:name="_Toc351203485"/>
      <w:r>
        <w:rPr>
          <w:rFonts w:hint="eastAsia" w:ascii="宋体" w:hAnsi="宋体"/>
          <w:b w:val="0"/>
          <w:color w:val="auto"/>
          <w:sz w:val="24"/>
          <w:szCs w:val="24"/>
          <w:highlight w:val="none"/>
        </w:rPr>
        <w:t>五、</w:t>
      </w:r>
      <w:bookmarkEnd w:id="367"/>
      <w:r>
        <w:rPr>
          <w:rFonts w:hint="eastAsia" w:ascii="宋体" w:hAnsi="宋体"/>
          <w:b w:val="0"/>
          <w:color w:val="auto"/>
          <w:sz w:val="24"/>
          <w:szCs w:val="24"/>
          <w:highlight w:val="none"/>
        </w:rPr>
        <w:t>项目经理</w:t>
      </w:r>
    </w:p>
    <w:p w14:paraId="5C6A4F5C">
      <w:pPr>
        <w:spacing w:line="4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承包人项目经理：</w:t>
      </w:r>
      <w:r>
        <w:rPr>
          <w:rFonts w:hint="eastAsia" w:ascii="宋体" w:hAnsi="宋体"/>
          <w:color w:val="auto"/>
          <w:sz w:val="24"/>
          <w:szCs w:val="24"/>
          <w:highlight w:val="none"/>
          <w:u w:val="single"/>
        </w:rPr>
        <w:t xml:space="preserve">  </w:t>
      </w:r>
      <w:r>
        <w:rPr>
          <w:rFonts w:hint="eastAsia" w:ascii="宋体" w:hAnsi="宋体"/>
          <w:b/>
          <w:bCs/>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p>
    <w:p w14:paraId="51552327">
      <w:pPr>
        <w:pStyle w:val="5"/>
        <w:spacing w:before="120" w:after="120" w:line="460" w:lineRule="exact"/>
        <w:rPr>
          <w:rFonts w:ascii="宋体" w:hAnsi="宋体"/>
          <w:bCs w:val="0"/>
          <w:color w:val="auto"/>
          <w:sz w:val="24"/>
          <w:szCs w:val="24"/>
          <w:highlight w:val="none"/>
        </w:rPr>
      </w:pPr>
      <w:r>
        <w:rPr>
          <w:rFonts w:ascii="宋体" w:hAnsi="宋体"/>
          <w:bCs w:val="0"/>
          <w:color w:val="auto"/>
          <w:sz w:val="24"/>
          <w:szCs w:val="24"/>
          <w:highlight w:val="none"/>
        </w:rPr>
        <w:t xml:space="preserve">   </w:t>
      </w:r>
      <w:r>
        <w:rPr>
          <w:rFonts w:ascii="宋体" w:hAnsi="宋体"/>
          <w:b w:val="0"/>
          <w:color w:val="auto"/>
          <w:sz w:val="24"/>
          <w:szCs w:val="24"/>
          <w:highlight w:val="none"/>
        </w:rPr>
        <w:t xml:space="preserve"> </w:t>
      </w:r>
      <w:bookmarkStart w:id="368" w:name="_Toc351203486"/>
      <w:r>
        <w:rPr>
          <w:rFonts w:hint="eastAsia" w:ascii="宋体" w:hAnsi="宋体"/>
          <w:b w:val="0"/>
          <w:color w:val="auto"/>
          <w:sz w:val="24"/>
          <w:szCs w:val="24"/>
          <w:highlight w:val="none"/>
        </w:rPr>
        <w:t>六、合同文件构成</w:t>
      </w:r>
      <w:bookmarkEnd w:id="368"/>
    </w:p>
    <w:p w14:paraId="142ACD22">
      <w:pPr>
        <w:spacing w:line="46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本协议书与下列文件一起构成合同文件：</w:t>
      </w:r>
    </w:p>
    <w:p w14:paraId="680C5388">
      <w:pPr>
        <w:autoSpaceDE w:val="0"/>
        <w:autoSpaceDN w:val="0"/>
        <w:adjustRightInd w:val="0"/>
        <w:spacing w:line="4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）成交通知书（如果有）；</w:t>
      </w:r>
    </w:p>
    <w:p w14:paraId="4A9F1CF8">
      <w:pPr>
        <w:autoSpaceDE w:val="0"/>
        <w:autoSpaceDN w:val="0"/>
        <w:adjustRightInd w:val="0"/>
        <w:spacing w:line="4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）投标函及其附录（如果有）；</w:t>
      </w:r>
      <w:r>
        <w:rPr>
          <w:rFonts w:ascii="宋体" w:hAnsi="宋体"/>
          <w:color w:val="auto"/>
          <w:sz w:val="24"/>
          <w:szCs w:val="24"/>
          <w:highlight w:val="none"/>
        </w:rPr>
        <w:t xml:space="preserve"> </w:t>
      </w:r>
    </w:p>
    <w:p w14:paraId="7363B7A0">
      <w:pPr>
        <w:autoSpaceDE w:val="0"/>
        <w:autoSpaceDN w:val="0"/>
        <w:adjustRightInd w:val="0"/>
        <w:spacing w:line="4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3</w:t>
      </w:r>
      <w:r>
        <w:rPr>
          <w:rFonts w:hint="eastAsia" w:ascii="宋体" w:hAnsi="宋体"/>
          <w:color w:val="auto"/>
          <w:sz w:val="24"/>
          <w:szCs w:val="24"/>
          <w:highlight w:val="none"/>
        </w:rPr>
        <w:t>）专用合同条款及其附件；</w:t>
      </w:r>
    </w:p>
    <w:p w14:paraId="52E97B05">
      <w:pPr>
        <w:autoSpaceDE w:val="0"/>
        <w:autoSpaceDN w:val="0"/>
        <w:adjustRightInd w:val="0"/>
        <w:spacing w:line="4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4</w:t>
      </w:r>
      <w:r>
        <w:rPr>
          <w:rFonts w:hint="eastAsia" w:ascii="宋体" w:hAnsi="宋体"/>
          <w:color w:val="auto"/>
          <w:sz w:val="24"/>
          <w:szCs w:val="24"/>
          <w:highlight w:val="none"/>
        </w:rPr>
        <w:t>）通用合同条款；</w:t>
      </w:r>
    </w:p>
    <w:p w14:paraId="75A3F7CB">
      <w:pPr>
        <w:autoSpaceDE w:val="0"/>
        <w:autoSpaceDN w:val="0"/>
        <w:adjustRightInd w:val="0"/>
        <w:spacing w:line="4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5</w:t>
      </w:r>
      <w:r>
        <w:rPr>
          <w:rFonts w:hint="eastAsia" w:ascii="宋体" w:hAnsi="宋体"/>
          <w:color w:val="auto"/>
          <w:sz w:val="24"/>
          <w:szCs w:val="24"/>
          <w:highlight w:val="none"/>
        </w:rPr>
        <w:t>）技术标准和要求；</w:t>
      </w:r>
    </w:p>
    <w:p w14:paraId="5CECDF54">
      <w:pPr>
        <w:autoSpaceDE w:val="0"/>
        <w:autoSpaceDN w:val="0"/>
        <w:adjustRightInd w:val="0"/>
        <w:spacing w:line="4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7</w:t>
      </w:r>
      <w:r>
        <w:rPr>
          <w:rFonts w:hint="eastAsia" w:ascii="宋体" w:hAnsi="宋体"/>
          <w:color w:val="auto"/>
          <w:sz w:val="24"/>
          <w:szCs w:val="24"/>
          <w:highlight w:val="none"/>
        </w:rPr>
        <w:t>）中标的工程量清单；</w:t>
      </w:r>
    </w:p>
    <w:p w14:paraId="67842FC5">
      <w:pPr>
        <w:autoSpaceDE w:val="0"/>
        <w:autoSpaceDN w:val="0"/>
        <w:adjustRightInd w:val="0"/>
        <w:spacing w:line="4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8</w:t>
      </w:r>
      <w:r>
        <w:rPr>
          <w:rFonts w:hint="eastAsia" w:ascii="宋体" w:hAnsi="宋体"/>
          <w:color w:val="auto"/>
          <w:sz w:val="24"/>
          <w:szCs w:val="24"/>
          <w:highlight w:val="none"/>
        </w:rPr>
        <w:t>）其他合同文件。</w:t>
      </w:r>
    </w:p>
    <w:p w14:paraId="14D3C779">
      <w:pPr>
        <w:autoSpaceDE w:val="0"/>
        <w:autoSpaceDN w:val="0"/>
        <w:adjustRightInd w:val="0"/>
        <w:spacing w:line="4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在合同订立及履行过程中形成的与合同有关的文件均构成合同文件组成部分。</w:t>
      </w:r>
    </w:p>
    <w:p w14:paraId="5F173D74">
      <w:pPr>
        <w:autoSpaceDE w:val="0"/>
        <w:autoSpaceDN w:val="0"/>
        <w:adjustRightInd w:val="0"/>
        <w:spacing w:line="4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1E4BE30D">
      <w:pPr>
        <w:pStyle w:val="5"/>
        <w:spacing w:before="120" w:after="120" w:line="460" w:lineRule="exact"/>
        <w:rPr>
          <w:rFonts w:ascii="宋体" w:hAnsi="宋体"/>
          <w:b w:val="0"/>
          <w:bCs w:val="0"/>
          <w:color w:val="auto"/>
          <w:sz w:val="24"/>
          <w:szCs w:val="24"/>
          <w:highlight w:val="none"/>
        </w:rPr>
      </w:pPr>
      <w:r>
        <w:rPr>
          <w:rFonts w:ascii="宋体" w:hAnsi="宋体"/>
          <w:b w:val="0"/>
          <w:bCs w:val="0"/>
          <w:color w:val="auto"/>
          <w:sz w:val="24"/>
          <w:szCs w:val="24"/>
          <w:highlight w:val="none"/>
        </w:rPr>
        <w:t xml:space="preserve">   </w:t>
      </w:r>
      <w:r>
        <w:rPr>
          <w:rFonts w:ascii="宋体" w:hAnsi="宋体"/>
          <w:b w:val="0"/>
          <w:color w:val="auto"/>
          <w:sz w:val="24"/>
          <w:szCs w:val="24"/>
          <w:highlight w:val="none"/>
        </w:rPr>
        <w:t xml:space="preserve"> </w:t>
      </w:r>
      <w:bookmarkStart w:id="369" w:name="_Toc351203487"/>
      <w:r>
        <w:rPr>
          <w:rFonts w:hint="eastAsia" w:ascii="宋体" w:hAnsi="宋体"/>
          <w:b w:val="0"/>
          <w:color w:val="auto"/>
          <w:sz w:val="24"/>
          <w:szCs w:val="24"/>
          <w:highlight w:val="none"/>
        </w:rPr>
        <w:t>七、承诺</w:t>
      </w:r>
      <w:bookmarkEnd w:id="369"/>
    </w:p>
    <w:p w14:paraId="674FE42F">
      <w:pPr>
        <w:spacing w:line="460" w:lineRule="exact"/>
        <w:ind w:firstLine="480" w:firstLineChars="200"/>
        <w:rPr>
          <w:rFonts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发包人承诺按照法律规定履行项目审批手续、筹集工程建设资金并按照合同约定的期限和方式支付合同价款。</w:t>
      </w:r>
    </w:p>
    <w:p w14:paraId="12460205">
      <w:pPr>
        <w:spacing w:line="460" w:lineRule="exact"/>
        <w:ind w:firstLine="480" w:firstLineChars="200"/>
        <w:rPr>
          <w:rFonts w:ascii="宋体" w:hAns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承包人承诺按照法律规定及合同约定组织完成工程施工，确保工程质量和安全，不进行转包及违法分包，并在缺陷责任期及保修期内承担相应的工程维修责任。</w:t>
      </w:r>
    </w:p>
    <w:p w14:paraId="74F4A959">
      <w:pPr>
        <w:spacing w:line="460" w:lineRule="exact"/>
        <w:ind w:firstLine="480" w:firstLineChars="200"/>
        <w:rPr>
          <w:rFonts w:ascii="宋体" w:hAnsi="宋体" w:eastAsia="黑体"/>
          <w:color w:val="auto"/>
          <w:sz w:val="24"/>
          <w:szCs w:val="24"/>
          <w:highlight w:val="none"/>
        </w:rPr>
      </w:pPr>
      <w:r>
        <w:rPr>
          <w:rFonts w:ascii="宋体" w:hAnsi="宋体"/>
          <w:bCs/>
          <w:color w:val="auto"/>
          <w:sz w:val="24"/>
          <w:szCs w:val="24"/>
          <w:highlight w:val="none"/>
        </w:rPr>
        <w:t>3.</w:t>
      </w:r>
      <w:r>
        <w:rPr>
          <w:rFonts w:hint="eastAsia" w:ascii="宋体" w:hAnsi="宋体"/>
          <w:bCs/>
          <w:color w:val="auto"/>
          <w:sz w:val="24"/>
          <w:szCs w:val="24"/>
          <w:highlight w:val="none"/>
        </w:rPr>
        <w:t>发包人和承包人通过招投标形式签订合同的，双方理解并承诺不再就同一工程另行签订与合同实质性内容相背离的协议。</w:t>
      </w:r>
    </w:p>
    <w:p w14:paraId="1AE98C67">
      <w:pPr>
        <w:spacing w:line="460" w:lineRule="exact"/>
        <w:outlineLvl w:val="3"/>
        <w:rPr>
          <w:rFonts w:ascii="宋体" w:hAnsi="宋体" w:eastAsia="黑体"/>
          <w:color w:val="auto"/>
          <w:sz w:val="24"/>
          <w:szCs w:val="24"/>
          <w:highlight w:val="none"/>
        </w:rPr>
      </w:pPr>
      <w:bookmarkStart w:id="370" w:name="_Toc351203488"/>
      <w:r>
        <w:rPr>
          <w:rFonts w:ascii="宋体" w:hAnsi="宋体" w:eastAsia="黑体"/>
          <w:color w:val="auto"/>
          <w:sz w:val="24"/>
          <w:szCs w:val="24"/>
          <w:highlight w:val="none"/>
        </w:rPr>
        <w:t xml:space="preserve">    </w:t>
      </w:r>
      <w:r>
        <w:rPr>
          <w:rFonts w:hint="eastAsia" w:ascii="宋体" w:hAnsi="宋体" w:eastAsia="黑体"/>
          <w:color w:val="auto"/>
          <w:sz w:val="24"/>
          <w:szCs w:val="24"/>
          <w:highlight w:val="none"/>
        </w:rPr>
        <w:t>八、词语含义</w:t>
      </w:r>
      <w:bookmarkEnd w:id="370"/>
    </w:p>
    <w:p w14:paraId="7EEA3605">
      <w:pPr>
        <w:spacing w:line="46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本协议书中词语含义与第二部分通用合同条款中赋予的含义相同。</w:t>
      </w:r>
    </w:p>
    <w:p w14:paraId="194AD30E">
      <w:pPr>
        <w:pStyle w:val="5"/>
        <w:spacing w:before="120" w:after="120" w:line="460" w:lineRule="exact"/>
        <w:rPr>
          <w:rFonts w:ascii="宋体" w:hAnsi="宋体"/>
          <w:bCs w:val="0"/>
          <w:color w:val="auto"/>
          <w:sz w:val="24"/>
          <w:szCs w:val="24"/>
          <w:highlight w:val="none"/>
        </w:rPr>
      </w:pPr>
      <w:r>
        <w:rPr>
          <w:rFonts w:ascii="宋体" w:hAnsi="宋体"/>
          <w:bCs w:val="0"/>
          <w:color w:val="auto"/>
          <w:sz w:val="24"/>
          <w:szCs w:val="24"/>
          <w:highlight w:val="none"/>
        </w:rPr>
        <w:t xml:space="preserve">  </w:t>
      </w:r>
      <w:r>
        <w:rPr>
          <w:rFonts w:ascii="宋体" w:hAnsi="宋体"/>
          <w:b w:val="0"/>
          <w:color w:val="auto"/>
          <w:sz w:val="24"/>
          <w:szCs w:val="24"/>
          <w:highlight w:val="none"/>
        </w:rPr>
        <w:t xml:space="preserve">  </w:t>
      </w:r>
      <w:bookmarkStart w:id="371" w:name="_Toc351203489"/>
      <w:r>
        <w:rPr>
          <w:rFonts w:hint="eastAsia" w:ascii="宋体" w:hAnsi="宋体"/>
          <w:b w:val="0"/>
          <w:color w:val="auto"/>
          <w:sz w:val="24"/>
          <w:szCs w:val="24"/>
          <w:highlight w:val="none"/>
        </w:rPr>
        <w:t>九、签订时间</w:t>
      </w:r>
      <w:bookmarkEnd w:id="371"/>
    </w:p>
    <w:p w14:paraId="63BEDD04">
      <w:pPr>
        <w:spacing w:line="46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本合同于</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年</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月</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日签订。</w:t>
      </w:r>
    </w:p>
    <w:p w14:paraId="58094F75">
      <w:pPr>
        <w:pStyle w:val="5"/>
        <w:spacing w:before="120" w:after="120" w:line="460" w:lineRule="exact"/>
        <w:rPr>
          <w:rFonts w:ascii="宋体" w:hAnsi="宋体"/>
          <w:bCs w:val="0"/>
          <w:color w:val="auto"/>
          <w:sz w:val="24"/>
          <w:szCs w:val="24"/>
          <w:highlight w:val="none"/>
        </w:rPr>
      </w:pPr>
      <w:r>
        <w:rPr>
          <w:rFonts w:ascii="宋体" w:hAnsi="宋体"/>
          <w:bCs w:val="0"/>
          <w:color w:val="auto"/>
          <w:sz w:val="24"/>
          <w:szCs w:val="24"/>
          <w:highlight w:val="none"/>
        </w:rPr>
        <w:t xml:space="preserve">    </w:t>
      </w:r>
      <w:bookmarkStart w:id="372" w:name="_Toc351203490"/>
      <w:r>
        <w:rPr>
          <w:rFonts w:hint="eastAsia" w:ascii="宋体" w:hAnsi="宋体"/>
          <w:b w:val="0"/>
          <w:color w:val="auto"/>
          <w:sz w:val="24"/>
          <w:szCs w:val="24"/>
          <w:highlight w:val="none"/>
        </w:rPr>
        <w:t>十、签订地点</w:t>
      </w:r>
      <w:bookmarkEnd w:id="372"/>
    </w:p>
    <w:p w14:paraId="537E7108">
      <w:pPr>
        <w:spacing w:line="46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本合同在</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签订。</w:t>
      </w:r>
    </w:p>
    <w:p w14:paraId="02235DB3">
      <w:pPr>
        <w:pStyle w:val="5"/>
        <w:spacing w:before="120" w:after="120" w:line="460" w:lineRule="exact"/>
        <w:rPr>
          <w:rFonts w:ascii="宋体" w:hAnsi="宋体"/>
          <w:bCs w:val="0"/>
          <w:color w:val="auto"/>
          <w:sz w:val="24"/>
          <w:szCs w:val="24"/>
          <w:highlight w:val="none"/>
        </w:rPr>
      </w:pPr>
      <w:r>
        <w:rPr>
          <w:rFonts w:ascii="宋体" w:hAnsi="宋体"/>
          <w:bCs w:val="0"/>
          <w:color w:val="auto"/>
          <w:sz w:val="24"/>
          <w:szCs w:val="24"/>
          <w:highlight w:val="none"/>
        </w:rPr>
        <w:t xml:space="preserve">    </w:t>
      </w:r>
      <w:bookmarkStart w:id="373" w:name="_Toc351203491"/>
      <w:r>
        <w:rPr>
          <w:rFonts w:hint="eastAsia" w:ascii="宋体" w:hAnsi="宋体"/>
          <w:b w:val="0"/>
          <w:color w:val="auto"/>
          <w:sz w:val="24"/>
          <w:szCs w:val="24"/>
          <w:highlight w:val="none"/>
        </w:rPr>
        <w:t>十一、补充协议</w:t>
      </w:r>
      <w:bookmarkEnd w:id="373"/>
    </w:p>
    <w:p w14:paraId="6A326D0E">
      <w:pPr>
        <w:spacing w:line="460" w:lineRule="exact"/>
        <w:ind w:firstLine="480" w:firstLineChars="200"/>
        <w:rPr>
          <w:rFonts w:ascii="宋体" w:hAnsi="宋体"/>
          <w:b/>
          <w:bCs/>
          <w:color w:val="auto"/>
          <w:sz w:val="24"/>
          <w:szCs w:val="24"/>
          <w:highlight w:val="none"/>
        </w:rPr>
      </w:pPr>
      <w:r>
        <w:rPr>
          <w:rFonts w:hint="eastAsia" w:ascii="宋体" w:hAnsi="宋体"/>
          <w:bCs/>
          <w:color w:val="auto"/>
          <w:sz w:val="24"/>
          <w:szCs w:val="24"/>
          <w:highlight w:val="none"/>
        </w:rPr>
        <w:t>合同未尽事宜，合同当事人另行签订补充协议，补充协议是合同的组成部分。</w:t>
      </w:r>
    </w:p>
    <w:p w14:paraId="037C7F43">
      <w:pPr>
        <w:pStyle w:val="5"/>
        <w:spacing w:before="120" w:after="120" w:line="460" w:lineRule="exact"/>
        <w:rPr>
          <w:rFonts w:ascii="宋体" w:hAnsi="宋体"/>
          <w:bCs w:val="0"/>
          <w:color w:val="auto"/>
          <w:sz w:val="24"/>
          <w:szCs w:val="24"/>
          <w:highlight w:val="none"/>
        </w:rPr>
      </w:pPr>
      <w:r>
        <w:rPr>
          <w:rFonts w:ascii="宋体" w:hAnsi="宋体"/>
          <w:bCs w:val="0"/>
          <w:color w:val="auto"/>
          <w:sz w:val="24"/>
          <w:szCs w:val="24"/>
          <w:highlight w:val="none"/>
        </w:rPr>
        <w:t xml:space="preserve">    </w:t>
      </w:r>
      <w:bookmarkStart w:id="374" w:name="_Toc351203492"/>
      <w:r>
        <w:rPr>
          <w:rFonts w:hint="eastAsia" w:ascii="宋体" w:hAnsi="宋体"/>
          <w:b w:val="0"/>
          <w:color w:val="auto"/>
          <w:sz w:val="24"/>
          <w:szCs w:val="24"/>
          <w:highlight w:val="none"/>
        </w:rPr>
        <w:t>十二、合同生效</w:t>
      </w:r>
      <w:bookmarkEnd w:id="374"/>
    </w:p>
    <w:p w14:paraId="28220AEA">
      <w:pPr>
        <w:spacing w:line="46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本合同自</w:t>
      </w:r>
      <w:r>
        <w:rPr>
          <w:rFonts w:hint="eastAsia" w:ascii="宋体" w:hAnsi="宋体"/>
          <w:bCs/>
          <w:color w:val="auto"/>
          <w:sz w:val="24"/>
          <w:szCs w:val="24"/>
          <w:highlight w:val="none"/>
          <w:u w:val="single"/>
        </w:rPr>
        <w:t xml:space="preserve">     </w:t>
      </w:r>
      <w:r>
        <w:rPr>
          <w:rFonts w:hint="eastAsia" w:ascii="宋体" w:hAnsi="宋体"/>
          <w:b/>
          <w:bCs/>
          <w:color w:val="auto"/>
          <w:sz w:val="24"/>
          <w:szCs w:val="24"/>
          <w:highlight w:val="none"/>
          <w:u w:val="single"/>
        </w:rPr>
        <w:t>双方签字盖章后</w:t>
      </w:r>
      <w:r>
        <w:rPr>
          <w:rFonts w:ascii="宋体" w:hAnsi="宋体"/>
          <w:b/>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生效。</w:t>
      </w:r>
    </w:p>
    <w:p w14:paraId="741B7C2F">
      <w:pPr>
        <w:pStyle w:val="5"/>
        <w:spacing w:before="120" w:after="120" w:line="460" w:lineRule="exact"/>
        <w:rPr>
          <w:rFonts w:ascii="宋体" w:hAnsi="宋体"/>
          <w:bCs w:val="0"/>
          <w:color w:val="auto"/>
          <w:sz w:val="24"/>
          <w:szCs w:val="24"/>
          <w:highlight w:val="none"/>
        </w:rPr>
      </w:pPr>
      <w:r>
        <w:rPr>
          <w:rFonts w:ascii="宋体" w:hAnsi="宋体"/>
          <w:bCs w:val="0"/>
          <w:color w:val="auto"/>
          <w:sz w:val="24"/>
          <w:szCs w:val="24"/>
          <w:highlight w:val="none"/>
        </w:rPr>
        <w:t xml:space="preserve">    </w:t>
      </w:r>
      <w:bookmarkStart w:id="375" w:name="_Toc351203493"/>
      <w:r>
        <w:rPr>
          <w:rFonts w:hint="eastAsia" w:ascii="宋体" w:hAnsi="宋体"/>
          <w:b w:val="0"/>
          <w:color w:val="auto"/>
          <w:sz w:val="24"/>
          <w:szCs w:val="24"/>
          <w:highlight w:val="none"/>
        </w:rPr>
        <w:t>十三、合同份数</w:t>
      </w:r>
      <w:bookmarkEnd w:id="375"/>
    </w:p>
    <w:p w14:paraId="0CF67672">
      <w:pPr>
        <w:spacing w:line="46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本合同一式</w:t>
      </w:r>
      <w:r>
        <w:rPr>
          <w:rFonts w:ascii="宋体" w:hAnsi="宋体"/>
          <w:b/>
          <w:bCs/>
          <w:color w:val="auto"/>
          <w:sz w:val="24"/>
          <w:szCs w:val="24"/>
          <w:highlight w:val="none"/>
          <w:u w:val="single"/>
        </w:rPr>
        <w:t xml:space="preserve"> </w:t>
      </w:r>
      <w:r>
        <w:rPr>
          <w:rFonts w:hint="eastAsia" w:ascii="宋体" w:hAnsi="宋体"/>
          <w:b/>
          <w:bCs/>
          <w:color w:val="auto"/>
          <w:sz w:val="24"/>
          <w:szCs w:val="24"/>
          <w:highlight w:val="none"/>
          <w:u w:val="single"/>
        </w:rPr>
        <w:t xml:space="preserve">柒 </w:t>
      </w:r>
      <w:r>
        <w:rPr>
          <w:rFonts w:hint="eastAsia" w:ascii="宋体" w:hAnsi="宋体"/>
          <w:bCs/>
          <w:color w:val="auto"/>
          <w:sz w:val="24"/>
          <w:szCs w:val="24"/>
          <w:highlight w:val="none"/>
        </w:rPr>
        <w:t>份，均具有同等法律效力，发包人执</w:t>
      </w:r>
      <w:r>
        <w:rPr>
          <w:rFonts w:ascii="宋体" w:hAnsi="宋体"/>
          <w:bCs/>
          <w:color w:val="auto"/>
          <w:sz w:val="24"/>
          <w:szCs w:val="24"/>
          <w:highlight w:val="none"/>
          <w:u w:val="single"/>
        </w:rPr>
        <w:t xml:space="preserve"> </w:t>
      </w:r>
      <w:r>
        <w:rPr>
          <w:rFonts w:hint="eastAsia" w:ascii="宋体" w:hAnsi="宋体"/>
          <w:b/>
          <w:bCs/>
          <w:color w:val="auto"/>
          <w:sz w:val="24"/>
          <w:szCs w:val="24"/>
          <w:highlight w:val="none"/>
          <w:u w:val="single"/>
        </w:rPr>
        <w:t>伍</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份，承包人执</w:t>
      </w:r>
      <w:r>
        <w:rPr>
          <w:rFonts w:ascii="宋体" w:hAnsi="宋体"/>
          <w:b/>
          <w:bCs/>
          <w:color w:val="auto"/>
          <w:sz w:val="24"/>
          <w:szCs w:val="24"/>
          <w:highlight w:val="none"/>
          <w:u w:val="single"/>
        </w:rPr>
        <w:t xml:space="preserve"> </w:t>
      </w:r>
      <w:r>
        <w:rPr>
          <w:rFonts w:hint="eastAsia" w:ascii="宋体" w:hAnsi="宋体"/>
          <w:b/>
          <w:bCs/>
          <w:color w:val="auto"/>
          <w:sz w:val="24"/>
          <w:szCs w:val="24"/>
          <w:highlight w:val="none"/>
          <w:u w:val="single"/>
        </w:rPr>
        <w:t>贰</w:t>
      </w:r>
      <w:r>
        <w:rPr>
          <w:rFonts w:ascii="宋体" w:hAnsi="宋体"/>
          <w:b/>
          <w:bCs/>
          <w:color w:val="auto"/>
          <w:sz w:val="24"/>
          <w:szCs w:val="24"/>
          <w:highlight w:val="none"/>
          <w:u w:val="single"/>
        </w:rPr>
        <w:t xml:space="preserve"> </w:t>
      </w:r>
      <w:r>
        <w:rPr>
          <w:rFonts w:hint="eastAsia" w:ascii="宋体" w:hAnsi="宋体"/>
          <w:bCs/>
          <w:color w:val="auto"/>
          <w:sz w:val="24"/>
          <w:szCs w:val="24"/>
          <w:highlight w:val="none"/>
        </w:rPr>
        <w:t>份。</w:t>
      </w:r>
    </w:p>
    <w:p w14:paraId="48C9DCED">
      <w:pPr>
        <w:spacing w:line="460" w:lineRule="exact"/>
        <w:rPr>
          <w:rFonts w:ascii="宋体" w:hAnsi="宋体"/>
          <w:color w:val="auto"/>
          <w:sz w:val="24"/>
          <w:szCs w:val="24"/>
          <w:highlight w:val="none"/>
        </w:rPr>
      </w:pPr>
    </w:p>
    <w:p w14:paraId="548BB901">
      <w:pPr>
        <w:spacing w:after="400" w:line="460" w:lineRule="exact"/>
        <w:rPr>
          <w:rFonts w:ascii="宋体" w:hAnsi="宋体"/>
          <w:color w:val="auto"/>
          <w:sz w:val="24"/>
          <w:szCs w:val="24"/>
          <w:highlight w:val="none"/>
          <w:u w:val="single"/>
        </w:rPr>
      </w:pPr>
      <w:r>
        <w:rPr>
          <w:rFonts w:hint="eastAsia" w:ascii="宋体" w:hAnsi="宋体"/>
          <w:color w:val="auto"/>
          <w:sz w:val="24"/>
          <w:szCs w:val="24"/>
          <w:highlight w:val="none"/>
        </w:rPr>
        <w:br w:type="page"/>
      </w:r>
      <w:r>
        <w:rPr>
          <w:rFonts w:hint="eastAsia" w:ascii="宋体" w:hAnsi="宋体"/>
          <w:color w:val="auto"/>
          <w:sz w:val="24"/>
          <w:szCs w:val="24"/>
          <w:highlight w:val="none"/>
        </w:rPr>
        <w:t>发包人：</w:t>
      </w:r>
      <w:r>
        <w:rPr>
          <w:rFonts w:ascii="宋体" w:hAnsi="宋体"/>
          <w:color w:val="auto"/>
          <w:sz w:val="24"/>
          <w:szCs w:val="24"/>
          <w:highlight w:val="none"/>
        </w:rPr>
        <w:t xml:space="preserve">  (</w:t>
      </w:r>
      <w:r>
        <w:rPr>
          <w:rFonts w:hint="eastAsia" w:ascii="宋体" w:hAnsi="宋体"/>
          <w:color w:val="auto"/>
          <w:sz w:val="24"/>
          <w:szCs w:val="24"/>
          <w:highlight w:val="none"/>
        </w:rPr>
        <w:t>公章</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承包人：</w:t>
      </w:r>
      <w:r>
        <w:rPr>
          <w:rFonts w:hint="eastAsia"/>
          <w:color w:val="auto"/>
          <w:sz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公章</w:t>
      </w:r>
      <w:r>
        <w:rPr>
          <w:rFonts w:ascii="宋体" w:hAnsi="宋体"/>
          <w:color w:val="auto"/>
          <w:sz w:val="24"/>
          <w:szCs w:val="24"/>
          <w:highlight w:val="none"/>
        </w:rPr>
        <w:t xml:space="preserve">)   </w:t>
      </w:r>
    </w:p>
    <w:p w14:paraId="6E317257">
      <w:pPr>
        <w:spacing w:after="400" w:line="460" w:lineRule="exact"/>
        <w:rPr>
          <w:rFonts w:ascii="宋体" w:hAnsi="宋体"/>
          <w:color w:val="auto"/>
          <w:sz w:val="24"/>
          <w:szCs w:val="24"/>
          <w:highlight w:val="none"/>
        </w:rPr>
      </w:pPr>
      <w:r>
        <w:rPr>
          <w:rFonts w:hint="eastAsia" w:ascii="宋体" w:hAnsi="宋体"/>
          <w:color w:val="auto"/>
          <w:sz w:val="24"/>
          <w:szCs w:val="24"/>
          <w:highlight w:val="none"/>
        </w:rPr>
        <w:t>法定代表人或其委托代理人：</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法定代表人或其委托代理人：</w:t>
      </w:r>
    </w:p>
    <w:p w14:paraId="19ED7101">
      <w:pPr>
        <w:spacing w:after="400" w:line="460" w:lineRule="exact"/>
        <w:rPr>
          <w:rFonts w:ascii="宋体" w:hAnsi="宋体" w:cs="宋体"/>
          <w:color w:val="auto"/>
          <w:sz w:val="24"/>
          <w:szCs w:val="24"/>
          <w:highlight w:val="none"/>
        </w:rPr>
      </w:pPr>
      <w:r>
        <w:rPr>
          <w:rFonts w:hint="eastAsia" w:ascii="宋体" w:hAnsi="宋体"/>
          <w:color w:val="auto"/>
          <w:sz w:val="24"/>
          <w:szCs w:val="24"/>
          <w:highlight w:val="none"/>
        </w:rPr>
        <w:t>项目（技术）负责人：</w:t>
      </w:r>
      <w:r>
        <w:rPr>
          <w:rFonts w:hint="eastAsia" w:ascii="宋体" w:hAnsi="宋体" w:cs="宋体"/>
          <w:color w:val="auto"/>
          <w:sz w:val="24"/>
          <w:szCs w:val="24"/>
          <w:highlight w:val="none"/>
        </w:rPr>
        <w:t xml:space="preserve">             项目（技术）负责人：             </w:t>
      </w:r>
    </w:p>
    <w:p w14:paraId="3BBFFB3C">
      <w:pPr>
        <w:spacing w:after="400"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经 办 人 ：                      经 办 人 ：             </w:t>
      </w:r>
    </w:p>
    <w:p w14:paraId="685951D1">
      <w:pPr>
        <w:tabs>
          <w:tab w:val="left" w:pos="4410"/>
        </w:tabs>
        <w:spacing w:line="460" w:lineRule="exact"/>
        <w:rPr>
          <w:rFonts w:ascii="宋体" w:hAnsi="宋体" w:cs="宋体"/>
          <w:bCs/>
          <w:color w:val="auto"/>
          <w:sz w:val="24"/>
          <w:szCs w:val="24"/>
          <w:highlight w:val="none"/>
        </w:rPr>
      </w:pPr>
      <w:r>
        <w:rPr>
          <w:rFonts w:hint="eastAsia" w:ascii="宋体" w:hAnsi="宋体" w:cs="宋体"/>
          <w:color w:val="auto"/>
          <w:sz w:val="24"/>
          <w:szCs w:val="24"/>
          <w:highlight w:val="none"/>
        </w:rPr>
        <w:t>组织机构代码：</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       组织机构代码：</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p>
    <w:p w14:paraId="188616B3">
      <w:pPr>
        <w:widowControl/>
        <w:wordWrap w:val="0"/>
        <w:jc w:val="right"/>
        <w:rPr>
          <w:rFonts w:ascii="宋体" w:hAnsi="宋体" w:cs="宋体"/>
          <w:bCs/>
          <w:color w:val="auto"/>
          <w:sz w:val="24"/>
          <w:szCs w:val="24"/>
          <w:highlight w:val="none"/>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地  址：</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p>
    <w:p w14:paraId="2C3F92AD">
      <w:pPr>
        <w:tabs>
          <w:tab w:val="left" w:pos="4410"/>
        </w:tabs>
        <w:spacing w:line="460" w:lineRule="exact"/>
        <w:rPr>
          <w:rFonts w:ascii="宋体" w:hAnsi="宋体" w:cs="宋体"/>
          <w:bCs/>
          <w:color w:val="auto"/>
          <w:sz w:val="24"/>
          <w:szCs w:val="24"/>
          <w:highlight w:val="none"/>
        </w:rPr>
      </w:pPr>
      <w:r>
        <w:rPr>
          <w:rFonts w:hint="eastAsia" w:ascii="宋体" w:hAnsi="宋体" w:cs="宋体"/>
          <w:color w:val="auto"/>
          <w:sz w:val="24"/>
          <w:szCs w:val="24"/>
          <w:highlight w:val="none"/>
        </w:rPr>
        <w:t>邮政编码：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邮政编码：</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p>
    <w:p w14:paraId="2482AFBE">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电  话：</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电  话：</w:t>
      </w:r>
      <w:r>
        <w:rPr>
          <w:rFonts w:hint="eastAsia" w:ascii="宋体" w:hAnsi="宋体" w:cs="宋体"/>
          <w:color w:val="auto"/>
          <w:sz w:val="24"/>
          <w:szCs w:val="24"/>
          <w:highlight w:val="none"/>
          <w:u w:val="single"/>
        </w:rPr>
        <w:t xml:space="preserve">                </w:t>
      </w:r>
    </w:p>
    <w:p w14:paraId="33983E1A">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传  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传  真：</w:t>
      </w:r>
      <w:r>
        <w:rPr>
          <w:rFonts w:hint="eastAsia" w:ascii="宋体" w:hAnsi="宋体" w:cs="宋体"/>
          <w:color w:val="auto"/>
          <w:sz w:val="24"/>
          <w:szCs w:val="24"/>
          <w:highlight w:val="none"/>
          <w:u w:val="single"/>
        </w:rPr>
        <w:t xml:space="preserve">/     </w:t>
      </w:r>
    </w:p>
    <w:p w14:paraId="16370479">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电子信箱：</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      电子信箱：</w:t>
      </w:r>
      <w:r>
        <w:rPr>
          <w:rFonts w:hint="eastAsia" w:ascii="宋体" w:hAnsi="宋体" w:cs="宋体"/>
          <w:color w:val="auto"/>
          <w:sz w:val="24"/>
          <w:szCs w:val="24"/>
          <w:highlight w:val="none"/>
          <w:u w:val="single"/>
        </w:rPr>
        <w:t xml:space="preserve">/   </w:t>
      </w:r>
    </w:p>
    <w:p w14:paraId="04FCB050">
      <w:pPr>
        <w:tabs>
          <w:tab w:val="left" w:pos="4410"/>
        </w:tabs>
        <w:spacing w:line="460" w:lineRule="exact"/>
        <w:ind w:left="5280" w:hanging="5280" w:hangingChars="2200"/>
        <w:rPr>
          <w:rFonts w:ascii="宋体" w:hAnsi="宋体" w:cs="宋体"/>
          <w:bCs/>
          <w:color w:val="auto"/>
          <w:sz w:val="24"/>
          <w:szCs w:val="24"/>
          <w:highlight w:val="none"/>
        </w:rPr>
      </w:pPr>
      <w:r>
        <w:rPr>
          <w:rFonts w:hint="eastAsia" w:ascii="宋体" w:hAnsi="宋体" w:cs="宋体"/>
          <w:color w:val="auto"/>
          <w:sz w:val="24"/>
          <w:szCs w:val="24"/>
          <w:highlight w:val="none"/>
        </w:rPr>
        <w:t>开户银行：</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      开户银行：</w:t>
      </w:r>
      <w:r>
        <w:rPr>
          <w:rFonts w:hint="eastAsia" w:ascii="宋体" w:hAnsi="宋体" w:cs="宋体"/>
          <w:color w:val="auto"/>
          <w:sz w:val="24"/>
          <w:szCs w:val="24"/>
          <w:highlight w:val="none"/>
          <w:u w:val="single"/>
        </w:rPr>
        <w:t xml:space="preserve">                          </w:t>
      </w:r>
    </w:p>
    <w:p w14:paraId="69134284">
      <w:pPr>
        <w:tabs>
          <w:tab w:val="left" w:pos="4410"/>
        </w:tabs>
        <w:spacing w:line="4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账  号：</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      账  号：</w:t>
      </w:r>
      <w:bookmarkStart w:id="376" w:name="_Toc9266"/>
      <w:bookmarkStart w:id="377" w:name="_Toc15221"/>
      <w:bookmarkStart w:id="378" w:name="_Toc326"/>
      <w:bookmarkStart w:id="379" w:name="_Toc351203494"/>
      <w:bookmarkStart w:id="380" w:name="_Toc267251510"/>
      <w:bookmarkStart w:id="381" w:name="_Toc267251511"/>
      <w:bookmarkStart w:id="382" w:name="_Toc267251513"/>
      <w:bookmarkStart w:id="383" w:name="_Toc267251509"/>
      <w:bookmarkStart w:id="384" w:name="_Toc267251515"/>
      <w:bookmarkStart w:id="385" w:name="_Toc267251514"/>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p>
    <w:p w14:paraId="6150543A">
      <w:pPr>
        <w:tabs>
          <w:tab w:val="left" w:pos="4410"/>
        </w:tabs>
        <w:spacing w:line="460" w:lineRule="exact"/>
        <w:rPr>
          <w:rFonts w:ascii="宋体" w:hAnsi="宋体"/>
          <w:color w:val="auto"/>
          <w:sz w:val="24"/>
          <w:szCs w:val="24"/>
          <w:highlight w:val="none"/>
        </w:rPr>
      </w:pPr>
      <w:r>
        <w:rPr>
          <w:rFonts w:hint="eastAsia" w:ascii="宋体" w:hAnsi="宋体" w:cs="宋体"/>
          <w:color w:val="auto"/>
          <w:sz w:val="24"/>
          <w:szCs w:val="24"/>
          <w:highlight w:val="none"/>
          <w:u w:val="single"/>
        </w:rPr>
        <w:br w:type="page"/>
      </w:r>
    </w:p>
    <w:p w14:paraId="2B3BF5E3">
      <w:pPr>
        <w:spacing w:line="360" w:lineRule="auto"/>
        <w:jc w:val="center"/>
        <w:rPr>
          <w:rFonts w:ascii="宋体" w:hAnsi="宋体"/>
          <w:color w:val="auto"/>
          <w:sz w:val="24"/>
          <w:szCs w:val="24"/>
          <w:highlight w:val="none"/>
        </w:rPr>
      </w:pPr>
    </w:p>
    <w:p w14:paraId="1FBB3BA2">
      <w:pPr>
        <w:spacing w:line="360" w:lineRule="auto"/>
        <w:jc w:val="center"/>
        <w:outlineLvl w:val="1"/>
        <w:rPr>
          <w:rFonts w:ascii="宋体" w:hAnsi="宋体"/>
          <w:b/>
          <w:bCs/>
          <w:color w:val="auto"/>
          <w:sz w:val="24"/>
          <w:szCs w:val="24"/>
          <w:highlight w:val="none"/>
        </w:rPr>
      </w:pPr>
      <w:bookmarkStart w:id="386" w:name="_Toc4901"/>
      <w:r>
        <w:rPr>
          <w:rFonts w:hint="eastAsia" w:ascii="宋体" w:hAnsi="宋体"/>
          <w:b/>
          <w:bCs/>
          <w:color w:val="auto"/>
          <w:sz w:val="24"/>
          <w:szCs w:val="24"/>
          <w:highlight w:val="none"/>
        </w:rPr>
        <w:t>第二部分 通用合同条款</w:t>
      </w:r>
      <w:bookmarkEnd w:id="376"/>
      <w:bookmarkEnd w:id="377"/>
      <w:bookmarkEnd w:id="378"/>
      <w:bookmarkEnd w:id="379"/>
      <w:bookmarkEnd w:id="386"/>
    </w:p>
    <w:p w14:paraId="0DA90180">
      <w:pPr>
        <w:jc w:val="center"/>
        <w:rPr>
          <w:rFonts w:ascii="宋体" w:hAnsi="宋体" w:cs="宋体"/>
          <w:color w:val="auto"/>
          <w:highlight w:val="none"/>
        </w:rPr>
      </w:pPr>
      <w:bookmarkStart w:id="387" w:name="_Toc17519"/>
      <w:bookmarkStart w:id="388" w:name="_Toc612"/>
      <w:r>
        <w:rPr>
          <w:rFonts w:hint="eastAsia" w:ascii="宋体" w:hAnsi="宋体" w:cs="宋体"/>
          <w:b/>
          <w:color w:val="auto"/>
          <w:highlight w:val="none"/>
        </w:rPr>
        <w:t>采用《建设工程施工合同》范本（GF-2017-0201）中第二部分：通用条款。</w:t>
      </w:r>
    </w:p>
    <w:p w14:paraId="27118F5B">
      <w:pPr>
        <w:pStyle w:val="4"/>
        <w:numPr>
          <w:ilvl w:val="1"/>
          <w:numId w:val="0"/>
        </w:numPr>
        <w:jc w:val="center"/>
        <w:outlineLvl w:val="1"/>
        <w:rPr>
          <w:rFonts w:ascii="宋体" w:hAnsi="宋体"/>
          <w:color w:val="auto"/>
          <w:sz w:val="24"/>
          <w:szCs w:val="24"/>
          <w:highlight w:val="none"/>
        </w:rPr>
      </w:pPr>
      <w:r>
        <w:rPr>
          <w:rFonts w:hint="eastAsia" w:ascii="宋体" w:hAnsi="宋体"/>
          <w:color w:val="auto"/>
          <w:sz w:val="24"/>
          <w:szCs w:val="24"/>
          <w:highlight w:val="none"/>
        </w:rPr>
        <w:br w:type="page"/>
      </w:r>
      <w:bookmarkStart w:id="389" w:name="_Toc14271"/>
      <w:r>
        <w:rPr>
          <w:rFonts w:hint="eastAsia" w:ascii="宋体" w:hAnsi="宋体"/>
          <w:color w:val="auto"/>
          <w:sz w:val="24"/>
          <w:szCs w:val="24"/>
          <w:highlight w:val="none"/>
        </w:rPr>
        <w:t>第三部分 专用合同条款</w:t>
      </w:r>
      <w:bookmarkEnd w:id="387"/>
      <w:bookmarkEnd w:id="388"/>
      <w:bookmarkEnd w:id="389"/>
    </w:p>
    <w:p w14:paraId="1D6714F3">
      <w:pPr>
        <w:pStyle w:val="5"/>
        <w:spacing w:before="120" w:after="120" w:line="360" w:lineRule="auto"/>
        <w:rPr>
          <w:rFonts w:ascii="宋体" w:hAnsi="宋体"/>
          <w:b w:val="0"/>
          <w:color w:val="auto"/>
          <w:sz w:val="24"/>
          <w:szCs w:val="24"/>
          <w:highlight w:val="none"/>
        </w:rPr>
      </w:pPr>
      <w:bookmarkStart w:id="390" w:name="_Toc351203633"/>
      <w:r>
        <w:rPr>
          <w:rFonts w:hint="eastAsia" w:ascii="宋体" w:hAnsi="宋体"/>
          <w:b w:val="0"/>
          <w:color w:val="auto"/>
          <w:sz w:val="24"/>
          <w:szCs w:val="24"/>
          <w:highlight w:val="none"/>
        </w:rPr>
        <w:t>1</w:t>
      </w:r>
      <w:bookmarkStart w:id="391" w:name="_Toc297048342"/>
      <w:bookmarkStart w:id="392" w:name="_Toc296890984"/>
      <w:bookmarkStart w:id="393" w:name="_Toc296347155"/>
      <w:bookmarkStart w:id="394" w:name="_Toc296944495"/>
      <w:bookmarkStart w:id="395" w:name="_Toc292559866"/>
      <w:bookmarkStart w:id="396" w:name="_Toc296346657"/>
      <w:bookmarkStart w:id="397" w:name="_Toc296503156"/>
      <w:bookmarkStart w:id="398" w:name="_Toc296891196"/>
      <w:bookmarkStart w:id="399" w:name="_Toc297120456"/>
      <w:bookmarkStart w:id="400" w:name="_Toc292559361"/>
      <w:r>
        <w:rPr>
          <w:rFonts w:hint="eastAsia" w:ascii="宋体" w:hAnsi="宋体"/>
          <w:b w:val="0"/>
          <w:color w:val="auto"/>
          <w:sz w:val="24"/>
          <w:szCs w:val="24"/>
          <w:highlight w:val="none"/>
        </w:rPr>
        <w:t>. 一般约定</w:t>
      </w:r>
      <w:bookmarkEnd w:id="390"/>
    </w:p>
    <w:bookmarkEnd w:id="391"/>
    <w:bookmarkEnd w:id="392"/>
    <w:bookmarkEnd w:id="393"/>
    <w:bookmarkEnd w:id="394"/>
    <w:bookmarkEnd w:id="395"/>
    <w:bookmarkEnd w:id="396"/>
    <w:bookmarkEnd w:id="397"/>
    <w:bookmarkEnd w:id="398"/>
    <w:bookmarkEnd w:id="399"/>
    <w:bookmarkEnd w:id="400"/>
    <w:p w14:paraId="2D5212B2">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 词语定义</w:t>
      </w:r>
    </w:p>
    <w:p w14:paraId="16AD4D8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1.1.1合同</w:t>
      </w:r>
    </w:p>
    <w:p w14:paraId="4C60710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1.1.1.10其他合同文件包括：</w:t>
      </w:r>
      <w:r>
        <w:rPr>
          <w:rFonts w:hint="eastAsia" w:ascii="宋体" w:hAnsi="宋体" w:cs="宋体"/>
          <w:color w:val="auto"/>
          <w:sz w:val="24"/>
          <w:szCs w:val="24"/>
          <w:highlight w:val="none"/>
          <w:u w:val="single"/>
        </w:rPr>
        <w:t>洽商变更等明确双方权利义务的纪要或书面协议、技术文件、工程质量保修书、安全生产管理协议书、磋商文件、响应文件、廉政合同、承诺书等</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353D4A3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1.1.2 合同当事人及其他相关方</w:t>
      </w:r>
    </w:p>
    <w:p w14:paraId="56D5D59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1.1.2.4监理人：</w:t>
      </w:r>
    </w:p>
    <w:p w14:paraId="5E34EFF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名    称：</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6249457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资质类别和等级：</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73E8AF8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联系电话：</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4CDFBA3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电子信箱：</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0692017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通信地址：</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0363E59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1.1.2.5 设计人：</w:t>
      </w:r>
    </w:p>
    <w:p w14:paraId="65C5F08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名    称：</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46FB5EF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资质类别和等级：</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710AB1E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联系电话：</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61024A2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电子信箱：</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2CDAFB9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通信地址：</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18B8AFD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1.1.3 工程和设备</w:t>
      </w:r>
    </w:p>
    <w:p w14:paraId="3576BF8A">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1.1.3.7 作为施工现场组成部分的其他场所包括：</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w:t>
      </w:r>
    </w:p>
    <w:p w14:paraId="7AA4327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1.1.3.9 永久占地包括：</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0AD729D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1.1.3.10 临时占地包括：</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254080AD">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1.3法律 </w:t>
      </w:r>
    </w:p>
    <w:p w14:paraId="034CBFE8">
      <w:pPr>
        <w:autoSpaceDE w:val="0"/>
        <w:autoSpaceDN w:val="0"/>
        <w:adjustRightInd w:val="0"/>
        <w:spacing w:line="360" w:lineRule="auto"/>
        <w:ind w:left="596" w:leftChars="284"/>
        <w:rPr>
          <w:rFonts w:ascii="宋体" w:hAnsi="宋体"/>
          <w:b/>
          <w:color w:val="auto"/>
          <w:sz w:val="24"/>
          <w:szCs w:val="24"/>
          <w:highlight w:val="none"/>
          <w:u w:val="single"/>
        </w:rPr>
      </w:pPr>
      <w:r>
        <w:rPr>
          <w:rFonts w:hint="eastAsia" w:ascii="宋体" w:hAnsi="宋体"/>
          <w:color w:val="auto"/>
          <w:sz w:val="24"/>
          <w:szCs w:val="24"/>
          <w:highlight w:val="none"/>
        </w:rPr>
        <w:t>适用于合同的其他规范性文件：</w:t>
      </w:r>
      <w:r>
        <w:rPr>
          <w:rFonts w:hint="eastAsia" w:ascii="宋体" w:hAnsi="宋体"/>
          <w:b/>
          <w:color w:val="auto"/>
          <w:sz w:val="24"/>
          <w:szCs w:val="24"/>
          <w:highlight w:val="none"/>
          <w:u w:val="single"/>
        </w:rPr>
        <w:t>《</w:t>
      </w:r>
      <w:r>
        <w:rPr>
          <w:rFonts w:hint="eastAsia"/>
          <w:b/>
          <w:color w:val="auto"/>
          <w:sz w:val="24"/>
          <w:szCs w:val="24"/>
          <w:highlight w:val="none"/>
          <w:u w:val="single"/>
        </w:rPr>
        <w:t>中华人民共和国民法典</w:t>
      </w:r>
      <w:r>
        <w:rPr>
          <w:rFonts w:hint="eastAsia" w:ascii="宋体" w:hAnsi="宋体"/>
          <w:b/>
          <w:color w:val="auto"/>
          <w:sz w:val="24"/>
          <w:szCs w:val="24"/>
          <w:highlight w:val="none"/>
          <w:u w:val="single"/>
        </w:rPr>
        <w:t>》、《中华人民共和国建筑法》、《 中华人民共和国招标投标法》、《中华人民共和国安全生产法》、 国务院《建设工程质量管理条例》、《房屋建筑和市政基础设施工程施工招标投标管理办法》、七部委2003年第30号令《工程建设项目施工招标投标办法》、中华人民共和国建设部令第16号（2013）《建筑工程施工发包与承包计价管理办法》及财建[2004]369号文、云南省住房和建设厅关于《云南省建设工程造价计价标准（2020版）》发布实施的通知（云建科【2021】15号）发布实施的2020版计价依据等相关的配套的计量文件及国家标准、行业标准的规定执行等国家及云南省颁布的现行法律法规。</w:t>
      </w:r>
    </w:p>
    <w:p w14:paraId="5AE3178C">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1.4 标准和规范</w:t>
      </w:r>
    </w:p>
    <w:p w14:paraId="64AA556B">
      <w:pPr>
        <w:spacing w:line="360" w:lineRule="auto"/>
        <w:ind w:left="596" w:leftChars="284"/>
        <w:rPr>
          <w:rFonts w:ascii="宋体" w:hAnsi="宋体"/>
          <w:color w:val="auto"/>
          <w:sz w:val="24"/>
          <w:szCs w:val="24"/>
          <w:highlight w:val="none"/>
          <w:u w:val="single"/>
        </w:rPr>
      </w:pPr>
      <w:r>
        <w:rPr>
          <w:rFonts w:hint="eastAsia" w:ascii="宋体" w:hAnsi="宋体"/>
          <w:color w:val="auto"/>
          <w:sz w:val="24"/>
          <w:szCs w:val="24"/>
          <w:highlight w:val="none"/>
        </w:rPr>
        <w:t xml:space="preserve">1.4.1适用于工程的标准规范包括： </w:t>
      </w:r>
      <w:r>
        <w:rPr>
          <w:rFonts w:hint="eastAsia" w:ascii="宋体" w:hAnsi="宋体"/>
          <w:color w:val="auto"/>
          <w:sz w:val="24"/>
          <w:szCs w:val="24"/>
          <w:highlight w:val="none"/>
          <w:u w:val="single"/>
        </w:rPr>
        <w:t>按现行国家颁布的施工规范标准及相关行业规定。</w:t>
      </w:r>
    </w:p>
    <w:p w14:paraId="5AACE8C6">
      <w:pPr>
        <w:spacing w:line="360" w:lineRule="auto"/>
        <w:ind w:firstLine="600" w:firstLineChars="250"/>
        <w:rPr>
          <w:rFonts w:ascii="宋体" w:hAnsi="宋体"/>
          <w:color w:val="auto"/>
          <w:sz w:val="24"/>
          <w:szCs w:val="24"/>
          <w:highlight w:val="none"/>
          <w:u w:val="single"/>
        </w:rPr>
      </w:pPr>
      <w:r>
        <w:rPr>
          <w:rFonts w:hint="eastAsia" w:ascii="宋体" w:hAnsi="宋体"/>
          <w:color w:val="auto"/>
          <w:sz w:val="24"/>
          <w:szCs w:val="24"/>
          <w:highlight w:val="none"/>
        </w:rPr>
        <w:t>1.4.2 发包人提供国外标准、规范的名称：</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57510E5C">
      <w:pPr>
        <w:spacing w:line="360" w:lineRule="auto"/>
        <w:ind w:firstLine="600" w:firstLineChars="250"/>
        <w:rPr>
          <w:rFonts w:ascii="宋体" w:hAnsi="宋体"/>
          <w:color w:val="auto"/>
          <w:sz w:val="24"/>
          <w:szCs w:val="24"/>
          <w:highlight w:val="none"/>
        </w:rPr>
      </w:pPr>
      <w:r>
        <w:rPr>
          <w:rFonts w:hint="eastAsia" w:ascii="宋体" w:hAnsi="宋体"/>
          <w:color w:val="auto"/>
          <w:sz w:val="24"/>
          <w:szCs w:val="24"/>
          <w:highlight w:val="none"/>
        </w:rPr>
        <w:t>发包人提供国外标准、规范的份数：</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w:t>
      </w:r>
      <w:r>
        <w:rPr>
          <w:rFonts w:ascii="宋体" w:hAnsi="宋体"/>
          <w:b/>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1E87F9FD">
      <w:pPr>
        <w:spacing w:line="360" w:lineRule="auto"/>
        <w:ind w:firstLine="600" w:firstLineChars="250"/>
        <w:rPr>
          <w:rFonts w:ascii="宋体" w:hAnsi="宋体"/>
          <w:color w:val="auto"/>
          <w:sz w:val="24"/>
          <w:szCs w:val="24"/>
          <w:highlight w:val="none"/>
        </w:rPr>
      </w:pPr>
      <w:r>
        <w:rPr>
          <w:rFonts w:hint="eastAsia" w:ascii="宋体" w:hAnsi="宋体"/>
          <w:color w:val="auto"/>
          <w:sz w:val="24"/>
          <w:szCs w:val="24"/>
          <w:highlight w:val="none"/>
        </w:rPr>
        <w:t>发包人提供国外标准、规范的名称：</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w:t>
      </w:r>
      <w:r>
        <w:rPr>
          <w:rFonts w:ascii="宋体" w:hAnsi="宋体"/>
          <w:b/>
          <w:color w:val="auto"/>
          <w:sz w:val="24"/>
          <w:szCs w:val="24"/>
          <w:highlight w:val="none"/>
          <w:u w:val="single"/>
        </w:rPr>
        <w:t>/</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2F222DD4">
      <w:pPr>
        <w:spacing w:line="360" w:lineRule="auto"/>
        <w:ind w:left="596" w:leftChars="284"/>
        <w:rPr>
          <w:rFonts w:ascii="宋体" w:hAnsi="宋体"/>
          <w:color w:val="auto"/>
          <w:sz w:val="24"/>
          <w:szCs w:val="24"/>
          <w:highlight w:val="none"/>
          <w:u w:val="single"/>
        </w:rPr>
      </w:pPr>
      <w:r>
        <w:rPr>
          <w:rFonts w:hint="eastAsia" w:ascii="宋体" w:hAnsi="宋体"/>
          <w:color w:val="auto"/>
          <w:sz w:val="24"/>
          <w:szCs w:val="24"/>
          <w:highlight w:val="none"/>
        </w:rPr>
        <w:t>1.4.3发包人对工程的技术标准和功能要求的特殊要求：</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6B6A7463">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1.5 合同文件的优先顺序</w:t>
      </w:r>
    </w:p>
    <w:p w14:paraId="70B617C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合同文件组成及优先顺序为：</w:t>
      </w:r>
      <w:r>
        <w:rPr>
          <w:rFonts w:hint="eastAsia" w:ascii="宋体" w:hAnsi="宋体" w:cs="宋体"/>
          <w:color w:val="auto"/>
          <w:sz w:val="24"/>
          <w:szCs w:val="24"/>
          <w:highlight w:val="none"/>
          <w:u w:val="single"/>
        </w:rPr>
        <w:t></w:t>
      </w:r>
      <w:r>
        <w:rPr>
          <w:rFonts w:hint="eastAsia" w:ascii="宋体" w:hAnsi="宋体"/>
          <w:b/>
          <w:color w:val="auto"/>
          <w:sz w:val="24"/>
          <w:szCs w:val="24"/>
          <w:highlight w:val="none"/>
          <w:u w:val="single"/>
        </w:rPr>
        <w:t>按照通用条款第1.5</w:t>
      </w:r>
      <w:r>
        <w:rPr>
          <w:rFonts w:hint="eastAsia" w:ascii="宋体" w:hAnsi="宋体" w:cs="宋体"/>
          <w:b/>
          <w:color w:val="auto"/>
          <w:sz w:val="24"/>
          <w:szCs w:val="24"/>
          <w:highlight w:val="none"/>
          <w:u w:val="single"/>
        </w:rPr>
        <w:t>条</w:t>
      </w:r>
      <w:r>
        <w:rPr>
          <w:rFonts w:hint="eastAsia" w:ascii="宋体" w:hAnsi="宋体"/>
          <w:color w:val="auto"/>
          <w:sz w:val="24"/>
          <w:szCs w:val="24"/>
          <w:highlight w:val="none"/>
        </w:rPr>
        <w:t>。</w:t>
      </w:r>
    </w:p>
    <w:p w14:paraId="3A40BA2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1.5.1本合同协议书 </w:t>
      </w:r>
    </w:p>
    <w:p w14:paraId="6A0BD74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1.5.2中标通知书</w:t>
      </w:r>
    </w:p>
    <w:p w14:paraId="05F5A2A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1.5.3投标响应文件及其附件</w:t>
      </w:r>
    </w:p>
    <w:p w14:paraId="3F088F6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1.5.4本合同专用合同条款及附件</w:t>
      </w:r>
    </w:p>
    <w:p w14:paraId="6F6F56D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1.5.5本合同通用合同条款</w:t>
      </w:r>
    </w:p>
    <w:p w14:paraId="3148465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1.5.6标准、规范及有关技术文件</w:t>
      </w:r>
    </w:p>
    <w:p w14:paraId="7BBE862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1.5.7 图纸</w:t>
      </w:r>
    </w:p>
    <w:p w14:paraId="777D07C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1.5.8工程量清单</w:t>
      </w:r>
    </w:p>
    <w:p w14:paraId="33ACA3B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1.5.9其它合同文件</w:t>
      </w:r>
    </w:p>
    <w:p w14:paraId="49AECDCE">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1.6 图纸和承包人文件</w:t>
      </w:r>
      <w:r>
        <w:rPr>
          <w:rFonts w:hint="eastAsia" w:ascii="宋体" w:hAnsi="宋体"/>
          <w:color w:val="auto"/>
          <w:sz w:val="24"/>
          <w:szCs w:val="24"/>
          <w:highlight w:val="none"/>
        </w:rPr>
        <w:tab/>
      </w:r>
    </w:p>
    <w:p w14:paraId="0A8D51F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1.6.1 图纸的提供</w:t>
      </w:r>
    </w:p>
    <w:p w14:paraId="2C79827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发包人向承包人提供图纸的期限：</w:t>
      </w:r>
      <w:r>
        <w:rPr>
          <w:rFonts w:hint="eastAsia" w:ascii="宋体" w:hAnsi="宋体"/>
          <w:color w:val="auto"/>
          <w:sz w:val="24"/>
          <w:szCs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w:t>
      </w:r>
      <w:r>
        <w:rPr>
          <w:rFonts w:ascii="宋体" w:hAnsi="宋体" w:cs="宋体"/>
          <w:color w:val="auto"/>
          <w:sz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0CC4A20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发包人向承包人提供图纸的数量：</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22E8168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发包人向承包人提供图纸的内容：</w:t>
      </w:r>
      <w:r>
        <w:rPr>
          <w:rFonts w:hint="eastAsia" w:ascii="宋体" w:hAnsi="宋体"/>
          <w:color w:val="auto"/>
          <w:sz w:val="24"/>
          <w:szCs w:val="24"/>
          <w:highlight w:val="none"/>
          <w:u w:val="single"/>
        </w:rPr>
        <w:t xml:space="preserve">    </w:t>
      </w:r>
      <w:r>
        <w:rPr>
          <w:rFonts w:hint="eastAsia" w:ascii="宋体" w:hAnsi="宋体" w:cs="宋体"/>
          <w:color w:val="auto"/>
          <w:sz w:val="24"/>
          <w:highlight w:val="none"/>
          <w:u w:val="single" w:color="000000"/>
        </w:rPr>
        <w:t xml:space="preserve"> </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w:t>
      </w:r>
    </w:p>
    <w:p w14:paraId="3F408F8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1.6.4 承包人文件</w:t>
      </w:r>
    </w:p>
    <w:p w14:paraId="611CA9B2">
      <w:pPr>
        <w:spacing w:line="360" w:lineRule="auto"/>
        <w:ind w:left="596" w:leftChars="284"/>
        <w:rPr>
          <w:rFonts w:ascii="宋体" w:hAnsi="宋体"/>
          <w:color w:val="auto"/>
          <w:sz w:val="24"/>
          <w:szCs w:val="24"/>
          <w:highlight w:val="none"/>
        </w:rPr>
      </w:pPr>
      <w:r>
        <w:rPr>
          <w:rFonts w:hint="eastAsia" w:ascii="宋体" w:hAnsi="宋体"/>
          <w:color w:val="auto"/>
          <w:sz w:val="24"/>
          <w:szCs w:val="24"/>
          <w:highlight w:val="none"/>
        </w:rPr>
        <w:t>需要由承包人提供的文件，包括：</w:t>
      </w:r>
      <w:r>
        <w:rPr>
          <w:rFonts w:hint="eastAsia" w:ascii="宋体" w:hAnsi="宋体" w:cs="宋体"/>
          <w:color w:val="auto"/>
          <w:sz w:val="24"/>
          <w:szCs w:val="24"/>
          <w:highlight w:val="none"/>
          <w:u w:val="single"/>
        </w:rPr>
        <w:t></w:t>
      </w:r>
      <w:r>
        <w:rPr>
          <w:rFonts w:hint="eastAsia" w:ascii="宋体" w:hAnsi="宋体"/>
          <w:b/>
          <w:color w:val="auto"/>
          <w:sz w:val="24"/>
          <w:szCs w:val="24"/>
          <w:highlight w:val="none"/>
          <w:u w:val="single"/>
        </w:rPr>
        <w:t xml:space="preserve">根据发包人需要提供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2D1E4C1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承包人提供的文件的期限为：</w:t>
      </w:r>
      <w:r>
        <w:rPr>
          <w:rFonts w:hint="eastAsia" w:ascii="宋体" w:hAnsi="宋体" w:cs="宋体"/>
          <w:color w:val="auto"/>
          <w:sz w:val="24"/>
          <w:szCs w:val="24"/>
          <w:highlight w:val="none"/>
          <w:u w:val="single"/>
        </w:rPr>
        <w:t></w:t>
      </w:r>
      <w:r>
        <w:rPr>
          <w:rFonts w:hint="eastAsia" w:ascii="宋体" w:hAnsi="宋体"/>
          <w:b/>
          <w:color w:val="auto"/>
          <w:sz w:val="24"/>
          <w:szCs w:val="24"/>
          <w:highlight w:val="none"/>
          <w:u w:val="single"/>
        </w:rPr>
        <w:t>根据发包人要求提供</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2CCF727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承包人提供的文件的数量为：</w:t>
      </w:r>
      <w:r>
        <w:rPr>
          <w:rFonts w:hint="eastAsia" w:ascii="宋体" w:hAnsi="宋体" w:cs="宋体"/>
          <w:color w:val="auto"/>
          <w:sz w:val="24"/>
          <w:szCs w:val="24"/>
          <w:highlight w:val="none"/>
          <w:u w:val="single"/>
        </w:rPr>
        <w:t></w:t>
      </w:r>
      <w:r>
        <w:rPr>
          <w:rFonts w:hint="eastAsia" w:ascii="宋体" w:hAnsi="宋体"/>
          <w:b/>
          <w:color w:val="auto"/>
          <w:sz w:val="24"/>
          <w:szCs w:val="24"/>
          <w:highlight w:val="none"/>
          <w:u w:val="single"/>
        </w:rPr>
        <w:t>根据发包人要求提供</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40FFC43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承包人提供的文件的形式为：</w:t>
      </w:r>
      <w:r>
        <w:rPr>
          <w:rFonts w:hint="eastAsia" w:ascii="宋体" w:hAnsi="宋体" w:cs="宋体"/>
          <w:color w:val="auto"/>
          <w:sz w:val="24"/>
          <w:szCs w:val="24"/>
          <w:highlight w:val="none"/>
          <w:u w:val="single"/>
        </w:rPr>
        <w:t></w:t>
      </w:r>
      <w:r>
        <w:rPr>
          <w:rFonts w:hint="eastAsia" w:ascii="宋体" w:hAnsi="宋体"/>
          <w:b/>
          <w:color w:val="auto"/>
          <w:sz w:val="24"/>
          <w:szCs w:val="24"/>
          <w:highlight w:val="none"/>
          <w:u w:val="single"/>
        </w:rPr>
        <w:t>根据发包人要求提供</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7A6FAE1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发包人审批承包人文件的期限：</w:t>
      </w:r>
      <w:r>
        <w:rPr>
          <w:rFonts w:hint="eastAsia" w:ascii="宋体" w:hAnsi="宋体" w:cs="宋体"/>
          <w:color w:val="auto"/>
          <w:sz w:val="24"/>
          <w:szCs w:val="24"/>
          <w:highlight w:val="none"/>
          <w:u w:val="single"/>
        </w:rPr>
        <w:t></w:t>
      </w:r>
      <w:r>
        <w:rPr>
          <w:rFonts w:hint="eastAsia" w:ascii="宋体" w:hAnsi="宋体"/>
          <w:b/>
          <w:color w:val="auto"/>
          <w:sz w:val="24"/>
          <w:szCs w:val="24"/>
          <w:highlight w:val="none"/>
          <w:u w:val="single"/>
        </w:rPr>
        <w:t xml:space="preserve">   </w:t>
      </w:r>
      <w:r>
        <w:rPr>
          <w:rFonts w:ascii="宋体" w:hAnsi="宋体"/>
          <w:b/>
          <w:color w:val="auto"/>
          <w:sz w:val="24"/>
          <w:szCs w:val="24"/>
          <w:highlight w:val="none"/>
          <w:u w:val="single"/>
        </w:rPr>
        <w:t>/</w:t>
      </w:r>
      <w:r>
        <w:rPr>
          <w:rFonts w:hint="eastAsia" w:ascii="宋体" w:hAnsi="宋体"/>
          <w:b/>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38DA708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1.6.5 现场图纸准备</w:t>
      </w:r>
    </w:p>
    <w:p w14:paraId="064D957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关于现场图纸准备的约定：</w:t>
      </w:r>
      <w:r>
        <w:rPr>
          <w:rFonts w:hint="eastAsia" w:ascii="宋体" w:hAnsi="宋体"/>
          <w:b/>
          <w:color w:val="auto"/>
          <w:sz w:val="24"/>
          <w:szCs w:val="24"/>
          <w:highlight w:val="none"/>
          <w:u w:val="single"/>
        </w:rPr>
        <w:t xml:space="preserve">     </w:t>
      </w:r>
      <w:r>
        <w:rPr>
          <w:rFonts w:ascii="宋体" w:hAnsi="宋体"/>
          <w:b/>
          <w:color w:val="auto"/>
          <w:sz w:val="24"/>
          <w:szCs w:val="24"/>
          <w:highlight w:val="none"/>
          <w:u w:val="single"/>
        </w:rPr>
        <w:t>/</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rPr>
        <w:t>。</w:t>
      </w:r>
    </w:p>
    <w:p w14:paraId="59D7359F">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1.7 联络</w:t>
      </w:r>
    </w:p>
    <w:p w14:paraId="426B1E0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1.7.1发包人和承包人应当在</w:t>
      </w:r>
      <w:r>
        <w:rPr>
          <w:rFonts w:hint="eastAsia" w:ascii="宋体" w:hAnsi="宋体" w:cs="宋体"/>
          <w:color w:val="auto"/>
          <w:sz w:val="24"/>
          <w:szCs w:val="24"/>
          <w:highlight w:val="none"/>
          <w:u w:val="single"/>
        </w:rPr>
        <w:t></w:t>
      </w:r>
      <w:r>
        <w:rPr>
          <w:rFonts w:hint="eastAsia" w:ascii="宋体" w:hAnsi="宋体"/>
          <w:b/>
          <w:color w:val="auto"/>
          <w:sz w:val="24"/>
          <w:szCs w:val="24"/>
          <w:highlight w:val="none"/>
          <w:u w:val="single"/>
        </w:rPr>
        <w:t xml:space="preserve">3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天内将与合同有关的通知、批准、证明、证书、指示、指令、要求、请求、同意、意见、确定和决定等书面函件送达对方当事人。</w:t>
      </w:r>
    </w:p>
    <w:p w14:paraId="311EA6B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1.7.2 发包人接收文件的地点：</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2079C38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发包人指定的接收人为：</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7757127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承包人接收文件的地点：</w:t>
      </w:r>
      <w:r>
        <w:rPr>
          <w:rFonts w:hint="eastAsia" w:ascii="宋体" w:hAnsi="宋体" w:cs="宋体"/>
          <w:color w:val="auto"/>
          <w:sz w:val="24"/>
          <w:szCs w:val="24"/>
          <w:highlight w:val="none"/>
          <w:u w:val="single"/>
        </w:rPr>
        <w:t>    </w:t>
      </w:r>
      <w:r>
        <w:rPr>
          <w:rFonts w:hint="eastAsia" w:ascii="宋体" w:hAnsi="宋体"/>
          <w:color w:val="auto"/>
          <w:sz w:val="24"/>
          <w:szCs w:val="24"/>
          <w:highlight w:val="none"/>
        </w:rPr>
        <w:t>；</w:t>
      </w:r>
    </w:p>
    <w:p w14:paraId="535C4A3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承包人指定的接收人为：</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7840BBB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监理人接收文件的地点：</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6BCA539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监理人指定的接收人为：</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67031F11">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1.10 交通运输</w:t>
      </w:r>
    </w:p>
    <w:p w14:paraId="6E22DC1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bookmarkStart w:id="401" w:name="_Toc300934943"/>
      <w:bookmarkStart w:id="402" w:name="_Toc304295521"/>
      <w:bookmarkStart w:id="403" w:name="_Toc318581155"/>
      <w:bookmarkStart w:id="404" w:name="_Toc312677986"/>
      <w:bookmarkStart w:id="405" w:name="_Toc303539100"/>
      <w:r>
        <w:rPr>
          <w:rFonts w:hint="eastAsia" w:ascii="宋体" w:hAnsi="宋体"/>
          <w:color w:val="auto"/>
          <w:sz w:val="24"/>
          <w:szCs w:val="24"/>
          <w:highlight w:val="none"/>
        </w:rPr>
        <w:t>.10.1 出入现场的权利</w:t>
      </w:r>
    </w:p>
    <w:p w14:paraId="042EF8D6">
      <w:pPr>
        <w:spacing w:line="360" w:lineRule="auto"/>
        <w:ind w:left="596" w:leftChars="284"/>
        <w:rPr>
          <w:rFonts w:ascii="宋体" w:hAnsi="宋体"/>
          <w:color w:val="auto"/>
          <w:sz w:val="24"/>
          <w:szCs w:val="24"/>
          <w:highlight w:val="none"/>
          <w:u w:val="single"/>
        </w:rPr>
      </w:pPr>
      <w:r>
        <w:rPr>
          <w:rFonts w:hint="eastAsia" w:ascii="宋体" w:hAnsi="宋体"/>
          <w:color w:val="auto"/>
          <w:sz w:val="24"/>
          <w:szCs w:val="24"/>
          <w:highlight w:val="none"/>
        </w:rPr>
        <w:t>关于出入现场的权利的约定：</w:t>
      </w:r>
      <w:r>
        <w:rPr>
          <w:rFonts w:hint="eastAsia" w:ascii="宋体" w:hAnsi="宋体" w:cs="宋体"/>
          <w:color w:val="auto"/>
          <w:sz w:val="24"/>
          <w:szCs w:val="24"/>
          <w:highlight w:val="none"/>
          <w:u w:val="single"/>
        </w:rPr>
        <w:t></w:t>
      </w:r>
      <w:r>
        <w:rPr>
          <w:rFonts w:hint="eastAsia" w:ascii="宋体" w:hAnsi="宋体"/>
          <w:b/>
          <w:color w:val="auto"/>
          <w:sz w:val="24"/>
          <w:szCs w:val="24"/>
          <w:highlight w:val="none"/>
          <w:u w:val="single"/>
        </w:rPr>
        <w:t>承包人按照发包人要求取得出入现场的手续</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bookmarkEnd w:id="401"/>
    <w:bookmarkEnd w:id="402"/>
    <w:bookmarkEnd w:id="403"/>
    <w:bookmarkEnd w:id="404"/>
    <w:bookmarkEnd w:id="405"/>
    <w:p w14:paraId="4CBD63E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bookmarkStart w:id="406" w:name="_Toc312677987"/>
      <w:bookmarkStart w:id="407" w:name="_Toc318581156"/>
      <w:bookmarkStart w:id="408" w:name="_Toc303539101"/>
      <w:bookmarkStart w:id="409" w:name="_Toc300934944"/>
      <w:bookmarkStart w:id="410" w:name="_Toc304295522"/>
      <w:r>
        <w:rPr>
          <w:rFonts w:hint="eastAsia" w:ascii="宋体" w:hAnsi="宋体"/>
          <w:color w:val="auto"/>
          <w:sz w:val="24"/>
          <w:szCs w:val="24"/>
          <w:highlight w:val="none"/>
        </w:rPr>
        <w:t>.10.3 场内交通</w:t>
      </w:r>
    </w:p>
    <w:p w14:paraId="2711203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关于场外交通和场内交通的边界的约定：</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494142F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关于发包人向承包人免费提供满足工程施工需要的场内道路和交通设施的约定：</w:t>
      </w:r>
      <w:r>
        <w:rPr>
          <w:rFonts w:hint="eastAsia" w:ascii="宋体" w:hAnsi="宋体"/>
          <w:color w:val="auto"/>
          <w:sz w:val="24"/>
          <w:szCs w:val="24"/>
          <w:highlight w:val="none"/>
          <w:u w:val="single"/>
        </w:rPr>
        <w:t xml:space="preserve"> 无</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bookmarkEnd w:id="406"/>
      <w:bookmarkEnd w:id="407"/>
      <w:bookmarkEnd w:id="408"/>
      <w:bookmarkEnd w:id="409"/>
      <w:bookmarkEnd w:id="410"/>
      <w:r>
        <w:rPr>
          <w:rFonts w:hint="eastAsia" w:ascii="宋体" w:hAnsi="宋体"/>
          <w:color w:val="auto"/>
          <w:sz w:val="24"/>
          <w:szCs w:val="24"/>
          <w:highlight w:val="none"/>
        </w:rPr>
        <w:t xml:space="preserve">  </w:t>
      </w:r>
      <w:bookmarkStart w:id="411" w:name="_Toc318581157"/>
    </w:p>
    <w:p w14:paraId="424EA0F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1.10.4超大件和超重件的运输</w:t>
      </w:r>
    </w:p>
    <w:p w14:paraId="1347300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运输超大件或超重件所需的道路和桥梁临时加固改造费用和其他有关费用由</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w:t>
      </w:r>
      <w:r>
        <w:rPr>
          <w:rFonts w:hint="eastAsia" w:ascii="宋体" w:hAnsi="宋体" w:cs="宋体"/>
          <w:b/>
          <w:color w:val="auto"/>
          <w:sz w:val="24"/>
          <w:szCs w:val="24"/>
          <w:highlight w:val="none"/>
          <w:u w:val="single"/>
        </w:rPr>
        <w:t>承包人</w:t>
      </w:r>
      <w:r>
        <w:rPr>
          <w:rFonts w:hint="eastAsia" w:ascii="宋体" w:hAnsi="宋体" w:cs="宋体"/>
          <w:color w:val="auto"/>
          <w:highlight w:val="none"/>
          <w:u w:val="single"/>
        </w:rPr>
        <w:t xml:space="preserve"> </w:t>
      </w:r>
      <w:r>
        <w:rPr>
          <w:rFonts w:hint="eastAsia" w:ascii="宋体" w:hAnsi="宋体"/>
          <w:color w:val="auto"/>
          <w:sz w:val="24"/>
          <w:szCs w:val="24"/>
          <w:highlight w:val="none"/>
        </w:rPr>
        <w:t>承担。</w:t>
      </w:r>
    </w:p>
    <w:bookmarkEnd w:id="411"/>
    <w:p w14:paraId="63474209">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1.11 知识产权</w:t>
      </w:r>
    </w:p>
    <w:p w14:paraId="2B43EC45">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发包方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54FF4C28">
      <w:pPr>
        <w:spacing w:line="360" w:lineRule="auto"/>
        <w:rPr>
          <w:rFonts w:ascii="宋体" w:hAnsi="宋体"/>
          <w:color w:val="auto"/>
          <w:sz w:val="24"/>
          <w:szCs w:val="24"/>
          <w:highlight w:val="none"/>
        </w:rPr>
      </w:pPr>
      <w:r>
        <w:rPr>
          <w:rFonts w:hint="eastAsia" w:ascii="宋体" w:hAnsi="宋体"/>
          <w:color w:val="auto"/>
          <w:sz w:val="24"/>
          <w:szCs w:val="24"/>
          <w:highlight w:val="none"/>
        </w:rPr>
        <w:t>关于发包人提供的上述文件的使用限制的要求：</w:t>
      </w:r>
      <w:r>
        <w:rPr>
          <w:rFonts w:hint="eastAsia" w:ascii="宋体" w:hAnsi="宋体"/>
          <w:color w:val="auto"/>
          <w:sz w:val="24"/>
          <w:szCs w:val="24"/>
          <w:highlight w:val="none"/>
          <w:u w:val="single"/>
        </w:rPr>
        <w:t>仅用于本项目</w:t>
      </w:r>
      <w:r>
        <w:rPr>
          <w:rFonts w:hint="eastAsia" w:ascii="宋体" w:hAnsi="宋体"/>
          <w:color w:val="auto"/>
          <w:sz w:val="24"/>
          <w:szCs w:val="24"/>
          <w:highlight w:val="none"/>
        </w:rPr>
        <w:t>。</w:t>
      </w:r>
    </w:p>
    <w:p w14:paraId="221D73E7">
      <w:pPr>
        <w:spacing w:line="360" w:lineRule="auto"/>
        <w:ind w:left="596" w:leftChars="284"/>
        <w:rPr>
          <w:rFonts w:ascii="宋体" w:hAnsi="宋体"/>
          <w:color w:val="auto"/>
          <w:sz w:val="24"/>
          <w:szCs w:val="24"/>
          <w:highlight w:val="none"/>
        </w:rPr>
      </w:pPr>
      <w:r>
        <w:rPr>
          <w:rFonts w:hint="eastAsia" w:ascii="宋体" w:hAnsi="宋体"/>
          <w:color w:val="auto"/>
          <w:sz w:val="24"/>
          <w:szCs w:val="24"/>
          <w:highlight w:val="none"/>
        </w:rPr>
        <w:t>1.11.2 关于承包人为实施工程所编制文件的著作权的归属：</w:t>
      </w:r>
      <w:r>
        <w:rPr>
          <w:rFonts w:hint="eastAsia" w:ascii="宋体" w:hAnsi="宋体" w:cs="宋体"/>
          <w:b/>
          <w:color w:val="auto"/>
          <w:sz w:val="24"/>
          <w:szCs w:val="24"/>
          <w:highlight w:val="none"/>
          <w:u w:val="single"/>
        </w:rPr>
        <w:t>发包人</w:t>
      </w:r>
      <w:r>
        <w:rPr>
          <w:rFonts w:hint="eastAsia" w:ascii="宋体" w:hAnsi="宋体"/>
          <w:color w:val="auto"/>
          <w:sz w:val="24"/>
          <w:szCs w:val="24"/>
          <w:highlight w:val="none"/>
        </w:rPr>
        <w:t>。</w:t>
      </w:r>
    </w:p>
    <w:p w14:paraId="4866CB6F">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关于承包人提供的上述文件的使用限制的要求：</w:t>
      </w:r>
      <w:r>
        <w:rPr>
          <w:rFonts w:hint="eastAsia" w:ascii="宋体" w:hAnsi="宋体"/>
          <w:b/>
          <w:color w:val="auto"/>
          <w:sz w:val="24"/>
          <w:szCs w:val="24"/>
          <w:highlight w:val="none"/>
          <w:u w:val="single"/>
        </w:rPr>
        <w:t>仅用于本项目</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p>
    <w:p w14:paraId="5E1F069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1.11.4 承包人在施工过程中所采用的专利、专有技术、技术秘密的使用费的承担方式：</w:t>
      </w:r>
      <w:r>
        <w:rPr>
          <w:rFonts w:hint="eastAsia" w:ascii="宋体" w:hAnsi="宋体" w:cs="宋体"/>
          <w:color w:val="auto"/>
          <w:sz w:val="24"/>
          <w:szCs w:val="24"/>
          <w:highlight w:val="none"/>
          <w:u w:val="single"/>
        </w:rPr>
        <w:t></w:t>
      </w:r>
      <w:r>
        <w:rPr>
          <w:rFonts w:hint="eastAsia" w:ascii="宋体" w:hAnsi="宋体"/>
          <w:b/>
          <w:color w:val="auto"/>
          <w:sz w:val="24"/>
          <w:szCs w:val="24"/>
          <w:highlight w:val="none"/>
          <w:u w:val="single"/>
        </w:rPr>
        <w:t xml:space="preserve">由承包人承担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493A86CC">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1.13工程量清单错误的修正</w:t>
      </w:r>
    </w:p>
    <w:p w14:paraId="76C2C91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出现工程量清单错误时，是否调整合同价格：</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是，但实施方需报发包人审批，审批通过后方可进行施工</w:t>
      </w:r>
      <w:r>
        <w:rPr>
          <w:rFonts w:hint="eastAsia" w:ascii="宋体" w:hAnsi="宋体"/>
          <w:color w:val="auto"/>
          <w:sz w:val="24"/>
          <w:szCs w:val="24"/>
          <w:highlight w:val="none"/>
        </w:rPr>
        <w:t>。</w:t>
      </w:r>
    </w:p>
    <w:p w14:paraId="6F1F121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允许调整合同价格的工程量偏差范围：</w:t>
      </w:r>
      <w:r>
        <w:rPr>
          <w:rFonts w:hint="eastAsia" w:ascii="宋体" w:hAnsi="宋体"/>
          <w:color w:val="auto"/>
          <w:sz w:val="24"/>
          <w:szCs w:val="24"/>
          <w:highlight w:val="none"/>
          <w:u w:val="single"/>
        </w:rPr>
        <w:t>在发包人批准的情况下，根据实际发生工程量,按实计入结算</w:t>
      </w:r>
      <w:bookmarkStart w:id="412" w:name="_Toc351203634"/>
      <w:r>
        <w:rPr>
          <w:rFonts w:hint="eastAsia" w:ascii="宋体" w:hAnsi="宋体"/>
          <w:color w:val="auto"/>
          <w:sz w:val="24"/>
          <w:szCs w:val="24"/>
          <w:highlight w:val="none"/>
          <w:u w:val="single"/>
        </w:rPr>
        <w:t>。</w:t>
      </w:r>
    </w:p>
    <w:p w14:paraId="2AADFC44">
      <w:pPr>
        <w:pStyle w:val="5"/>
        <w:spacing w:before="120" w:after="120" w:line="360" w:lineRule="auto"/>
        <w:rPr>
          <w:rFonts w:ascii="宋体" w:hAnsi="宋体"/>
          <w:b w:val="0"/>
          <w:color w:val="auto"/>
          <w:sz w:val="24"/>
          <w:szCs w:val="24"/>
          <w:highlight w:val="none"/>
        </w:rPr>
      </w:pPr>
      <w:r>
        <w:rPr>
          <w:rFonts w:hint="eastAsia" w:ascii="宋体" w:hAnsi="宋体"/>
          <w:b w:val="0"/>
          <w:color w:val="auto"/>
          <w:sz w:val="24"/>
          <w:szCs w:val="24"/>
          <w:highlight w:val="none"/>
        </w:rPr>
        <w:t>2</w:t>
      </w:r>
      <w:bookmarkStart w:id="413" w:name="_Toc297120457"/>
      <w:bookmarkStart w:id="414" w:name="_Toc292559362"/>
      <w:bookmarkStart w:id="415" w:name="_Toc292559867"/>
      <w:bookmarkStart w:id="416" w:name="_Toc296891197"/>
      <w:bookmarkStart w:id="417" w:name="_Toc296503157"/>
      <w:bookmarkStart w:id="418" w:name="_Toc296944496"/>
      <w:bookmarkStart w:id="419" w:name="_Toc297048343"/>
      <w:bookmarkStart w:id="420" w:name="_Toc296347156"/>
      <w:bookmarkStart w:id="421" w:name="_Toc296890985"/>
      <w:bookmarkStart w:id="422" w:name="_Toc296346658"/>
      <w:r>
        <w:rPr>
          <w:rFonts w:hint="eastAsia" w:ascii="宋体" w:hAnsi="宋体"/>
          <w:b w:val="0"/>
          <w:color w:val="auto"/>
          <w:sz w:val="24"/>
          <w:szCs w:val="24"/>
          <w:highlight w:val="none"/>
        </w:rPr>
        <w:t>. 发包人</w:t>
      </w:r>
      <w:bookmarkEnd w:id="412"/>
    </w:p>
    <w:bookmarkEnd w:id="413"/>
    <w:bookmarkEnd w:id="414"/>
    <w:bookmarkEnd w:id="415"/>
    <w:bookmarkEnd w:id="416"/>
    <w:bookmarkEnd w:id="417"/>
    <w:bookmarkEnd w:id="418"/>
    <w:bookmarkEnd w:id="419"/>
    <w:bookmarkEnd w:id="420"/>
    <w:bookmarkEnd w:id="421"/>
    <w:bookmarkEnd w:id="422"/>
    <w:p w14:paraId="7C6A41C3">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2.1 发包人代表</w:t>
      </w:r>
    </w:p>
    <w:p w14:paraId="42446FA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发包人代表：</w:t>
      </w:r>
    </w:p>
    <w:p w14:paraId="6628409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姓    名：</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2FDF9392">
      <w:pPr>
        <w:tabs>
          <w:tab w:val="left" w:pos="4410"/>
        </w:tabs>
        <w:spacing w:line="460" w:lineRule="exact"/>
        <w:ind w:firstLine="480" w:firstLineChars="200"/>
        <w:rPr>
          <w:rFonts w:ascii="宋体" w:hAnsi="宋体" w:cs="宋体"/>
          <w:bCs/>
          <w:color w:val="auto"/>
          <w:sz w:val="24"/>
          <w:szCs w:val="24"/>
          <w:highlight w:val="none"/>
        </w:rPr>
      </w:pPr>
      <w:r>
        <w:rPr>
          <w:rFonts w:hint="eastAsia" w:ascii="宋体" w:hAnsi="宋体"/>
          <w:color w:val="auto"/>
          <w:sz w:val="24"/>
          <w:szCs w:val="24"/>
          <w:highlight w:val="none"/>
        </w:rPr>
        <w:t>身份证号：</w:t>
      </w:r>
      <w:r>
        <w:rPr>
          <w:rFonts w:hint="eastAsia" w:ascii="宋体" w:hAnsi="宋体" w:cs="宋体"/>
          <w:color w:val="auto"/>
          <w:sz w:val="24"/>
          <w:szCs w:val="24"/>
          <w:highlight w:val="none"/>
          <w:u w:val="single"/>
        </w:rPr>
        <w:t></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2511188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职    务：</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192467C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u w:val="single"/>
        </w:rPr>
        <w:t xml:space="preserve"> </w:t>
      </w:r>
    </w:p>
    <w:p w14:paraId="6C3D52D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电子信箱：</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1F362E3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通信地址：</w:t>
      </w:r>
      <w:r>
        <w:rPr>
          <w:rFonts w:hint="eastAsia" w:ascii="宋体" w:hAnsi="宋体" w:cs="宋体"/>
          <w:color w:val="auto"/>
          <w:sz w:val="24"/>
          <w:szCs w:val="24"/>
          <w:highlight w:val="none"/>
          <w:u w:val="single"/>
        </w:rPr>
        <w:t>昆明市龙泉路 704 号</w:t>
      </w:r>
      <w:r>
        <w:rPr>
          <w:rFonts w:hint="eastAsia" w:ascii="宋体" w:hAnsi="宋体"/>
          <w:color w:val="auto"/>
          <w:sz w:val="24"/>
          <w:szCs w:val="24"/>
          <w:highlight w:val="none"/>
        </w:rPr>
        <w:t>。</w:t>
      </w:r>
    </w:p>
    <w:p w14:paraId="6E1AF728">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发包人对发包人代表的授权范围如下：</w:t>
      </w:r>
    </w:p>
    <w:p w14:paraId="46959600">
      <w:pPr>
        <w:spacing w:line="360" w:lineRule="auto"/>
        <w:rPr>
          <w:rFonts w:ascii="宋体" w:hAnsi="宋体"/>
          <w:b/>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协调工程相关的各种关系，监督各方工作职责，行使发包人代表的权利，代表发包人全面履行本合同。</w:t>
      </w:r>
    </w:p>
    <w:p w14:paraId="092872C2">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2.2 施工现场、施工条件和基础资料的提供</w:t>
      </w:r>
    </w:p>
    <w:p w14:paraId="74A74B1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2.2.1 提供施工现场</w:t>
      </w:r>
    </w:p>
    <w:p w14:paraId="2749FB3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关于发包人移交施工现场的期限要求：</w:t>
      </w:r>
      <w:r>
        <w:rPr>
          <w:rFonts w:hint="eastAsia" w:ascii="宋体" w:hAnsi="宋体" w:cs="宋体"/>
          <w:color w:val="auto"/>
          <w:sz w:val="24"/>
          <w:szCs w:val="24"/>
          <w:highlight w:val="none"/>
          <w:u w:val="single"/>
        </w:rPr>
        <w:t></w:t>
      </w:r>
      <w:r>
        <w:rPr>
          <w:rFonts w:hint="eastAsia" w:ascii="宋体" w:hAnsi="宋体"/>
          <w:b/>
          <w:color w:val="auto"/>
          <w:sz w:val="24"/>
          <w:szCs w:val="24"/>
          <w:highlight w:val="none"/>
          <w:u w:val="single"/>
        </w:rPr>
        <w:t>开工前</w:t>
      </w:r>
      <w:r>
        <w:rPr>
          <w:rFonts w:ascii="宋体" w:hAnsi="宋体"/>
          <w:b/>
          <w:color w:val="auto"/>
          <w:sz w:val="24"/>
          <w:szCs w:val="24"/>
          <w:highlight w:val="none"/>
          <w:u w:val="single"/>
        </w:rPr>
        <w:t>2</w:t>
      </w:r>
      <w:r>
        <w:rPr>
          <w:rFonts w:hint="eastAsia" w:ascii="宋体" w:hAnsi="宋体"/>
          <w:b/>
          <w:color w:val="auto"/>
          <w:sz w:val="24"/>
          <w:szCs w:val="24"/>
          <w:highlight w:val="none"/>
          <w:u w:val="single"/>
        </w:rPr>
        <w:t>天</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p>
    <w:p w14:paraId="1EFA6D3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2.2.2 提供施工条件</w:t>
      </w:r>
    </w:p>
    <w:p w14:paraId="41953970">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关于发包人应负责提供施工所需要的条件，包括：</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w:t>
      </w:r>
      <w:r>
        <w:rPr>
          <w:rFonts w:ascii="宋体" w:hAnsi="宋体"/>
          <w:b/>
          <w:color w:val="auto"/>
          <w:sz w:val="24"/>
          <w:szCs w:val="24"/>
          <w:highlight w:val="none"/>
          <w:u w:val="single"/>
        </w:rPr>
        <w:t xml:space="preserve"> </w:t>
      </w:r>
      <w:r>
        <w:rPr>
          <w:rFonts w:hint="eastAsia" w:ascii="宋体" w:hAnsi="宋体"/>
          <w:color w:val="auto"/>
          <w:sz w:val="24"/>
          <w:szCs w:val="24"/>
          <w:highlight w:val="none"/>
          <w:u w:val="single"/>
        </w:rPr>
        <w:t xml:space="preserve">  </w:t>
      </w:r>
    </w:p>
    <w:p w14:paraId="7FD7CFAF">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2.5 资金来源证明及支付担保</w:t>
      </w:r>
    </w:p>
    <w:p w14:paraId="5CF14CD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发包人提供资金来源证明的期限要求：</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w:t>
      </w:r>
    </w:p>
    <w:p w14:paraId="1432CCE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发包人是否提供支付担保：</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6799C4CB">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发包人提供支付担保的形式：</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1C54C74A">
      <w:pPr>
        <w:pStyle w:val="5"/>
        <w:spacing w:before="120" w:after="120" w:line="360" w:lineRule="auto"/>
        <w:rPr>
          <w:rFonts w:ascii="宋体" w:hAnsi="宋体"/>
          <w:b w:val="0"/>
          <w:color w:val="auto"/>
          <w:sz w:val="24"/>
          <w:szCs w:val="24"/>
          <w:highlight w:val="none"/>
        </w:rPr>
      </w:pPr>
      <w:bookmarkStart w:id="423" w:name="_Toc351203635"/>
      <w:r>
        <w:rPr>
          <w:rFonts w:hint="eastAsia" w:ascii="宋体" w:hAnsi="宋体"/>
          <w:b w:val="0"/>
          <w:color w:val="auto"/>
          <w:sz w:val="24"/>
          <w:szCs w:val="24"/>
          <w:highlight w:val="none"/>
        </w:rPr>
        <w:t>3</w:t>
      </w:r>
      <w:bookmarkStart w:id="424" w:name="_Toc292559363"/>
      <w:bookmarkStart w:id="425" w:name="_Toc296503158"/>
      <w:bookmarkStart w:id="426" w:name="_Toc297048344"/>
      <w:bookmarkStart w:id="427" w:name="_Toc296346659"/>
      <w:bookmarkStart w:id="428" w:name="_Toc296891198"/>
      <w:bookmarkStart w:id="429" w:name="_Toc292559868"/>
      <w:bookmarkStart w:id="430" w:name="_Toc296944497"/>
      <w:bookmarkStart w:id="431" w:name="_Toc296890986"/>
      <w:bookmarkStart w:id="432" w:name="_Toc297120458"/>
      <w:bookmarkStart w:id="433" w:name="_Toc296347157"/>
      <w:r>
        <w:rPr>
          <w:rFonts w:hint="eastAsia" w:ascii="宋体" w:hAnsi="宋体"/>
          <w:b w:val="0"/>
          <w:color w:val="auto"/>
          <w:sz w:val="24"/>
          <w:szCs w:val="24"/>
          <w:highlight w:val="none"/>
        </w:rPr>
        <w:t>. 承包人</w:t>
      </w:r>
      <w:bookmarkEnd w:id="423"/>
    </w:p>
    <w:bookmarkEnd w:id="424"/>
    <w:bookmarkEnd w:id="425"/>
    <w:bookmarkEnd w:id="426"/>
    <w:bookmarkEnd w:id="427"/>
    <w:bookmarkEnd w:id="428"/>
    <w:bookmarkEnd w:id="429"/>
    <w:bookmarkEnd w:id="430"/>
    <w:bookmarkEnd w:id="431"/>
    <w:bookmarkEnd w:id="432"/>
    <w:bookmarkEnd w:id="433"/>
    <w:p w14:paraId="2CD6105D">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3.1 承包人的一般义务</w:t>
      </w:r>
    </w:p>
    <w:p w14:paraId="12120B7C">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）承包人提交的竣工资料的内容：</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提供合格的全套技术资料和竣工图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p>
    <w:p w14:paraId="0FCD25A4">
      <w:pPr>
        <w:spacing w:line="360" w:lineRule="auto"/>
        <w:ind w:firstLine="480" w:firstLineChars="200"/>
        <w:rPr>
          <w:rFonts w:ascii="宋体" w:hAnsi="宋体"/>
          <w:b/>
          <w:color w:val="auto"/>
          <w:sz w:val="24"/>
          <w:szCs w:val="24"/>
          <w:highlight w:val="none"/>
        </w:rPr>
      </w:pPr>
      <w:r>
        <w:rPr>
          <w:rFonts w:hint="eastAsia" w:ascii="宋体" w:hAnsi="宋体"/>
          <w:color w:val="auto"/>
          <w:sz w:val="24"/>
          <w:szCs w:val="24"/>
          <w:highlight w:val="none"/>
        </w:rPr>
        <w:t>承包人需要提交的竣工资料套数：</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纸质版3份、电子版1份（光盘或U盘）</w:t>
      </w:r>
    </w:p>
    <w:p w14:paraId="5C57E64B">
      <w:pPr>
        <w:spacing w:line="360" w:lineRule="auto"/>
        <w:ind w:left="638" w:leftChars="304"/>
        <w:rPr>
          <w:rFonts w:ascii="宋体" w:hAnsi="宋体"/>
          <w:color w:val="auto"/>
          <w:sz w:val="24"/>
          <w:szCs w:val="24"/>
          <w:highlight w:val="none"/>
        </w:rPr>
      </w:pPr>
      <w:r>
        <w:rPr>
          <w:rFonts w:hint="eastAsia" w:ascii="宋体" w:hAnsi="宋体"/>
          <w:color w:val="auto"/>
          <w:sz w:val="24"/>
          <w:szCs w:val="24"/>
          <w:highlight w:val="none"/>
        </w:rPr>
        <w:t>承包人提交的竣工资料的费用承担：</w:t>
      </w:r>
      <w:r>
        <w:rPr>
          <w:rFonts w:hint="eastAsia" w:ascii="宋体" w:hAnsi="宋体"/>
          <w:b/>
          <w:color w:val="auto"/>
          <w:sz w:val="24"/>
          <w:szCs w:val="24"/>
          <w:highlight w:val="none"/>
          <w:u w:val="single"/>
        </w:rPr>
        <w:t>由承包人自行承担</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0DA2273D">
      <w:pPr>
        <w:spacing w:line="360" w:lineRule="auto"/>
        <w:ind w:left="638" w:leftChars="304"/>
        <w:rPr>
          <w:rFonts w:ascii="宋体" w:hAnsi="宋体"/>
          <w:color w:val="auto"/>
          <w:sz w:val="24"/>
          <w:szCs w:val="24"/>
          <w:highlight w:val="none"/>
        </w:rPr>
      </w:pPr>
      <w:r>
        <w:rPr>
          <w:rFonts w:hint="eastAsia" w:ascii="宋体" w:hAnsi="宋体"/>
          <w:color w:val="auto"/>
          <w:sz w:val="24"/>
          <w:szCs w:val="24"/>
          <w:highlight w:val="none"/>
        </w:rPr>
        <w:t>承包人提交的竣工资料移交时间：</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竣工验收后28天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145F51F4">
      <w:pPr>
        <w:spacing w:line="360" w:lineRule="auto"/>
        <w:ind w:firstLine="600" w:firstLineChars="250"/>
        <w:rPr>
          <w:rFonts w:ascii="宋体" w:hAnsi="宋体"/>
          <w:b/>
          <w:color w:val="auto"/>
          <w:sz w:val="24"/>
          <w:szCs w:val="24"/>
          <w:highlight w:val="none"/>
          <w:u w:val="single"/>
        </w:rPr>
      </w:pPr>
      <w:r>
        <w:rPr>
          <w:rFonts w:hint="eastAsia" w:ascii="宋体" w:hAnsi="宋体"/>
          <w:color w:val="auto"/>
          <w:sz w:val="24"/>
          <w:szCs w:val="24"/>
          <w:highlight w:val="none"/>
        </w:rPr>
        <w:t>承包人提交的竣工资料形式要求：</w:t>
      </w:r>
      <w:r>
        <w:rPr>
          <w:rFonts w:hint="eastAsia" w:ascii="宋体" w:hAnsi="宋体"/>
          <w:b/>
          <w:color w:val="auto"/>
          <w:sz w:val="24"/>
          <w:szCs w:val="24"/>
          <w:highlight w:val="none"/>
          <w:u w:val="single"/>
        </w:rPr>
        <w:t xml:space="preserve">   纸质版2份、电子版1份（光盘或U盘）。</w:t>
      </w:r>
      <w:r>
        <w:rPr>
          <w:rFonts w:hint="eastAsia" w:ascii="宋体" w:hAnsi="宋体"/>
          <w:color w:val="auto"/>
          <w:sz w:val="24"/>
          <w:szCs w:val="24"/>
          <w:highlight w:val="none"/>
          <w:u w:val="single"/>
        </w:rPr>
        <w:t xml:space="preserve"> </w:t>
      </w:r>
    </w:p>
    <w:p w14:paraId="6836C0A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）承包人应履行的其他义务：</w:t>
      </w:r>
    </w:p>
    <w:p w14:paraId="6D83506B">
      <w:pPr>
        <w:spacing w:line="360" w:lineRule="auto"/>
        <w:ind w:firstLine="480" w:firstLineChars="200"/>
        <w:rPr>
          <w:rFonts w:ascii="宋体" w:hAnsi="宋体"/>
          <w:b/>
          <w:color w:val="auto"/>
          <w:sz w:val="24"/>
          <w:szCs w:val="24"/>
          <w:highlight w:val="none"/>
          <w:u w:val="single"/>
        </w:rPr>
      </w:pPr>
      <w:r>
        <w:rPr>
          <w:rFonts w:ascii="宋体" w:hAnsi="宋体"/>
          <w:color w:val="auto"/>
          <w:sz w:val="24"/>
          <w:szCs w:val="24"/>
          <w:highlight w:val="none"/>
        </w:rPr>
        <w:t>1</w:t>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应提供计划、报表的名称及完成时间：每月25日前向发包人提交当月完成的工程量报表和下月的施工进度计划安排一式三份。 </w:t>
      </w:r>
    </w:p>
    <w:p w14:paraId="46998489">
      <w:pPr>
        <w:spacing w:line="360" w:lineRule="auto"/>
        <w:ind w:firstLine="480" w:firstLineChars="200"/>
        <w:textAlignment w:val="baseline"/>
        <w:rPr>
          <w:rFonts w:ascii="宋体" w:hAnsi="宋体" w:cs="宋体"/>
          <w:color w:val="auto"/>
          <w:sz w:val="24"/>
          <w:highlight w:val="none"/>
          <w:u w:val="single" w:color="000000"/>
        </w:rPr>
      </w:pPr>
      <w:r>
        <w:rPr>
          <w:rFonts w:ascii="宋体" w:hAnsi="宋体" w:cs="宋体"/>
          <w:color w:val="auto"/>
          <w:sz w:val="24"/>
          <w:highlight w:val="none"/>
        </w:rPr>
        <w:t>2</w:t>
      </w:r>
      <w:r>
        <w:rPr>
          <w:rFonts w:hint="eastAsia" w:ascii="宋体" w:hAnsi="宋体" w:cs="宋体"/>
          <w:color w:val="auto"/>
          <w:sz w:val="24"/>
          <w:highlight w:val="none"/>
        </w:rPr>
        <w:t>）</w:t>
      </w:r>
      <w:r>
        <w:rPr>
          <w:rFonts w:hint="eastAsia" w:ascii="宋体" w:hAnsi="宋体" w:cs="宋体"/>
          <w:color w:val="auto"/>
          <w:sz w:val="24"/>
          <w:highlight w:val="none"/>
          <w:u w:val="single" w:color="000000"/>
        </w:rPr>
        <w:t>施工安全保卫工作及非夜间施工照明的责任由承包人自负并承担费用。</w:t>
      </w:r>
    </w:p>
    <w:p w14:paraId="285DB77C">
      <w:pPr>
        <w:spacing w:line="360" w:lineRule="auto"/>
        <w:ind w:firstLine="480" w:firstLineChars="200"/>
        <w:textAlignment w:val="baseline"/>
        <w:rPr>
          <w:rFonts w:ascii="宋体" w:hAnsi="宋体" w:cs="宋体"/>
          <w:color w:val="auto"/>
          <w:sz w:val="24"/>
          <w:highlight w:val="none"/>
          <w:u w:val="single" w:color="000000"/>
        </w:rPr>
      </w:pPr>
      <w:r>
        <w:rPr>
          <w:rFonts w:ascii="宋体" w:hAnsi="宋体" w:cs="宋体"/>
          <w:color w:val="auto"/>
          <w:sz w:val="24"/>
          <w:highlight w:val="none"/>
        </w:rPr>
        <w:t>3</w:t>
      </w:r>
      <w:r>
        <w:rPr>
          <w:rFonts w:hint="eastAsia" w:ascii="宋体" w:hAnsi="宋体" w:cs="宋体"/>
          <w:color w:val="auto"/>
          <w:sz w:val="24"/>
          <w:highlight w:val="none"/>
        </w:rPr>
        <w:t>）</w:t>
      </w:r>
      <w:r>
        <w:rPr>
          <w:rFonts w:hint="eastAsia" w:ascii="宋体" w:hAnsi="宋体" w:cs="宋体"/>
          <w:color w:val="auto"/>
          <w:sz w:val="24"/>
          <w:highlight w:val="none"/>
          <w:u w:val="single" w:color="000000"/>
        </w:rPr>
        <w:t>施工场地清洁卫生严格按云南省人民政府令第八十二号《云南省建筑施工现场管理规定》执行，施工任务完成后做到人场清；现场布置，机械材料堆放等问题以批准的施工组织设计为准，并按环评要求做好环境保护工作，避免防止扬尘废水废渣污染，费用已包括在工程签约合同价中。若文明施工不达标，承包人向发包人交纳违约金5000元/次，并承担相关行政处罚及给发包人及第三方造成的损失。承包人车辆经过的路面应采取必要措施保证不扬尘、不洒落。弃土问题按当地政府规定办理，由承包人负责。</w:t>
      </w:r>
    </w:p>
    <w:p w14:paraId="757401AF">
      <w:pPr>
        <w:spacing w:line="360" w:lineRule="auto"/>
        <w:ind w:firstLine="480" w:firstLineChars="200"/>
        <w:rPr>
          <w:rFonts w:ascii="宋体" w:hAnsi="宋体" w:cs="宋体"/>
          <w:color w:val="auto"/>
          <w:highlight w:val="none"/>
        </w:rPr>
      </w:pPr>
      <w:r>
        <w:rPr>
          <w:rFonts w:ascii="宋体" w:hAnsi="宋体" w:cs="宋体"/>
          <w:color w:val="auto"/>
          <w:sz w:val="24"/>
          <w:highlight w:val="none"/>
        </w:rPr>
        <w:t>4</w:t>
      </w:r>
      <w:r>
        <w:rPr>
          <w:rFonts w:hint="eastAsia" w:ascii="宋体" w:hAnsi="宋体" w:cs="宋体"/>
          <w:color w:val="auto"/>
          <w:sz w:val="24"/>
          <w:highlight w:val="none"/>
        </w:rPr>
        <w:t>）</w:t>
      </w:r>
      <w:r>
        <w:rPr>
          <w:rFonts w:hint="eastAsia" w:ascii="宋体" w:hAnsi="宋体" w:cs="宋体"/>
          <w:color w:val="auto"/>
          <w:sz w:val="24"/>
          <w:szCs w:val="24"/>
          <w:highlight w:val="none"/>
          <w:u w:val="single" w:color="000000"/>
        </w:rPr>
        <w:t>承包人按当地政府规定的金额缴纳农民工工资保证金；鉴于现阶段有资质的劳务企业数量较少，若本工程使用零散用工行为，视为承包人直接用工，承包人必须依法与每个工人签订劳动合同。对于承包人非法用工侵犯农民工权益，农民工的劳动生活条件没有得到依法保障的，如出现克扣拖欠工资，农民工上访事件等行为，所产生的一切法律后果由承包人承担，如因此给发包人及第三人造成损失的，承包人应负责赔偿。</w:t>
      </w:r>
    </w:p>
    <w:p w14:paraId="0239A7EC">
      <w:pPr>
        <w:spacing w:line="360" w:lineRule="auto"/>
        <w:ind w:firstLine="480" w:firstLineChars="200"/>
        <w:textAlignment w:val="baseline"/>
        <w:rPr>
          <w:rFonts w:ascii="宋体" w:hAnsi="宋体" w:cs="宋体"/>
          <w:color w:val="auto"/>
          <w:sz w:val="24"/>
          <w:highlight w:val="none"/>
          <w:u w:val="single" w:color="000000"/>
        </w:rPr>
      </w:pPr>
      <w:r>
        <w:rPr>
          <w:rFonts w:ascii="宋体" w:hAnsi="宋体" w:cs="宋体"/>
          <w:color w:val="auto"/>
          <w:sz w:val="24"/>
          <w:highlight w:val="none"/>
        </w:rPr>
        <w:t>5</w:t>
      </w:r>
      <w:r>
        <w:rPr>
          <w:rFonts w:hint="eastAsia" w:ascii="宋体" w:hAnsi="宋体" w:cs="宋体"/>
          <w:color w:val="auto"/>
          <w:sz w:val="24"/>
          <w:highlight w:val="none"/>
        </w:rPr>
        <w:t>）</w:t>
      </w:r>
      <w:r>
        <w:rPr>
          <w:rFonts w:hint="eastAsia" w:ascii="宋体" w:hAnsi="宋体" w:cs="宋体"/>
          <w:color w:val="auto"/>
          <w:sz w:val="24"/>
          <w:highlight w:val="none"/>
          <w:u w:val="single" w:color="000000"/>
        </w:rPr>
        <w:t>承包人应遵守工程建设安全施工有关管理规定，严格按安全标准组织施工，接受行业安全检查人员依法实施的监督检查，采取必要的安全防护及保护措施，对施工人员进行安全教育，严禁违反安全管理规定进行施工，杜绝一切安全事故隐患。若经检查发现安全事故隐患，安全标准不达标，一经发现发包人有权要求承包人支付1000元/次的违约金。若发生安全事故，由承包人承担全部责任，并承担由此造成的一切经济损失。</w:t>
      </w:r>
    </w:p>
    <w:p w14:paraId="031CF597">
      <w:pPr>
        <w:spacing w:line="360" w:lineRule="auto"/>
        <w:ind w:firstLine="480" w:firstLineChars="200"/>
        <w:textAlignment w:val="baseline"/>
        <w:rPr>
          <w:rFonts w:ascii="宋体" w:hAnsi="宋体" w:cs="宋体"/>
          <w:color w:val="auto"/>
          <w:sz w:val="24"/>
          <w:highlight w:val="none"/>
          <w:u w:val="single" w:color="000000"/>
        </w:rPr>
      </w:pPr>
      <w:r>
        <w:rPr>
          <w:rFonts w:ascii="宋体" w:hAnsi="宋体" w:cs="宋体"/>
          <w:color w:val="auto"/>
          <w:sz w:val="24"/>
          <w:highlight w:val="none"/>
        </w:rPr>
        <w:t>6</w:t>
      </w:r>
      <w:r>
        <w:rPr>
          <w:rFonts w:hint="eastAsia" w:ascii="宋体" w:hAnsi="宋体" w:cs="宋体"/>
          <w:color w:val="auto"/>
          <w:sz w:val="24"/>
          <w:highlight w:val="none"/>
        </w:rPr>
        <w:t>）</w:t>
      </w:r>
      <w:r>
        <w:rPr>
          <w:rFonts w:hint="eastAsia" w:ascii="宋体" w:hAnsi="宋体" w:cs="宋体"/>
          <w:color w:val="auto"/>
          <w:sz w:val="24"/>
          <w:highlight w:val="none"/>
          <w:u w:val="single" w:color="000000"/>
        </w:rPr>
        <w:t>所有的工程款均必须专款专用于本合同，不能挪作他用。</w:t>
      </w:r>
    </w:p>
    <w:p w14:paraId="3AC13373">
      <w:pPr>
        <w:spacing w:line="360" w:lineRule="auto"/>
        <w:ind w:firstLine="480" w:firstLineChars="200"/>
        <w:textAlignment w:val="baseline"/>
        <w:rPr>
          <w:rFonts w:ascii="宋体" w:hAnsi="宋体" w:cs="宋体"/>
          <w:color w:val="auto"/>
          <w:sz w:val="24"/>
          <w:highlight w:val="none"/>
          <w:u w:val="single" w:color="000000"/>
        </w:rPr>
      </w:pPr>
      <w:r>
        <w:rPr>
          <w:rFonts w:ascii="宋体" w:hAnsi="宋体" w:cs="宋体"/>
          <w:color w:val="auto"/>
          <w:sz w:val="24"/>
          <w:highlight w:val="none"/>
        </w:rPr>
        <w:t>7</w:t>
      </w:r>
      <w:r>
        <w:rPr>
          <w:rFonts w:hint="eastAsia" w:ascii="宋体" w:hAnsi="宋体" w:cs="宋体"/>
          <w:color w:val="auto"/>
          <w:sz w:val="24"/>
          <w:highlight w:val="none"/>
        </w:rPr>
        <w:t>）</w:t>
      </w:r>
      <w:r>
        <w:rPr>
          <w:rFonts w:hint="eastAsia" w:ascii="宋体" w:hAnsi="宋体" w:cs="宋体"/>
          <w:color w:val="auto"/>
          <w:sz w:val="24"/>
          <w:highlight w:val="none"/>
          <w:u w:val="single" w:color="000000"/>
        </w:rPr>
        <w:t>双方约定承包人应做的其他工作：因工程施工进度需要进行夜间施工的，以不妨碍发包人校园教学、生活环境为前提。</w:t>
      </w:r>
    </w:p>
    <w:p w14:paraId="56CED543">
      <w:pPr>
        <w:spacing w:line="460" w:lineRule="exact"/>
        <w:ind w:firstLine="420" w:firstLineChars="200"/>
        <w:rPr>
          <w:rFonts w:ascii="宋体" w:hAnsi="宋体"/>
          <w:color w:val="auto"/>
          <w:sz w:val="24"/>
          <w:highlight w:val="none"/>
          <w:u w:val="single"/>
        </w:rPr>
      </w:pPr>
      <w:r>
        <w:rPr>
          <w:rFonts w:ascii="宋体" w:hAnsi="宋体" w:cs="宋体"/>
          <w:color w:val="auto"/>
          <w:highlight w:val="none"/>
        </w:rPr>
        <w:t>8</w:t>
      </w:r>
      <w:r>
        <w:rPr>
          <w:rFonts w:hint="eastAsia" w:ascii="宋体" w:hAnsi="宋体" w:cs="宋体"/>
          <w:color w:val="auto"/>
          <w:highlight w:val="none"/>
        </w:rPr>
        <w:t>）</w:t>
      </w:r>
      <w:r>
        <w:rPr>
          <w:rFonts w:hint="eastAsia" w:ascii="宋体" w:hAnsi="宋体"/>
          <w:color w:val="auto"/>
          <w:sz w:val="24"/>
          <w:highlight w:val="none"/>
          <w:u w:val="single"/>
        </w:rPr>
        <w:t>施工场地地下管线和邻近建筑物、构筑物（含文物保护建筑）、古树名木的保护要求及费用承担：若需保护，由承包人提前提出书面保护措施及方案，经发包人会同相关单位确认保护措施及方案后方可实施，发生费用经发包人签证后由发包人承担。</w:t>
      </w:r>
    </w:p>
    <w:p w14:paraId="38FDDBDA">
      <w:pPr>
        <w:spacing w:line="460" w:lineRule="exact"/>
        <w:ind w:firstLine="420" w:firstLineChars="200"/>
        <w:rPr>
          <w:rFonts w:ascii="宋体" w:hAnsi="宋体"/>
          <w:color w:val="auto"/>
          <w:sz w:val="24"/>
          <w:highlight w:val="none"/>
          <w:u w:val="single"/>
        </w:rPr>
      </w:pPr>
      <w:r>
        <w:rPr>
          <w:rFonts w:ascii="宋体" w:hAnsi="宋体" w:cs="宋体"/>
          <w:color w:val="auto"/>
          <w:highlight w:val="none"/>
          <w:u w:val="single"/>
        </w:rPr>
        <w:t>9</w:t>
      </w:r>
      <w:r>
        <w:rPr>
          <w:rFonts w:hint="eastAsia" w:ascii="宋体" w:hAnsi="宋体" w:cs="宋体"/>
          <w:color w:val="auto"/>
          <w:highlight w:val="none"/>
          <w:u w:val="single"/>
        </w:rPr>
        <w:t>）</w:t>
      </w:r>
      <w:r>
        <w:rPr>
          <w:rFonts w:hint="eastAsia" w:ascii="宋体" w:hAnsi="宋体"/>
          <w:color w:val="auto"/>
          <w:sz w:val="24"/>
          <w:highlight w:val="none"/>
          <w:u w:val="single"/>
        </w:rPr>
        <w:t>若承包人未按要求履行义务，发包人有权单方面解除合同，并有权要求承包人支付合同价款20%的违约金，给发包人造成损失的，承包人应当赔偿损失。</w:t>
      </w:r>
    </w:p>
    <w:p w14:paraId="61B9F4D6">
      <w:pPr>
        <w:spacing w:after="120" w:line="360" w:lineRule="auto"/>
        <w:rPr>
          <w:rFonts w:ascii="宋体" w:hAnsi="宋体"/>
          <w:color w:val="auto"/>
          <w:sz w:val="24"/>
          <w:szCs w:val="24"/>
          <w:highlight w:val="none"/>
        </w:rPr>
      </w:pPr>
    </w:p>
    <w:p w14:paraId="731F3124">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3.2 项目经理</w:t>
      </w:r>
    </w:p>
    <w:p w14:paraId="7034B51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3.2.1 项目经理：</w:t>
      </w:r>
    </w:p>
    <w:p w14:paraId="727D12D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姓    名：</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w:t>
      </w:r>
    </w:p>
    <w:p w14:paraId="04CE955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34933E9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建造师执业资格等级：</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w:t>
      </w:r>
    </w:p>
    <w:p w14:paraId="36D3E0B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建造师注册证书号：</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w:t>
      </w:r>
    </w:p>
    <w:p w14:paraId="4C6463E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建造师执业印章号：</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rPr>
        <w:t>；</w:t>
      </w:r>
    </w:p>
    <w:p w14:paraId="0FE6126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安全生产考核合格证书号：</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w:t>
      </w:r>
    </w:p>
    <w:p w14:paraId="6E4193C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rPr>
        <w:t>；</w:t>
      </w:r>
    </w:p>
    <w:p w14:paraId="1E16FC3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电子信箱：</w:t>
      </w:r>
      <w:r>
        <w:rPr>
          <w:rFonts w:hint="eastAsia" w:ascii="宋体" w:hAnsi="宋体" w:cs="宋体"/>
          <w:color w:val="auto"/>
          <w:sz w:val="24"/>
          <w:szCs w:val="24"/>
          <w:highlight w:val="none"/>
          <w:u w:val="single"/>
        </w:rPr>
        <w:t>  /       </w:t>
      </w:r>
      <w:r>
        <w:rPr>
          <w:rFonts w:hint="eastAsia" w:ascii="宋体" w:hAnsi="宋体" w:cs="宋体"/>
          <w:color w:val="auto"/>
          <w:sz w:val="24"/>
          <w:szCs w:val="24"/>
          <w:highlight w:val="none"/>
        </w:rPr>
        <w:t>；</w:t>
      </w:r>
    </w:p>
    <w:p w14:paraId="4BA6E5A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6A4B3DB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承包人对项目经理的授权范围如下：</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负责项目的实施和管理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586E7B8F">
      <w:pPr>
        <w:spacing w:line="360" w:lineRule="auto"/>
        <w:ind w:firstLine="480" w:firstLineChars="200"/>
        <w:rPr>
          <w:rFonts w:ascii="宋体" w:hAnsi="宋体" w:cs="宋体"/>
          <w:color w:val="auto"/>
          <w:sz w:val="24"/>
          <w:highlight w:val="none"/>
        </w:rPr>
      </w:pPr>
      <w:r>
        <w:rPr>
          <w:rFonts w:hint="eastAsia" w:ascii="宋体" w:hAnsi="宋体"/>
          <w:color w:val="auto"/>
          <w:sz w:val="24"/>
          <w:szCs w:val="24"/>
          <w:highlight w:val="none"/>
        </w:rPr>
        <w:t>关于项目经理每月在施工现场的时间要求：</w:t>
      </w:r>
      <w:r>
        <w:rPr>
          <w:rFonts w:hint="eastAsia" w:ascii="宋体" w:hAnsi="宋体" w:cs="宋体"/>
          <w:b/>
          <w:color w:val="auto"/>
          <w:sz w:val="24"/>
          <w:highlight w:val="none"/>
          <w:u w:val="single" w:color="000000"/>
        </w:rPr>
        <w:t>开工之日起到竣工验收合格，项目经理每周不少于5日，每天必须不少于8小时在现场组织施工</w:t>
      </w:r>
      <w:r>
        <w:rPr>
          <w:rFonts w:hint="eastAsia" w:ascii="宋体" w:hAnsi="宋体" w:cs="宋体"/>
          <w:b/>
          <w:color w:val="auto"/>
          <w:sz w:val="24"/>
          <w:highlight w:val="none"/>
        </w:rPr>
        <w:t>。</w:t>
      </w:r>
    </w:p>
    <w:p w14:paraId="4B1B2C3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承包人未提交劳动合同，以及没有为项目经理缴纳社会保险证明的违约责任：</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承包人向发包人支付</w:t>
      </w:r>
      <w:r>
        <w:rPr>
          <w:rFonts w:ascii="宋体" w:hAnsi="宋体"/>
          <w:b/>
          <w:color w:val="auto"/>
          <w:sz w:val="24"/>
          <w:szCs w:val="24"/>
          <w:highlight w:val="none"/>
          <w:u w:val="single"/>
        </w:rPr>
        <w:t>5</w:t>
      </w:r>
      <w:r>
        <w:rPr>
          <w:rFonts w:hint="eastAsia" w:ascii="宋体" w:hAnsi="宋体"/>
          <w:b/>
          <w:color w:val="auto"/>
          <w:sz w:val="24"/>
          <w:szCs w:val="24"/>
          <w:highlight w:val="none"/>
          <w:u w:val="single"/>
        </w:rPr>
        <w:t xml:space="preserve">万元的违约金，限期提交劳动合同并补缴社会保险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05269A10">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项目经理未经批准，擅自离开施工现场的违约责任：</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按3000元/次进行支付违约金 </w:t>
      </w:r>
      <w:r>
        <w:rPr>
          <w:rFonts w:hint="eastAsia" w:ascii="宋体" w:hAnsi="宋体"/>
          <w:color w:val="auto"/>
          <w:sz w:val="24"/>
          <w:szCs w:val="24"/>
          <w:highlight w:val="none"/>
          <w:u w:val="single"/>
        </w:rPr>
        <w:t xml:space="preserve">    </w:t>
      </w:r>
    </w:p>
    <w:p w14:paraId="7AAA22AC">
      <w:pPr>
        <w:spacing w:line="460" w:lineRule="exact"/>
        <w:ind w:firstLine="480" w:firstLineChars="200"/>
        <w:rPr>
          <w:rFonts w:ascii="宋体" w:hAnsi="宋体"/>
          <w:b/>
          <w:color w:val="auto"/>
          <w:sz w:val="24"/>
          <w:szCs w:val="24"/>
          <w:highlight w:val="none"/>
          <w:u w:val="single"/>
        </w:rPr>
      </w:pPr>
      <w:r>
        <w:rPr>
          <w:rFonts w:hint="eastAsia" w:ascii="宋体" w:hAnsi="宋体"/>
          <w:color w:val="auto"/>
          <w:sz w:val="24"/>
          <w:szCs w:val="24"/>
          <w:highlight w:val="none"/>
        </w:rPr>
        <w:t>3.2.3 承包人擅自更换项目经理的违约责任：</w:t>
      </w:r>
      <w:r>
        <w:rPr>
          <w:rFonts w:hint="eastAsia" w:ascii="宋体" w:hAnsi="宋体"/>
          <w:b/>
          <w:color w:val="auto"/>
          <w:sz w:val="24"/>
          <w:szCs w:val="24"/>
          <w:highlight w:val="none"/>
          <w:u w:val="single"/>
        </w:rPr>
        <w:t>工程开工前，项目经理及其它项目管理机构组成人员必须按照评审文件中的承诺到位，而且直至工程交工验收完为止，未经发包人同意不得更换竞选文件中项目管理机构组成表的人员。擅自更换项目经理，按2000元/次进行支付违约金，同时发包人有权解除合同并要求承包人承担上述违约行为给发包人造成的一切损失。</w:t>
      </w:r>
    </w:p>
    <w:p w14:paraId="123B32E9">
      <w:pPr>
        <w:spacing w:line="360" w:lineRule="auto"/>
        <w:rPr>
          <w:rFonts w:ascii="宋体" w:hAnsi="宋体"/>
          <w:b/>
          <w:color w:val="auto"/>
          <w:sz w:val="24"/>
          <w:szCs w:val="24"/>
          <w:highlight w:val="none"/>
          <w:u w:val="single"/>
        </w:rPr>
      </w:pPr>
      <w:r>
        <w:rPr>
          <w:rFonts w:hint="eastAsia" w:ascii="宋体" w:hAnsi="宋体"/>
          <w:color w:val="auto"/>
          <w:sz w:val="24"/>
          <w:szCs w:val="24"/>
          <w:highlight w:val="none"/>
        </w:rPr>
        <w:t xml:space="preserve">    3.2.4 承包人无正当理由拒绝更换项目经理的违约责任：</w:t>
      </w:r>
      <w:r>
        <w:rPr>
          <w:rFonts w:hint="eastAsia" w:ascii="宋体" w:hAnsi="宋体"/>
          <w:b/>
          <w:color w:val="auto"/>
          <w:sz w:val="24"/>
          <w:szCs w:val="24"/>
          <w:highlight w:val="none"/>
          <w:u w:val="single"/>
        </w:rPr>
        <w:t>按3000元/次进行支付违约金，承包人承担上述违约行为给发包人造成的一切损失；更换项目经理后，若发包人认为更换的项目经理仍不能正常履行职责的，发包人有权终止合同且不承担任何责任，承包人承担由此给发包人造成的一切经济损失和法律责任    。</w:t>
      </w:r>
    </w:p>
    <w:p w14:paraId="163950B2">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3.3 承包人人员</w:t>
      </w:r>
    </w:p>
    <w:p w14:paraId="070C62B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3.3.1 承包人提交项目管理机构及施工现场管理人员安排报告的期限：</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项目开工前</w:t>
      </w:r>
      <w:r>
        <w:rPr>
          <w:rFonts w:ascii="宋体" w:hAnsi="宋体"/>
          <w:b/>
          <w:color w:val="auto"/>
          <w:sz w:val="24"/>
          <w:szCs w:val="24"/>
          <w:highlight w:val="none"/>
          <w:u w:val="single"/>
        </w:rPr>
        <w:t>3</w:t>
      </w:r>
      <w:r>
        <w:rPr>
          <w:rFonts w:hint="eastAsia" w:ascii="宋体" w:hAnsi="宋体"/>
          <w:b/>
          <w:color w:val="auto"/>
          <w:sz w:val="24"/>
          <w:szCs w:val="24"/>
          <w:highlight w:val="none"/>
          <w:u w:val="single"/>
        </w:rPr>
        <w:t xml:space="preserve">日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2CCDC8AC">
      <w:pPr>
        <w:spacing w:line="360" w:lineRule="auto"/>
        <w:ind w:firstLine="480" w:firstLineChars="200"/>
        <w:rPr>
          <w:rFonts w:ascii="宋体" w:hAnsi="宋体"/>
          <w:b/>
          <w:color w:val="auto"/>
          <w:sz w:val="24"/>
          <w:szCs w:val="24"/>
          <w:highlight w:val="none"/>
        </w:rPr>
      </w:pPr>
      <w:r>
        <w:rPr>
          <w:rFonts w:hint="eastAsia" w:ascii="宋体" w:hAnsi="宋体"/>
          <w:color w:val="auto"/>
          <w:sz w:val="24"/>
          <w:szCs w:val="24"/>
          <w:highlight w:val="none"/>
        </w:rPr>
        <w:t>3.3.3 承包人无正当理由拒绝撤换主要施工管理人员的违约责任：</w:t>
      </w:r>
      <w:r>
        <w:rPr>
          <w:rFonts w:hint="eastAsia" w:ascii="宋体" w:hAnsi="宋体"/>
          <w:b/>
          <w:color w:val="auto"/>
          <w:sz w:val="24"/>
          <w:szCs w:val="24"/>
          <w:highlight w:val="none"/>
          <w:u w:val="single"/>
        </w:rPr>
        <w:t xml:space="preserve"> 按3000元/次进行支付违约金，发包人有权解除合同并责令承包人退场，由此产生的一切损失及后果由承包人承担   。</w:t>
      </w:r>
    </w:p>
    <w:p w14:paraId="536D15C5">
      <w:pPr>
        <w:spacing w:line="360" w:lineRule="auto"/>
        <w:ind w:firstLine="480" w:firstLineChars="200"/>
        <w:rPr>
          <w:rFonts w:ascii="宋体" w:hAnsi="宋体"/>
          <w:b/>
          <w:color w:val="auto"/>
          <w:sz w:val="24"/>
          <w:szCs w:val="24"/>
          <w:highlight w:val="none"/>
          <w:u w:val="single"/>
        </w:rPr>
      </w:pPr>
      <w:r>
        <w:rPr>
          <w:rFonts w:hint="eastAsia" w:ascii="宋体" w:hAnsi="宋体"/>
          <w:color w:val="auto"/>
          <w:sz w:val="24"/>
          <w:szCs w:val="24"/>
          <w:highlight w:val="none"/>
        </w:rPr>
        <w:t>3.3.4 承包人主要施工管理人员离开施工现场的批准要求：</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b/>
          <w:color w:val="auto"/>
          <w:sz w:val="24"/>
          <w:szCs w:val="24"/>
          <w:highlight w:val="none"/>
          <w:u w:val="single"/>
        </w:rPr>
        <w:t>须经发包人同意    。</w:t>
      </w:r>
    </w:p>
    <w:p w14:paraId="1A7D4FC5">
      <w:pPr>
        <w:spacing w:line="460" w:lineRule="exact"/>
        <w:ind w:firstLine="480" w:firstLineChars="200"/>
        <w:rPr>
          <w:rFonts w:ascii="宋体" w:hAnsi="宋体"/>
          <w:b/>
          <w:color w:val="auto"/>
          <w:sz w:val="24"/>
          <w:szCs w:val="24"/>
          <w:highlight w:val="none"/>
        </w:rPr>
      </w:pPr>
      <w:r>
        <w:rPr>
          <w:rFonts w:hint="eastAsia" w:ascii="宋体" w:hAnsi="宋体"/>
          <w:color w:val="auto"/>
          <w:sz w:val="24"/>
          <w:szCs w:val="24"/>
          <w:highlight w:val="none"/>
        </w:rPr>
        <w:t>3.3.5承包人擅自更换主要施工管理人员的违约责任：</w:t>
      </w:r>
      <w:r>
        <w:rPr>
          <w:rFonts w:hint="eastAsia" w:ascii="宋体" w:hAnsi="宋体"/>
          <w:b/>
          <w:color w:val="auto"/>
          <w:sz w:val="24"/>
          <w:szCs w:val="24"/>
          <w:highlight w:val="none"/>
          <w:u w:val="single"/>
        </w:rPr>
        <w:t>按1000元/次进行支付违约金，发包人有权解除合同并责令承包人退场，由此产生的一切损失及后果由承包人承担。</w:t>
      </w:r>
    </w:p>
    <w:p w14:paraId="5A677FFA">
      <w:pPr>
        <w:spacing w:line="460" w:lineRule="exact"/>
        <w:ind w:firstLine="480" w:firstLineChars="200"/>
        <w:rPr>
          <w:rFonts w:ascii="宋体" w:hAnsi="宋体"/>
          <w:b/>
          <w:color w:val="auto"/>
          <w:sz w:val="24"/>
          <w:szCs w:val="24"/>
          <w:highlight w:val="none"/>
        </w:rPr>
      </w:pPr>
      <w:r>
        <w:rPr>
          <w:rFonts w:hint="eastAsia" w:ascii="宋体" w:hAnsi="宋体"/>
          <w:color w:val="auto"/>
          <w:sz w:val="24"/>
          <w:szCs w:val="24"/>
          <w:highlight w:val="none"/>
        </w:rPr>
        <w:t>承包人主要施工管理人员擅自离开施工现场的违约责任：</w:t>
      </w:r>
      <w:r>
        <w:rPr>
          <w:rFonts w:hint="eastAsia" w:ascii="宋体" w:hAnsi="宋体"/>
          <w:b/>
          <w:color w:val="auto"/>
          <w:sz w:val="24"/>
          <w:szCs w:val="24"/>
          <w:highlight w:val="none"/>
          <w:u w:val="single"/>
        </w:rPr>
        <w:t>按1000元/次支付违约金，有权解除合同并责令承包人退场，由此产生的一切损失及后果由承包人承担。</w:t>
      </w:r>
    </w:p>
    <w:p w14:paraId="56FA2E6E">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w:t>
      </w:r>
      <w:bookmarkStart w:id="434" w:name="_Toc296944498"/>
      <w:bookmarkStart w:id="435" w:name="_Toc296891199"/>
      <w:bookmarkStart w:id="436" w:name="_Toc304295523"/>
      <w:bookmarkStart w:id="437" w:name="_Toc292559364"/>
      <w:bookmarkStart w:id="438" w:name="_Toc296890987"/>
      <w:bookmarkStart w:id="439" w:name="_Toc296346660"/>
      <w:bookmarkStart w:id="440" w:name="_Toc296347158"/>
      <w:bookmarkStart w:id="441" w:name="_Toc303539102"/>
      <w:bookmarkStart w:id="442" w:name="_Toc297216151"/>
      <w:bookmarkStart w:id="443" w:name="_Toc292559869"/>
      <w:bookmarkStart w:id="444" w:name="_Toc297048345"/>
      <w:bookmarkStart w:id="445" w:name="_Toc300934945"/>
      <w:bookmarkStart w:id="446" w:name="_Toc297123492"/>
      <w:bookmarkStart w:id="447" w:name="_Toc297120459"/>
      <w:bookmarkStart w:id="448" w:name="_Toc312677988"/>
      <w:bookmarkStart w:id="449" w:name="_Toc296503159"/>
      <w:r>
        <w:rPr>
          <w:rFonts w:hint="eastAsia" w:ascii="宋体" w:hAnsi="宋体"/>
          <w:color w:val="auto"/>
          <w:sz w:val="24"/>
          <w:szCs w:val="24"/>
          <w:highlight w:val="none"/>
        </w:rPr>
        <w:t>.5 分包</w:t>
      </w:r>
    </w:p>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14:paraId="735B10D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w:t>
      </w:r>
      <w:bookmarkStart w:id="450" w:name="_Toc296503160"/>
      <w:bookmarkStart w:id="451" w:name="_Toc297123493"/>
      <w:bookmarkStart w:id="452" w:name="_Toc300934946"/>
      <w:bookmarkStart w:id="453" w:name="_Toc296347159"/>
      <w:bookmarkStart w:id="454" w:name="_Toc297216152"/>
      <w:bookmarkStart w:id="455" w:name="_Toc297048346"/>
      <w:bookmarkStart w:id="456" w:name="_Toc296890988"/>
      <w:bookmarkStart w:id="457" w:name="_Toc312677989"/>
      <w:bookmarkStart w:id="458" w:name="_Toc292559365"/>
      <w:bookmarkStart w:id="459" w:name="_Toc304295524"/>
      <w:bookmarkStart w:id="460" w:name="_Toc318581158"/>
      <w:bookmarkStart w:id="461" w:name="_Toc292559870"/>
      <w:bookmarkStart w:id="462" w:name="_Toc296891200"/>
      <w:bookmarkStart w:id="463" w:name="_Toc303539103"/>
      <w:bookmarkStart w:id="464" w:name="_Toc297120460"/>
      <w:bookmarkStart w:id="465" w:name="_Toc296346661"/>
      <w:bookmarkStart w:id="466" w:name="_Toc296944499"/>
      <w:r>
        <w:rPr>
          <w:rFonts w:hint="eastAsia" w:ascii="宋体" w:hAnsi="宋体"/>
          <w:color w:val="auto"/>
          <w:sz w:val="24"/>
          <w:szCs w:val="24"/>
          <w:highlight w:val="none"/>
        </w:rPr>
        <w:t>.5.1 分包的一般约定</w:t>
      </w:r>
    </w:p>
    <w:p w14:paraId="7EE461A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禁止分包的工程包括：</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与本项目有关的全部工程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26EA73C2">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主体结构、关键性工作的范围：</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无  </w:t>
      </w:r>
      <w:r>
        <w:rPr>
          <w:rFonts w:hint="eastAsia" w:ascii="宋体" w:hAnsi="宋体"/>
          <w:color w:val="auto"/>
          <w:sz w:val="24"/>
          <w:szCs w:val="24"/>
          <w:highlight w:val="none"/>
          <w:u w:val="single"/>
        </w:rPr>
        <w:t xml:space="preserve">              </w:t>
      </w:r>
    </w:p>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14:paraId="4BC74B10">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3</w:t>
      </w:r>
      <w:bookmarkStart w:id="467" w:name="_Toc312677990"/>
      <w:bookmarkStart w:id="468" w:name="_Toc318581159"/>
      <w:r>
        <w:rPr>
          <w:rFonts w:hint="eastAsia" w:ascii="宋体" w:hAnsi="宋体"/>
          <w:color w:val="auto"/>
          <w:sz w:val="24"/>
          <w:szCs w:val="24"/>
          <w:highlight w:val="none"/>
        </w:rPr>
        <w:t>.5.2分包的确定</w:t>
      </w:r>
    </w:p>
    <w:p w14:paraId="72A681A7">
      <w:pPr>
        <w:spacing w:line="460" w:lineRule="exact"/>
        <w:ind w:firstLine="480" w:firstLineChars="200"/>
        <w:rPr>
          <w:rFonts w:ascii="宋体" w:hAnsi="宋体"/>
          <w:b/>
          <w:color w:val="auto"/>
          <w:sz w:val="24"/>
          <w:szCs w:val="24"/>
          <w:highlight w:val="none"/>
          <w:u w:val="single"/>
        </w:rPr>
      </w:pPr>
      <w:r>
        <w:rPr>
          <w:rFonts w:hint="eastAsia" w:ascii="宋体" w:hAnsi="宋体"/>
          <w:color w:val="auto"/>
          <w:sz w:val="24"/>
          <w:szCs w:val="24"/>
          <w:highlight w:val="none"/>
        </w:rPr>
        <w:t>允许分包的专业工程包括：</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w:t>
      </w:r>
    </w:p>
    <w:p w14:paraId="049DCBCD">
      <w:pPr>
        <w:spacing w:line="460" w:lineRule="exact"/>
        <w:ind w:firstLine="480" w:firstLineChars="200"/>
        <w:rPr>
          <w:rFonts w:ascii="宋体" w:hAnsi="宋体"/>
          <w:b/>
          <w:color w:val="auto"/>
          <w:sz w:val="24"/>
          <w:szCs w:val="24"/>
          <w:highlight w:val="none"/>
          <w:u w:val="single"/>
        </w:rPr>
      </w:pPr>
      <w:r>
        <w:rPr>
          <w:rFonts w:hint="eastAsia" w:ascii="宋体" w:hAnsi="宋体"/>
          <w:color w:val="auto"/>
          <w:sz w:val="24"/>
          <w:szCs w:val="24"/>
          <w:highlight w:val="none"/>
        </w:rPr>
        <w:t>其他关于分包的约定：</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w:t>
      </w:r>
      <w:r>
        <w:rPr>
          <w:rFonts w:ascii="宋体" w:hAnsi="宋体"/>
          <w:b/>
          <w:color w:val="auto"/>
          <w:sz w:val="24"/>
          <w:szCs w:val="24"/>
          <w:highlight w:val="none"/>
          <w:u w:val="single"/>
        </w:rPr>
        <w:t xml:space="preserve">  </w:t>
      </w:r>
      <w:r>
        <w:rPr>
          <w:rFonts w:hint="eastAsia" w:ascii="宋体" w:hAnsi="宋体"/>
          <w:b/>
          <w:color w:val="auto"/>
          <w:sz w:val="24"/>
          <w:szCs w:val="24"/>
          <w:highlight w:val="none"/>
        </w:rPr>
        <w:t>。</w:t>
      </w:r>
    </w:p>
    <w:p w14:paraId="26A537C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3.5.4 分包合同价款</w:t>
      </w:r>
    </w:p>
    <w:p w14:paraId="0F3B4B0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关于分包合同价款支付的约定：</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无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bookmarkEnd w:id="467"/>
    <w:bookmarkEnd w:id="468"/>
    <w:p w14:paraId="54F40790">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3.6 工程照管与成品、半成品保护</w:t>
      </w:r>
    </w:p>
    <w:p w14:paraId="2D40CA39">
      <w:pPr>
        <w:spacing w:line="460" w:lineRule="exact"/>
        <w:ind w:left="105" w:leftChars="50" w:firstLine="360" w:firstLineChars="150"/>
        <w:rPr>
          <w:rFonts w:ascii="宋体" w:hAnsi="宋体"/>
          <w:b/>
          <w:color w:val="auto"/>
          <w:sz w:val="24"/>
          <w:szCs w:val="24"/>
          <w:highlight w:val="none"/>
          <w:u w:val="single"/>
        </w:rPr>
      </w:pPr>
      <w:r>
        <w:rPr>
          <w:rFonts w:hint="eastAsia" w:ascii="宋体" w:hAnsi="宋体"/>
          <w:color w:val="auto"/>
          <w:sz w:val="24"/>
          <w:szCs w:val="24"/>
          <w:highlight w:val="none"/>
        </w:rPr>
        <w:t>承包人负责照管工程及工程相关的材料、工程设备的起始时间：</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工程开工之日起，至工程竣工验收完毕并移交完成之日止 </w:t>
      </w:r>
      <w:r>
        <w:rPr>
          <w:rFonts w:hint="eastAsia" w:ascii="宋体" w:hAnsi="宋体"/>
          <w:b/>
          <w:color w:val="auto"/>
          <w:sz w:val="24"/>
          <w:szCs w:val="24"/>
          <w:highlight w:val="none"/>
        </w:rPr>
        <w:t>。</w:t>
      </w:r>
    </w:p>
    <w:p w14:paraId="13D27F1B">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3.7 履约担保</w:t>
      </w:r>
    </w:p>
    <w:p w14:paraId="31A6319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承包人是否提供履约担保：</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无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0CC2C3C4">
      <w:pPr>
        <w:spacing w:line="460" w:lineRule="exact"/>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承包人提供履约担保的形式、金额及期限的：</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w:t>
      </w:r>
      <w:r>
        <w:rPr>
          <w:rFonts w:hint="eastAsia" w:ascii="宋体" w:hAnsi="宋体"/>
          <w:color w:val="auto"/>
          <w:sz w:val="24"/>
          <w:szCs w:val="24"/>
          <w:highlight w:val="none"/>
          <w:u w:val="single"/>
        </w:rPr>
        <w:t xml:space="preserve"> </w:t>
      </w:r>
    </w:p>
    <w:p w14:paraId="69B772A8">
      <w:pPr>
        <w:spacing w:line="4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3.8诚信保证金</w:t>
      </w:r>
    </w:p>
    <w:p w14:paraId="3B563B19">
      <w:pPr>
        <w:pStyle w:val="5"/>
        <w:spacing w:before="120" w:after="120" w:line="360" w:lineRule="auto"/>
        <w:rPr>
          <w:rFonts w:ascii="宋体" w:hAnsi="宋体"/>
          <w:b w:val="0"/>
          <w:color w:val="auto"/>
          <w:sz w:val="24"/>
          <w:szCs w:val="24"/>
          <w:highlight w:val="none"/>
        </w:rPr>
      </w:pPr>
      <w:bookmarkStart w:id="469" w:name="_Toc351203636"/>
      <w:r>
        <w:rPr>
          <w:rFonts w:hint="eastAsia" w:ascii="宋体" w:hAnsi="宋体"/>
          <w:b w:val="0"/>
          <w:color w:val="auto"/>
          <w:sz w:val="24"/>
          <w:szCs w:val="24"/>
          <w:highlight w:val="none"/>
        </w:rPr>
        <w:t>4</w:t>
      </w:r>
      <w:bookmarkStart w:id="470" w:name="_Toc297120462"/>
      <w:bookmarkStart w:id="471" w:name="_Toc296890990"/>
      <w:bookmarkStart w:id="472" w:name="_Toc296503162"/>
      <w:bookmarkStart w:id="473" w:name="_Toc297048348"/>
      <w:bookmarkStart w:id="474" w:name="_Toc267251413"/>
      <w:bookmarkStart w:id="475" w:name="_Toc292559366"/>
      <w:bookmarkStart w:id="476" w:name="_Toc296944501"/>
      <w:bookmarkStart w:id="477" w:name="_Toc296346663"/>
      <w:bookmarkStart w:id="478" w:name="_Toc296347161"/>
      <w:bookmarkStart w:id="479" w:name="_Toc296891202"/>
      <w:bookmarkStart w:id="480" w:name="_Toc292559871"/>
      <w:r>
        <w:rPr>
          <w:rFonts w:hint="eastAsia" w:ascii="宋体" w:hAnsi="宋体"/>
          <w:b w:val="0"/>
          <w:color w:val="auto"/>
          <w:sz w:val="24"/>
          <w:szCs w:val="24"/>
          <w:highlight w:val="none"/>
        </w:rPr>
        <w:t>. 监</w:t>
      </w:r>
      <w:bookmarkEnd w:id="470"/>
      <w:bookmarkEnd w:id="471"/>
      <w:bookmarkEnd w:id="472"/>
      <w:bookmarkEnd w:id="473"/>
      <w:bookmarkEnd w:id="474"/>
      <w:bookmarkEnd w:id="475"/>
      <w:bookmarkEnd w:id="476"/>
      <w:bookmarkEnd w:id="477"/>
      <w:bookmarkEnd w:id="478"/>
      <w:bookmarkEnd w:id="479"/>
      <w:bookmarkEnd w:id="480"/>
      <w:r>
        <w:rPr>
          <w:rFonts w:hint="eastAsia" w:ascii="宋体" w:hAnsi="宋体"/>
          <w:b w:val="0"/>
          <w:color w:val="auto"/>
          <w:sz w:val="24"/>
          <w:szCs w:val="24"/>
          <w:highlight w:val="none"/>
        </w:rPr>
        <w:t>理人</w:t>
      </w:r>
      <w:bookmarkEnd w:id="469"/>
    </w:p>
    <w:p w14:paraId="2565611A">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4.1监理人的一般规定</w:t>
      </w:r>
    </w:p>
    <w:p w14:paraId="36E96D5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关于监理人的监理内容：</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5299ACC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关于监理人的监理权限：</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p>
    <w:p w14:paraId="66F32BE0">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关于监理人在施工现场的办公场所、生活场所的提供和费用承担的约定：</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5DC5510C">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4.2 监理人员</w:t>
      </w:r>
    </w:p>
    <w:p w14:paraId="11EC0C2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总监理工程师：</w:t>
      </w:r>
    </w:p>
    <w:p w14:paraId="3B83020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姓    名：</w:t>
      </w:r>
      <w:r>
        <w:rPr>
          <w:rFonts w:hint="eastAsia" w:ascii="宋体" w:hAnsi="宋体" w:cs="宋体"/>
          <w:color w:val="auto"/>
          <w:sz w:val="24"/>
          <w:szCs w:val="24"/>
          <w:highlight w:val="none"/>
          <w:u w:val="single"/>
        </w:rPr>
        <w:t></w:t>
      </w:r>
      <w:r>
        <w:rPr>
          <w:rFonts w:ascii="宋体" w:hAnsi="宋体"/>
          <w:color w:val="auto"/>
          <w:sz w:val="24"/>
          <w:szCs w:val="24"/>
          <w:highlight w:val="none"/>
          <w:u w:val="single"/>
        </w:rPr>
        <w:t>/</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010E2BC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职    务：</w:t>
      </w:r>
      <w:r>
        <w:rPr>
          <w:rFonts w:hint="eastAsia" w:ascii="宋体" w:hAnsi="宋体" w:cs="宋体"/>
          <w:color w:val="auto"/>
          <w:sz w:val="24"/>
          <w:szCs w:val="24"/>
          <w:highlight w:val="none"/>
          <w:u w:val="single"/>
        </w:rPr>
        <w:t></w:t>
      </w:r>
      <w:r>
        <w:rPr>
          <w:rFonts w:ascii="宋体" w:hAnsi="宋体"/>
          <w:color w:val="auto"/>
          <w:sz w:val="24"/>
          <w:szCs w:val="24"/>
          <w:highlight w:val="none"/>
          <w:u w:val="single"/>
        </w:rPr>
        <w:t>/</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76645B3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监理工程师执业资格证书号：</w:t>
      </w:r>
      <w:r>
        <w:rPr>
          <w:rFonts w:hint="eastAsia" w:ascii="宋体" w:hAnsi="宋体" w:cs="宋体"/>
          <w:color w:val="auto"/>
          <w:sz w:val="24"/>
          <w:szCs w:val="24"/>
          <w:highlight w:val="none"/>
          <w:u w:val="single"/>
        </w:rPr>
        <w:t></w:t>
      </w:r>
      <w:r>
        <w:rPr>
          <w:rFonts w:ascii="宋体" w:hAnsi="宋体"/>
          <w:color w:val="auto"/>
          <w:sz w:val="24"/>
          <w:szCs w:val="24"/>
          <w:highlight w:val="none"/>
          <w:u w:val="single"/>
        </w:rPr>
        <w:t>/</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570F3E5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联系电话：</w:t>
      </w:r>
      <w:r>
        <w:rPr>
          <w:rFonts w:hint="eastAsia" w:ascii="宋体" w:hAnsi="宋体" w:cs="宋体"/>
          <w:color w:val="auto"/>
          <w:sz w:val="24"/>
          <w:szCs w:val="24"/>
          <w:highlight w:val="none"/>
          <w:u w:val="single"/>
        </w:rPr>
        <w:t></w:t>
      </w:r>
      <w:r>
        <w:rPr>
          <w:rFonts w:ascii="宋体" w:hAnsi="宋体"/>
          <w:color w:val="auto"/>
          <w:sz w:val="24"/>
          <w:szCs w:val="24"/>
          <w:highlight w:val="none"/>
          <w:u w:val="single"/>
        </w:rPr>
        <w:t>/</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4C60E8A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电子信箱：</w:t>
      </w:r>
      <w:r>
        <w:rPr>
          <w:rFonts w:hint="eastAsia" w:ascii="宋体" w:hAnsi="宋体" w:cs="宋体"/>
          <w:color w:val="auto"/>
          <w:sz w:val="24"/>
          <w:szCs w:val="24"/>
          <w:highlight w:val="none"/>
          <w:u w:val="single"/>
        </w:rPr>
        <w:t></w:t>
      </w:r>
      <w:r>
        <w:rPr>
          <w:rFonts w:ascii="宋体" w:hAnsi="宋体"/>
          <w:color w:val="auto"/>
          <w:sz w:val="24"/>
          <w:szCs w:val="24"/>
          <w:highlight w:val="none"/>
          <w:u w:val="single"/>
        </w:rPr>
        <w:t>/</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2733AF6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通信地址：</w:t>
      </w:r>
      <w:r>
        <w:rPr>
          <w:rFonts w:hint="eastAsia" w:ascii="宋体" w:hAnsi="宋体" w:cs="宋体"/>
          <w:color w:val="auto"/>
          <w:sz w:val="24"/>
          <w:szCs w:val="24"/>
          <w:highlight w:val="none"/>
          <w:u w:val="single"/>
        </w:rPr>
        <w:t></w:t>
      </w:r>
      <w:r>
        <w:rPr>
          <w:rFonts w:ascii="宋体" w:hAnsi="宋体"/>
          <w:color w:val="auto"/>
          <w:sz w:val="24"/>
          <w:szCs w:val="24"/>
          <w:highlight w:val="none"/>
          <w:u w:val="single"/>
        </w:rPr>
        <w:t>/</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0B8768C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关于监理人的其他约定：</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olor w:val="auto"/>
          <w:sz w:val="24"/>
          <w:szCs w:val="24"/>
          <w:highlight w:val="none"/>
        </w:rPr>
        <w:t>。</w:t>
      </w:r>
    </w:p>
    <w:p w14:paraId="35365EE2">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4.4 商定或确定</w:t>
      </w:r>
    </w:p>
    <w:p w14:paraId="4C72801C">
      <w:pPr>
        <w:spacing w:line="360" w:lineRule="auto"/>
        <w:ind w:firstLine="480" w:firstLineChars="200"/>
        <w:rPr>
          <w:rFonts w:ascii="宋体" w:hAnsi="宋体"/>
          <w:color w:val="auto"/>
          <w:sz w:val="24"/>
          <w:szCs w:val="24"/>
          <w:highlight w:val="none"/>
        </w:rPr>
      </w:pPr>
      <w:bookmarkStart w:id="481" w:name="_Toc267251418"/>
      <w:r>
        <w:rPr>
          <w:rFonts w:hint="eastAsia" w:ascii="宋体" w:hAnsi="宋体"/>
          <w:color w:val="auto"/>
          <w:sz w:val="24"/>
          <w:szCs w:val="24"/>
          <w:highlight w:val="none"/>
        </w:rPr>
        <w:t>在发包人和承包人不能通过协商达成一致意见时，发包人授权监理人对以下事项进行确定：</w:t>
      </w:r>
    </w:p>
    <w:p w14:paraId="1B651F09">
      <w:pPr>
        <w:autoSpaceDE w:val="0"/>
        <w:autoSpaceDN w:val="0"/>
        <w:adjustRightIn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1975D584">
      <w:pPr>
        <w:autoSpaceDE w:val="0"/>
        <w:autoSpaceDN w:val="0"/>
        <w:adjustRightIn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0AE3EEF2">
      <w:pPr>
        <w:autoSpaceDE w:val="0"/>
        <w:autoSpaceDN w:val="0"/>
        <w:adjustRightIn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01F34959">
      <w:pPr>
        <w:pStyle w:val="5"/>
        <w:spacing w:before="120" w:after="120" w:line="360" w:lineRule="auto"/>
        <w:rPr>
          <w:rFonts w:ascii="宋体" w:hAnsi="宋体"/>
          <w:b w:val="0"/>
          <w:color w:val="auto"/>
          <w:sz w:val="24"/>
          <w:szCs w:val="24"/>
          <w:highlight w:val="none"/>
        </w:rPr>
      </w:pPr>
      <w:bookmarkStart w:id="482" w:name="_Toc351203637"/>
      <w:r>
        <w:rPr>
          <w:rFonts w:hint="eastAsia" w:ascii="宋体" w:hAnsi="宋体"/>
          <w:b w:val="0"/>
          <w:color w:val="auto"/>
          <w:sz w:val="24"/>
          <w:szCs w:val="24"/>
          <w:highlight w:val="none"/>
        </w:rPr>
        <w:t>5</w:t>
      </w:r>
      <w:bookmarkEnd w:id="481"/>
      <w:bookmarkStart w:id="483" w:name="_Toc296944502"/>
      <w:bookmarkStart w:id="484" w:name="_Toc296347162"/>
      <w:bookmarkStart w:id="485" w:name="_Toc297120463"/>
      <w:bookmarkStart w:id="486" w:name="_Toc297048349"/>
      <w:bookmarkStart w:id="487" w:name="_Toc292559872"/>
      <w:bookmarkStart w:id="488" w:name="_Toc296891203"/>
      <w:bookmarkStart w:id="489" w:name="_Toc292559367"/>
      <w:bookmarkStart w:id="490" w:name="_Toc296346664"/>
      <w:bookmarkStart w:id="491" w:name="_Toc296503163"/>
      <w:bookmarkStart w:id="492" w:name="_Toc296890991"/>
      <w:r>
        <w:rPr>
          <w:rFonts w:hint="eastAsia" w:ascii="宋体" w:hAnsi="宋体"/>
          <w:b w:val="0"/>
          <w:color w:val="auto"/>
          <w:sz w:val="24"/>
          <w:szCs w:val="24"/>
          <w:highlight w:val="none"/>
        </w:rPr>
        <w:t>. 工程质量</w:t>
      </w:r>
      <w:bookmarkEnd w:id="482"/>
    </w:p>
    <w:p w14:paraId="6B42E0B5">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5.1 质量要求</w:t>
      </w:r>
    </w:p>
    <w:p w14:paraId="7825E69D">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5</w:t>
      </w:r>
      <w:bookmarkStart w:id="493" w:name="_Toc297216155"/>
      <w:bookmarkStart w:id="494" w:name="_Toc300934949"/>
      <w:bookmarkStart w:id="495" w:name="_Toc303539106"/>
      <w:bookmarkStart w:id="496" w:name="_Toc304295527"/>
      <w:bookmarkStart w:id="497" w:name="_Toc318581164"/>
      <w:bookmarkStart w:id="498" w:name="_Toc297123496"/>
      <w:bookmarkStart w:id="499" w:name="_Toc312677997"/>
      <w:r>
        <w:rPr>
          <w:rFonts w:hint="eastAsia" w:ascii="宋体" w:hAnsi="宋体"/>
          <w:color w:val="auto"/>
          <w:sz w:val="24"/>
          <w:szCs w:val="24"/>
          <w:highlight w:val="none"/>
        </w:rPr>
        <w:t>.1.1 特殊质量标准和要求：</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无       </w:t>
      </w:r>
      <w:r>
        <w:rPr>
          <w:rFonts w:hint="eastAsia" w:ascii="宋体" w:hAnsi="宋体"/>
          <w:color w:val="auto"/>
          <w:sz w:val="24"/>
          <w:szCs w:val="24"/>
          <w:highlight w:val="none"/>
          <w:u w:val="single"/>
        </w:rPr>
        <w:t xml:space="preserve">              </w:t>
      </w:r>
    </w:p>
    <w:p w14:paraId="06FA8579">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关于工程奖项的约定：</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无      </w:t>
      </w:r>
      <w:r>
        <w:rPr>
          <w:rFonts w:hint="eastAsia" w:ascii="宋体" w:hAnsi="宋体"/>
          <w:color w:val="auto"/>
          <w:sz w:val="24"/>
          <w:szCs w:val="24"/>
          <w:highlight w:val="none"/>
          <w:u w:val="single"/>
        </w:rPr>
        <w:t xml:space="preserve">                 </w:t>
      </w:r>
    </w:p>
    <w:p w14:paraId="29E4338F">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5.3 隐蔽工程检查</w:t>
      </w:r>
    </w:p>
    <w:p w14:paraId="3EE91676">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5.3.2承包人提前通知监理人隐蔽工程检查的期限的约定：</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按通用条款5.3条执行</w:t>
      </w:r>
      <w:r>
        <w:rPr>
          <w:rFonts w:hint="eastAsia" w:ascii="宋体" w:hAnsi="宋体"/>
          <w:color w:val="auto"/>
          <w:sz w:val="24"/>
          <w:szCs w:val="24"/>
          <w:highlight w:val="none"/>
        </w:rPr>
        <w:t>。</w:t>
      </w:r>
    </w:p>
    <w:p w14:paraId="6A76009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监理人不能按时进行检查时，应提前</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24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小时提交书面延期要求。</w:t>
      </w:r>
    </w:p>
    <w:p w14:paraId="1F47CF5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关于延期最长不得超过：</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48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小时。</w:t>
      </w:r>
    </w:p>
    <w:p w14:paraId="56ACB610">
      <w:pPr>
        <w:pStyle w:val="5"/>
        <w:spacing w:before="120" w:after="120" w:line="360" w:lineRule="auto"/>
        <w:rPr>
          <w:rFonts w:ascii="宋体" w:hAnsi="宋体"/>
          <w:b w:val="0"/>
          <w:color w:val="auto"/>
          <w:sz w:val="24"/>
          <w:szCs w:val="24"/>
          <w:highlight w:val="none"/>
        </w:rPr>
      </w:pPr>
      <w:bookmarkStart w:id="500" w:name="_Toc351203638"/>
      <w:r>
        <w:rPr>
          <w:rFonts w:hint="eastAsia" w:ascii="宋体" w:hAnsi="宋体"/>
          <w:b w:val="0"/>
          <w:color w:val="auto"/>
          <w:sz w:val="24"/>
          <w:szCs w:val="24"/>
          <w:highlight w:val="none"/>
        </w:rPr>
        <w:t>6. 安全文明施工与环境保护</w:t>
      </w:r>
      <w:bookmarkEnd w:id="500"/>
    </w:p>
    <w:p w14:paraId="3C073016">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6.1安全文明施工</w:t>
      </w:r>
    </w:p>
    <w:p w14:paraId="513CAC56">
      <w:pPr>
        <w:spacing w:line="360" w:lineRule="auto"/>
        <w:ind w:firstLine="480" w:firstLineChars="200"/>
        <w:rPr>
          <w:rFonts w:ascii="宋体" w:hAnsi="宋体"/>
          <w:b/>
          <w:color w:val="auto"/>
          <w:sz w:val="24"/>
          <w:szCs w:val="24"/>
          <w:highlight w:val="none"/>
          <w:u w:val="single"/>
        </w:rPr>
      </w:pPr>
      <w:r>
        <w:rPr>
          <w:rFonts w:hint="eastAsia" w:ascii="宋体" w:hAnsi="宋体"/>
          <w:color w:val="auto"/>
          <w:sz w:val="24"/>
          <w:szCs w:val="24"/>
          <w:highlight w:val="none"/>
        </w:rPr>
        <w:t>6.1.1 项目安全生产的达标目标及相应事项的约定：</w:t>
      </w:r>
      <w:r>
        <w:rPr>
          <w:rFonts w:hint="eastAsia" w:ascii="宋体" w:hAnsi="宋体"/>
          <w:b/>
          <w:color w:val="auto"/>
          <w:sz w:val="24"/>
          <w:szCs w:val="24"/>
          <w:highlight w:val="none"/>
          <w:u w:val="single"/>
        </w:rPr>
        <w:t>按 “通用条款”第6.1.1、6.1.2、6.1.3条执行；在严格按照《中华人民共和国安全生产法》、《中华人民共和国建设工程安全生产管理条例》和《国务院关于特大安全事故责任追究的规定》（国务院第302号文）执行的同时，承包人还必须全面考虑并做好施工现场及周边安全防护工作，做好现场施工人员安全教育工作和安全监督检查工作。承包人严格按国家及地方安全管理条例及安全操作规程进行施工，非发包人原因及不可抗力发生安全事故，给发包人及第三人所造成的一切损失由承包人负责赔偿，承包人自行承担全部法律责任。在施工现场中，一旦发现安全隐患，承包人必须限期整改。若在施工过程中发生火灾等安全事故，造成周围设施损坏及人员伤亡，均由承包人自行承担一切经济和法律责任</w:t>
      </w:r>
      <w:r>
        <w:rPr>
          <w:rFonts w:hint="eastAsia" w:ascii="宋体" w:hAnsi="宋体"/>
          <w:b/>
          <w:color w:val="auto"/>
          <w:sz w:val="24"/>
          <w:szCs w:val="24"/>
          <w:highlight w:val="none"/>
        </w:rPr>
        <w:t>。</w:t>
      </w:r>
    </w:p>
    <w:p w14:paraId="2CFAB46A">
      <w:pPr>
        <w:spacing w:line="360" w:lineRule="auto"/>
        <w:ind w:firstLine="480" w:firstLineChars="200"/>
        <w:rPr>
          <w:rFonts w:ascii="宋体" w:hAnsi="宋体"/>
          <w:b/>
          <w:color w:val="auto"/>
          <w:sz w:val="24"/>
          <w:szCs w:val="24"/>
          <w:highlight w:val="none"/>
          <w:u w:val="single"/>
        </w:rPr>
      </w:pPr>
      <w:r>
        <w:rPr>
          <w:rFonts w:hint="eastAsia" w:ascii="宋体" w:hAnsi="宋体"/>
          <w:color w:val="auto"/>
          <w:sz w:val="24"/>
          <w:szCs w:val="24"/>
          <w:highlight w:val="none"/>
        </w:rPr>
        <w:t>6.1.4 关于治安保卫的特别约定：</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承包人应做好治安保卫工作及各类危险指示、警告、警示牌，指示、警告、警示牌，需清晰可辨，若发生任何人身伤亡、财产损失及安全事故的，均由承包人负责处理，并承担所发生的全部费用  。</w:t>
      </w:r>
    </w:p>
    <w:p w14:paraId="7326412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关于编制施工场地治安管理计划的约定：</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无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1357B6C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6.1.5 文明施工</w:t>
      </w:r>
    </w:p>
    <w:p w14:paraId="62A64E51">
      <w:pPr>
        <w:spacing w:line="360" w:lineRule="auto"/>
        <w:ind w:firstLine="480" w:firstLineChars="200"/>
        <w:rPr>
          <w:rFonts w:ascii="宋体" w:hAnsi="宋体"/>
          <w:b/>
          <w:color w:val="auto"/>
          <w:sz w:val="24"/>
          <w:szCs w:val="24"/>
          <w:highlight w:val="none"/>
        </w:rPr>
      </w:pPr>
      <w:r>
        <w:rPr>
          <w:rFonts w:hint="eastAsia" w:ascii="宋体" w:hAnsi="宋体"/>
          <w:color w:val="auto"/>
          <w:sz w:val="24"/>
          <w:szCs w:val="24"/>
          <w:highlight w:val="none"/>
        </w:rPr>
        <w:t>合同当事人对文明施工的要求：</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按国家安全施工的相关规定、《云南省建筑施工现场管理规定》执行，承包人如发现不文明施工情况，承包人应承担相应的违约责任并支付5000元/次的违约金，并承担由此引发的责任  </w:t>
      </w:r>
      <w:r>
        <w:rPr>
          <w:rFonts w:hint="eastAsia" w:ascii="宋体" w:hAnsi="宋体"/>
          <w:b/>
          <w:color w:val="auto"/>
          <w:sz w:val="24"/>
          <w:szCs w:val="24"/>
          <w:highlight w:val="none"/>
        </w:rPr>
        <w:t>。</w:t>
      </w:r>
    </w:p>
    <w:p w14:paraId="7C6014A1">
      <w:pPr>
        <w:spacing w:line="360" w:lineRule="auto"/>
        <w:ind w:firstLine="480" w:firstLineChars="200"/>
        <w:rPr>
          <w:rFonts w:ascii="宋体" w:hAnsi="宋体"/>
          <w:b/>
          <w:color w:val="auto"/>
          <w:sz w:val="24"/>
          <w:szCs w:val="24"/>
          <w:highlight w:val="none"/>
        </w:rPr>
      </w:pPr>
      <w:r>
        <w:rPr>
          <w:rFonts w:hint="eastAsia" w:ascii="宋体" w:hAnsi="宋体"/>
          <w:color w:val="auto"/>
          <w:sz w:val="24"/>
          <w:szCs w:val="24"/>
          <w:highlight w:val="none"/>
        </w:rPr>
        <w:t>6.1.6 关于安全文明施工费支付比例和支付期限的约定：</w:t>
      </w:r>
      <w:r>
        <w:rPr>
          <w:rFonts w:hint="eastAsia" w:ascii="宋体" w:hAnsi="宋体"/>
          <w:color w:val="auto"/>
          <w:sz w:val="24"/>
          <w:szCs w:val="24"/>
          <w:highlight w:val="none"/>
          <w:u w:val="single"/>
          <w:lang w:val="en-US" w:eastAsia="zh-CN"/>
        </w:rPr>
        <w:t xml:space="preserve">                   </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w:t>
      </w:r>
    </w:p>
    <w:bookmarkEnd w:id="493"/>
    <w:bookmarkEnd w:id="494"/>
    <w:bookmarkEnd w:id="495"/>
    <w:bookmarkEnd w:id="496"/>
    <w:bookmarkEnd w:id="497"/>
    <w:bookmarkEnd w:id="498"/>
    <w:bookmarkEnd w:id="499"/>
    <w:p w14:paraId="0E7F009B">
      <w:pPr>
        <w:pStyle w:val="5"/>
        <w:spacing w:before="120" w:after="120" w:line="360" w:lineRule="auto"/>
        <w:rPr>
          <w:rFonts w:ascii="宋体" w:hAnsi="宋体"/>
          <w:b w:val="0"/>
          <w:color w:val="auto"/>
          <w:sz w:val="24"/>
          <w:szCs w:val="24"/>
          <w:highlight w:val="none"/>
        </w:rPr>
      </w:pPr>
      <w:bookmarkStart w:id="501" w:name="_Toc351203639"/>
      <w:r>
        <w:rPr>
          <w:rFonts w:hint="eastAsia" w:ascii="宋体" w:hAnsi="宋体"/>
          <w:b w:val="0"/>
          <w:color w:val="auto"/>
          <w:sz w:val="24"/>
          <w:szCs w:val="24"/>
          <w:highlight w:val="none"/>
        </w:rPr>
        <w:t>7. 工期和进度</w:t>
      </w:r>
      <w:bookmarkEnd w:id="501"/>
    </w:p>
    <w:p w14:paraId="604A040F">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7.1 施工组织设计</w:t>
      </w:r>
    </w:p>
    <w:p w14:paraId="34254518">
      <w:pPr>
        <w:autoSpaceDE w:val="0"/>
        <w:autoSpaceDN w:val="0"/>
        <w:adjustRightInd w:val="0"/>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7.1.1 合同当事人约定的施工组织设计应包括的其他内容：</w:t>
      </w:r>
      <w:r>
        <w:rPr>
          <w:rFonts w:hint="eastAsia" w:ascii="宋体" w:hAnsi="宋体"/>
          <w:b/>
          <w:color w:val="auto"/>
          <w:sz w:val="24"/>
          <w:szCs w:val="24"/>
          <w:highlight w:val="none"/>
          <w:u w:val="single"/>
        </w:rPr>
        <w:t xml:space="preserve"> 按国家相关规范、标准执行</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6CDE1F67">
      <w:pPr>
        <w:autoSpaceDE w:val="0"/>
        <w:autoSpaceDN w:val="0"/>
        <w:adjustRightIn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7.1.2 施工组织设计的提交和修改</w:t>
      </w:r>
    </w:p>
    <w:p w14:paraId="2F326DD9">
      <w:pPr>
        <w:autoSpaceDE w:val="0"/>
        <w:autoSpaceDN w:val="0"/>
        <w:adjustRightInd w:val="0"/>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承包人提交详细施工组织设计的期限的约定：</w:t>
      </w:r>
      <w:r>
        <w:rPr>
          <w:rFonts w:hint="eastAsia" w:ascii="宋体" w:hAnsi="宋体"/>
          <w:b/>
          <w:color w:val="auto"/>
          <w:sz w:val="24"/>
          <w:szCs w:val="24"/>
          <w:highlight w:val="none"/>
          <w:u w:val="single"/>
        </w:rPr>
        <w:t xml:space="preserve"> 合同签订后3个日历天  </w:t>
      </w:r>
      <w:r>
        <w:rPr>
          <w:rFonts w:hint="eastAsia" w:ascii="宋体" w:hAnsi="宋体"/>
          <w:color w:val="auto"/>
          <w:sz w:val="24"/>
          <w:szCs w:val="24"/>
          <w:highlight w:val="none"/>
        </w:rPr>
        <w:t>。</w:t>
      </w:r>
    </w:p>
    <w:p w14:paraId="582F3E0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发包人和监理人在收到详细的施工组织设计后确认或提出修改意见的期限</w:t>
      </w:r>
      <w:r>
        <w:rPr>
          <w:rFonts w:hint="eastAsia" w:ascii="宋体" w:hAnsi="宋体"/>
          <w:color w:val="auto"/>
          <w:sz w:val="24"/>
          <w:szCs w:val="24"/>
          <w:highlight w:val="none"/>
          <w:u w:val="single"/>
        </w:rPr>
        <w:t>：</w:t>
      </w:r>
      <w:r>
        <w:rPr>
          <w:rFonts w:hint="eastAsia" w:ascii="宋体" w:hAnsi="宋体"/>
          <w:b/>
          <w:color w:val="auto"/>
          <w:sz w:val="24"/>
          <w:szCs w:val="24"/>
          <w:highlight w:val="none"/>
          <w:u w:val="single"/>
        </w:rPr>
        <w:t>3个工作日</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0C82A358">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w:t>
      </w:r>
      <w:bookmarkStart w:id="502" w:name="_Toc312677479"/>
      <w:bookmarkStart w:id="503" w:name="_Toc297216173"/>
      <w:bookmarkStart w:id="504" w:name="_Toc303539123"/>
      <w:bookmarkStart w:id="505" w:name="_Toc300934966"/>
      <w:bookmarkStart w:id="506" w:name="_Toc312678005"/>
      <w:bookmarkStart w:id="507" w:name="_Toc297123514"/>
      <w:bookmarkStart w:id="508" w:name="_Toc304295541"/>
      <w:r>
        <w:rPr>
          <w:rFonts w:hint="eastAsia" w:ascii="宋体" w:hAnsi="宋体"/>
          <w:color w:val="auto"/>
          <w:sz w:val="24"/>
          <w:szCs w:val="24"/>
          <w:highlight w:val="none"/>
        </w:rPr>
        <w:t>.2 施工进度计划</w:t>
      </w:r>
    </w:p>
    <w:p w14:paraId="31E42A5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7.2.2 施工进度计划的修订</w:t>
      </w:r>
    </w:p>
    <w:p w14:paraId="66C0DE89">
      <w:pPr>
        <w:autoSpaceDE w:val="0"/>
        <w:autoSpaceDN w:val="0"/>
        <w:adjustRightInd w:val="0"/>
        <w:spacing w:line="4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发包人和监理人在收到修订的施工进度计划后确认或提出修改意见的期限</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3个工作日</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5A136476">
      <w:pPr>
        <w:autoSpaceDE w:val="0"/>
        <w:autoSpaceDN w:val="0"/>
        <w:adjustRightInd w:val="0"/>
        <w:spacing w:line="4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7.3 开工</w:t>
      </w:r>
    </w:p>
    <w:p w14:paraId="746CEF4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7.3.1 开工准备</w:t>
      </w:r>
    </w:p>
    <w:p w14:paraId="248C92FB">
      <w:pPr>
        <w:spacing w:line="360" w:lineRule="auto"/>
        <w:ind w:firstLine="645"/>
        <w:rPr>
          <w:rFonts w:ascii="宋体" w:hAnsi="宋体"/>
          <w:b/>
          <w:color w:val="auto"/>
          <w:sz w:val="24"/>
          <w:szCs w:val="24"/>
          <w:highlight w:val="none"/>
          <w:u w:val="single"/>
        </w:rPr>
      </w:pPr>
      <w:r>
        <w:rPr>
          <w:rFonts w:hint="eastAsia" w:ascii="宋体" w:hAnsi="宋体"/>
          <w:color w:val="auto"/>
          <w:sz w:val="24"/>
          <w:szCs w:val="24"/>
          <w:highlight w:val="none"/>
        </w:rPr>
        <w:t>关于承包人提交工程开工报审表的期限：</w:t>
      </w:r>
      <w:r>
        <w:rPr>
          <w:rFonts w:hint="eastAsia" w:ascii="宋体" w:hAnsi="宋体"/>
          <w:b/>
          <w:color w:val="auto"/>
          <w:sz w:val="24"/>
          <w:szCs w:val="24"/>
          <w:highlight w:val="none"/>
          <w:u w:val="single"/>
        </w:rPr>
        <w:t>开工前2日内</w:t>
      </w:r>
      <w:r>
        <w:rPr>
          <w:rFonts w:hint="eastAsia" w:ascii="宋体" w:hAnsi="宋体"/>
          <w:b/>
          <w:color w:val="auto"/>
          <w:sz w:val="24"/>
          <w:szCs w:val="24"/>
          <w:highlight w:val="none"/>
        </w:rPr>
        <w:t>。</w:t>
      </w:r>
    </w:p>
    <w:p w14:paraId="744B6ADC">
      <w:pPr>
        <w:spacing w:line="360" w:lineRule="auto"/>
        <w:ind w:firstLine="645"/>
        <w:rPr>
          <w:rFonts w:ascii="宋体" w:hAnsi="宋体"/>
          <w:b/>
          <w:color w:val="auto"/>
          <w:sz w:val="24"/>
          <w:szCs w:val="24"/>
          <w:highlight w:val="none"/>
        </w:rPr>
      </w:pPr>
      <w:r>
        <w:rPr>
          <w:rFonts w:hint="eastAsia" w:ascii="宋体" w:hAnsi="宋体"/>
          <w:color w:val="auto"/>
          <w:sz w:val="24"/>
          <w:szCs w:val="24"/>
          <w:highlight w:val="none"/>
        </w:rPr>
        <w:t>关于发包人应完成的其他开工准备工作及期限：</w:t>
      </w:r>
      <w:r>
        <w:rPr>
          <w:rFonts w:hint="eastAsia" w:ascii="宋体" w:hAnsi="宋体"/>
          <w:b/>
          <w:color w:val="auto"/>
          <w:sz w:val="24"/>
          <w:szCs w:val="24"/>
          <w:highlight w:val="none"/>
          <w:u w:val="single"/>
        </w:rPr>
        <w:t>开工前2日内</w:t>
      </w:r>
      <w:r>
        <w:rPr>
          <w:rFonts w:hint="eastAsia" w:ascii="宋体" w:hAnsi="宋体"/>
          <w:b/>
          <w:color w:val="auto"/>
          <w:sz w:val="24"/>
          <w:szCs w:val="24"/>
          <w:highlight w:val="none"/>
        </w:rPr>
        <w:t>。</w:t>
      </w:r>
    </w:p>
    <w:p w14:paraId="0F8A984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关于承包人应完成的其他开工准备工作及期限：</w:t>
      </w:r>
      <w:r>
        <w:rPr>
          <w:rFonts w:hint="eastAsia" w:ascii="宋体" w:hAnsi="宋体"/>
          <w:b/>
          <w:color w:val="auto"/>
          <w:sz w:val="24"/>
          <w:szCs w:val="24"/>
          <w:highlight w:val="none"/>
          <w:u w:val="single"/>
        </w:rPr>
        <w:t>开工前2日内。</w:t>
      </w:r>
    </w:p>
    <w:p w14:paraId="239BC9E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7.3.2开工通知</w:t>
      </w:r>
    </w:p>
    <w:p w14:paraId="6BFAFB5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因发包人原因造成监理人未能在计划开工日期之日起</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30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天内发出开工通知的，承包人有权提出价格调整要求，或者解除合同。</w:t>
      </w:r>
    </w:p>
    <w:bookmarkEnd w:id="502"/>
    <w:bookmarkEnd w:id="503"/>
    <w:bookmarkEnd w:id="504"/>
    <w:bookmarkEnd w:id="505"/>
    <w:bookmarkEnd w:id="506"/>
    <w:bookmarkEnd w:id="507"/>
    <w:bookmarkEnd w:id="508"/>
    <w:p w14:paraId="030BD31D">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7.4 测量放线</w:t>
      </w:r>
    </w:p>
    <w:p w14:paraId="5D89AC40">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7.4.1发包人通过监理人向承包人提供测量基准点、基准线和水准点及其书面资料的期限：</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开工后3日  </w:t>
      </w:r>
      <w:r>
        <w:rPr>
          <w:rFonts w:hint="eastAsia" w:ascii="宋体" w:hAnsi="宋体"/>
          <w:color w:val="auto"/>
          <w:sz w:val="24"/>
          <w:szCs w:val="24"/>
          <w:highlight w:val="none"/>
        </w:rPr>
        <w:t>。</w:t>
      </w:r>
    </w:p>
    <w:p w14:paraId="636A8C95">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w:t>
      </w:r>
      <w:bookmarkStart w:id="509" w:name="_Toc300934968"/>
      <w:bookmarkStart w:id="510" w:name="_Toc297216175"/>
      <w:bookmarkStart w:id="511" w:name="_Toc297123516"/>
      <w:bookmarkStart w:id="512" w:name="_Toc303539125"/>
      <w:bookmarkStart w:id="513" w:name="_Toc312678010"/>
      <w:bookmarkStart w:id="514" w:name="_Toc304295546"/>
      <w:bookmarkStart w:id="515" w:name="_Toc312677484"/>
      <w:r>
        <w:rPr>
          <w:rFonts w:hint="eastAsia" w:ascii="宋体" w:hAnsi="宋体"/>
          <w:color w:val="auto"/>
          <w:sz w:val="24"/>
          <w:szCs w:val="24"/>
          <w:highlight w:val="none"/>
        </w:rPr>
        <w:t>.5 工期延误</w:t>
      </w:r>
    </w:p>
    <w:bookmarkEnd w:id="509"/>
    <w:bookmarkEnd w:id="510"/>
    <w:bookmarkEnd w:id="511"/>
    <w:bookmarkEnd w:id="512"/>
    <w:bookmarkEnd w:id="513"/>
    <w:bookmarkEnd w:id="514"/>
    <w:bookmarkEnd w:id="515"/>
    <w:p w14:paraId="0F50A12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7.5.1 因发包人原因导致工期延误</w:t>
      </w:r>
    </w:p>
    <w:p w14:paraId="35D10D4A">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（7）因发包人原因导致工期延误的其他情形：</w:t>
      </w:r>
      <w:r>
        <w:rPr>
          <w:rFonts w:hint="eastAsia" w:ascii="宋体" w:hAnsi="宋体"/>
          <w:b/>
          <w:color w:val="auto"/>
          <w:sz w:val="24"/>
          <w:szCs w:val="24"/>
          <w:highlight w:val="none"/>
          <w:u w:val="single"/>
        </w:rPr>
        <w:t>工期顺延。</w:t>
      </w:r>
    </w:p>
    <w:p w14:paraId="743D175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w:t>
      </w:r>
      <w:bookmarkStart w:id="516" w:name="_Toc312677486"/>
      <w:bookmarkStart w:id="517" w:name="_Toc318581169"/>
      <w:bookmarkStart w:id="518" w:name="_Toc312678012"/>
      <w:bookmarkStart w:id="519" w:name="_Toc297123518"/>
      <w:bookmarkStart w:id="520" w:name="_Toc304295548"/>
      <w:bookmarkStart w:id="521" w:name="_Toc303539127"/>
      <w:bookmarkStart w:id="522" w:name="_Toc300934970"/>
      <w:bookmarkStart w:id="523" w:name="_Toc297216177"/>
      <w:r>
        <w:rPr>
          <w:rFonts w:hint="eastAsia" w:ascii="宋体" w:hAnsi="宋体"/>
          <w:color w:val="auto"/>
          <w:sz w:val="24"/>
          <w:szCs w:val="24"/>
          <w:highlight w:val="none"/>
        </w:rPr>
        <w:t>.5.2 因承包人原因导致工期延误</w:t>
      </w:r>
    </w:p>
    <w:bookmarkEnd w:id="516"/>
    <w:bookmarkEnd w:id="517"/>
    <w:bookmarkEnd w:id="518"/>
    <w:p w14:paraId="440B7A47">
      <w:pPr>
        <w:spacing w:line="360" w:lineRule="auto"/>
        <w:ind w:firstLine="480" w:firstLineChars="200"/>
        <w:rPr>
          <w:rFonts w:ascii="宋体" w:hAnsi="宋体"/>
          <w:b/>
          <w:color w:val="auto"/>
          <w:sz w:val="24"/>
          <w:szCs w:val="24"/>
          <w:highlight w:val="none"/>
          <w:u w:val="single"/>
        </w:rPr>
      </w:pPr>
      <w:r>
        <w:rPr>
          <w:rFonts w:hint="eastAsia" w:ascii="宋体" w:hAnsi="宋体"/>
          <w:color w:val="auto"/>
          <w:sz w:val="24"/>
          <w:szCs w:val="24"/>
          <w:highlight w:val="none"/>
        </w:rPr>
        <w:t>因</w:t>
      </w:r>
      <w:bookmarkStart w:id="524" w:name="_Toc312678013"/>
      <w:bookmarkStart w:id="525" w:name="_Toc312677487"/>
      <w:bookmarkStart w:id="526" w:name="_Toc318581170"/>
      <w:r>
        <w:rPr>
          <w:rFonts w:hint="eastAsia" w:ascii="宋体" w:hAnsi="宋体"/>
          <w:color w:val="auto"/>
          <w:sz w:val="24"/>
          <w:szCs w:val="24"/>
          <w:highlight w:val="none"/>
        </w:rPr>
        <w:t>承包人原因造成工期延误，逾期竣工违约金的计算方法为：</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w:t>
      </w:r>
      <w:bookmarkEnd w:id="519"/>
      <w:bookmarkEnd w:id="520"/>
      <w:bookmarkEnd w:id="521"/>
      <w:bookmarkEnd w:id="522"/>
      <w:bookmarkEnd w:id="523"/>
      <w:bookmarkEnd w:id="524"/>
      <w:bookmarkEnd w:id="525"/>
      <w:r>
        <w:rPr>
          <w:rFonts w:hint="eastAsia" w:ascii="宋体" w:hAnsi="宋体"/>
          <w:b/>
          <w:color w:val="auto"/>
          <w:sz w:val="24"/>
          <w:szCs w:val="24"/>
          <w:highlight w:val="none"/>
          <w:u w:val="single"/>
        </w:rPr>
        <w:t>每延误一天，按1000元/天进行支付违约金。</w:t>
      </w:r>
    </w:p>
    <w:bookmarkEnd w:id="526"/>
    <w:p w14:paraId="53A6188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因承包人原因造成工期延误，逾</w:t>
      </w:r>
      <w:bookmarkStart w:id="527" w:name="_Toc312678014"/>
      <w:bookmarkStart w:id="528" w:name="_Toc318581171"/>
      <w:r>
        <w:rPr>
          <w:rFonts w:hint="eastAsia" w:ascii="宋体" w:hAnsi="宋体"/>
          <w:color w:val="auto"/>
          <w:sz w:val="24"/>
          <w:szCs w:val="24"/>
          <w:highlight w:val="none"/>
        </w:rPr>
        <w:t>期竣工违约金的上限：</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合同金额的20%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bookmarkEnd w:id="527"/>
    <w:bookmarkEnd w:id="528"/>
    <w:p w14:paraId="369C1764">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w:t>
      </w:r>
      <w:bookmarkStart w:id="529" w:name="_Toc312678015"/>
      <w:bookmarkStart w:id="530" w:name="_Toc300934971"/>
      <w:bookmarkStart w:id="531" w:name="_Toc304295549"/>
      <w:bookmarkStart w:id="532" w:name="_Toc297216178"/>
      <w:bookmarkStart w:id="533" w:name="_Toc297123519"/>
      <w:bookmarkStart w:id="534" w:name="_Toc303539128"/>
      <w:r>
        <w:rPr>
          <w:rFonts w:hint="eastAsia" w:ascii="宋体" w:hAnsi="宋体"/>
          <w:color w:val="auto"/>
          <w:sz w:val="24"/>
          <w:szCs w:val="24"/>
          <w:highlight w:val="none"/>
        </w:rPr>
        <w:t>.6 不</w:t>
      </w:r>
      <w:bookmarkEnd w:id="529"/>
      <w:bookmarkEnd w:id="530"/>
      <w:bookmarkEnd w:id="531"/>
      <w:bookmarkEnd w:id="532"/>
      <w:bookmarkEnd w:id="533"/>
      <w:bookmarkEnd w:id="534"/>
      <w:r>
        <w:rPr>
          <w:rFonts w:hint="eastAsia" w:ascii="宋体" w:hAnsi="宋体"/>
          <w:color w:val="auto"/>
          <w:sz w:val="24"/>
          <w:szCs w:val="24"/>
          <w:highlight w:val="none"/>
        </w:rPr>
        <w:t>利物质条件</w:t>
      </w:r>
    </w:p>
    <w:p w14:paraId="0C59F758">
      <w:pPr>
        <w:spacing w:line="360" w:lineRule="auto"/>
        <w:ind w:firstLine="480" w:firstLineChars="200"/>
        <w:rPr>
          <w:rFonts w:ascii="宋体" w:hAnsi="宋体"/>
          <w:color w:val="auto"/>
          <w:sz w:val="24"/>
          <w:szCs w:val="24"/>
          <w:highlight w:val="none"/>
          <w:u w:val="single"/>
        </w:rPr>
      </w:pPr>
      <w:bookmarkStart w:id="535" w:name="_Toc297216179"/>
      <w:bookmarkStart w:id="536" w:name="_Toc300934972"/>
      <w:bookmarkStart w:id="537" w:name="_Toc312678016"/>
      <w:bookmarkStart w:id="538" w:name="_Toc297123520"/>
      <w:bookmarkStart w:id="539" w:name="_Toc318581172"/>
      <w:bookmarkStart w:id="540" w:name="_Toc303539129"/>
      <w:bookmarkStart w:id="541" w:name="_Toc304295550"/>
      <w:r>
        <w:rPr>
          <w:rFonts w:hint="eastAsia" w:ascii="宋体" w:hAnsi="宋体"/>
          <w:color w:val="auto"/>
          <w:sz w:val="24"/>
          <w:szCs w:val="24"/>
          <w:highlight w:val="none"/>
        </w:rPr>
        <w:t>不利物质条件的其他情形和有关约定：</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承包人承担</w:t>
      </w:r>
      <w:r>
        <w:rPr>
          <w:rFonts w:hint="eastAsia" w:ascii="宋体" w:hAnsi="宋体"/>
          <w:color w:val="auto"/>
          <w:sz w:val="24"/>
          <w:szCs w:val="24"/>
          <w:highlight w:val="none"/>
          <w:u w:val="single"/>
        </w:rPr>
        <w:t xml:space="preserve">   </w:t>
      </w:r>
    </w:p>
    <w:bookmarkEnd w:id="535"/>
    <w:bookmarkEnd w:id="536"/>
    <w:bookmarkEnd w:id="537"/>
    <w:bookmarkEnd w:id="538"/>
    <w:bookmarkEnd w:id="539"/>
    <w:bookmarkEnd w:id="540"/>
    <w:bookmarkEnd w:id="541"/>
    <w:p w14:paraId="31EBFACB">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w:t>
      </w:r>
      <w:bookmarkStart w:id="542" w:name="_Toc297216180"/>
      <w:bookmarkStart w:id="543" w:name="_Toc303539130"/>
      <w:bookmarkStart w:id="544" w:name="_Toc304295551"/>
      <w:bookmarkStart w:id="545" w:name="_Toc312678017"/>
      <w:bookmarkStart w:id="546" w:name="_Toc297123521"/>
      <w:bookmarkStart w:id="547" w:name="_Toc300934973"/>
      <w:r>
        <w:rPr>
          <w:rFonts w:hint="eastAsia" w:ascii="宋体" w:hAnsi="宋体"/>
          <w:color w:val="auto"/>
          <w:sz w:val="24"/>
          <w:szCs w:val="24"/>
          <w:highlight w:val="none"/>
        </w:rPr>
        <w:t>.7异常恶劣的气候条件</w:t>
      </w:r>
    </w:p>
    <w:bookmarkEnd w:id="542"/>
    <w:bookmarkEnd w:id="543"/>
    <w:bookmarkEnd w:id="544"/>
    <w:bookmarkEnd w:id="545"/>
    <w:bookmarkEnd w:id="546"/>
    <w:bookmarkEnd w:id="547"/>
    <w:p w14:paraId="2B05356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发包人和承包人同意以下情形视为异常恶劣的气候条件：</w:t>
      </w:r>
    </w:p>
    <w:p w14:paraId="24BCC3F0">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（1）</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连续雨雪天气   </w:t>
      </w:r>
      <w:r>
        <w:rPr>
          <w:rFonts w:hint="eastAsia" w:ascii="宋体" w:hAnsi="宋体"/>
          <w:color w:val="auto"/>
          <w:sz w:val="24"/>
          <w:szCs w:val="24"/>
          <w:highlight w:val="none"/>
          <w:u w:val="single"/>
        </w:rPr>
        <w:t xml:space="preserve">               ；</w:t>
      </w:r>
    </w:p>
    <w:p w14:paraId="70DE6171">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u w:val="single"/>
        </w:rPr>
        <w:t xml:space="preserve">（2）        </w:t>
      </w:r>
      <w:r>
        <w:rPr>
          <w:rFonts w:hint="eastAsia" w:ascii="宋体" w:hAnsi="宋体"/>
          <w:b/>
          <w:color w:val="auto"/>
          <w:sz w:val="24"/>
          <w:szCs w:val="24"/>
          <w:highlight w:val="none"/>
          <w:u w:val="single"/>
        </w:rPr>
        <w:t xml:space="preserve"> 连续6级以上强风天气       </w:t>
      </w:r>
      <w:r>
        <w:rPr>
          <w:rFonts w:hint="eastAsia" w:ascii="宋体" w:hAnsi="宋体"/>
          <w:color w:val="auto"/>
          <w:sz w:val="24"/>
          <w:szCs w:val="24"/>
          <w:highlight w:val="none"/>
          <w:u w:val="single"/>
        </w:rPr>
        <w:t xml:space="preserve">    ；</w:t>
      </w:r>
    </w:p>
    <w:p w14:paraId="22B2BF9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u w:val="single"/>
        </w:rPr>
        <w:t xml:space="preserve">（3）  </w:t>
      </w:r>
      <w:r>
        <w:rPr>
          <w:rFonts w:hint="eastAsia" w:ascii="宋体" w:hAnsi="宋体"/>
          <w:b/>
          <w:color w:val="auto"/>
          <w:sz w:val="24"/>
          <w:szCs w:val="24"/>
          <w:highlight w:val="none"/>
          <w:u w:val="single"/>
        </w:rPr>
        <w:t xml:space="preserve">  零下4℃以下，零上38℃以上天气</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0B2B0107">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7.9 提前竣工的奖励</w:t>
      </w:r>
    </w:p>
    <w:p w14:paraId="71F3F64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7.9.2提前竣工的奖励：</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无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0EAABA8E">
      <w:pPr>
        <w:pStyle w:val="5"/>
        <w:spacing w:before="120" w:after="120" w:line="360" w:lineRule="auto"/>
        <w:rPr>
          <w:rFonts w:ascii="宋体" w:hAnsi="宋体"/>
          <w:b w:val="0"/>
          <w:color w:val="auto"/>
          <w:sz w:val="24"/>
          <w:szCs w:val="24"/>
          <w:highlight w:val="none"/>
        </w:rPr>
      </w:pPr>
      <w:bookmarkStart w:id="548" w:name="_Toc351203640"/>
      <w:r>
        <w:rPr>
          <w:rFonts w:hint="eastAsia" w:ascii="宋体" w:hAnsi="宋体"/>
          <w:b w:val="0"/>
          <w:color w:val="auto"/>
          <w:sz w:val="24"/>
          <w:szCs w:val="24"/>
          <w:highlight w:val="none"/>
        </w:rPr>
        <w:t>8. 材料与设备</w:t>
      </w:r>
      <w:bookmarkEnd w:id="548"/>
    </w:p>
    <w:bookmarkEnd w:id="483"/>
    <w:bookmarkEnd w:id="484"/>
    <w:bookmarkEnd w:id="485"/>
    <w:bookmarkEnd w:id="486"/>
    <w:bookmarkEnd w:id="487"/>
    <w:bookmarkEnd w:id="488"/>
    <w:bookmarkEnd w:id="489"/>
    <w:bookmarkEnd w:id="490"/>
    <w:bookmarkEnd w:id="491"/>
    <w:bookmarkEnd w:id="492"/>
    <w:p w14:paraId="6FDF0A16">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w:t>
      </w:r>
      <w:bookmarkStart w:id="549" w:name="_Toc296891207"/>
      <w:bookmarkStart w:id="550" w:name="_Toc297120467"/>
      <w:bookmarkStart w:id="551" w:name="_Toc292559877"/>
      <w:bookmarkStart w:id="552" w:name="_Toc296503167"/>
      <w:bookmarkStart w:id="553" w:name="_Toc312677493"/>
      <w:bookmarkStart w:id="554" w:name="_Toc297216186"/>
      <w:bookmarkStart w:id="555" w:name="_Toc296944506"/>
      <w:bookmarkStart w:id="556" w:name="_Toc292559372"/>
      <w:bookmarkStart w:id="557" w:name="_Toc297123527"/>
      <w:bookmarkStart w:id="558" w:name="_Toc296346668"/>
      <w:bookmarkStart w:id="559" w:name="_Toc304295556"/>
      <w:bookmarkStart w:id="560" w:name="_Toc303539136"/>
      <w:bookmarkStart w:id="561" w:name="_Toc312678019"/>
      <w:bookmarkStart w:id="562" w:name="_Toc297048353"/>
      <w:bookmarkStart w:id="563" w:name="_Toc280868654"/>
      <w:bookmarkStart w:id="564" w:name="_Toc300934979"/>
      <w:bookmarkStart w:id="565" w:name="_Toc296347166"/>
      <w:bookmarkStart w:id="566" w:name="_Toc296890995"/>
      <w:bookmarkStart w:id="567" w:name="_Toc280868655"/>
      <w:bookmarkStart w:id="568" w:name="_Toc267251424"/>
      <w:bookmarkStart w:id="569" w:name="_Toc280868656"/>
      <w:r>
        <w:rPr>
          <w:rFonts w:hint="eastAsia" w:ascii="宋体" w:hAnsi="宋体"/>
          <w:color w:val="auto"/>
          <w:sz w:val="24"/>
          <w:szCs w:val="24"/>
          <w:highlight w:val="none"/>
        </w:rPr>
        <w:t>.4材料与工程设备的保管与使用</w:t>
      </w:r>
    </w:p>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14:paraId="57479ED9">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8</w:t>
      </w:r>
      <w:bookmarkStart w:id="570" w:name="_Toc292559878"/>
      <w:bookmarkStart w:id="571" w:name="_Toc292559373"/>
      <w:bookmarkStart w:id="572" w:name="_Toc304295557"/>
      <w:bookmarkStart w:id="573" w:name="_Toc296503168"/>
      <w:bookmarkStart w:id="574" w:name="_Toc296347167"/>
      <w:bookmarkStart w:id="575" w:name="_Toc297048354"/>
      <w:bookmarkStart w:id="576" w:name="_Toc297123528"/>
      <w:bookmarkStart w:id="577" w:name="_Toc312678020"/>
      <w:bookmarkStart w:id="578" w:name="_Toc296891208"/>
      <w:bookmarkStart w:id="579" w:name="_Toc296346669"/>
      <w:bookmarkStart w:id="580" w:name="_Toc303539137"/>
      <w:bookmarkStart w:id="581" w:name="_Toc318581173"/>
      <w:bookmarkStart w:id="582" w:name="_Toc296890996"/>
      <w:bookmarkStart w:id="583" w:name="_Toc296944507"/>
      <w:bookmarkStart w:id="584" w:name="_Toc297120468"/>
      <w:bookmarkStart w:id="585" w:name="_Toc312677494"/>
      <w:bookmarkStart w:id="586" w:name="_Toc297216187"/>
      <w:bookmarkStart w:id="587" w:name="_Toc300934980"/>
      <w:r>
        <w:rPr>
          <w:rFonts w:hint="eastAsia" w:ascii="宋体" w:hAnsi="宋体"/>
          <w:color w:val="auto"/>
          <w:sz w:val="24"/>
          <w:szCs w:val="24"/>
          <w:highlight w:val="none"/>
        </w:rPr>
        <w:t>.4.1发包人供应的材料设备的保管费用的承担：</w:t>
      </w:r>
      <w:r>
        <w:rPr>
          <w:rFonts w:hint="eastAsia" w:ascii="宋体" w:hAnsi="宋体"/>
          <w:b/>
          <w:color w:val="auto"/>
          <w:sz w:val="24"/>
          <w:szCs w:val="24"/>
          <w:highlight w:val="none"/>
          <w:u w:val="single"/>
        </w:rPr>
        <w:t xml:space="preserve">按相关规定执行    </w:t>
      </w:r>
      <w:r>
        <w:rPr>
          <w:rFonts w:hint="eastAsia" w:ascii="宋体" w:hAnsi="宋体"/>
          <w:color w:val="auto"/>
          <w:sz w:val="24"/>
          <w:szCs w:val="24"/>
          <w:highlight w:val="none"/>
        </w:rPr>
        <w:t>。</w:t>
      </w:r>
    </w:p>
    <w:bookmarkEnd w:id="570"/>
    <w:bookmarkEnd w:id="571"/>
    <w:p w14:paraId="591CE328">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8.6 样品</w:t>
      </w:r>
    </w:p>
    <w:p w14:paraId="725EA40E">
      <w:pPr>
        <w:autoSpaceDE w:val="0"/>
        <w:autoSpaceDN w:val="0"/>
        <w:adjustRightIn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8.6.1</w:t>
      </w:r>
      <w:r>
        <w:rPr>
          <w:rFonts w:hint="eastAsia" w:ascii="宋体" w:hAnsi="宋体"/>
          <w:color w:val="auto"/>
          <w:sz w:val="24"/>
          <w:szCs w:val="24"/>
          <w:highlight w:val="none"/>
        </w:rPr>
        <w:tab/>
      </w:r>
      <w:r>
        <w:rPr>
          <w:rFonts w:hint="eastAsia" w:ascii="宋体" w:hAnsi="宋体"/>
          <w:color w:val="auto"/>
          <w:sz w:val="24"/>
          <w:szCs w:val="24"/>
          <w:highlight w:val="none"/>
        </w:rPr>
        <w:t>样品的报送与封存</w:t>
      </w:r>
    </w:p>
    <w:p w14:paraId="3D6ED287">
      <w:pPr>
        <w:autoSpaceDE w:val="0"/>
        <w:autoSpaceDN w:val="0"/>
        <w:adjustRightInd w:val="0"/>
        <w:spacing w:line="4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需要承包人报送样品的材料或工程设备，样品的种类、名称、规格、数量要求：</w:t>
      </w:r>
      <w:r>
        <w:rPr>
          <w:rFonts w:hint="eastAsia" w:ascii="宋体" w:hAnsi="宋体"/>
          <w:b/>
          <w:color w:val="auto"/>
          <w:sz w:val="24"/>
          <w:szCs w:val="24"/>
          <w:highlight w:val="none"/>
          <w:u w:val="single"/>
        </w:rPr>
        <w:t xml:space="preserve">     按国家相关规范标准执行</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755FB93C">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8.8 施工设备和临时设施</w:t>
      </w:r>
    </w:p>
    <w:p w14:paraId="00806D92">
      <w:pPr>
        <w:autoSpaceDE w:val="0"/>
        <w:autoSpaceDN w:val="0"/>
        <w:adjustRightIn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8.8.1 承包人提供的施工设备和临时设施</w:t>
      </w:r>
    </w:p>
    <w:p w14:paraId="4B1224F6">
      <w:pPr>
        <w:autoSpaceDE w:val="0"/>
        <w:autoSpaceDN w:val="0"/>
        <w:adjustRightInd w:val="0"/>
        <w:spacing w:line="360" w:lineRule="auto"/>
        <w:rPr>
          <w:rFonts w:ascii="宋体" w:hAnsi="宋体"/>
          <w:color w:val="auto"/>
          <w:sz w:val="24"/>
          <w:szCs w:val="24"/>
          <w:highlight w:val="none"/>
        </w:rPr>
      </w:pPr>
      <w:r>
        <w:rPr>
          <w:rFonts w:hint="eastAsia" w:ascii="宋体" w:hAnsi="宋体"/>
          <w:color w:val="auto"/>
          <w:sz w:val="24"/>
          <w:szCs w:val="24"/>
          <w:highlight w:val="none"/>
        </w:rPr>
        <w:t>关于修建临时设施费用承担的约定：</w:t>
      </w:r>
      <w:r>
        <w:rPr>
          <w:rFonts w:hint="eastAsia" w:ascii="宋体" w:hAnsi="宋体"/>
          <w:b/>
          <w:bCs/>
          <w:color w:val="auto"/>
          <w:sz w:val="24"/>
          <w:szCs w:val="24"/>
          <w:highlight w:val="none"/>
          <w:u w:val="single"/>
        </w:rPr>
        <w:t>承包人应按项目进度计划的要求，及时配置施工设备和修建临时设施，并由承包人自行承担相应费用。</w:t>
      </w:r>
    </w:p>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14:paraId="45018C90">
      <w:pPr>
        <w:pStyle w:val="5"/>
        <w:spacing w:before="120" w:after="120" w:line="360" w:lineRule="auto"/>
        <w:rPr>
          <w:rFonts w:ascii="宋体" w:hAnsi="宋体"/>
          <w:b w:val="0"/>
          <w:color w:val="auto"/>
          <w:sz w:val="24"/>
          <w:szCs w:val="24"/>
          <w:highlight w:val="none"/>
        </w:rPr>
      </w:pPr>
      <w:bookmarkStart w:id="588" w:name="_Toc351203641"/>
      <w:r>
        <w:rPr>
          <w:rFonts w:hint="eastAsia" w:ascii="宋体" w:hAnsi="宋体"/>
          <w:b w:val="0"/>
          <w:color w:val="auto"/>
          <w:sz w:val="24"/>
          <w:szCs w:val="24"/>
          <w:highlight w:val="none"/>
        </w:rPr>
        <w:t>9</w:t>
      </w:r>
      <w:bookmarkEnd w:id="567"/>
      <w:bookmarkEnd w:id="568"/>
      <w:bookmarkEnd w:id="569"/>
      <w:bookmarkStart w:id="589" w:name="_Toc312678021"/>
      <w:bookmarkStart w:id="590" w:name="_Toc303539139"/>
      <w:bookmarkStart w:id="591" w:name="_Toc304295559"/>
      <w:bookmarkStart w:id="592" w:name="_Toc297123533"/>
      <w:bookmarkStart w:id="593" w:name="_Toc297216192"/>
      <w:bookmarkStart w:id="594" w:name="_Toc312677495"/>
      <w:bookmarkStart w:id="595" w:name="_Toc300934982"/>
      <w:bookmarkStart w:id="596" w:name="_Toc296347172"/>
      <w:bookmarkStart w:id="597" w:name="_Toc292559883"/>
      <w:bookmarkStart w:id="598" w:name="_Toc292559378"/>
      <w:bookmarkStart w:id="599" w:name="_Toc296891001"/>
      <w:bookmarkStart w:id="600" w:name="_Toc267251428"/>
      <w:bookmarkStart w:id="601" w:name="_Toc297048359"/>
      <w:bookmarkStart w:id="602" w:name="_Toc296346674"/>
      <w:bookmarkStart w:id="603" w:name="_Toc296891213"/>
      <w:bookmarkStart w:id="604" w:name="_Toc297120473"/>
      <w:bookmarkStart w:id="605" w:name="_Toc296944512"/>
      <w:bookmarkStart w:id="606" w:name="_Toc296503173"/>
      <w:bookmarkStart w:id="607" w:name="_Toc267251427"/>
      <w:r>
        <w:rPr>
          <w:rFonts w:hint="eastAsia" w:ascii="宋体" w:hAnsi="宋体"/>
          <w:b w:val="0"/>
          <w:color w:val="auto"/>
          <w:sz w:val="24"/>
          <w:szCs w:val="24"/>
          <w:highlight w:val="none"/>
        </w:rPr>
        <w:t>. 试验与检验</w:t>
      </w:r>
      <w:bookmarkEnd w:id="588"/>
    </w:p>
    <w:bookmarkEnd w:id="589"/>
    <w:bookmarkEnd w:id="590"/>
    <w:bookmarkEnd w:id="591"/>
    <w:bookmarkEnd w:id="592"/>
    <w:bookmarkEnd w:id="593"/>
    <w:bookmarkEnd w:id="594"/>
    <w:bookmarkEnd w:id="595"/>
    <w:p w14:paraId="28494F25">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9</w:t>
      </w:r>
      <w:bookmarkStart w:id="608" w:name="_Toc300934983"/>
      <w:bookmarkStart w:id="609" w:name="_Toc303539140"/>
      <w:bookmarkStart w:id="610" w:name="_Toc312678022"/>
      <w:bookmarkStart w:id="611" w:name="_Toc297216193"/>
      <w:bookmarkStart w:id="612" w:name="_Toc312677496"/>
      <w:bookmarkStart w:id="613" w:name="_Toc304295560"/>
      <w:bookmarkStart w:id="614" w:name="_Toc297123534"/>
      <w:r>
        <w:rPr>
          <w:rFonts w:hint="eastAsia" w:ascii="宋体" w:hAnsi="宋体"/>
          <w:color w:val="auto"/>
          <w:sz w:val="24"/>
          <w:szCs w:val="24"/>
          <w:highlight w:val="none"/>
        </w:rPr>
        <w:t>.1试验设备与试验人员</w:t>
      </w:r>
    </w:p>
    <w:bookmarkEnd w:id="608"/>
    <w:bookmarkEnd w:id="609"/>
    <w:bookmarkEnd w:id="610"/>
    <w:bookmarkEnd w:id="611"/>
    <w:bookmarkEnd w:id="612"/>
    <w:bookmarkEnd w:id="613"/>
    <w:bookmarkEnd w:id="614"/>
    <w:p w14:paraId="52594D3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9</w:t>
      </w:r>
      <w:bookmarkStart w:id="615" w:name="_Toc304295561"/>
      <w:bookmarkStart w:id="616" w:name="_Toc297123535"/>
      <w:bookmarkStart w:id="617" w:name="_Toc303539141"/>
      <w:bookmarkStart w:id="618" w:name="_Toc297216194"/>
      <w:bookmarkStart w:id="619" w:name="_Toc312677497"/>
      <w:bookmarkStart w:id="620" w:name="_Toc312678023"/>
      <w:bookmarkStart w:id="621" w:name="_Toc300934984"/>
      <w:bookmarkStart w:id="622" w:name="_Toc318581174"/>
      <w:r>
        <w:rPr>
          <w:rFonts w:hint="eastAsia" w:ascii="宋体" w:hAnsi="宋体"/>
          <w:color w:val="auto"/>
          <w:sz w:val="24"/>
          <w:szCs w:val="24"/>
          <w:highlight w:val="none"/>
        </w:rPr>
        <w:t>.1.2 试验设备</w:t>
      </w:r>
    </w:p>
    <w:p w14:paraId="3E2C13DA">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施工现场需要配置的试验场所：</w:t>
      </w:r>
      <w:bookmarkEnd w:id="615"/>
      <w:bookmarkEnd w:id="616"/>
      <w:bookmarkEnd w:id="617"/>
      <w:bookmarkEnd w:id="618"/>
      <w:bookmarkEnd w:id="619"/>
      <w:bookmarkEnd w:id="620"/>
      <w:bookmarkEnd w:id="621"/>
      <w:bookmarkStart w:id="623" w:name="_Toc300934985"/>
      <w:bookmarkStart w:id="624" w:name="_Toc312678024"/>
      <w:bookmarkStart w:id="625" w:name="_Toc303539142"/>
      <w:bookmarkStart w:id="626" w:name="_Toc297216195"/>
      <w:bookmarkStart w:id="627" w:name="_Toc297123536"/>
      <w:bookmarkStart w:id="628" w:name="_Toc304295562"/>
      <w:bookmarkStart w:id="629" w:name="_Toc312677498"/>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w:t>
      </w:r>
      <w:r>
        <w:rPr>
          <w:rFonts w:hint="eastAsia" w:ascii="宋体" w:hAnsi="宋体"/>
          <w:color w:val="auto"/>
          <w:sz w:val="24"/>
          <w:szCs w:val="24"/>
          <w:highlight w:val="none"/>
          <w:u w:val="single"/>
        </w:rPr>
        <w:t xml:space="preserve">    </w:t>
      </w:r>
    </w:p>
    <w:p w14:paraId="783F2EC9">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施工现场需要配备的试验设备：</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w:t>
      </w:r>
      <w:r>
        <w:rPr>
          <w:rFonts w:hint="eastAsia" w:ascii="宋体" w:hAnsi="宋体"/>
          <w:color w:val="auto"/>
          <w:sz w:val="24"/>
          <w:szCs w:val="24"/>
          <w:highlight w:val="none"/>
          <w:u w:val="single"/>
        </w:rPr>
        <w:t xml:space="preserve">     </w:t>
      </w:r>
    </w:p>
    <w:p w14:paraId="6D6FB2BC">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施工现场需要具备的其他试验条件：</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w:t>
      </w:r>
      <w:r>
        <w:rPr>
          <w:rFonts w:hint="eastAsia" w:ascii="宋体" w:hAnsi="宋体"/>
          <w:color w:val="auto"/>
          <w:sz w:val="24"/>
          <w:szCs w:val="24"/>
          <w:highlight w:val="none"/>
          <w:u w:val="single"/>
        </w:rPr>
        <w:t xml:space="preserve">       </w:t>
      </w:r>
    </w:p>
    <w:p w14:paraId="13A8C16E">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9.4 现场工艺试验 </w:t>
      </w:r>
    </w:p>
    <w:p w14:paraId="7AFBD27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现场工艺试验的有关约定：</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bookmarkEnd w:id="622"/>
    <w:bookmarkEnd w:id="623"/>
    <w:bookmarkEnd w:id="624"/>
    <w:bookmarkEnd w:id="625"/>
    <w:bookmarkEnd w:id="626"/>
    <w:bookmarkEnd w:id="627"/>
    <w:bookmarkEnd w:id="628"/>
    <w:bookmarkEnd w:id="629"/>
    <w:p w14:paraId="642930FB">
      <w:pPr>
        <w:pStyle w:val="5"/>
        <w:spacing w:before="120" w:after="120" w:line="360" w:lineRule="auto"/>
        <w:rPr>
          <w:rFonts w:ascii="宋体" w:hAnsi="宋体"/>
          <w:b w:val="0"/>
          <w:color w:val="auto"/>
          <w:sz w:val="24"/>
          <w:szCs w:val="24"/>
          <w:highlight w:val="none"/>
        </w:rPr>
      </w:pPr>
      <w:bookmarkStart w:id="630" w:name="_Toc351203642"/>
      <w:r>
        <w:rPr>
          <w:rFonts w:hint="eastAsia" w:ascii="宋体" w:hAnsi="宋体"/>
          <w:b w:val="0"/>
          <w:color w:val="auto"/>
          <w:sz w:val="24"/>
          <w:szCs w:val="24"/>
          <w:highlight w:val="none"/>
        </w:rPr>
        <w:t>1</w:t>
      </w:r>
      <w:bookmarkEnd w:id="596"/>
      <w:bookmarkEnd w:id="597"/>
      <w:bookmarkEnd w:id="598"/>
      <w:bookmarkEnd w:id="599"/>
      <w:bookmarkEnd w:id="600"/>
      <w:bookmarkEnd w:id="601"/>
      <w:bookmarkEnd w:id="602"/>
      <w:bookmarkEnd w:id="603"/>
      <w:bookmarkEnd w:id="604"/>
      <w:bookmarkEnd w:id="605"/>
      <w:bookmarkEnd w:id="606"/>
      <w:bookmarkEnd w:id="607"/>
      <w:bookmarkStart w:id="631" w:name="_Toc292559903"/>
      <w:bookmarkStart w:id="632" w:name="_Toc296346694"/>
      <w:bookmarkStart w:id="633" w:name="_Toc304295566"/>
      <w:bookmarkStart w:id="634" w:name="_Toc297216199"/>
      <w:bookmarkStart w:id="635" w:name="_Toc297048379"/>
      <w:bookmarkStart w:id="636" w:name="_Toc300934989"/>
      <w:bookmarkStart w:id="637" w:name="_Toc296891233"/>
      <w:bookmarkStart w:id="638" w:name="_Toc297123540"/>
      <w:bookmarkStart w:id="639" w:name="_Toc296347192"/>
      <w:bookmarkStart w:id="640" w:name="_Toc296891021"/>
      <w:bookmarkStart w:id="641" w:name="_Toc303539146"/>
      <w:bookmarkStart w:id="642" w:name="_Toc296944532"/>
      <w:bookmarkStart w:id="643" w:name="_Toc292559398"/>
      <w:bookmarkStart w:id="644" w:name="_Toc297120493"/>
      <w:bookmarkStart w:id="645" w:name="_Toc296503193"/>
      <w:bookmarkStart w:id="646" w:name="_Toc312677499"/>
      <w:bookmarkStart w:id="647" w:name="_Toc312678025"/>
      <w:bookmarkStart w:id="648" w:name="_Toc267251440"/>
      <w:bookmarkStart w:id="649" w:name="_Toc267251435"/>
      <w:bookmarkStart w:id="650" w:name="_Toc267251439"/>
      <w:bookmarkStart w:id="651" w:name="_Toc267251441"/>
      <w:bookmarkStart w:id="652" w:name="_Toc267251433"/>
      <w:bookmarkStart w:id="653" w:name="_Toc267251437"/>
      <w:bookmarkStart w:id="654" w:name="_Toc267251442"/>
      <w:r>
        <w:rPr>
          <w:rFonts w:hint="eastAsia" w:ascii="宋体" w:hAnsi="宋体"/>
          <w:b w:val="0"/>
          <w:color w:val="auto"/>
          <w:sz w:val="24"/>
          <w:szCs w:val="24"/>
          <w:highlight w:val="none"/>
        </w:rPr>
        <w:t>0. 变更</w:t>
      </w:r>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bookmarkEnd w:id="646"/>
    <w:bookmarkEnd w:id="647"/>
    <w:p w14:paraId="2DFAD780">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bookmarkStart w:id="655" w:name="_Toc296944533"/>
      <w:bookmarkStart w:id="656" w:name="_Toc296503194"/>
      <w:bookmarkStart w:id="657" w:name="_Toc297048380"/>
      <w:bookmarkStart w:id="658" w:name="_Toc296347193"/>
      <w:bookmarkStart w:id="659" w:name="_Toc297120494"/>
      <w:bookmarkStart w:id="660" w:name="_Toc297216200"/>
      <w:bookmarkStart w:id="661" w:name="_Toc312677500"/>
      <w:bookmarkStart w:id="662" w:name="_Toc296891022"/>
      <w:bookmarkStart w:id="663" w:name="_Toc300934990"/>
      <w:bookmarkStart w:id="664" w:name="_Toc296346695"/>
      <w:bookmarkStart w:id="665" w:name="_Toc312678026"/>
      <w:bookmarkStart w:id="666" w:name="_Toc297123541"/>
      <w:bookmarkStart w:id="667" w:name="_Toc292559904"/>
      <w:bookmarkStart w:id="668" w:name="_Toc304295567"/>
      <w:bookmarkStart w:id="669" w:name="_Toc303539147"/>
      <w:bookmarkStart w:id="670" w:name="_Toc292559399"/>
      <w:bookmarkStart w:id="671" w:name="_Toc296891234"/>
      <w:r>
        <w:rPr>
          <w:rFonts w:hint="eastAsia" w:ascii="宋体" w:hAnsi="宋体"/>
          <w:color w:val="auto"/>
          <w:sz w:val="24"/>
          <w:szCs w:val="24"/>
          <w:highlight w:val="none"/>
        </w:rPr>
        <w:t>0.1变更的范围</w:t>
      </w:r>
    </w:p>
    <w:p w14:paraId="32FBC56D">
      <w:pPr>
        <w:spacing w:line="360" w:lineRule="auto"/>
        <w:ind w:firstLine="600"/>
        <w:rPr>
          <w:rFonts w:ascii="宋体" w:hAnsi="宋体"/>
          <w:b/>
          <w:color w:val="auto"/>
          <w:sz w:val="24"/>
          <w:szCs w:val="24"/>
          <w:highlight w:val="none"/>
          <w:u w:val="single"/>
        </w:rPr>
      </w:pPr>
      <w:r>
        <w:rPr>
          <w:rFonts w:hint="eastAsia" w:ascii="宋体" w:hAnsi="宋体" w:cs="宋体"/>
          <w:color w:val="auto"/>
          <w:sz w:val="24"/>
          <w:highlight w:val="none"/>
        </w:rPr>
        <w:t>关于变更的范围的约定：</w:t>
      </w:r>
      <w:r>
        <w:rPr>
          <w:rFonts w:hint="eastAsia" w:ascii="宋体" w:hAnsi="宋体"/>
          <w:b/>
          <w:color w:val="auto"/>
          <w:sz w:val="24"/>
          <w:szCs w:val="24"/>
          <w:highlight w:val="none"/>
          <w:u w:val="single"/>
        </w:rPr>
        <w:t>如有变更项目以发包人、承包人双方现场共同签证为准。因承包人擅自变更设计发生的费用，不予计入结算，由此给发包人造成的全部损失，由承包人承担，延误的工期不予顺延。其余执行“通用条款”相关规定 。</w:t>
      </w:r>
    </w:p>
    <w:p w14:paraId="153B03FA">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10.4 变更估价</w:t>
      </w:r>
    </w:p>
    <w:p w14:paraId="198812F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10.4.1 变更估价原则</w:t>
      </w:r>
    </w:p>
    <w:p w14:paraId="433FA254">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 xml:space="preserve">关于变更估价的约定: </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按本合同12.1.2条款执行。   </w:t>
      </w:r>
    </w:p>
    <w:p w14:paraId="7BE76A44">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Start w:id="672" w:name="_Toc292559907"/>
      <w:bookmarkStart w:id="673" w:name="_Toc292559402"/>
      <w:bookmarkStart w:id="674" w:name="_Toc296347196"/>
      <w:bookmarkStart w:id="675" w:name="_Toc296891237"/>
      <w:bookmarkStart w:id="676" w:name="_Toc296891025"/>
      <w:bookmarkStart w:id="677" w:name="_Toc297123544"/>
      <w:bookmarkStart w:id="678" w:name="_Toc297048383"/>
      <w:bookmarkStart w:id="679" w:name="_Toc303539150"/>
      <w:bookmarkStart w:id="680" w:name="_Toc296503197"/>
      <w:bookmarkStart w:id="681" w:name="_Toc296944536"/>
      <w:bookmarkStart w:id="682" w:name="_Toc300934993"/>
      <w:bookmarkStart w:id="683" w:name="_Toc296346698"/>
      <w:bookmarkStart w:id="684" w:name="_Toc297216203"/>
      <w:bookmarkStart w:id="685" w:name="_Toc297120497"/>
      <w:bookmarkStart w:id="686" w:name="_Toc312677503"/>
      <w:bookmarkStart w:id="687" w:name="_Toc304295570"/>
      <w:bookmarkStart w:id="688" w:name="_Toc312678029"/>
      <w:r>
        <w:rPr>
          <w:rFonts w:hint="eastAsia" w:ascii="宋体" w:hAnsi="宋体"/>
          <w:color w:val="auto"/>
          <w:sz w:val="24"/>
          <w:szCs w:val="24"/>
          <w:highlight w:val="none"/>
        </w:rPr>
        <w:t>0.5承</w:t>
      </w:r>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Start w:id="689" w:name="_Toc300934994"/>
      <w:bookmarkStart w:id="690" w:name="_Toc297048389"/>
      <w:bookmarkStart w:id="691" w:name="_Toc303539151"/>
      <w:bookmarkStart w:id="692" w:name="_Toc296891031"/>
      <w:bookmarkStart w:id="693" w:name="_Toc296347202"/>
      <w:bookmarkStart w:id="694" w:name="_Toc292559408"/>
      <w:bookmarkStart w:id="695" w:name="_Toc297216204"/>
      <w:bookmarkStart w:id="696" w:name="_Toc297120503"/>
      <w:bookmarkStart w:id="697" w:name="_Toc297123545"/>
      <w:bookmarkStart w:id="698" w:name="_Toc292559913"/>
      <w:bookmarkStart w:id="699" w:name="_Toc296503203"/>
      <w:bookmarkStart w:id="700" w:name="_Toc296944542"/>
      <w:bookmarkStart w:id="701" w:name="_Toc296346704"/>
      <w:bookmarkStart w:id="702" w:name="_Toc296891243"/>
      <w:r>
        <w:rPr>
          <w:rFonts w:hint="eastAsia" w:ascii="宋体" w:hAnsi="宋体"/>
          <w:color w:val="auto"/>
          <w:sz w:val="24"/>
          <w:szCs w:val="24"/>
          <w:highlight w:val="none"/>
        </w:rPr>
        <w:t>包人的合理化建议</w:t>
      </w:r>
    </w:p>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14:paraId="489CEAA7">
      <w:pPr>
        <w:spacing w:line="360" w:lineRule="auto"/>
        <w:ind w:firstLine="480" w:firstLineChars="200"/>
        <w:rPr>
          <w:rFonts w:ascii="宋体" w:hAnsi="宋体"/>
          <w:b/>
          <w:color w:val="auto"/>
          <w:sz w:val="24"/>
          <w:szCs w:val="24"/>
          <w:highlight w:val="none"/>
        </w:rPr>
      </w:pPr>
      <w:r>
        <w:rPr>
          <w:rFonts w:hint="eastAsia" w:ascii="宋体" w:hAnsi="宋体"/>
          <w:color w:val="auto"/>
          <w:sz w:val="24"/>
          <w:szCs w:val="24"/>
          <w:highlight w:val="none"/>
        </w:rPr>
        <w:t>监理人审查承包人合理化建议的期限：</w:t>
      </w:r>
      <w:r>
        <w:rPr>
          <w:rFonts w:hint="eastAsia" w:ascii="宋体" w:hAnsi="宋体"/>
          <w:b/>
          <w:color w:val="auto"/>
          <w:sz w:val="24"/>
          <w:szCs w:val="24"/>
          <w:highlight w:val="none"/>
          <w:u w:val="single"/>
        </w:rPr>
        <w:t>按通用条款10.5条执行</w:t>
      </w:r>
      <w:r>
        <w:rPr>
          <w:rFonts w:hint="eastAsia" w:ascii="宋体" w:hAnsi="宋体"/>
          <w:b/>
          <w:color w:val="auto"/>
          <w:sz w:val="24"/>
          <w:szCs w:val="24"/>
          <w:highlight w:val="none"/>
        </w:rPr>
        <w:t>。</w:t>
      </w:r>
    </w:p>
    <w:p w14:paraId="556B583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发包人审批承包人合理化建议的期限：</w:t>
      </w:r>
      <w:r>
        <w:rPr>
          <w:rFonts w:hint="eastAsia" w:ascii="宋体" w:hAnsi="宋体"/>
          <w:b/>
          <w:color w:val="auto"/>
          <w:sz w:val="24"/>
          <w:szCs w:val="24"/>
          <w:highlight w:val="none"/>
          <w:u w:val="single"/>
        </w:rPr>
        <w:t>按通用条款10.5条执行</w:t>
      </w:r>
      <w:r>
        <w:rPr>
          <w:rFonts w:hint="eastAsia" w:ascii="宋体" w:hAnsi="宋体"/>
          <w:color w:val="auto"/>
          <w:sz w:val="24"/>
          <w:szCs w:val="24"/>
          <w:highlight w:val="none"/>
        </w:rPr>
        <w:t>。</w:t>
      </w:r>
    </w:p>
    <w:p w14:paraId="6875F0E2">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承</w:t>
      </w:r>
      <w:bookmarkStart w:id="703" w:name="_Toc297120504"/>
      <w:bookmarkStart w:id="704" w:name="_Toc296503204"/>
      <w:bookmarkStart w:id="705" w:name="_Toc312677504"/>
      <w:bookmarkStart w:id="706" w:name="_Toc297048390"/>
      <w:bookmarkStart w:id="707" w:name="_Toc296891032"/>
      <w:bookmarkStart w:id="708" w:name="_Toc318581175"/>
      <w:bookmarkStart w:id="709" w:name="_Toc296346705"/>
      <w:bookmarkStart w:id="710" w:name="_Toc292559409"/>
      <w:bookmarkStart w:id="711" w:name="_Toc296891244"/>
      <w:bookmarkStart w:id="712" w:name="_Toc312678030"/>
      <w:bookmarkStart w:id="713" w:name="_Toc303539152"/>
      <w:bookmarkStart w:id="714" w:name="_Toc297123546"/>
      <w:bookmarkStart w:id="715" w:name="_Toc300934995"/>
      <w:bookmarkStart w:id="716" w:name="_Toc304295571"/>
      <w:bookmarkStart w:id="717" w:name="_Toc292559914"/>
      <w:bookmarkStart w:id="718" w:name="_Toc296944543"/>
      <w:bookmarkStart w:id="719" w:name="_Toc297216205"/>
      <w:bookmarkStart w:id="720" w:name="_Toc296347203"/>
      <w:r>
        <w:rPr>
          <w:rFonts w:hint="eastAsia" w:ascii="宋体" w:hAnsi="宋体"/>
          <w:color w:val="auto"/>
          <w:sz w:val="24"/>
          <w:szCs w:val="24"/>
          <w:highlight w:val="none"/>
        </w:rPr>
        <w:t>包人提出的合理化建议降低了合同价格或者提高了工程经济效益的奖励的方法和金额为：</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无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p w14:paraId="5BB12AB3">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bookmarkStart w:id="721" w:name="_Toc296944538"/>
      <w:bookmarkStart w:id="722" w:name="_Toc300934997"/>
      <w:bookmarkStart w:id="723" w:name="_Toc297120499"/>
      <w:bookmarkStart w:id="724" w:name="_Toc297048385"/>
      <w:bookmarkStart w:id="725" w:name="_Toc297123548"/>
      <w:bookmarkStart w:id="726" w:name="_Toc296347198"/>
      <w:bookmarkStart w:id="727" w:name="_Toc304295574"/>
      <w:bookmarkStart w:id="728" w:name="_Toc312677507"/>
      <w:bookmarkStart w:id="729" w:name="_Toc292559404"/>
      <w:bookmarkStart w:id="730" w:name="_Toc296891239"/>
      <w:bookmarkStart w:id="731" w:name="_Toc296346700"/>
      <w:bookmarkStart w:id="732" w:name="_Toc296503199"/>
      <w:bookmarkStart w:id="733" w:name="_Toc312678033"/>
      <w:bookmarkStart w:id="734" w:name="_Toc292559909"/>
      <w:bookmarkStart w:id="735" w:name="_Toc296891027"/>
      <w:bookmarkStart w:id="736" w:name="_Toc303539154"/>
      <w:bookmarkStart w:id="737" w:name="_Toc297216207"/>
      <w:r>
        <w:rPr>
          <w:rFonts w:hint="eastAsia" w:ascii="宋体" w:hAnsi="宋体"/>
          <w:color w:val="auto"/>
          <w:sz w:val="24"/>
          <w:szCs w:val="24"/>
          <w:highlight w:val="none"/>
        </w:rPr>
        <w:t>0.7 暂估价</w:t>
      </w:r>
    </w:p>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14:paraId="04F5508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暂</w:t>
      </w:r>
      <w:bookmarkStart w:id="738" w:name="_Toc312678034"/>
      <w:bookmarkStart w:id="739" w:name="_Toc318581176"/>
      <w:bookmarkStart w:id="740" w:name="_Toc312677508"/>
      <w:r>
        <w:rPr>
          <w:rFonts w:hint="eastAsia" w:ascii="宋体" w:hAnsi="宋体"/>
          <w:color w:val="auto"/>
          <w:sz w:val="24"/>
          <w:szCs w:val="24"/>
          <w:highlight w:val="none"/>
        </w:rPr>
        <w:t>估价材料和工程设备的明细详见附件11：《暂估价一览表》。</w:t>
      </w:r>
    </w:p>
    <w:bookmarkEnd w:id="738"/>
    <w:bookmarkEnd w:id="739"/>
    <w:bookmarkEnd w:id="740"/>
    <w:p w14:paraId="3112C1B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bookmarkStart w:id="741" w:name="_Toc312678035"/>
      <w:bookmarkStart w:id="742" w:name="_Toc318581177"/>
      <w:bookmarkStart w:id="743" w:name="_Toc312677509"/>
      <w:r>
        <w:rPr>
          <w:rFonts w:hint="eastAsia" w:ascii="宋体" w:hAnsi="宋体"/>
          <w:color w:val="auto"/>
          <w:sz w:val="24"/>
          <w:szCs w:val="24"/>
          <w:highlight w:val="none"/>
        </w:rPr>
        <w:t>0.7.1 依法必须招标的暂估价项目</w:t>
      </w:r>
    </w:p>
    <w:bookmarkEnd w:id="741"/>
    <w:bookmarkEnd w:id="742"/>
    <w:bookmarkEnd w:id="743"/>
    <w:p w14:paraId="1ACC96D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对于依法必须招标的暂估价项目的确认和批准采取第</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3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种方式确定。</w:t>
      </w:r>
    </w:p>
    <w:p w14:paraId="297C6E4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10.7.2 不属于依法必须招标的暂估价项目</w:t>
      </w:r>
    </w:p>
    <w:p w14:paraId="38E2CCA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对于不属于依法必须招标的暂估价项目的确认和批准采取第</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 xml:space="preserve"> 种方式确定。</w:t>
      </w:r>
    </w:p>
    <w:p w14:paraId="32B5044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第3种方式：承包人直接实施的暂估价项目</w:t>
      </w:r>
    </w:p>
    <w:p w14:paraId="447A7B63">
      <w:pPr>
        <w:spacing w:line="360" w:lineRule="auto"/>
        <w:ind w:firstLine="480" w:firstLineChars="200"/>
        <w:rPr>
          <w:rFonts w:ascii="宋体" w:hAnsi="宋体"/>
          <w:b/>
          <w:color w:val="auto"/>
          <w:sz w:val="24"/>
          <w:szCs w:val="24"/>
          <w:highlight w:val="none"/>
        </w:rPr>
      </w:pPr>
      <w:r>
        <w:rPr>
          <w:rFonts w:hint="eastAsia" w:ascii="宋体" w:hAnsi="宋体"/>
          <w:color w:val="auto"/>
          <w:sz w:val="24"/>
          <w:szCs w:val="24"/>
          <w:highlight w:val="none"/>
        </w:rPr>
        <w:t>承包人直接实施的暂估价项目的约定：</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由发包人、承包人及学校审计处委托的第三方造价公司共同确定材料价，并按照合同约定的计价原则组价，新增单价以学校审计处委托的第三方造价公司审定后的单价进行竣工结算 。</w:t>
      </w:r>
    </w:p>
    <w:p w14:paraId="1D8D2C5F">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10.8 暂列金额</w:t>
      </w:r>
    </w:p>
    <w:p w14:paraId="1C6CF812">
      <w:pPr>
        <w:autoSpaceDE w:val="0"/>
        <w:autoSpaceDN w:val="0"/>
        <w:adjustRightInd w:val="0"/>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合同当事人关于暂列金额使用的约定：</w:t>
      </w:r>
      <w:r>
        <w:rPr>
          <w:rFonts w:hint="eastAsia" w:ascii="宋体" w:hAnsi="宋体"/>
          <w:color w:val="auto"/>
          <w:sz w:val="24"/>
          <w:szCs w:val="24"/>
          <w:highlight w:val="none"/>
          <w:u w:val="single"/>
        </w:rPr>
        <w:t xml:space="preserve">  </w:t>
      </w:r>
      <w:r>
        <w:rPr>
          <w:rFonts w:hint="eastAsia" w:ascii="宋体" w:hAnsi="宋体"/>
          <w:b/>
          <w:bCs/>
          <w:color w:val="auto"/>
          <w:sz w:val="24"/>
          <w:szCs w:val="24"/>
          <w:highlight w:val="none"/>
          <w:u w:val="single"/>
        </w:rPr>
        <w:t xml:space="preserve"> 暂列金额用于合同签订时尚未确定或者不可预见的所需材料、工程设备、服务的采购，施工中可能发生的工程变更、合同约定调整因素出现时的合同价款调整以及发生的索赔、现场签证确认等费用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4EBE0B0C">
      <w:pPr>
        <w:pStyle w:val="5"/>
        <w:spacing w:before="120" w:after="120" w:line="360" w:lineRule="auto"/>
        <w:rPr>
          <w:rFonts w:ascii="宋体" w:hAnsi="宋体"/>
          <w:b w:val="0"/>
          <w:color w:val="auto"/>
          <w:sz w:val="24"/>
          <w:szCs w:val="24"/>
          <w:highlight w:val="none"/>
        </w:rPr>
      </w:pPr>
      <w:bookmarkStart w:id="744" w:name="_Toc351203643"/>
      <w:r>
        <w:rPr>
          <w:rFonts w:hint="eastAsia" w:ascii="宋体" w:hAnsi="宋体"/>
          <w:b w:val="0"/>
          <w:color w:val="auto"/>
          <w:sz w:val="24"/>
          <w:szCs w:val="24"/>
          <w:highlight w:val="none"/>
        </w:rPr>
        <w:t>11. 价格调整</w:t>
      </w:r>
      <w:bookmarkEnd w:id="744"/>
    </w:p>
    <w:p w14:paraId="6E6D8243">
      <w:pPr>
        <w:spacing w:after="120" w:line="360" w:lineRule="auto"/>
        <w:ind w:firstLine="480" w:firstLineChars="200"/>
        <w:rPr>
          <w:rFonts w:ascii="宋体" w:hAnsi="宋体"/>
          <w:color w:val="auto"/>
          <w:sz w:val="24"/>
          <w:szCs w:val="24"/>
          <w:highlight w:val="none"/>
        </w:rPr>
      </w:pPr>
      <w:bookmarkStart w:id="745" w:name="_Toc296346702"/>
      <w:bookmarkStart w:id="746" w:name="_Toc297216209"/>
      <w:bookmarkStart w:id="747" w:name="_Toc304295577"/>
      <w:bookmarkStart w:id="748" w:name="_Toc297123550"/>
      <w:bookmarkStart w:id="749" w:name="_Toc312678039"/>
      <w:bookmarkStart w:id="750" w:name="_Toc296891029"/>
      <w:bookmarkStart w:id="751" w:name="_Toc292559911"/>
      <w:bookmarkStart w:id="752" w:name="_Toc297120501"/>
      <w:bookmarkStart w:id="753" w:name="_Toc296503201"/>
      <w:bookmarkStart w:id="754" w:name="_Toc296347200"/>
      <w:bookmarkStart w:id="755" w:name="_Toc300935000"/>
      <w:bookmarkStart w:id="756" w:name="_Toc303539157"/>
      <w:bookmarkStart w:id="757" w:name="_Toc296944540"/>
      <w:bookmarkStart w:id="758" w:name="_Toc297048387"/>
      <w:bookmarkStart w:id="759" w:name="_Toc292559406"/>
      <w:bookmarkStart w:id="760" w:name="_Toc296891241"/>
      <w:r>
        <w:rPr>
          <w:rFonts w:hint="eastAsia" w:ascii="宋体" w:hAnsi="宋体"/>
          <w:color w:val="auto"/>
          <w:sz w:val="24"/>
          <w:szCs w:val="24"/>
          <w:highlight w:val="none"/>
        </w:rPr>
        <w:t>11.1 市场价格波动引起的调整</w:t>
      </w:r>
    </w:p>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p w14:paraId="6076CE4D">
      <w:pPr>
        <w:spacing w:line="460" w:lineRule="exact"/>
        <w:ind w:firstLine="480" w:firstLineChars="200"/>
        <w:rPr>
          <w:rFonts w:ascii="宋体" w:hAnsi="宋体"/>
          <w:b/>
          <w:color w:val="auto"/>
          <w:sz w:val="24"/>
          <w:szCs w:val="24"/>
          <w:highlight w:val="none"/>
          <w:u w:val="single"/>
        </w:rPr>
      </w:pPr>
      <w:r>
        <w:rPr>
          <w:rFonts w:hint="eastAsia" w:ascii="宋体" w:hAnsi="宋体"/>
          <w:color w:val="auto"/>
          <w:sz w:val="24"/>
          <w:szCs w:val="24"/>
          <w:highlight w:val="none"/>
        </w:rPr>
        <w:t>市场价格波动是否调整合同价格的约定：</w:t>
      </w:r>
      <w:r>
        <w:rPr>
          <w:rFonts w:hint="eastAsia" w:ascii="宋体" w:hAnsi="宋体"/>
          <w:b/>
          <w:color w:val="auto"/>
          <w:sz w:val="24"/>
          <w:szCs w:val="24"/>
          <w:highlight w:val="none"/>
          <w:u w:val="single"/>
        </w:rPr>
        <w:t>不调整。</w:t>
      </w:r>
    </w:p>
    <w:p w14:paraId="1E6E6A3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因市场价格波动调整合同价格，采用以下第</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种方式对合同价格进行调整：</w:t>
      </w:r>
    </w:p>
    <w:p w14:paraId="0399854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第1种方式：采用价格指数进行价格调整。</w:t>
      </w:r>
    </w:p>
    <w:p w14:paraId="3602F49C">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关于各可调因子、定值和变值权重，以及基本价格指数及其来源的约定：</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w:t>
      </w:r>
      <w:r>
        <w:rPr>
          <w:rFonts w:hint="eastAsia" w:ascii="宋体" w:hAnsi="宋体"/>
          <w:color w:val="auto"/>
          <w:sz w:val="24"/>
          <w:szCs w:val="24"/>
          <w:highlight w:val="none"/>
          <w:u w:val="single"/>
        </w:rPr>
        <w:t xml:space="preserve">  。</w:t>
      </w:r>
    </w:p>
    <w:p w14:paraId="1E53E25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第2种方式：采用造价信息进行价格调整。</w:t>
      </w:r>
    </w:p>
    <w:p w14:paraId="7EB8899F">
      <w:pPr>
        <w:spacing w:line="360" w:lineRule="auto"/>
        <w:ind w:firstLine="480" w:firstLineChars="200"/>
        <w:rPr>
          <w:rFonts w:ascii="宋体" w:hAnsi="宋体"/>
          <w:b/>
          <w:color w:val="auto"/>
          <w:sz w:val="24"/>
          <w:szCs w:val="24"/>
          <w:highlight w:val="none"/>
        </w:rPr>
      </w:pPr>
      <w:r>
        <w:rPr>
          <w:rFonts w:hint="eastAsia" w:ascii="宋体" w:hAnsi="宋体"/>
          <w:color w:val="auto"/>
          <w:sz w:val="24"/>
          <w:szCs w:val="24"/>
          <w:highlight w:val="none"/>
        </w:rPr>
        <w:t>（2）关于基准价格的约定：</w:t>
      </w:r>
      <w:r>
        <w:rPr>
          <w:rFonts w:hint="eastAsia" w:ascii="宋体" w:hAnsi="宋体"/>
          <w:b/>
          <w:color w:val="auto"/>
          <w:sz w:val="24"/>
          <w:szCs w:val="24"/>
          <w:highlight w:val="none"/>
          <w:u w:val="single"/>
        </w:rPr>
        <w:t>/</w:t>
      </w:r>
      <w:r>
        <w:rPr>
          <w:rFonts w:hint="eastAsia" w:ascii="宋体" w:hAnsi="宋体"/>
          <w:b/>
          <w:color w:val="auto"/>
          <w:sz w:val="24"/>
          <w:szCs w:val="24"/>
          <w:highlight w:val="none"/>
        </w:rPr>
        <w:t>。</w:t>
      </w:r>
    </w:p>
    <w:p w14:paraId="0DFC9B1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专用合同条款</w:t>
      </w:r>
      <w:r>
        <w:rPr>
          <w:rFonts w:hint="eastAsia" w:ascii="宋体" w:hAnsi="宋体" w:cs="宋体"/>
          <w:color w:val="auto"/>
          <w:sz w:val="24"/>
          <w:szCs w:val="24"/>
          <w:highlight w:val="none"/>
        </w:rPr>
        <w:t>①</w:t>
      </w:r>
      <w:r>
        <w:rPr>
          <w:rFonts w:hint="eastAsia" w:ascii="宋体" w:hAnsi="宋体"/>
          <w:color w:val="auto"/>
          <w:sz w:val="24"/>
          <w:szCs w:val="24"/>
          <w:highlight w:val="none"/>
        </w:rPr>
        <w:t>承包人在已标价工程量清单或预算书中载明的材料单价低于基准价格的：专用合同条款合同履行期间材料单价涨幅以基准价格为基础超过</w:t>
      </w:r>
      <w:r>
        <w:rPr>
          <w:rFonts w:hint="eastAsia" w:ascii="宋体" w:hAnsi="宋体"/>
          <w:color w:val="auto"/>
          <w:sz w:val="24"/>
          <w:szCs w:val="24"/>
          <w:highlight w:val="none"/>
          <w:u w:val="single"/>
        </w:rPr>
        <w:t>/</w:t>
      </w:r>
      <w:r>
        <w:rPr>
          <w:rFonts w:hint="eastAsia" w:ascii="宋体" w:hAnsi="宋体"/>
          <w:color w:val="auto"/>
          <w:sz w:val="24"/>
          <w:szCs w:val="24"/>
          <w:highlight w:val="none"/>
        </w:rPr>
        <w:t>%时，或材料单价跌幅以已标价工程量清单或预算书中载明材料单价为基础超过</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%时，其超过部分据实调整。</w:t>
      </w:r>
    </w:p>
    <w:p w14:paraId="4E9BC685">
      <w:pPr>
        <w:spacing w:line="360" w:lineRule="auto"/>
        <w:ind w:firstLine="480" w:firstLineChars="200"/>
        <w:rPr>
          <w:rFonts w:ascii="宋体" w:hAnsi="宋体"/>
          <w:color w:val="auto"/>
          <w:sz w:val="24"/>
          <w:szCs w:val="24"/>
          <w:highlight w:val="none"/>
        </w:rPr>
      </w:pPr>
      <w:r>
        <w:rPr>
          <w:rFonts w:hint="eastAsia" w:ascii="宋体" w:hAnsi="宋体" w:cs="宋体"/>
          <w:color w:val="auto"/>
          <w:sz w:val="24"/>
          <w:szCs w:val="24"/>
          <w:highlight w:val="none"/>
        </w:rPr>
        <w:t>②</w:t>
      </w:r>
      <w:r>
        <w:rPr>
          <w:rFonts w:hint="eastAsia" w:ascii="宋体" w:hAnsi="宋体"/>
          <w:color w:val="auto"/>
          <w:sz w:val="24"/>
          <w:szCs w:val="24"/>
          <w:highlight w:val="none"/>
        </w:rPr>
        <w:t>承包人在已标价工程量清单或预算书中载明的材料单价高于基准价格的：专用合同条款合同履行期间材料单价跌幅以基准价格为基础超过</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%时，材料单价涨幅以已标价工程量清单或预算书中载明材料单价为基础超过</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%时，其超过部分据实调整。</w:t>
      </w:r>
    </w:p>
    <w:p w14:paraId="0F9E56F0">
      <w:pPr>
        <w:spacing w:line="360" w:lineRule="auto"/>
        <w:ind w:firstLine="645"/>
        <w:rPr>
          <w:rFonts w:ascii="宋体" w:hAnsi="宋体"/>
          <w:color w:val="auto"/>
          <w:sz w:val="24"/>
          <w:szCs w:val="24"/>
          <w:highlight w:val="none"/>
        </w:rPr>
      </w:pPr>
      <w:r>
        <w:rPr>
          <w:rFonts w:hint="eastAsia" w:ascii="宋体" w:hAnsi="宋体" w:cs="宋体"/>
          <w:color w:val="auto"/>
          <w:sz w:val="24"/>
          <w:szCs w:val="24"/>
          <w:highlight w:val="none"/>
        </w:rPr>
        <w:t>③</w:t>
      </w:r>
      <w:r>
        <w:rPr>
          <w:rFonts w:hint="eastAsia" w:ascii="宋体" w:hAnsi="宋体"/>
          <w:color w:val="auto"/>
          <w:sz w:val="24"/>
          <w:szCs w:val="24"/>
          <w:highlight w:val="none"/>
        </w:rPr>
        <w:t>承包人在已标价工程量清单或预算书中载明的材料单价等于基准单价的：专用合同条款合同履行期间材料单价涨跌幅以基准单价为基础超过±</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%时，其超过部分据实调整。</w:t>
      </w:r>
    </w:p>
    <w:p w14:paraId="096F8360">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第3种方式：其他价格调整方式：</w:t>
      </w:r>
      <w:bookmarkEnd w:id="648"/>
      <w:bookmarkEnd w:id="649"/>
      <w:bookmarkEnd w:id="650"/>
      <w:bookmarkEnd w:id="651"/>
      <w:bookmarkEnd w:id="652"/>
      <w:bookmarkEnd w:id="653"/>
      <w:bookmarkStart w:id="761" w:name="_Toc297120505"/>
      <w:bookmarkStart w:id="762" w:name="_Toc296944544"/>
      <w:bookmarkStart w:id="763" w:name="_Toc296891245"/>
      <w:bookmarkStart w:id="764" w:name="_Toc292559915"/>
      <w:bookmarkStart w:id="765" w:name="_Toc292559410"/>
      <w:bookmarkStart w:id="766" w:name="_Toc296503205"/>
      <w:bookmarkStart w:id="767" w:name="_Toc296347204"/>
      <w:bookmarkStart w:id="768" w:name="_Toc296346706"/>
      <w:bookmarkStart w:id="769" w:name="_Toc297048391"/>
      <w:bookmarkStart w:id="770" w:name="_Toc296891033"/>
      <w:bookmarkStart w:id="771" w:name="_Toc351203644"/>
      <w:bookmarkStart w:id="772" w:name="_Toc304295579"/>
      <w:bookmarkStart w:id="773" w:name="_Toc303539159"/>
      <w:bookmarkStart w:id="774" w:name="_Toc312678040"/>
      <w:bookmarkStart w:id="775" w:name="_Toc297123552"/>
      <w:bookmarkStart w:id="776" w:name="_Toc297216211"/>
      <w:bookmarkStart w:id="777" w:name="_Toc300935002"/>
      <w:r>
        <w:rPr>
          <w:rFonts w:hint="eastAsia" w:ascii="宋体" w:hAnsi="宋体"/>
          <w:color w:val="auto"/>
          <w:sz w:val="24"/>
          <w:szCs w:val="24"/>
          <w:highlight w:val="none"/>
          <w:u w:val="single"/>
        </w:rPr>
        <w:t xml:space="preserve">   /  </w:t>
      </w:r>
    </w:p>
    <w:p w14:paraId="5B5BD087">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 xml:space="preserve">12. </w:t>
      </w:r>
      <w:bookmarkEnd w:id="761"/>
      <w:bookmarkEnd w:id="762"/>
      <w:bookmarkEnd w:id="763"/>
      <w:bookmarkEnd w:id="764"/>
      <w:bookmarkEnd w:id="765"/>
      <w:bookmarkEnd w:id="766"/>
      <w:bookmarkEnd w:id="767"/>
      <w:bookmarkEnd w:id="768"/>
      <w:bookmarkEnd w:id="769"/>
      <w:bookmarkEnd w:id="770"/>
      <w:r>
        <w:rPr>
          <w:rFonts w:hint="eastAsia" w:ascii="宋体" w:hAnsi="宋体" w:cs="宋体"/>
          <w:b/>
          <w:color w:val="auto"/>
          <w:sz w:val="24"/>
          <w:szCs w:val="24"/>
          <w:highlight w:val="none"/>
        </w:rPr>
        <w:t>合同价格、计量与支付</w:t>
      </w:r>
      <w:bookmarkEnd w:id="771"/>
    </w:p>
    <w:bookmarkEnd w:id="772"/>
    <w:bookmarkEnd w:id="773"/>
    <w:bookmarkEnd w:id="774"/>
    <w:bookmarkEnd w:id="775"/>
    <w:bookmarkEnd w:id="776"/>
    <w:bookmarkEnd w:id="777"/>
    <w:p w14:paraId="30143702">
      <w:pPr>
        <w:spacing w:after="120" w:line="360" w:lineRule="auto"/>
        <w:ind w:firstLine="480" w:firstLineChars="200"/>
        <w:rPr>
          <w:rFonts w:ascii="宋体" w:hAnsi="宋体" w:cs="宋体"/>
          <w:color w:val="auto"/>
          <w:sz w:val="24"/>
          <w:szCs w:val="24"/>
          <w:highlight w:val="none"/>
        </w:rPr>
      </w:pPr>
      <w:bookmarkStart w:id="778" w:name="_Toc296944545"/>
      <w:bookmarkStart w:id="779" w:name="_Toc296347205"/>
      <w:bookmarkStart w:id="780" w:name="_Toc296503206"/>
      <w:bookmarkStart w:id="781" w:name="_Toc292559411"/>
      <w:bookmarkStart w:id="782" w:name="_Toc297123553"/>
      <w:bookmarkStart w:id="783" w:name="_Toc267251461"/>
      <w:bookmarkStart w:id="784" w:name="_Toc297048392"/>
      <w:bookmarkStart w:id="785" w:name="_Toc303539160"/>
      <w:bookmarkStart w:id="786" w:name="_Toc304295580"/>
      <w:bookmarkStart w:id="787" w:name="_Toc296346707"/>
      <w:bookmarkStart w:id="788" w:name="_Toc300935003"/>
      <w:bookmarkStart w:id="789" w:name="_Toc312678041"/>
      <w:bookmarkStart w:id="790" w:name="_Toc296891034"/>
      <w:bookmarkStart w:id="791" w:name="_Toc297216212"/>
      <w:bookmarkStart w:id="792" w:name="_Toc296891246"/>
      <w:bookmarkStart w:id="793" w:name="_Toc297120506"/>
      <w:bookmarkStart w:id="794" w:name="_Toc292559916"/>
      <w:r>
        <w:rPr>
          <w:rFonts w:hint="eastAsia" w:ascii="宋体" w:hAnsi="宋体" w:cs="宋体"/>
          <w:color w:val="auto"/>
          <w:sz w:val="24"/>
          <w:szCs w:val="24"/>
          <w:highlight w:val="none"/>
        </w:rPr>
        <w:t>12.1</w:t>
      </w:r>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r>
        <w:rPr>
          <w:rFonts w:hint="eastAsia" w:ascii="宋体" w:hAnsi="宋体" w:cs="宋体"/>
          <w:color w:val="auto"/>
          <w:sz w:val="24"/>
          <w:szCs w:val="24"/>
          <w:highlight w:val="none"/>
        </w:rPr>
        <w:t>合同价格形式：</w:t>
      </w:r>
      <w:r>
        <w:rPr>
          <w:rFonts w:hint="eastAsia" w:ascii="宋体" w:hAnsi="宋体" w:cs="宋体"/>
          <w:b/>
          <w:bCs/>
          <w:color w:val="auto"/>
          <w:sz w:val="24"/>
          <w:szCs w:val="24"/>
          <w:highlight w:val="none"/>
        </w:rPr>
        <w:t>固</w:t>
      </w:r>
      <w:r>
        <w:rPr>
          <w:rFonts w:hint="eastAsia" w:ascii="宋体" w:hAnsi="宋体" w:cs="宋体"/>
          <w:b/>
          <w:bCs/>
          <w:color w:val="auto"/>
          <w:sz w:val="24"/>
          <w:szCs w:val="24"/>
          <w:highlight w:val="none"/>
          <w:u w:val="single"/>
        </w:rPr>
        <w:t>定综合单价（中标的工程量清单综合单价）。如招标时采用二次报价作为中标价，则签订合同时乙方应提供经甲方认可的与二次报价总价匹配的已标价工程量清单作为合同附件；如没有与中标价对应的已标价工程量清单，则中期进度款和结算审核时采用一次报价清单单价，总价进行下浮。下浮率=（一次报价-二次报价）/一次报价*100%，计算下浮率时需扣除暂列金、专业工程暂估价</w:t>
      </w:r>
      <w:r>
        <w:rPr>
          <w:rFonts w:hint="eastAsia" w:ascii="宋体" w:hAnsi="宋体"/>
          <w:b/>
          <w:bCs/>
          <w:color w:val="auto"/>
          <w:sz w:val="24"/>
          <w:szCs w:val="24"/>
          <w:highlight w:val="none"/>
          <w:u w:val="single"/>
        </w:rPr>
        <w:t>。</w:t>
      </w:r>
    </w:p>
    <w:p w14:paraId="740BF3A2">
      <w:pPr>
        <w:snapToGrid w:val="0"/>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12.1.1合同价款中包括的风险范围：</w:t>
      </w:r>
      <w:r>
        <w:rPr>
          <w:rFonts w:hint="eastAsia" w:ascii="宋体" w:hAnsi="宋体" w:cs="宋体"/>
          <w:color w:val="auto"/>
          <w:sz w:val="24"/>
          <w:szCs w:val="24"/>
          <w:highlight w:val="none"/>
          <w:u w:val="single"/>
        </w:rPr>
        <w:t>1、材料价格市场波动风险；2、政策性调价风险；3、措施费包干的风险。</w:t>
      </w:r>
    </w:p>
    <w:p w14:paraId="2DD6AE5F">
      <w:pPr>
        <w:snapToGrid w:val="0"/>
        <w:spacing w:line="360" w:lineRule="auto"/>
        <w:ind w:firstLine="360" w:firstLineChars="150"/>
        <w:rPr>
          <w:rFonts w:ascii="宋体" w:hAnsi="宋体" w:cs="宋体"/>
          <w:color w:val="auto"/>
          <w:sz w:val="24"/>
          <w:szCs w:val="24"/>
          <w:highlight w:val="none"/>
          <w:u w:val="single"/>
        </w:rPr>
      </w:pPr>
      <w:r>
        <w:rPr>
          <w:rFonts w:hint="eastAsia" w:ascii="宋体" w:hAnsi="宋体" w:cs="宋体"/>
          <w:color w:val="auto"/>
          <w:sz w:val="24"/>
          <w:szCs w:val="24"/>
          <w:highlight w:val="none"/>
        </w:rPr>
        <w:t>（1）风险费用的计算方法：</w:t>
      </w:r>
      <w:r>
        <w:rPr>
          <w:rFonts w:hint="eastAsia" w:ascii="宋体" w:hAnsi="宋体" w:cs="宋体"/>
          <w:color w:val="auto"/>
          <w:sz w:val="24"/>
          <w:szCs w:val="24"/>
          <w:highlight w:val="none"/>
          <w:u w:val="single"/>
        </w:rPr>
        <w:t>合同价款在合同实施期间不因市场变化因素而变动。</w:t>
      </w:r>
    </w:p>
    <w:p w14:paraId="2AF6DF75">
      <w:pPr>
        <w:snapToGrid w:val="0"/>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(2)采用可调价格合同，合同价款调整方法：</w:t>
      </w:r>
      <w:r>
        <w:rPr>
          <w:rFonts w:hint="eastAsia" w:ascii="宋体" w:hAnsi="宋体" w:cs="宋体"/>
          <w:color w:val="auto"/>
          <w:sz w:val="24"/>
          <w:szCs w:val="24"/>
          <w:highlight w:val="none"/>
          <w:u w:val="single"/>
        </w:rPr>
        <w:t>无。</w:t>
      </w:r>
    </w:p>
    <w:p w14:paraId="60475D8A">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(3)采用成本加酬金合同，有关成本和酬金的约定：</w:t>
      </w:r>
      <w:r>
        <w:rPr>
          <w:rFonts w:hint="eastAsia" w:ascii="宋体" w:hAnsi="宋体" w:cs="宋体"/>
          <w:color w:val="auto"/>
          <w:sz w:val="24"/>
          <w:szCs w:val="24"/>
          <w:highlight w:val="none"/>
          <w:u w:val="single"/>
        </w:rPr>
        <w:t xml:space="preserve"> 无。</w:t>
      </w:r>
    </w:p>
    <w:p w14:paraId="1EAC4DB2">
      <w:pPr>
        <w:snapToGrid w:val="0"/>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12.</w:t>
      </w:r>
      <w:r>
        <w:rPr>
          <w:rFonts w:hint="eastAsia" w:ascii="宋体" w:hAnsi="宋体" w:cs="宋体"/>
          <w:color w:val="auto"/>
          <w:sz w:val="24"/>
          <w:szCs w:val="24"/>
          <w:highlight w:val="none"/>
        </w:rPr>
        <w:t xml:space="preserve">1.2双方约定合同价款的其他调整因素：经发包人确认的由于发包人原因及工程设计修改及发包人另行委托的其他工作而发生的工程量增减变更而导致的变更项目，其综合单价调整按以下办法调整： </w:t>
      </w:r>
    </w:p>
    <w:p w14:paraId="145075B8">
      <w:pPr>
        <w:tabs>
          <w:tab w:val="left" w:pos="0"/>
          <w:tab w:val="left" w:pos="360"/>
        </w:tabs>
        <w:spacing w:line="360" w:lineRule="auto"/>
        <w:ind w:left="225" w:leftChars="107"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color w:val="auto"/>
          <w:sz w:val="24"/>
          <w:szCs w:val="24"/>
          <w:highlight w:val="none"/>
        </w:rPr>
        <w:t>工程量清单中</w:t>
      </w:r>
      <w:r>
        <w:rPr>
          <w:rFonts w:hint="eastAsia" w:ascii="宋体" w:hAnsi="宋体" w:cs="宋体"/>
          <w:color w:val="auto"/>
          <w:sz w:val="24"/>
          <w:szCs w:val="24"/>
          <w:highlight w:val="none"/>
        </w:rPr>
        <w:t>已有适用于变更工程的价格，按</w:t>
      </w:r>
      <w:r>
        <w:rPr>
          <w:rFonts w:hint="eastAsia"/>
          <w:color w:val="auto"/>
          <w:sz w:val="24"/>
          <w:szCs w:val="24"/>
          <w:highlight w:val="none"/>
        </w:rPr>
        <w:t>工程量清单中</w:t>
      </w:r>
      <w:r>
        <w:rPr>
          <w:rFonts w:hint="eastAsia" w:ascii="宋体" w:hAnsi="宋体" w:cs="宋体"/>
          <w:color w:val="auto"/>
          <w:sz w:val="24"/>
          <w:szCs w:val="24"/>
          <w:highlight w:val="none"/>
        </w:rPr>
        <w:t xml:space="preserve">的价格变更价款； </w:t>
      </w:r>
    </w:p>
    <w:p w14:paraId="227FC715">
      <w:pPr>
        <w:tabs>
          <w:tab w:val="left" w:pos="0"/>
          <w:tab w:val="left" w:pos="360"/>
        </w:tabs>
        <w:spacing w:line="360" w:lineRule="auto"/>
        <w:ind w:left="225" w:leftChars="107"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color w:val="auto"/>
          <w:sz w:val="24"/>
          <w:szCs w:val="24"/>
          <w:highlight w:val="none"/>
        </w:rPr>
        <w:t>工程量清单中</w:t>
      </w:r>
      <w:r>
        <w:rPr>
          <w:rFonts w:hint="eastAsia" w:ascii="宋体" w:hAnsi="宋体" w:cs="宋体"/>
          <w:color w:val="auto"/>
          <w:sz w:val="24"/>
          <w:szCs w:val="24"/>
          <w:highlight w:val="none"/>
        </w:rPr>
        <w:t>只有类似于变更工程的价格</w:t>
      </w:r>
      <w:r>
        <w:rPr>
          <w:rFonts w:hint="eastAsia"/>
          <w:color w:val="auto"/>
          <w:sz w:val="24"/>
          <w:szCs w:val="24"/>
          <w:highlight w:val="none"/>
        </w:rPr>
        <w:t>，</w:t>
      </w:r>
      <w:r>
        <w:rPr>
          <w:rFonts w:hint="eastAsia" w:ascii="宋体" w:hAnsi="宋体" w:cs="宋体"/>
          <w:color w:val="auto"/>
          <w:sz w:val="24"/>
          <w:szCs w:val="24"/>
          <w:highlight w:val="none"/>
        </w:rPr>
        <w:t xml:space="preserve">按类似的单价经换算后确定； </w:t>
      </w:r>
    </w:p>
    <w:p w14:paraId="6109668D">
      <w:pPr>
        <w:pStyle w:val="50"/>
        <w:spacing w:line="460" w:lineRule="exact"/>
        <w:ind w:firstLine="600" w:firstLineChars="250"/>
        <w:rPr>
          <w:color w:val="auto"/>
          <w:sz w:val="24"/>
          <w:szCs w:val="24"/>
          <w:highlight w:val="none"/>
        </w:rPr>
      </w:pPr>
      <w:r>
        <w:rPr>
          <w:rFonts w:hint="eastAsia"/>
          <w:color w:val="auto"/>
          <w:sz w:val="24"/>
          <w:szCs w:val="24"/>
          <w:highlight w:val="none"/>
        </w:rPr>
        <w:t>（</w:t>
      </w:r>
      <w:r>
        <w:rPr>
          <w:rFonts w:hint="eastAsia"/>
          <w:color w:val="auto"/>
          <w:sz w:val="24"/>
          <w:szCs w:val="24"/>
          <w:highlight w:val="none"/>
          <w:lang w:val="en-US"/>
        </w:rPr>
        <w:t>3</w:t>
      </w:r>
      <w:r>
        <w:rPr>
          <w:rFonts w:hint="eastAsia"/>
          <w:color w:val="auto"/>
          <w:sz w:val="24"/>
          <w:szCs w:val="24"/>
          <w:highlight w:val="none"/>
        </w:rPr>
        <w:t>）合同中没有适用或类似于变更工程的价格，</w:t>
      </w:r>
      <w:bookmarkStart w:id="795" w:name="_Toc304295581"/>
      <w:bookmarkStart w:id="796" w:name="_Toc297123554"/>
      <w:bookmarkStart w:id="797" w:name="_Toc303539161"/>
      <w:bookmarkStart w:id="798" w:name="_Toc312678042"/>
      <w:bookmarkStart w:id="799" w:name="_Toc300935004"/>
      <w:bookmarkStart w:id="800" w:name="_Toc297216213"/>
      <w:bookmarkStart w:id="801" w:name="_Toc297120507"/>
      <w:bookmarkStart w:id="802" w:name="_Toc296891247"/>
      <w:bookmarkStart w:id="803" w:name="_Toc296503207"/>
      <w:bookmarkStart w:id="804" w:name="_Toc292559412"/>
      <w:bookmarkStart w:id="805" w:name="_Toc296347206"/>
      <w:bookmarkStart w:id="806" w:name="_Toc292559917"/>
      <w:bookmarkStart w:id="807" w:name="_Toc297048393"/>
      <w:bookmarkStart w:id="808" w:name="_Toc296944546"/>
      <w:bookmarkStart w:id="809" w:name="_Toc296891035"/>
      <w:bookmarkStart w:id="810" w:name="_Toc296346708"/>
      <w:r>
        <w:rPr>
          <w:rFonts w:hint="eastAsia"/>
          <w:color w:val="auto"/>
          <w:sz w:val="24"/>
          <w:szCs w:val="24"/>
          <w:highlight w:val="none"/>
          <w:lang w:val="en-US"/>
        </w:rPr>
        <w:t>由乙方根据本合同约定的组价原则组新价报甲方、监理、造价审批，新增单价材料价格</w:t>
      </w:r>
      <w:r>
        <w:rPr>
          <w:rFonts w:hint="eastAsia"/>
          <w:color w:val="auto"/>
          <w:sz w:val="24"/>
          <w:szCs w:val="24"/>
          <w:highlight w:val="none"/>
        </w:rPr>
        <w:t>依据施工当期优先按照同期的昆明市建设工程定额站《昆明市建设工程材料及设备价格指导信息》中的对应</w:t>
      </w:r>
      <w:r>
        <w:rPr>
          <w:rFonts w:hint="eastAsia"/>
          <w:color w:val="auto"/>
          <w:sz w:val="24"/>
          <w:szCs w:val="24"/>
          <w:highlight w:val="none"/>
          <w:lang w:val="en-US"/>
        </w:rPr>
        <w:t>价格</w:t>
      </w:r>
      <w:r>
        <w:rPr>
          <w:rFonts w:hint="eastAsia"/>
          <w:color w:val="auto"/>
          <w:sz w:val="24"/>
          <w:szCs w:val="24"/>
          <w:highlight w:val="none"/>
        </w:rPr>
        <w:t>执行，其次依据施工当期《云南</w:t>
      </w:r>
      <w:r>
        <w:rPr>
          <w:rFonts w:hint="eastAsia"/>
          <w:color w:val="auto"/>
          <w:sz w:val="24"/>
          <w:szCs w:val="24"/>
          <w:highlight w:val="none"/>
          <w:lang w:val="en-US"/>
        </w:rPr>
        <w:t>省</w:t>
      </w:r>
      <w:r>
        <w:rPr>
          <w:rFonts w:hint="eastAsia"/>
          <w:color w:val="auto"/>
          <w:sz w:val="24"/>
          <w:szCs w:val="24"/>
          <w:highlight w:val="none"/>
        </w:rPr>
        <w:t>价格信息》</w:t>
      </w:r>
      <w:r>
        <w:rPr>
          <w:rFonts w:hint="eastAsia"/>
          <w:color w:val="auto"/>
          <w:sz w:val="24"/>
          <w:szCs w:val="24"/>
          <w:highlight w:val="none"/>
          <w:lang w:val="en-US"/>
        </w:rPr>
        <w:t>执行；如</w:t>
      </w:r>
      <w:r>
        <w:rPr>
          <w:rFonts w:hint="eastAsia"/>
          <w:color w:val="auto"/>
          <w:sz w:val="24"/>
          <w:szCs w:val="24"/>
          <w:highlight w:val="none"/>
        </w:rPr>
        <w:t>价格指导和价格信息没有的价格，由发包人委托的结算审计单位根据市场价审核后，经双方签字认可后进入结算。</w:t>
      </w:r>
      <w:r>
        <w:rPr>
          <w:rFonts w:hint="eastAsia"/>
          <w:color w:val="auto"/>
          <w:sz w:val="24"/>
          <w:szCs w:val="24"/>
          <w:highlight w:val="none"/>
          <w:lang w:val="en-US"/>
        </w:rPr>
        <w:t>新增单价须执行二次报价与一次报价下浮率，下浮率=（一次报价-二次报价）/一次报价*100%，计算下浮率时需扣除暂列金、专业工程暂估价。</w:t>
      </w:r>
    </w:p>
    <w:p w14:paraId="62E9B138">
      <w:pPr>
        <w:spacing w:line="360" w:lineRule="auto"/>
        <w:ind w:firstLine="720" w:firstLineChars="300"/>
        <w:rPr>
          <w:rFonts w:ascii="宋体" w:hAnsi="宋体"/>
          <w:color w:val="auto"/>
          <w:sz w:val="24"/>
          <w:szCs w:val="24"/>
          <w:highlight w:val="none"/>
        </w:rPr>
      </w:pPr>
      <w:r>
        <w:rPr>
          <w:rFonts w:hint="eastAsia" w:ascii="宋体" w:hAnsi="宋体"/>
          <w:color w:val="auto"/>
          <w:sz w:val="24"/>
          <w:szCs w:val="24"/>
          <w:highlight w:val="none"/>
        </w:rPr>
        <w:t>12.2 预付款</w:t>
      </w:r>
    </w:p>
    <w:bookmarkEnd w:id="795"/>
    <w:bookmarkEnd w:id="796"/>
    <w:bookmarkEnd w:id="797"/>
    <w:bookmarkEnd w:id="798"/>
    <w:bookmarkEnd w:id="799"/>
    <w:bookmarkEnd w:id="800"/>
    <w:p w14:paraId="4D00634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12.2.1 预付款的支付</w:t>
      </w:r>
    </w:p>
    <w:p w14:paraId="72592A9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预付款支付比例或金额：</w:t>
      </w:r>
      <w:r>
        <w:rPr>
          <w:rFonts w:hint="eastAsia" w:ascii="宋体" w:hAnsi="宋体"/>
          <w:b/>
          <w:color w:val="auto"/>
          <w:sz w:val="24"/>
          <w:szCs w:val="24"/>
          <w:highlight w:val="none"/>
          <w:u w:val="single"/>
        </w:rPr>
        <w:t xml:space="preserve"> </w:t>
      </w:r>
      <w:r>
        <w:rPr>
          <w:rFonts w:ascii="宋体" w:hAnsi="宋体"/>
          <w:b/>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30%</w:t>
      </w:r>
      <w:r>
        <w:rPr>
          <w:rFonts w:ascii="宋体" w:hAnsi="宋体"/>
          <w:bCs/>
          <w:color w:val="auto"/>
          <w:sz w:val="24"/>
          <w:szCs w:val="24"/>
          <w:highlight w:val="none"/>
          <w:u w:val="single"/>
        </w:rPr>
        <w:t xml:space="preserve"> </w:t>
      </w:r>
      <w:r>
        <w:rPr>
          <w:rFonts w:ascii="宋体" w:hAnsi="宋体"/>
          <w:b/>
          <w:color w:val="auto"/>
          <w:sz w:val="24"/>
          <w:szCs w:val="24"/>
          <w:highlight w:val="none"/>
          <w:u w:val="single"/>
        </w:rPr>
        <w:t xml:space="preserve">  </w:t>
      </w:r>
      <w:r>
        <w:rPr>
          <w:rFonts w:hint="eastAsia" w:ascii="宋体" w:hAnsi="宋体"/>
          <w:b/>
          <w:color w:val="auto"/>
          <w:sz w:val="24"/>
          <w:szCs w:val="24"/>
          <w:highlight w:val="none"/>
          <w:u w:val="single"/>
        </w:rPr>
        <w:t>。</w:t>
      </w:r>
    </w:p>
    <w:p w14:paraId="24C8E975">
      <w:pPr>
        <w:spacing w:line="360" w:lineRule="auto"/>
        <w:ind w:firstLine="480" w:firstLineChars="200"/>
        <w:rPr>
          <w:rFonts w:ascii="宋体" w:hAnsi="宋体"/>
          <w:b/>
          <w:color w:val="auto"/>
          <w:sz w:val="24"/>
          <w:szCs w:val="24"/>
          <w:highlight w:val="none"/>
          <w:u w:val="single"/>
        </w:rPr>
      </w:pPr>
      <w:r>
        <w:rPr>
          <w:rFonts w:hint="eastAsia" w:ascii="宋体" w:hAnsi="宋体"/>
          <w:color w:val="auto"/>
          <w:sz w:val="24"/>
          <w:szCs w:val="24"/>
          <w:highlight w:val="none"/>
        </w:rPr>
        <w:t>预付款支付期限：</w:t>
      </w:r>
      <w:r>
        <w:rPr>
          <w:rFonts w:hint="eastAsia" w:ascii="宋体" w:hAnsi="宋体"/>
          <w:color w:val="auto"/>
          <w:sz w:val="24"/>
          <w:szCs w:val="24"/>
          <w:highlight w:val="none"/>
          <w:u w:val="single"/>
        </w:rPr>
        <w:t xml:space="preserve">  合同签订后</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rPr>
        <w:t>。</w:t>
      </w:r>
    </w:p>
    <w:p w14:paraId="218DEBE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预付款扣回的方式：</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172487D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12.2.2 预付款担保</w:t>
      </w:r>
    </w:p>
    <w:p w14:paraId="22DD8BE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承包人提交预付款担保的期限：</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2E46F6F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预付款担保的形式为：</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bookmarkEnd w:id="801"/>
    <w:bookmarkEnd w:id="802"/>
    <w:bookmarkEnd w:id="803"/>
    <w:bookmarkEnd w:id="804"/>
    <w:bookmarkEnd w:id="805"/>
    <w:bookmarkEnd w:id="806"/>
    <w:bookmarkEnd w:id="807"/>
    <w:bookmarkEnd w:id="808"/>
    <w:bookmarkEnd w:id="809"/>
    <w:bookmarkEnd w:id="810"/>
    <w:p w14:paraId="18E623DD">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12.3 计量</w:t>
      </w:r>
    </w:p>
    <w:p w14:paraId="48B4721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12.3.1 计量原则</w:t>
      </w:r>
    </w:p>
    <w:p w14:paraId="23A741D4">
      <w:pPr>
        <w:spacing w:line="360" w:lineRule="auto"/>
        <w:ind w:firstLine="480" w:firstLineChars="200"/>
        <w:rPr>
          <w:rFonts w:ascii="宋体" w:hAnsi="宋体"/>
          <w:b/>
          <w:color w:val="auto"/>
          <w:sz w:val="24"/>
          <w:szCs w:val="24"/>
          <w:highlight w:val="none"/>
          <w:u w:val="single"/>
        </w:rPr>
      </w:pPr>
      <w:r>
        <w:rPr>
          <w:rFonts w:hint="eastAsia" w:ascii="宋体" w:hAnsi="宋体"/>
          <w:color w:val="auto"/>
          <w:sz w:val="24"/>
          <w:szCs w:val="24"/>
          <w:highlight w:val="none"/>
        </w:rPr>
        <w:t>工程量计算规则：</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建设工程工程量清单计价规范》（GB50500-2013）和与之配套的计量规范、云南省住房和城乡建设厅发布的《云南省建设工程造价计价标准（2020版）》（云建科【2021】15号）等相关的配套的计量文件及国家标准、行业标准的规定执行   。</w:t>
      </w:r>
    </w:p>
    <w:p w14:paraId="56C92FA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12.3.2 计量周期</w:t>
      </w:r>
    </w:p>
    <w:p w14:paraId="3ED8B99A">
      <w:pPr>
        <w:spacing w:line="360" w:lineRule="auto"/>
        <w:ind w:firstLine="480" w:firstLineChars="200"/>
        <w:rPr>
          <w:rFonts w:ascii="宋体" w:hAnsi="宋体"/>
          <w:b/>
          <w:color w:val="auto"/>
          <w:sz w:val="24"/>
          <w:szCs w:val="24"/>
          <w:highlight w:val="none"/>
          <w:u w:val="single"/>
        </w:rPr>
      </w:pPr>
      <w:r>
        <w:rPr>
          <w:rFonts w:hint="eastAsia" w:ascii="宋体" w:hAnsi="宋体"/>
          <w:color w:val="auto"/>
          <w:sz w:val="24"/>
          <w:szCs w:val="24"/>
          <w:highlight w:val="none"/>
        </w:rPr>
        <w:t>关于计量周期的约定</w:t>
      </w:r>
      <w:r>
        <w:rPr>
          <w:rFonts w:hint="eastAsia" w:ascii="宋体" w:hAnsi="宋体"/>
          <w:b/>
          <w:color w:val="auto"/>
          <w:sz w:val="24"/>
          <w:szCs w:val="24"/>
          <w:highlight w:val="none"/>
          <w:u w:val="single"/>
        </w:rPr>
        <w:t xml:space="preserve">  无  </w:t>
      </w:r>
    </w:p>
    <w:p w14:paraId="26C44F3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12.3.3 单价合同的计量</w:t>
      </w:r>
    </w:p>
    <w:p w14:paraId="3D02192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关于单价合同计量的约定：</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按通用条款12.3条执行</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624990A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12.3.4 总价合同的计量</w:t>
      </w:r>
    </w:p>
    <w:p w14:paraId="5BD04CB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关于总价合同计量的约定：</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388794F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12.3.5总价合同采用支付分解表计量支付的，是否适用第12.3.4 项〔总价合同的计量〕约定进行计量：</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3083572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12.3.6 其他价格形式合同的计量</w:t>
      </w:r>
    </w:p>
    <w:p w14:paraId="0DF3E3F1">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其他价格形式的计量方式和程序：</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7041A92D">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12.4 工程进度款支付</w:t>
      </w:r>
    </w:p>
    <w:p w14:paraId="713D81C8">
      <w:pPr>
        <w:spacing w:line="360" w:lineRule="auto"/>
        <w:ind w:firstLine="480" w:firstLineChars="200"/>
        <w:rPr>
          <w:rFonts w:ascii="宋体" w:hAnsi="宋体"/>
          <w:color w:val="auto"/>
          <w:sz w:val="24"/>
          <w:szCs w:val="24"/>
          <w:highlight w:val="none"/>
        </w:rPr>
      </w:pPr>
      <w:bookmarkStart w:id="811" w:name="_Toc300935006"/>
      <w:bookmarkStart w:id="812" w:name="_Toc297120511"/>
      <w:bookmarkStart w:id="813" w:name="_Toc296346712"/>
      <w:bookmarkStart w:id="814" w:name="_Toc292559416"/>
      <w:bookmarkStart w:id="815" w:name="_Toc296891039"/>
      <w:bookmarkStart w:id="816" w:name="_Toc292559921"/>
      <w:bookmarkStart w:id="817" w:name="_Toc297216215"/>
      <w:bookmarkStart w:id="818" w:name="_Toc296503211"/>
      <w:bookmarkStart w:id="819" w:name="_Toc296944550"/>
      <w:bookmarkStart w:id="820" w:name="_Toc297123556"/>
      <w:bookmarkStart w:id="821" w:name="_Toc297048397"/>
      <w:bookmarkStart w:id="822" w:name="_Toc296347210"/>
      <w:bookmarkStart w:id="823" w:name="_Toc303539163"/>
      <w:bookmarkStart w:id="824" w:name="_Toc296891251"/>
      <w:r>
        <w:rPr>
          <w:rFonts w:hint="eastAsia" w:ascii="宋体" w:hAnsi="宋体"/>
          <w:color w:val="auto"/>
          <w:sz w:val="24"/>
          <w:szCs w:val="24"/>
          <w:highlight w:val="none"/>
        </w:rPr>
        <w:t>12.4.1 付款周期</w:t>
      </w:r>
    </w:p>
    <w:p w14:paraId="7C192C1C">
      <w:pPr>
        <w:spacing w:line="360" w:lineRule="auto"/>
        <w:ind w:firstLine="480" w:firstLineChars="200"/>
        <w:textAlignment w:val="baseline"/>
        <w:rPr>
          <w:rFonts w:hint="eastAsia" w:ascii="宋体" w:hAnsi="宋体"/>
          <w:color w:val="auto"/>
          <w:sz w:val="24"/>
          <w:szCs w:val="24"/>
          <w:highlight w:val="none"/>
        </w:rPr>
      </w:pPr>
      <w:r>
        <w:rPr>
          <w:rFonts w:hint="eastAsia" w:ascii="宋体" w:hAnsi="宋体"/>
          <w:color w:val="auto"/>
          <w:sz w:val="24"/>
          <w:szCs w:val="24"/>
          <w:highlight w:val="none"/>
        </w:rPr>
        <w:t>合同签订并在财政专项拨款下达后，按照以下方式进行支付。</w:t>
      </w:r>
    </w:p>
    <w:p w14:paraId="0933497E">
      <w:pPr>
        <w:pStyle w:val="49"/>
        <w:rPr>
          <w:rFonts w:hint="default" w:eastAsia="华文楷体"/>
          <w:highlight w:val="none"/>
          <w:u w:val="single"/>
          <w:lang w:val="en-US" w:eastAsia="zh-CN"/>
        </w:rPr>
      </w:pPr>
      <w:r>
        <w:rPr>
          <w:rFonts w:hint="eastAsia" w:ascii="宋体" w:hAnsi="宋体"/>
          <w:color w:val="auto"/>
          <w:sz w:val="24"/>
          <w:szCs w:val="24"/>
          <w:highlight w:val="none"/>
          <w:u w:val="single"/>
          <w:lang w:val="en-US" w:eastAsia="zh-CN"/>
        </w:rPr>
        <w:t xml:space="preserve">                                                  </w:t>
      </w:r>
    </w:p>
    <w:p w14:paraId="3805866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12.4.2 进度付款申请单的编制</w:t>
      </w:r>
    </w:p>
    <w:p w14:paraId="4DFACE42">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关于进度付款申请单编制的约定：按相关规定执行。</w:t>
      </w:r>
    </w:p>
    <w:p w14:paraId="4DC4025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r>
        <w:rPr>
          <w:rFonts w:hint="eastAsia" w:ascii="宋体" w:hAnsi="宋体"/>
          <w:color w:val="auto"/>
          <w:sz w:val="24"/>
          <w:szCs w:val="24"/>
          <w:highlight w:val="none"/>
        </w:rPr>
        <w:t>2.4.3 进度付款申请单的提交</w:t>
      </w:r>
    </w:p>
    <w:p w14:paraId="172E5C4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（1）单价合同进度付款申请单提交的约定：按相关规定执行。</w:t>
      </w:r>
    </w:p>
    <w:p w14:paraId="74E5615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（2）总价合同进度付款申请单提交的约定：</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w:t>
      </w:r>
    </w:p>
    <w:p w14:paraId="2FE902CC">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（3）其他价格形式合同进度付款申请单提交的约定：</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w:t>
      </w:r>
    </w:p>
    <w:p w14:paraId="25FB8F5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12.4.4 进度款审核和支付</w:t>
      </w:r>
    </w:p>
    <w:p w14:paraId="4AC30F4D">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（1）监理人审查并报送发包人的期限：</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w:t>
      </w:r>
    </w:p>
    <w:p w14:paraId="37FD4BA1">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发包人完成审批并签发进度款支付证书的期限：</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w:t>
      </w:r>
    </w:p>
    <w:p w14:paraId="4C98D37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（2）发包人支付进度款的期限：</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w:t>
      </w:r>
    </w:p>
    <w:p w14:paraId="02C1B5DA">
      <w:pPr>
        <w:spacing w:line="360" w:lineRule="auto"/>
        <w:ind w:firstLine="600" w:firstLineChars="250"/>
        <w:rPr>
          <w:rFonts w:ascii="宋体" w:hAnsi="宋体"/>
          <w:color w:val="auto"/>
          <w:sz w:val="24"/>
          <w:szCs w:val="24"/>
          <w:highlight w:val="none"/>
          <w:u w:val="single"/>
        </w:rPr>
      </w:pPr>
      <w:r>
        <w:rPr>
          <w:rFonts w:hint="eastAsia" w:ascii="宋体" w:hAnsi="宋体"/>
          <w:color w:val="auto"/>
          <w:sz w:val="24"/>
          <w:szCs w:val="24"/>
          <w:highlight w:val="none"/>
        </w:rPr>
        <w:t>发包人逾期支付进度款的违约金的计算方式：</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w:t>
      </w:r>
    </w:p>
    <w:p w14:paraId="32495360">
      <w:pPr>
        <w:spacing w:line="360" w:lineRule="auto"/>
        <w:ind w:firstLine="600" w:firstLineChars="250"/>
        <w:rPr>
          <w:rFonts w:ascii="宋体" w:hAnsi="宋体"/>
          <w:color w:val="auto"/>
          <w:sz w:val="24"/>
          <w:szCs w:val="24"/>
          <w:highlight w:val="none"/>
        </w:rPr>
      </w:pPr>
      <w:r>
        <w:rPr>
          <w:rFonts w:hint="eastAsia" w:ascii="宋体" w:hAnsi="宋体"/>
          <w:color w:val="auto"/>
          <w:sz w:val="24"/>
          <w:szCs w:val="24"/>
          <w:highlight w:val="none"/>
        </w:rPr>
        <w:t>12.4.5 支付分解表的编制</w:t>
      </w:r>
    </w:p>
    <w:p w14:paraId="78C3F52C">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2、总价合同支付分解表的编制与审批：</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w:t>
      </w:r>
    </w:p>
    <w:p w14:paraId="50518032">
      <w:pPr>
        <w:spacing w:line="360" w:lineRule="auto"/>
        <w:ind w:firstLine="480" w:firstLineChars="200"/>
        <w:rPr>
          <w:rFonts w:ascii="宋体" w:hAnsi="宋体"/>
          <w:b/>
          <w:color w:val="auto"/>
          <w:sz w:val="24"/>
          <w:szCs w:val="24"/>
          <w:highlight w:val="none"/>
          <w:u w:val="single"/>
        </w:rPr>
      </w:pPr>
      <w:r>
        <w:rPr>
          <w:rFonts w:hint="eastAsia" w:ascii="宋体" w:hAnsi="宋体"/>
          <w:color w:val="auto"/>
          <w:sz w:val="24"/>
          <w:szCs w:val="24"/>
          <w:highlight w:val="none"/>
        </w:rPr>
        <w:t>3、单价合同的总价项目支付分解表的编制与审批：</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w:t>
      </w:r>
    </w:p>
    <w:bookmarkEnd w:id="654"/>
    <w:p w14:paraId="4E151F8D">
      <w:pPr>
        <w:pStyle w:val="5"/>
        <w:spacing w:before="120" w:after="120" w:line="360" w:lineRule="auto"/>
        <w:rPr>
          <w:rFonts w:ascii="宋体" w:hAnsi="宋体"/>
          <w:b w:val="0"/>
          <w:color w:val="auto"/>
          <w:sz w:val="24"/>
          <w:szCs w:val="24"/>
          <w:highlight w:val="none"/>
        </w:rPr>
      </w:pPr>
      <w:bookmarkStart w:id="825" w:name="_Toc351203645"/>
      <w:bookmarkStart w:id="826" w:name="_Toc297120519"/>
      <w:bookmarkStart w:id="827" w:name="_Toc296503219"/>
      <w:bookmarkStart w:id="828" w:name="_Toc300935015"/>
      <w:bookmarkStart w:id="829" w:name="_Toc312678053"/>
      <w:bookmarkStart w:id="830" w:name="_Toc303539172"/>
      <w:bookmarkStart w:id="831" w:name="_Toc296891259"/>
      <w:bookmarkStart w:id="832" w:name="_Toc296944558"/>
      <w:bookmarkStart w:id="833" w:name="_Toc292559424"/>
      <w:bookmarkStart w:id="834" w:name="_Toc297123564"/>
      <w:bookmarkStart w:id="835" w:name="_Toc296891047"/>
      <w:bookmarkStart w:id="836" w:name="_Toc304295593"/>
      <w:bookmarkStart w:id="837" w:name="_Toc296347218"/>
      <w:bookmarkStart w:id="838" w:name="_Toc297216223"/>
      <w:bookmarkStart w:id="839" w:name="_Toc297048405"/>
      <w:bookmarkStart w:id="840" w:name="_Toc292559929"/>
      <w:bookmarkStart w:id="841" w:name="_Toc296346720"/>
      <w:r>
        <w:rPr>
          <w:rFonts w:hint="eastAsia" w:ascii="宋体" w:hAnsi="宋体"/>
          <w:b w:val="0"/>
          <w:color w:val="auto"/>
          <w:sz w:val="24"/>
          <w:szCs w:val="24"/>
          <w:highlight w:val="none"/>
        </w:rPr>
        <w:t>13. 验收和工程试车</w:t>
      </w:r>
      <w:bookmarkEnd w:id="825"/>
    </w:p>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p w14:paraId="2C0F00D3">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13.1 分部分项工程验收</w:t>
      </w:r>
    </w:p>
    <w:p w14:paraId="0486264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13.1.2监理人不能按时进行验收时，应提前</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48</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小时提交书面延期要求。</w:t>
      </w:r>
    </w:p>
    <w:p w14:paraId="723C4CAF">
      <w:pPr>
        <w:spacing w:line="360" w:lineRule="auto"/>
        <w:ind w:firstLine="480" w:firstLineChars="200"/>
        <w:rPr>
          <w:rFonts w:ascii="宋体" w:hAnsi="宋体"/>
          <w:b/>
          <w:color w:val="auto"/>
          <w:sz w:val="24"/>
          <w:szCs w:val="24"/>
          <w:highlight w:val="none"/>
        </w:rPr>
      </w:pPr>
      <w:r>
        <w:rPr>
          <w:rFonts w:hint="eastAsia" w:ascii="宋体" w:hAnsi="宋体"/>
          <w:color w:val="auto"/>
          <w:sz w:val="24"/>
          <w:szCs w:val="24"/>
          <w:highlight w:val="none"/>
        </w:rPr>
        <w:t>关于延期最长不得超过：</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48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小时。</w:t>
      </w:r>
    </w:p>
    <w:p w14:paraId="3F1C0E9F">
      <w:pPr>
        <w:spacing w:line="360" w:lineRule="auto"/>
        <w:ind w:firstLine="480" w:firstLineChars="200"/>
        <w:rPr>
          <w:rFonts w:ascii="宋体" w:hAnsi="宋体"/>
          <w:color w:val="auto"/>
          <w:sz w:val="24"/>
          <w:szCs w:val="24"/>
          <w:highlight w:val="none"/>
        </w:rPr>
      </w:pPr>
      <w:bookmarkStart w:id="842" w:name="_Toc296347222"/>
      <w:bookmarkStart w:id="843" w:name="_Toc297216224"/>
      <w:bookmarkStart w:id="844" w:name="_Toc292559933"/>
      <w:bookmarkStart w:id="845" w:name="_Toc312678056"/>
      <w:bookmarkStart w:id="846" w:name="_Toc296944562"/>
      <w:bookmarkStart w:id="847" w:name="_Toc297123565"/>
      <w:bookmarkStart w:id="848" w:name="_Toc296891051"/>
      <w:bookmarkStart w:id="849" w:name="_Toc303539173"/>
      <w:bookmarkStart w:id="850" w:name="_Toc296346724"/>
      <w:bookmarkStart w:id="851" w:name="_Toc300935016"/>
      <w:bookmarkStart w:id="852" w:name="_Toc296891263"/>
      <w:bookmarkStart w:id="853" w:name="_Toc297120523"/>
      <w:bookmarkStart w:id="854" w:name="_Toc292559428"/>
      <w:bookmarkStart w:id="855" w:name="_Toc297048409"/>
      <w:bookmarkStart w:id="856" w:name="_Toc304295596"/>
      <w:bookmarkStart w:id="857" w:name="_Toc296503223"/>
      <w:bookmarkStart w:id="858" w:name="_Toc267251474"/>
      <w:bookmarkStart w:id="859" w:name="_Toc267251472"/>
      <w:bookmarkStart w:id="860" w:name="_Toc267251476"/>
      <w:bookmarkStart w:id="861" w:name="_Toc267251470"/>
      <w:bookmarkStart w:id="862" w:name="_Toc267251471"/>
      <w:bookmarkStart w:id="863" w:name="_Toc267251473"/>
      <w:bookmarkStart w:id="864" w:name="_Toc267251475"/>
      <w:r>
        <w:rPr>
          <w:rFonts w:hint="eastAsia" w:ascii="宋体" w:hAnsi="宋体"/>
          <w:color w:val="auto"/>
          <w:sz w:val="24"/>
          <w:szCs w:val="24"/>
          <w:highlight w:val="none"/>
        </w:rPr>
        <w:t>13.2 竣工验收：验收标准执行现行建筑工程相关质量验收规范、标准，严格执行本工程设计文件及《建筑工程质量检查评定标准》、《建筑装饰装修工程质量验收规范》（GB50210-2001）及其他国家强制性法律规定。</w:t>
      </w:r>
    </w:p>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14:paraId="29436452">
      <w:pPr>
        <w:spacing w:line="360" w:lineRule="auto"/>
        <w:ind w:firstLine="480" w:firstLineChars="200"/>
        <w:rPr>
          <w:rFonts w:ascii="宋体" w:hAnsi="宋体"/>
          <w:color w:val="auto"/>
          <w:sz w:val="24"/>
          <w:szCs w:val="24"/>
          <w:highlight w:val="none"/>
        </w:rPr>
      </w:pPr>
      <w:bookmarkStart w:id="865" w:name="_Toc280868704"/>
      <w:bookmarkStart w:id="866" w:name="_Toc280868705"/>
      <w:bookmarkStart w:id="867" w:name="_Toc280868706"/>
      <w:bookmarkStart w:id="868" w:name="_Toc280868707"/>
      <w:bookmarkStart w:id="869" w:name="_Toc280868708"/>
      <w:bookmarkStart w:id="870" w:name="_Toc280868709"/>
      <w:r>
        <w:rPr>
          <w:rFonts w:hint="eastAsia" w:ascii="宋体" w:hAnsi="宋体"/>
          <w:color w:val="auto"/>
          <w:sz w:val="24"/>
          <w:szCs w:val="24"/>
          <w:highlight w:val="none"/>
        </w:rPr>
        <w:t>13.2.2竣工验收程序</w:t>
      </w:r>
    </w:p>
    <w:bookmarkEnd w:id="865"/>
    <w:p w14:paraId="79900D04">
      <w:pPr>
        <w:spacing w:line="360" w:lineRule="auto"/>
        <w:ind w:firstLine="480" w:firstLineChars="200"/>
        <w:rPr>
          <w:rFonts w:ascii="宋体" w:hAnsi="宋体"/>
          <w:b/>
          <w:color w:val="auto"/>
          <w:sz w:val="24"/>
          <w:szCs w:val="24"/>
          <w:highlight w:val="none"/>
          <w:u w:val="single"/>
        </w:rPr>
      </w:pPr>
      <w:r>
        <w:rPr>
          <w:rFonts w:hint="eastAsia" w:ascii="宋体" w:hAnsi="宋体"/>
          <w:color w:val="auto"/>
          <w:sz w:val="24"/>
          <w:szCs w:val="24"/>
          <w:highlight w:val="none"/>
        </w:rPr>
        <w:t>关于竣工验收程序的约定：</w:t>
      </w:r>
      <w:r>
        <w:rPr>
          <w:rFonts w:hint="eastAsia" w:ascii="宋体" w:hAnsi="宋体"/>
          <w:b/>
          <w:color w:val="auto"/>
          <w:sz w:val="24"/>
          <w:szCs w:val="24"/>
          <w:highlight w:val="none"/>
          <w:u w:val="single"/>
        </w:rPr>
        <w:t xml:space="preserve">按通用条款13.2执行        </w:t>
      </w:r>
      <w:r>
        <w:rPr>
          <w:rFonts w:hint="eastAsia" w:ascii="宋体" w:hAnsi="宋体"/>
          <w:b/>
          <w:color w:val="auto"/>
          <w:sz w:val="24"/>
          <w:szCs w:val="24"/>
          <w:highlight w:val="none"/>
        </w:rPr>
        <w:t>。</w:t>
      </w:r>
    </w:p>
    <w:p w14:paraId="5A072486">
      <w:pPr>
        <w:spacing w:line="360" w:lineRule="auto"/>
        <w:ind w:firstLine="480" w:firstLineChars="200"/>
        <w:rPr>
          <w:rFonts w:ascii="宋体" w:hAnsi="宋体"/>
          <w:b/>
          <w:color w:val="auto"/>
          <w:sz w:val="24"/>
          <w:szCs w:val="24"/>
          <w:highlight w:val="none"/>
          <w:u w:val="single"/>
        </w:rPr>
      </w:pPr>
      <w:r>
        <w:rPr>
          <w:rFonts w:hint="eastAsia" w:ascii="宋体" w:hAnsi="宋体"/>
          <w:color w:val="auto"/>
          <w:sz w:val="24"/>
          <w:szCs w:val="24"/>
          <w:highlight w:val="none"/>
        </w:rPr>
        <w:t>发包人不按照本项约定组织竣工验收、颁发工程接收证书的违约金的计算方法：</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w:t>
      </w:r>
    </w:p>
    <w:bookmarkEnd w:id="866"/>
    <w:p w14:paraId="70FBD2B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13.2.5移交、接收全部与部分工程</w:t>
      </w:r>
    </w:p>
    <w:bookmarkEnd w:id="867"/>
    <w:p w14:paraId="224FA7D6">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承包人向发包人移交工程的期限：</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按通用条款13.2执行 </w:t>
      </w:r>
      <w:r>
        <w:rPr>
          <w:rFonts w:hint="eastAsia" w:ascii="宋体" w:hAnsi="宋体"/>
          <w:color w:val="auto"/>
          <w:sz w:val="24"/>
          <w:szCs w:val="24"/>
          <w:highlight w:val="none"/>
          <w:u w:val="single"/>
        </w:rPr>
        <w:t xml:space="preserve">   。</w:t>
      </w:r>
    </w:p>
    <w:p w14:paraId="3577A109">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发包人未按本合同约定接收全部或部分工程的，违约金的计算方法为：</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rPr>
        <w:t>。</w:t>
      </w:r>
    </w:p>
    <w:bookmarkEnd w:id="868"/>
    <w:p w14:paraId="2E5036AB">
      <w:pPr>
        <w:spacing w:line="360" w:lineRule="auto"/>
        <w:ind w:firstLine="480" w:firstLineChars="200"/>
        <w:rPr>
          <w:rFonts w:ascii="宋体" w:hAnsi="宋体"/>
          <w:b/>
          <w:color w:val="auto"/>
          <w:sz w:val="24"/>
          <w:szCs w:val="24"/>
          <w:highlight w:val="none"/>
        </w:rPr>
      </w:pPr>
      <w:r>
        <w:rPr>
          <w:rFonts w:hint="eastAsia" w:ascii="宋体" w:hAnsi="宋体"/>
          <w:color w:val="auto"/>
          <w:sz w:val="24"/>
          <w:szCs w:val="24"/>
          <w:highlight w:val="none"/>
        </w:rPr>
        <w:t>承包人未按时移交工程的，违约金的计算方法为：</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承包人承担由此产生的所有损失      </w:t>
      </w:r>
      <w:r>
        <w:rPr>
          <w:rFonts w:hint="eastAsia" w:ascii="宋体" w:hAnsi="宋体"/>
          <w:b/>
          <w:color w:val="auto"/>
          <w:sz w:val="24"/>
          <w:szCs w:val="24"/>
          <w:highlight w:val="none"/>
        </w:rPr>
        <w:t>。</w:t>
      </w:r>
    </w:p>
    <w:p w14:paraId="48646502">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13.3 工程试车</w:t>
      </w:r>
    </w:p>
    <w:bookmarkEnd w:id="869"/>
    <w:p w14:paraId="31630E5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13.3.1 试车程序</w:t>
      </w:r>
    </w:p>
    <w:p w14:paraId="173A7DC2">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工程试车内容：</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25C6108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（1）单机无负荷试车费用由</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承担；</w:t>
      </w:r>
    </w:p>
    <w:p w14:paraId="39CB88C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（2）无负荷联动试车费用由</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承担。</w:t>
      </w:r>
    </w:p>
    <w:p w14:paraId="24872F6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13.3.3 投料试车</w:t>
      </w:r>
    </w:p>
    <w:p w14:paraId="1E2B6215">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关于投料试车相关事项的约定：</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1126BDD6">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13.6 竣工退场</w:t>
      </w:r>
    </w:p>
    <w:p w14:paraId="339280A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13.6.1 竣工退场</w:t>
      </w:r>
    </w:p>
    <w:p w14:paraId="1DE0D5F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承包人完成竣工退场的期限：</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工程验收合格后7个日历天内     </w:t>
      </w:r>
      <w:r>
        <w:rPr>
          <w:rFonts w:hint="eastAsia" w:ascii="宋体" w:hAnsi="宋体"/>
          <w:color w:val="auto"/>
          <w:sz w:val="24"/>
          <w:szCs w:val="24"/>
          <w:highlight w:val="none"/>
        </w:rPr>
        <w:t>。</w:t>
      </w:r>
    </w:p>
    <w:p w14:paraId="13F87A20">
      <w:pPr>
        <w:pStyle w:val="5"/>
        <w:spacing w:before="120" w:after="120" w:line="360" w:lineRule="auto"/>
        <w:rPr>
          <w:rFonts w:ascii="宋体" w:hAnsi="宋体"/>
          <w:b w:val="0"/>
          <w:color w:val="auto"/>
          <w:sz w:val="24"/>
          <w:szCs w:val="24"/>
          <w:highlight w:val="none"/>
        </w:rPr>
      </w:pPr>
      <w:bookmarkStart w:id="871" w:name="_Toc351203646"/>
      <w:r>
        <w:rPr>
          <w:rFonts w:hint="eastAsia" w:ascii="宋体" w:hAnsi="宋体"/>
          <w:b w:val="0"/>
          <w:color w:val="auto"/>
          <w:sz w:val="24"/>
          <w:szCs w:val="24"/>
          <w:highlight w:val="none"/>
        </w:rPr>
        <w:t>14. 竣工结算</w:t>
      </w:r>
      <w:bookmarkEnd w:id="871"/>
    </w:p>
    <w:p w14:paraId="02A5C7BD">
      <w:pPr>
        <w:spacing w:after="120" w:line="360" w:lineRule="auto"/>
        <w:ind w:firstLine="480" w:firstLineChars="200"/>
        <w:rPr>
          <w:rFonts w:ascii="宋体" w:hAnsi="宋体"/>
          <w:b/>
          <w:bCs/>
          <w:color w:val="auto"/>
          <w:sz w:val="24"/>
          <w:szCs w:val="24"/>
          <w:highlight w:val="none"/>
          <w:u w:val="single"/>
        </w:rPr>
      </w:pPr>
      <w:r>
        <w:rPr>
          <w:rFonts w:hint="eastAsia" w:ascii="宋体" w:hAnsi="宋体"/>
          <w:color w:val="auto"/>
          <w:sz w:val="24"/>
          <w:szCs w:val="24"/>
          <w:highlight w:val="none"/>
        </w:rPr>
        <w:t>14.1 竣工结算金额审核：</w:t>
      </w:r>
      <w:r>
        <w:rPr>
          <w:rFonts w:hint="eastAsia" w:ascii="宋体" w:hAnsi="宋体"/>
          <w:b/>
          <w:bCs/>
          <w:color w:val="auto"/>
          <w:sz w:val="24"/>
          <w:szCs w:val="24"/>
          <w:highlight w:val="none"/>
          <w:u w:val="single"/>
        </w:rPr>
        <w:t>工程结算时以甲方及其委托的造价咨询单位根据合同文件、设计变更、现场签证、竣工验收证明、审定的竣工图及相关资料，进行竣工结算审核；</w:t>
      </w:r>
      <w:r>
        <w:rPr>
          <w:rFonts w:hint="eastAsia" w:ascii="宋体" w:hAnsi="宋体"/>
          <w:b/>
          <w:color w:val="auto"/>
          <w:sz w:val="24"/>
          <w:szCs w:val="24"/>
          <w:highlight w:val="none"/>
          <w:u w:val="single"/>
        </w:rPr>
        <w:t>承包人所报结算金额不超过合同总价的110%，超过不予结算审计。最终结算审定金额超过合同总价的部分不予支付</w:t>
      </w:r>
      <w:r>
        <w:rPr>
          <w:rFonts w:hint="eastAsia" w:ascii="宋体" w:hAnsi="宋体"/>
          <w:b/>
          <w:bCs/>
          <w:color w:val="auto"/>
          <w:sz w:val="24"/>
          <w:szCs w:val="24"/>
          <w:highlight w:val="none"/>
          <w:u w:val="single"/>
        </w:rPr>
        <w:t>。</w:t>
      </w:r>
    </w:p>
    <w:p w14:paraId="17EC737C">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14.2竣工付款申请</w:t>
      </w:r>
    </w:p>
    <w:p w14:paraId="345204DD">
      <w:pPr>
        <w:spacing w:line="360" w:lineRule="auto"/>
        <w:ind w:firstLine="480" w:firstLineChars="200"/>
        <w:rPr>
          <w:rFonts w:ascii="宋体" w:hAnsi="宋体"/>
          <w:b/>
          <w:color w:val="auto"/>
          <w:sz w:val="24"/>
          <w:szCs w:val="24"/>
          <w:highlight w:val="none"/>
          <w:u w:val="single"/>
        </w:rPr>
      </w:pPr>
      <w:r>
        <w:rPr>
          <w:rFonts w:hint="eastAsia" w:ascii="宋体" w:hAnsi="宋体"/>
          <w:color w:val="auto"/>
          <w:sz w:val="24"/>
          <w:szCs w:val="24"/>
          <w:highlight w:val="none"/>
        </w:rPr>
        <w:t>承包人提交竣工付款申请单的期限：</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按通用条款14.4.1执行。</w:t>
      </w:r>
    </w:p>
    <w:p w14:paraId="068E1FD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竣工付款申请单应包括的内容：</w:t>
      </w:r>
      <w:r>
        <w:rPr>
          <w:rFonts w:hint="eastAsia" w:ascii="宋体" w:hAnsi="宋体"/>
          <w:b/>
          <w:color w:val="auto"/>
          <w:sz w:val="24"/>
          <w:szCs w:val="24"/>
          <w:highlight w:val="none"/>
          <w:u w:val="single"/>
        </w:rPr>
        <w:t>竣工图及符合审计要求的竣工结算资料。</w:t>
      </w:r>
    </w:p>
    <w:p w14:paraId="45F02C10">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14.3 竣工结算审核</w:t>
      </w:r>
    </w:p>
    <w:p w14:paraId="0256B17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发包人审批竣工付款申请单的期限：</w:t>
      </w:r>
      <w:r>
        <w:rPr>
          <w:rFonts w:hint="eastAsia" w:ascii="宋体" w:hAnsi="宋体"/>
          <w:b/>
          <w:color w:val="auto"/>
          <w:sz w:val="24"/>
          <w:szCs w:val="24"/>
          <w:highlight w:val="none"/>
          <w:u w:val="single"/>
        </w:rPr>
        <w:t>按通用条款14.4.2执行</w:t>
      </w:r>
      <w:r>
        <w:rPr>
          <w:rFonts w:hint="eastAsia" w:ascii="宋体" w:hAnsi="宋体"/>
          <w:color w:val="auto"/>
          <w:sz w:val="24"/>
          <w:szCs w:val="24"/>
          <w:highlight w:val="none"/>
        </w:rPr>
        <w:t>。</w:t>
      </w:r>
    </w:p>
    <w:p w14:paraId="380DD32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发包人完成竣工付款的期限：</w:t>
      </w:r>
      <w:r>
        <w:rPr>
          <w:rFonts w:hint="eastAsia" w:ascii="宋体" w:hAnsi="宋体"/>
          <w:b/>
          <w:color w:val="auto"/>
          <w:sz w:val="24"/>
          <w:szCs w:val="24"/>
          <w:highlight w:val="none"/>
          <w:u w:val="single"/>
        </w:rPr>
        <w:t xml:space="preserve">按通用条款14.4.2执行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16494013">
      <w:pPr>
        <w:spacing w:line="360" w:lineRule="auto"/>
        <w:ind w:firstLine="480" w:firstLineChars="200"/>
        <w:rPr>
          <w:rFonts w:ascii="宋体" w:hAnsi="宋体"/>
          <w:b/>
          <w:color w:val="auto"/>
          <w:sz w:val="24"/>
          <w:szCs w:val="24"/>
          <w:highlight w:val="none"/>
          <w:u w:val="single"/>
        </w:rPr>
      </w:pPr>
      <w:r>
        <w:rPr>
          <w:rFonts w:hint="eastAsia" w:ascii="宋体" w:hAnsi="宋体"/>
          <w:color w:val="auto"/>
          <w:sz w:val="24"/>
          <w:szCs w:val="24"/>
          <w:highlight w:val="none"/>
        </w:rPr>
        <w:t>关于竣工付款证书异议部分复核的方式和程序：</w:t>
      </w:r>
      <w:r>
        <w:rPr>
          <w:rFonts w:hint="eastAsia" w:ascii="宋体" w:hAnsi="宋体"/>
          <w:b/>
          <w:color w:val="auto"/>
          <w:sz w:val="24"/>
          <w:szCs w:val="24"/>
          <w:highlight w:val="none"/>
          <w:u w:val="single"/>
        </w:rPr>
        <w:t>按通用条款14.4.2执行。</w:t>
      </w:r>
    </w:p>
    <w:p w14:paraId="7E898EB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14.4.1 最终结清申请单</w:t>
      </w:r>
    </w:p>
    <w:p w14:paraId="083F8AF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承包人提交最终结清申请单的份数：</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根据发包人需要提供  </w:t>
      </w:r>
      <w:r>
        <w:rPr>
          <w:rFonts w:hint="eastAsia" w:ascii="宋体" w:hAnsi="宋体"/>
          <w:color w:val="auto"/>
          <w:sz w:val="24"/>
          <w:szCs w:val="24"/>
          <w:highlight w:val="none"/>
        </w:rPr>
        <w:t>。</w:t>
      </w:r>
    </w:p>
    <w:p w14:paraId="51D6176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承包人提交最终结算申请单的期限：</w:t>
      </w:r>
      <w:r>
        <w:rPr>
          <w:rFonts w:hint="eastAsia" w:ascii="宋体" w:hAnsi="宋体"/>
          <w:b/>
          <w:color w:val="auto"/>
          <w:sz w:val="24"/>
          <w:szCs w:val="24"/>
          <w:highlight w:val="none"/>
          <w:u w:val="single"/>
        </w:rPr>
        <w:t>按通用条款14.4.1执行。</w:t>
      </w:r>
      <w:r>
        <w:rPr>
          <w:rFonts w:hint="eastAsia" w:ascii="宋体" w:hAnsi="宋体"/>
          <w:color w:val="auto"/>
          <w:sz w:val="24"/>
          <w:szCs w:val="24"/>
          <w:highlight w:val="none"/>
          <w:u w:val="single"/>
        </w:rPr>
        <w:t xml:space="preserve"> </w:t>
      </w:r>
    </w:p>
    <w:p w14:paraId="7F06B26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14.4.2 最终结清证书和支付</w:t>
      </w:r>
    </w:p>
    <w:p w14:paraId="76C88A3B">
      <w:pPr>
        <w:spacing w:line="360" w:lineRule="auto"/>
        <w:ind w:firstLine="480" w:firstLineChars="200"/>
        <w:rPr>
          <w:rFonts w:ascii="宋体" w:hAnsi="宋体"/>
          <w:b/>
          <w:color w:val="auto"/>
          <w:sz w:val="24"/>
          <w:szCs w:val="24"/>
          <w:highlight w:val="none"/>
        </w:rPr>
      </w:pPr>
      <w:r>
        <w:rPr>
          <w:rFonts w:hint="eastAsia" w:ascii="宋体" w:hAnsi="宋体"/>
          <w:color w:val="auto"/>
          <w:sz w:val="24"/>
          <w:szCs w:val="24"/>
          <w:highlight w:val="none"/>
        </w:rPr>
        <w:t>（1）发包人完成最终结清申请单的审批并颁发最终结清证书的期限：</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按通用条款14.4.2执行         </w:t>
      </w:r>
      <w:r>
        <w:rPr>
          <w:rFonts w:hint="eastAsia" w:ascii="宋体" w:hAnsi="宋体"/>
          <w:b/>
          <w:color w:val="auto"/>
          <w:sz w:val="24"/>
          <w:szCs w:val="24"/>
          <w:highlight w:val="none"/>
        </w:rPr>
        <w:t>。</w:t>
      </w:r>
    </w:p>
    <w:p w14:paraId="39C59E95">
      <w:pPr>
        <w:spacing w:line="360" w:lineRule="auto"/>
        <w:ind w:firstLine="480" w:firstLineChars="200"/>
        <w:rPr>
          <w:rFonts w:ascii="宋体" w:hAnsi="宋体"/>
          <w:b/>
          <w:color w:val="auto"/>
          <w:sz w:val="24"/>
          <w:szCs w:val="24"/>
          <w:highlight w:val="none"/>
        </w:rPr>
      </w:pPr>
      <w:r>
        <w:rPr>
          <w:rFonts w:hint="eastAsia" w:ascii="宋体" w:hAnsi="宋体"/>
          <w:color w:val="auto"/>
          <w:sz w:val="24"/>
          <w:szCs w:val="24"/>
          <w:highlight w:val="none"/>
        </w:rPr>
        <w:t>（2）发包人完成支付的期限：</w:t>
      </w:r>
      <w:r>
        <w:rPr>
          <w:rFonts w:hint="eastAsia" w:ascii="宋体" w:hAnsi="宋体"/>
          <w:b/>
          <w:color w:val="auto"/>
          <w:sz w:val="24"/>
          <w:szCs w:val="24"/>
          <w:highlight w:val="none"/>
          <w:u w:val="single"/>
        </w:rPr>
        <w:t>按通用条款14.4.2执行。</w:t>
      </w:r>
    </w:p>
    <w:p w14:paraId="5BEC622A">
      <w:pPr>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 xml:space="preserve">14.4.3 </w:t>
      </w:r>
      <w:r>
        <w:rPr>
          <w:rFonts w:hint="eastAsia" w:ascii="宋体" w:hAnsi="宋体"/>
          <w:color w:val="auto"/>
          <w:sz w:val="24"/>
          <w:szCs w:val="24"/>
          <w:highlight w:val="none"/>
        </w:rPr>
        <w:t>由发包人审计处委托的第三方造价公司在结算审定时扣减水电费。</w:t>
      </w:r>
    </w:p>
    <w:bookmarkEnd w:id="858"/>
    <w:bookmarkEnd w:id="859"/>
    <w:bookmarkEnd w:id="860"/>
    <w:bookmarkEnd w:id="861"/>
    <w:bookmarkEnd w:id="862"/>
    <w:bookmarkEnd w:id="863"/>
    <w:bookmarkEnd w:id="864"/>
    <w:bookmarkEnd w:id="870"/>
    <w:p w14:paraId="569830A4">
      <w:pPr>
        <w:pStyle w:val="5"/>
        <w:spacing w:before="120" w:after="120" w:line="360" w:lineRule="auto"/>
        <w:rPr>
          <w:rFonts w:ascii="宋体" w:hAnsi="宋体"/>
          <w:b w:val="0"/>
          <w:color w:val="auto"/>
          <w:sz w:val="24"/>
          <w:szCs w:val="24"/>
          <w:highlight w:val="none"/>
        </w:rPr>
      </w:pPr>
      <w:bookmarkStart w:id="872" w:name="_Toc351203647"/>
      <w:bookmarkStart w:id="873" w:name="_Toc267251483"/>
      <w:bookmarkStart w:id="874" w:name="_Toc267251482"/>
      <w:bookmarkStart w:id="875" w:name="_Toc267251484"/>
      <w:bookmarkStart w:id="876" w:name="_Toc267251485"/>
      <w:bookmarkStart w:id="877" w:name="_Toc267251490"/>
      <w:bookmarkStart w:id="878" w:name="_Toc267251486"/>
      <w:bookmarkStart w:id="879" w:name="_Toc267251489"/>
      <w:bookmarkStart w:id="880" w:name="_Toc267251488"/>
      <w:bookmarkStart w:id="881" w:name="_Toc267251492"/>
      <w:bookmarkStart w:id="882" w:name="_Toc267251491"/>
      <w:bookmarkStart w:id="883" w:name="_Toc267251501"/>
      <w:bookmarkStart w:id="884" w:name="_Toc267251503"/>
      <w:bookmarkStart w:id="885" w:name="_Toc267251502"/>
      <w:bookmarkStart w:id="886" w:name="_Toc267251493"/>
      <w:bookmarkStart w:id="887" w:name="_Toc267251494"/>
      <w:bookmarkStart w:id="888" w:name="_Toc267251496"/>
      <w:bookmarkStart w:id="889" w:name="_Toc267251498"/>
      <w:bookmarkStart w:id="890" w:name="_Toc267251497"/>
      <w:bookmarkStart w:id="891" w:name="_Toc267251495"/>
      <w:bookmarkStart w:id="892" w:name="_Toc267251499"/>
      <w:bookmarkStart w:id="893" w:name="_Toc267251506"/>
      <w:bookmarkStart w:id="894" w:name="_Toc267251504"/>
      <w:bookmarkStart w:id="895" w:name="_Toc267251507"/>
      <w:bookmarkStart w:id="896" w:name="_Toc267251508"/>
      <w:r>
        <w:rPr>
          <w:rFonts w:hint="eastAsia" w:ascii="宋体" w:hAnsi="宋体"/>
          <w:b w:val="0"/>
          <w:color w:val="auto"/>
          <w:sz w:val="24"/>
          <w:szCs w:val="24"/>
          <w:highlight w:val="none"/>
        </w:rPr>
        <w:t>15. 缺陷责任期与保修</w:t>
      </w:r>
      <w:bookmarkEnd w:id="872"/>
    </w:p>
    <w:p w14:paraId="70F2E0A3">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15.2缺陷责任期</w:t>
      </w:r>
      <w:bookmarkEnd w:id="873"/>
    </w:p>
    <w:p w14:paraId="1E25461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缺陷责任期的具体期限：</w:t>
      </w:r>
      <w:r>
        <w:rPr>
          <w:rFonts w:hint="eastAsia" w:ascii="宋体" w:hAnsi="宋体" w:cs="宋体"/>
          <w:color w:val="auto"/>
          <w:sz w:val="24"/>
          <w:highlight w:val="none"/>
          <w:u w:val="single"/>
        </w:rPr>
        <w:t xml:space="preserve">  </w:t>
      </w:r>
      <w:r>
        <w:rPr>
          <w:rFonts w:hint="eastAsia" w:ascii="宋体" w:hAnsi="宋体"/>
          <w:b/>
          <w:color w:val="auto"/>
          <w:sz w:val="24"/>
          <w:highlight w:val="none"/>
          <w:u w:val="single"/>
        </w:rPr>
        <w:t>12个</w:t>
      </w:r>
      <w:r>
        <w:rPr>
          <w:rFonts w:ascii="宋体" w:hAnsi="宋体"/>
          <w:b/>
          <w:color w:val="auto"/>
          <w:sz w:val="24"/>
          <w:highlight w:val="none"/>
          <w:u w:val="single"/>
        </w:rPr>
        <w:t>月</w:t>
      </w:r>
      <w:r>
        <w:rPr>
          <w:rFonts w:hint="eastAsia" w:ascii="宋体" w:hAnsi="宋体" w:cs="宋体"/>
          <w:color w:val="auto"/>
          <w:sz w:val="24"/>
          <w:highlight w:val="none"/>
          <w:u w:val="single" w:color="000000"/>
        </w:rPr>
        <w:t xml:space="preserve"> </w:t>
      </w:r>
      <w:r>
        <w:rPr>
          <w:rFonts w:hint="eastAsia" w:ascii="宋体" w:hAnsi="宋体" w:cs="宋体"/>
          <w:color w:val="auto"/>
          <w:sz w:val="24"/>
          <w:highlight w:val="none"/>
        </w:rPr>
        <w:t>。</w:t>
      </w:r>
    </w:p>
    <w:p w14:paraId="0DC5B00B">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15.3 质量保证金</w:t>
      </w:r>
    </w:p>
    <w:p w14:paraId="41E1DD7D">
      <w:pPr>
        <w:spacing w:line="360" w:lineRule="auto"/>
        <w:ind w:firstLine="480" w:firstLineChars="200"/>
        <w:rPr>
          <w:rFonts w:ascii="宋体" w:hAnsi="宋体"/>
          <w:b/>
          <w:color w:val="auto"/>
          <w:sz w:val="24"/>
          <w:szCs w:val="24"/>
          <w:highlight w:val="none"/>
        </w:rPr>
      </w:pPr>
      <w:r>
        <w:rPr>
          <w:rFonts w:hint="eastAsia" w:ascii="宋体" w:hAnsi="宋体"/>
          <w:color w:val="auto"/>
          <w:sz w:val="24"/>
          <w:szCs w:val="24"/>
          <w:highlight w:val="none"/>
        </w:rPr>
        <w:t>关于是否扣留质量保证金的约定：</w:t>
      </w:r>
      <w:r>
        <w:rPr>
          <w:rFonts w:hint="eastAsia" w:ascii="宋体" w:hAnsi="宋体"/>
          <w:b/>
          <w:color w:val="auto"/>
          <w:sz w:val="24"/>
          <w:szCs w:val="24"/>
          <w:highlight w:val="none"/>
          <w:u w:val="single"/>
        </w:rPr>
        <w:t xml:space="preserve">按国务院第279号文《建设工程质量管理条例》执行     </w:t>
      </w:r>
      <w:r>
        <w:rPr>
          <w:rFonts w:hint="eastAsia" w:ascii="宋体" w:hAnsi="宋体"/>
          <w:b/>
          <w:color w:val="auto"/>
          <w:sz w:val="24"/>
          <w:szCs w:val="24"/>
          <w:highlight w:val="none"/>
        </w:rPr>
        <w:t>。</w:t>
      </w:r>
    </w:p>
    <w:p w14:paraId="21A6096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15.3.1 承包人提供质量保证金的方式</w:t>
      </w:r>
    </w:p>
    <w:p w14:paraId="0A23B46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质量保证金采用以下第</w:t>
      </w:r>
      <w:r>
        <w:rPr>
          <w:rFonts w:ascii="宋体" w:hAnsi="宋体"/>
          <w:b/>
          <w:color w:val="auto"/>
          <w:sz w:val="24"/>
          <w:szCs w:val="24"/>
          <w:highlight w:val="none"/>
          <w:u w:val="single"/>
        </w:rPr>
        <w:t>3</w:t>
      </w:r>
      <w:r>
        <w:rPr>
          <w:rFonts w:hint="eastAsia" w:ascii="宋体" w:hAnsi="宋体"/>
          <w:color w:val="auto"/>
          <w:sz w:val="24"/>
          <w:szCs w:val="24"/>
          <w:highlight w:val="none"/>
        </w:rPr>
        <w:t>种方式：</w:t>
      </w:r>
    </w:p>
    <w:p w14:paraId="0060B204">
      <w:pPr>
        <w:autoSpaceDE w:val="0"/>
        <w:autoSpaceDN w:val="0"/>
        <w:adjustRightIn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（1）质量保证金保函，保证金额为：</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p>
    <w:p w14:paraId="7C05BC44">
      <w:pPr>
        <w:autoSpaceDE w:val="0"/>
        <w:autoSpaceDN w:val="0"/>
        <w:adjustRightIn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3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%的</w:t>
      </w:r>
      <w:r>
        <w:rPr>
          <w:rFonts w:hint="eastAsia" w:ascii="宋体" w:hAnsi="宋体" w:cs="宋体"/>
          <w:color w:val="auto"/>
          <w:sz w:val="24"/>
          <w:highlight w:val="none"/>
        </w:rPr>
        <w:t>工程审定价</w:t>
      </w:r>
      <w:r>
        <w:rPr>
          <w:rFonts w:hint="eastAsia" w:ascii="宋体" w:hAnsi="宋体"/>
          <w:color w:val="auto"/>
          <w:sz w:val="24"/>
          <w:szCs w:val="24"/>
          <w:highlight w:val="none"/>
        </w:rPr>
        <w:t>；</w:t>
      </w:r>
    </w:p>
    <w:p w14:paraId="69F6BA58">
      <w:pPr>
        <w:autoSpaceDE w:val="0"/>
        <w:autoSpaceDN w:val="0"/>
        <w:adjustRightIn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（3）其他方式:</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工程完成造价审定后，发包人按审定价全额支付工程尾款前，承包人按审定价3%比例向发包人指定账户缴纳质量保证金或提交银行保函。</w:t>
      </w:r>
    </w:p>
    <w:p w14:paraId="35959B2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15.3.2 质量保证金的扣留 </w:t>
      </w:r>
    </w:p>
    <w:p w14:paraId="26D831F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质量保证金的扣留采取以下第</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w:t>
      </w:r>
      <w:r>
        <w:rPr>
          <w:rFonts w:ascii="宋体" w:hAnsi="宋体"/>
          <w:b/>
          <w:color w:val="auto"/>
          <w:sz w:val="24"/>
          <w:szCs w:val="24"/>
          <w:highlight w:val="none"/>
          <w:u w:val="single"/>
        </w:rPr>
        <w:t>3</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rPr>
        <w:t>种方式：</w:t>
      </w:r>
    </w:p>
    <w:p w14:paraId="383A1C76">
      <w:pPr>
        <w:autoSpaceDE w:val="0"/>
        <w:autoSpaceDN w:val="0"/>
        <w:adjustRightIn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（1）在支付工程进度款时逐次扣留，在此情形下，质量保证金的计算基数不包括预付款的支付、扣回以及价格调整的金额；</w:t>
      </w:r>
    </w:p>
    <w:p w14:paraId="5841F7C1">
      <w:pPr>
        <w:autoSpaceDE w:val="0"/>
        <w:autoSpaceDN w:val="0"/>
        <w:adjustRightIn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（2）工程竣工结算时一次性扣留质量保证金；</w:t>
      </w:r>
    </w:p>
    <w:p w14:paraId="1EC999CA">
      <w:pPr>
        <w:autoSpaceDE w:val="0"/>
        <w:autoSpaceDN w:val="0"/>
        <w:adjustRightInd w:val="0"/>
        <w:spacing w:line="360" w:lineRule="auto"/>
        <w:ind w:firstLine="480" w:firstLineChars="200"/>
        <w:rPr>
          <w:rFonts w:ascii="宋体" w:hAnsi="宋体" w:cs="宋体"/>
          <w:color w:val="auto"/>
          <w:highlight w:val="none"/>
        </w:rPr>
      </w:pPr>
      <w:r>
        <w:rPr>
          <w:rFonts w:hint="eastAsia" w:ascii="宋体" w:hAnsi="宋体"/>
          <w:color w:val="auto"/>
          <w:sz w:val="24"/>
          <w:szCs w:val="24"/>
          <w:highlight w:val="none"/>
        </w:rPr>
        <w:t>（3）其他扣留方式:</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发包人支付最后一次工程款前由承包人缴至发包人指定账户或提交银行保函。</w:t>
      </w:r>
    </w:p>
    <w:p w14:paraId="4A5E888F">
      <w:pPr>
        <w:spacing w:line="360" w:lineRule="auto"/>
        <w:ind w:firstLine="480" w:firstLineChars="200"/>
        <w:rPr>
          <w:rFonts w:ascii="宋体" w:hAnsi="宋体"/>
          <w:b/>
          <w:color w:val="auto"/>
          <w:sz w:val="24"/>
          <w:szCs w:val="24"/>
          <w:highlight w:val="none"/>
          <w:u w:val="single"/>
        </w:rPr>
      </w:pPr>
      <w:r>
        <w:rPr>
          <w:rFonts w:hint="eastAsia" w:ascii="宋体" w:hAnsi="宋体"/>
          <w:color w:val="auto"/>
          <w:sz w:val="24"/>
          <w:szCs w:val="24"/>
          <w:highlight w:val="none"/>
        </w:rPr>
        <w:t>关于质量保证金的补充约定：</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w:t>
      </w:r>
      <w:r>
        <w:rPr>
          <w:rFonts w:ascii="宋体" w:hAnsi="宋体"/>
          <w:b/>
          <w:color w:val="auto"/>
          <w:sz w:val="24"/>
          <w:szCs w:val="24"/>
          <w:highlight w:val="none"/>
          <w:u w:val="single"/>
        </w:rPr>
        <w:t xml:space="preserve"> </w:t>
      </w:r>
      <w:r>
        <w:rPr>
          <w:rFonts w:hint="eastAsia" w:ascii="宋体" w:hAnsi="宋体"/>
          <w:b/>
          <w:color w:val="auto"/>
          <w:sz w:val="24"/>
          <w:szCs w:val="24"/>
          <w:highlight w:val="none"/>
          <w:u w:val="single"/>
        </w:rPr>
        <w:t xml:space="preserve"> </w:t>
      </w:r>
      <w:bookmarkEnd w:id="874"/>
      <w:bookmarkEnd w:id="875"/>
    </w:p>
    <w:bookmarkEnd w:id="876"/>
    <w:p w14:paraId="2F0AE647">
      <w:pPr>
        <w:spacing w:line="360" w:lineRule="auto"/>
        <w:ind w:firstLine="468" w:firstLineChars="195"/>
        <w:rPr>
          <w:rFonts w:ascii="宋体" w:hAnsi="宋体"/>
          <w:color w:val="auto"/>
          <w:sz w:val="24"/>
          <w:szCs w:val="24"/>
          <w:highlight w:val="none"/>
        </w:rPr>
      </w:pPr>
      <w:r>
        <w:rPr>
          <w:rFonts w:hint="eastAsia" w:ascii="宋体" w:hAnsi="宋体"/>
          <w:color w:val="auto"/>
          <w:sz w:val="24"/>
          <w:szCs w:val="24"/>
          <w:highlight w:val="none"/>
        </w:rPr>
        <w:t>15.4.1 保修责任</w:t>
      </w:r>
    </w:p>
    <w:p w14:paraId="1C6EABC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工程保修期为：</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按照工程质量保修书中约定执行 。</w:t>
      </w:r>
    </w:p>
    <w:p w14:paraId="647D446F">
      <w:pPr>
        <w:spacing w:line="360" w:lineRule="auto"/>
        <w:ind w:firstLine="468" w:firstLineChars="195"/>
        <w:rPr>
          <w:rFonts w:ascii="宋体" w:hAnsi="宋体"/>
          <w:color w:val="auto"/>
          <w:sz w:val="24"/>
          <w:szCs w:val="24"/>
          <w:highlight w:val="none"/>
        </w:rPr>
      </w:pPr>
      <w:r>
        <w:rPr>
          <w:rFonts w:hint="eastAsia" w:ascii="宋体" w:hAnsi="宋体"/>
          <w:color w:val="auto"/>
          <w:sz w:val="24"/>
          <w:szCs w:val="24"/>
          <w:highlight w:val="none"/>
        </w:rPr>
        <w:t>15.4.3 修复通知</w:t>
      </w:r>
    </w:p>
    <w:p w14:paraId="4A019901">
      <w:pPr>
        <w:spacing w:line="360" w:lineRule="auto"/>
        <w:ind w:firstLine="468" w:firstLineChars="195"/>
        <w:rPr>
          <w:rFonts w:ascii="宋体" w:hAnsi="宋体"/>
          <w:color w:val="auto"/>
          <w:sz w:val="24"/>
          <w:szCs w:val="24"/>
          <w:highlight w:val="none"/>
          <w:u w:val="single"/>
        </w:rPr>
      </w:pPr>
      <w:r>
        <w:rPr>
          <w:rFonts w:hint="eastAsia" w:ascii="宋体" w:hAnsi="宋体"/>
          <w:color w:val="auto"/>
          <w:sz w:val="24"/>
          <w:szCs w:val="24"/>
          <w:highlight w:val="none"/>
        </w:rPr>
        <w:t>承包人收到保修通知并到达工程现场的合理时间：</w:t>
      </w:r>
      <w:r>
        <w:rPr>
          <w:rFonts w:hint="eastAsia" w:ascii="宋体" w:hAnsi="宋体"/>
          <w:color w:val="auto"/>
          <w:sz w:val="24"/>
          <w:szCs w:val="24"/>
          <w:highlight w:val="none"/>
          <w:u w:val="single"/>
        </w:rPr>
        <w:t xml:space="preserve"> </w:t>
      </w:r>
    </w:p>
    <w:p w14:paraId="39C0E5EA">
      <w:pPr>
        <w:spacing w:line="360" w:lineRule="auto"/>
        <w:ind w:firstLine="468" w:firstLineChars="195"/>
        <w:rPr>
          <w:rFonts w:ascii="宋体" w:hAnsi="宋体"/>
          <w:color w:val="auto"/>
          <w:sz w:val="24"/>
          <w:szCs w:val="24"/>
          <w:highlight w:val="none"/>
        </w:rPr>
      </w:pPr>
      <w:r>
        <w:rPr>
          <w:rFonts w:hint="eastAsia" w:ascii="宋体" w:hAnsi="宋体"/>
          <w:color w:val="auto"/>
          <w:sz w:val="24"/>
          <w:szCs w:val="24"/>
          <w:highlight w:val="none"/>
        </w:rPr>
        <w:t>（1）属于保修范围和内容的项目，承包人应在接到修理通知之日后</w:t>
      </w:r>
      <w:r>
        <w:rPr>
          <w:rFonts w:ascii="宋体" w:hAnsi="宋体"/>
          <w:color w:val="auto"/>
          <w:sz w:val="24"/>
          <w:szCs w:val="24"/>
          <w:highlight w:val="none"/>
        </w:rPr>
        <w:t>2</w:t>
      </w:r>
      <w:r>
        <w:rPr>
          <w:rFonts w:hint="eastAsia" w:ascii="宋体" w:hAnsi="宋体"/>
          <w:color w:val="auto"/>
          <w:sz w:val="24"/>
          <w:szCs w:val="24"/>
          <w:highlight w:val="none"/>
        </w:rPr>
        <w:t>个日历天内派人修理。如在约定时间内承包人未达到维修现场，发包人可另行安排人员进行维修处理，由此产生的费用和损失由承包人承担，发包人将从承包人的质量保证金中扣除，</w:t>
      </w:r>
      <w:r>
        <w:rPr>
          <w:rFonts w:hint="eastAsia" w:ascii="宋体" w:hAnsi="宋体" w:cs="宋体"/>
          <w:color w:val="auto"/>
          <w:sz w:val="24"/>
          <w:highlight w:val="none"/>
        </w:rPr>
        <w:t>除按相关规定予以处罚外，另同时收取质量保证金30%的违约金。</w:t>
      </w:r>
    </w:p>
    <w:p w14:paraId="5CB6A080">
      <w:pPr>
        <w:spacing w:line="360" w:lineRule="auto"/>
        <w:ind w:firstLine="468" w:firstLineChars="195"/>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）发生须紧急抢修事故的，承包人在接到事故通知后，应当立即到达事故现场抢修。</w:t>
      </w:r>
    </w:p>
    <w:bookmarkEnd w:id="877"/>
    <w:bookmarkEnd w:id="878"/>
    <w:bookmarkEnd w:id="879"/>
    <w:bookmarkEnd w:id="880"/>
    <w:p w14:paraId="61B42D4F">
      <w:pPr>
        <w:pStyle w:val="5"/>
        <w:spacing w:before="120" w:after="120" w:line="360" w:lineRule="auto"/>
        <w:rPr>
          <w:rFonts w:ascii="宋体" w:hAnsi="宋体"/>
          <w:b w:val="0"/>
          <w:color w:val="auto"/>
          <w:sz w:val="24"/>
          <w:szCs w:val="24"/>
          <w:highlight w:val="none"/>
        </w:rPr>
      </w:pPr>
      <w:bookmarkStart w:id="897" w:name="_Toc351203648"/>
      <w:bookmarkStart w:id="898" w:name="_Toc280868717"/>
      <w:bookmarkStart w:id="899" w:name="_Toc280868718"/>
      <w:r>
        <w:rPr>
          <w:rFonts w:hint="eastAsia" w:ascii="宋体" w:hAnsi="宋体"/>
          <w:b w:val="0"/>
          <w:color w:val="auto"/>
          <w:sz w:val="24"/>
          <w:szCs w:val="24"/>
          <w:highlight w:val="none"/>
        </w:rPr>
        <w:t>16. 违约</w:t>
      </w:r>
      <w:bookmarkEnd w:id="897"/>
    </w:p>
    <w:p w14:paraId="0C3B49F9">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16.1 发包人违约</w:t>
      </w:r>
    </w:p>
    <w:p w14:paraId="1BCA890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16.1.1发包人违约的情形</w:t>
      </w:r>
    </w:p>
    <w:p w14:paraId="13EDCFCB">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发包人违约的其他情形：</w:t>
      </w:r>
      <w:r>
        <w:rPr>
          <w:rFonts w:hint="eastAsia" w:ascii="宋体" w:hAnsi="宋体"/>
          <w:color w:val="auto"/>
          <w:sz w:val="24"/>
          <w:szCs w:val="24"/>
          <w:highlight w:val="none"/>
          <w:u w:val="single"/>
        </w:rPr>
        <w:t>按通用条款16.1执行。</w:t>
      </w:r>
    </w:p>
    <w:p w14:paraId="37E805B8">
      <w:pPr>
        <w:spacing w:line="360" w:lineRule="auto"/>
        <w:ind w:left="1200" w:hanging="1200" w:hangingChars="500"/>
        <w:rPr>
          <w:rFonts w:ascii="宋体" w:hAnsi="宋体"/>
          <w:color w:val="auto"/>
          <w:sz w:val="24"/>
          <w:szCs w:val="24"/>
          <w:highlight w:val="none"/>
        </w:rPr>
      </w:pPr>
      <w:r>
        <w:rPr>
          <w:rFonts w:hint="eastAsia" w:ascii="宋体" w:hAnsi="宋体"/>
          <w:color w:val="auto"/>
          <w:sz w:val="24"/>
          <w:szCs w:val="24"/>
          <w:highlight w:val="none"/>
        </w:rPr>
        <w:t xml:space="preserve">    16.1.2 发包人违约的责任</w:t>
      </w:r>
    </w:p>
    <w:p w14:paraId="51A11D5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发包人违约责任的承担方式和计算方法：</w:t>
      </w:r>
    </w:p>
    <w:p w14:paraId="3653E5DC">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（1）因发包人原因未能在计划开工日期前7天内下达开工通知的违约责任：</w:t>
      </w:r>
      <w:r>
        <w:rPr>
          <w:rFonts w:hint="eastAsia" w:ascii="宋体" w:hAnsi="宋体"/>
          <w:color w:val="auto"/>
          <w:sz w:val="24"/>
          <w:szCs w:val="24"/>
          <w:highlight w:val="none"/>
          <w:u w:val="single"/>
        </w:rPr>
        <w:t>按通用条款16.1执行。</w:t>
      </w:r>
    </w:p>
    <w:p w14:paraId="79F967A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（2）因发包人原因未能按合同约定支付合同价款的违约责任：</w:t>
      </w:r>
      <w:r>
        <w:rPr>
          <w:rFonts w:hint="eastAsia" w:ascii="宋体" w:hAnsi="宋体"/>
          <w:color w:val="auto"/>
          <w:sz w:val="24"/>
          <w:szCs w:val="24"/>
          <w:highlight w:val="none"/>
          <w:u w:val="single"/>
        </w:rPr>
        <w:t xml:space="preserve">  按通用条款16.1执行</w:t>
      </w:r>
      <w:r>
        <w:rPr>
          <w:rFonts w:hint="eastAsia" w:ascii="宋体" w:hAnsi="宋体"/>
          <w:color w:val="auto"/>
          <w:sz w:val="24"/>
          <w:szCs w:val="24"/>
          <w:highlight w:val="none"/>
        </w:rPr>
        <w:t>。</w:t>
      </w:r>
    </w:p>
    <w:p w14:paraId="3C980E1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（3）发包人违反第10.1款〔变更的范围〕第（2）项约定，自行实施被取消的工作或转由他人实施的违约责任：</w:t>
      </w:r>
      <w:r>
        <w:rPr>
          <w:rFonts w:hint="eastAsia" w:ascii="宋体" w:hAnsi="宋体"/>
          <w:color w:val="auto"/>
          <w:sz w:val="24"/>
          <w:szCs w:val="24"/>
          <w:highlight w:val="none"/>
          <w:u w:val="single"/>
        </w:rPr>
        <w:t>按通用条款16.1执行</w:t>
      </w:r>
      <w:r>
        <w:rPr>
          <w:rFonts w:hint="eastAsia" w:ascii="宋体" w:hAnsi="宋体"/>
          <w:color w:val="auto"/>
          <w:sz w:val="24"/>
          <w:szCs w:val="24"/>
          <w:highlight w:val="none"/>
        </w:rPr>
        <w:t>。</w:t>
      </w:r>
    </w:p>
    <w:p w14:paraId="0CE9532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（4）发包人提供的材料、工程设备的规格、数量或质量不符合合同约定，或因发包人原因导致交货日期延误或交货地点变更等情况的违约责任：</w:t>
      </w:r>
      <w:r>
        <w:rPr>
          <w:rFonts w:hint="eastAsia" w:ascii="宋体" w:hAnsi="宋体"/>
          <w:color w:val="auto"/>
          <w:sz w:val="24"/>
          <w:szCs w:val="24"/>
          <w:highlight w:val="none"/>
          <w:u w:val="single"/>
        </w:rPr>
        <w:t>按通用条款16.1执行</w:t>
      </w:r>
      <w:r>
        <w:rPr>
          <w:rFonts w:hint="eastAsia" w:ascii="宋体" w:hAnsi="宋体"/>
          <w:color w:val="auto"/>
          <w:sz w:val="24"/>
          <w:szCs w:val="24"/>
          <w:highlight w:val="none"/>
        </w:rPr>
        <w:t>。</w:t>
      </w:r>
    </w:p>
    <w:p w14:paraId="3D9A8BA8">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（5）因发包人违反合同约定造成暂停施工的违约责任：</w:t>
      </w:r>
      <w:r>
        <w:rPr>
          <w:rFonts w:hint="eastAsia" w:ascii="宋体" w:hAnsi="宋体"/>
          <w:color w:val="auto"/>
          <w:sz w:val="24"/>
          <w:szCs w:val="24"/>
          <w:highlight w:val="none"/>
          <w:u w:val="single"/>
        </w:rPr>
        <w:t xml:space="preserve"> 按通用条款16.1执行</w:t>
      </w:r>
      <w:r>
        <w:rPr>
          <w:rFonts w:hint="eastAsia" w:ascii="宋体" w:hAnsi="宋体"/>
          <w:color w:val="auto"/>
          <w:sz w:val="24"/>
          <w:szCs w:val="24"/>
          <w:highlight w:val="none"/>
        </w:rPr>
        <w:t>。</w:t>
      </w:r>
    </w:p>
    <w:p w14:paraId="1ACB70B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（6）发包人无正当理由没有在约定期限内发出复工指示，导致承包人无法复工的违约责任：</w:t>
      </w:r>
      <w:r>
        <w:rPr>
          <w:rFonts w:hint="eastAsia" w:ascii="宋体" w:hAnsi="宋体"/>
          <w:color w:val="auto"/>
          <w:sz w:val="24"/>
          <w:szCs w:val="24"/>
          <w:highlight w:val="none"/>
          <w:u w:val="single"/>
        </w:rPr>
        <w:t>发包人承担所有损失。</w:t>
      </w:r>
    </w:p>
    <w:p w14:paraId="53A38F5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（7）其他：</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3C58D5A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16.1.3 因发包人违约解除合同</w:t>
      </w:r>
    </w:p>
    <w:p w14:paraId="599B03FA">
      <w:pPr>
        <w:autoSpaceDE w:val="0"/>
        <w:autoSpaceDN w:val="0"/>
        <w:adjustRightIn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承包人按16.1.1项〔发包人违约的情形〕约定暂停施工满</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28</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天后发包人仍不纠正其违约行为并致使合同目的不能实现的，承包人有权解除合同。</w:t>
      </w:r>
    </w:p>
    <w:p w14:paraId="75EAB9DB">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16.2 承包人违约</w:t>
      </w:r>
    </w:p>
    <w:p w14:paraId="733FFE4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16.2.1 承包人违约的情形</w:t>
      </w:r>
    </w:p>
    <w:p w14:paraId="51C448C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承包人违约的其他情形：</w:t>
      </w:r>
      <w:r>
        <w:rPr>
          <w:rFonts w:hint="eastAsia" w:ascii="宋体" w:hAnsi="宋体"/>
          <w:color w:val="auto"/>
          <w:sz w:val="24"/>
          <w:szCs w:val="24"/>
          <w:highlight w:val="none"/>
          <w:u w:val="single"/>
        </w:rPr>
        <w:t>按通用条款16.2执行</w:t>
      </w:r>
      <w:r>
        <w:rPr>
          <w:rFonts w:hint="eastAsia" w:ascii="宋体" w:hAnsi="宋体"/>
          <w:color w:val="auto"/>
          <w:sz w:val="24"/>
          <w:szCs w:val="24"/>
          <w:highlight w:val="none"/>
        </w:rPr>
        <w:t>。</w:t>
      </w:r>
    </w:p>
    <w:p w14:paraId="1816B8C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16.2.2承包人违约的责任</w:t>
      </w:r>
    </w:p>
    <w:p w14:paraId="594744A8">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承包人违约责任的承担方式和计算方法：</w:t>
      </w:r>
      <w:r>
        <w:rPr>
          <w:rFonts w:hint="eastAsia" w:ascii="宋体" w:hAnsi="宋体"/>
          <w:color w:val="auto"/>
          <w:sz w:val="24"/>
          <w:szCs w:val="24"/>
          <w:highlight w:val="none"/>
          <w:u w:val="single"/>
        </w:rPr>
        <w:t>按通用条款16.2执行。</w:t>
      </w:r>
      <w:r>
        <w:rPr>
          <w:rFonts w:hint="eastAsia" w:ascii="宋体" w:hAnsi="宋体"/>
          <w:color w:val="auto"/>
          <w:sz w:val="24"/>
          <w:szCs w:val="24"/>
          <w:highlight w:val="none"/>
        </w:rPr>
        <w:t xml:space="preserve">    </w:t>
      </w:r>
    </w:p>
    <w:p w14:paraId="565BFCE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16.2.3 因承包人违约解除合同</w:t>
      </w:r>
    </w:p>
    <w:p w14:paraId="18269698">
      <w:pPr>
        <w:spacing w:before="120"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关于承包人违约解除合同的特别约定：</w:t>
      </w:r>
    </w:p>
    <w:p w14:paraId="3AFC7A3B">
      <w:pPr>
        <w:spacing w:before="120" w:after="120"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u w:val="single"/>
        </w:rPr>
        <w:t>承包人出现以下情况之一的，发包人有权单方面解除合同，并有权要求承包人按合同价款的20%支付违约金，给发包人造成损失的，承包人应当赔偿损失：</w:t>
      </w:r>
    </w:p>
    <w:p w14:paraId="29DA9527">
      <w:pPr>
        <w:spacing w:before="120" w:after="120"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u w:val="single"/>
        </w:rPr>
        <w:t>（1）承包人违反合同约定进行转包或违法分包的，发包人有权单方面解除合同。</w:t>
      </w:r>
    </w:p>
    <w:p w14:paraId="226E8596">
      <w:pPr>
        <w:spacing w:before="120" w:after="120"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u w:val="single"/>
        </w:rPr>
        <w:t>（2）承包人拒绝进场的，经发包人通知后15日内仍未进场的，发包人有权解除合同。</w:t>
      </w:r>
    </w:p>
    <w:p w14:paraId="0BF01657">
      <w:pPr>
        <w:spacing w:before="120" w:after="120"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u w:val="single"/>
        </w:rPr>
        <w:t>（3）已经完成的工程质量不合格，并拒绝修复或返工的。</w:t>
      </w:r>
    </w:p>
    <w:p w14:paraId="531EBD15">
      <w:pPr>
        <w:spacing w:before="120" w:after="120"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u w:val="single"/>
        </w:rPr>
        <w:t>（4）由于承包人的资质降低或单位的整体实力下降，不能满足工程承包要求。</w:t>
      </w:r>
    </w:p>
    <w:p w14:paraId="1DEC6917">
      <w:pPr>
        <w:spacing w:before="120" w:after="120"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u w:val="single"/>
        </w:rPr>
        <w:t>（5）承包人出现陷入重大债权债务纠纷，并影响到本工程的正常实施。</w:t>
      </w:r>
    </w:p>
    <w:p w14:paraId="62BCDA3A">
      <w:pPr>
        <w:spacing w:before="120" w:after="120"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u w:val="single"/>
        </w:rPr>
        <w:t>（6）承包人无法继续履行或明确表示不履行或实质上已停止履行合同。</w:t>
      </w:r>
    </w:p>
    <w:p w14:paraId="04BCB0E1">
      <w:pPr>
        <w:spacing w:before="120" w:after="120"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u w:val="single"/>
        </w:rPr>
        <w:t>（7）未按照合同约定履行义务的。</w:t>
      </w:r>
    </w:p>
    <w:p w14:paraId="4E72D8BE">
      <w:pPr>
        <w:spacing w:before="120" w:after="120" w:line="360" w:lineRule="auto"/>
        <w:ind w:firstLine="480" w:firstLineChars="200"/>
        <w:rPr>
          <w:rFonts w:ascii="宋体" w:hAnsi="宋体"/>
          <w:b/>
          <w:color w:val="auto"/>
          <w:sz w:val="24"/>
          <w:szCs w:val="24"/>
          <w:highlight w:val="none"/>
          <w:u w:val="single"/>
        </w:rPr>
      </w:pPr>
      <w:r>
        <w:rPr>
          <w:rFonts w:hint="eastAsia" w:ascii="宋体" w:hAnsi="宋体"/>
          <w:color w:val="auto"/>
          <w:sz w:val="24"/>
          <w:szCs w:val="24"/>
          <w:highlight w:val="none"/>
        </w:rPr>
        <w:t>发包人继续使用承包人在施工现场的材料、设备、临时工程、承包人文件和由承包人或以其名义编制的其他文件的费用承担方式：</w:t>
      </w:r>
      <w:r>
        <w:rPr>
          <w:rFonts w:hint="eastAsia" w:ascii="宋体" w:hAnsi="宋体"/>
          <w:b/>
          <w:color w:val="auto"/>
          <w:sz w:val="24"/>
          <w:szCs w:val="24"/>
          <w:highlight w:val="none"/>
          <w:u w:val="single"/>
        </w:rPr>
        <w:t>由发包人承担相关费用  。</w:t>
      </w:r>
    </w:p>
    <w:p w14:paraId="6502B6DA">
      <w:pPr>
        <w:pStyle w:val="5"/>
        <w:spacing w:before="120" w:after="120" w:line="360" w:lineRule="auto"/>
        <w:rPr>
          <w:rFonts w:ascii="宋体" w:hAnsi="宋体"/>
          <w:b w:val="0"/>
          <w:color w:val="auto"/>
          <w:sz w:val="24"/>
          <w:szCs w:val="24"/>
          <w:highlight w:val="none"/>
        </w:rPr>
      </w:pPr>
      <w:bookmarkStart w:id="900" w:name="_Toc351203649"/>
      <w:r>
        <w:rPr>
          <w:rFonts w:hint="eastAsia" w:ascii="宋体" w:hAnsi="宋体"/>
          <w:b w:val="0"/>
          <w:color w:val="auto"/>
          <w:sz w:val="24"/>
          <w:szCs w:val="24"/>
          <w:highlight w:val="none"/>
        </w:rPr>
        <w:t>17. 不可抗力</w:t>
      </w:r>
      <w:bookmarkEnd w:id="900"/>
      <w:r>
        <w:rPr>
          <w:rFonts w:hint="eastAsia" w:ascii="宋体" w:hAnsi="宋体"/>
          <w:b w:val="0"/>
          <w:color w:val="auto"/>
          <w:sz w:val="24"/>
          <w:szCs w:val="24"/>
          <w:highlight w:val="none"/>
        </w:rPr>
        <w:t xml:space="preserve"> </w:t>
      </w:r>
      <w:bookmarkEnd w:id="898"/>
    </w:p>
    <w:p w14:paraId="706CDA4E">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17.1 不可抗力的确认</w:t>
      </w:r>
    </w:p>
    <w:p w14:paraId="5069462A">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 xml:space="preserve">除通用合同条款约定的不可抗力事件之外，视为不可抗力的其他情形：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0EA6D8CF">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17.4 因不可抗力解除合同</w:t>
      </w:r>
    </w:p>
    <w:p w14:paraId="44FFF3D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合同解除后，发包人应在商定或确定发包人应支付款项后</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w:t>
      </w:r>
      <w:r>
        <w:rPr>
          <w:rFonts w:ascii="宋体" w:hAnsi="宋体"/>
          <w:b/>
          <w:color w:val="auto"/>
          <w:sz w:val="24"/>
          <w:szCs w:val="24"/>
          <w:highlight w:val="none"/>
          <w:u w:val="single"/>
        </w:rPr>
        <w:t>/</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天内完成款项的支付。</w:t>
      </w:r>
    </w:p>
    <w:p w14:paraId="76F6050C">
      <w:pPr>
        <w:pStyle w:val="5"/>
        <w:spacing w:before="120" w:after="120" w:line="360" w:lineRule="auto"/>
        <w:rPr>
          <w:rFonts w:ascii="宋体" w:hAnsi="宋体"/>
          <w:b w:val="0"/>
          <w:color w:val="auto"/>
          <w:sz w:val="24"/>
          <w:szCs w:val="24"/>
          <w:highlight w:val="none"/>
        </w:rPr>
      </w:pPr>
      <w:bookmarkStart w:id="901" w:name="_Toc351203650"/>
      <w:r>
        <w:rPr>
          <w:rFonts w:hint="eastAsia" w:ascii="宋体" w:hAnsi="宋体"/>
          <w:b w:val="0"/>
          <w:color w:val="auto"/>
          <w:sz w:val="24"/>
          <w:szCs w:val="24"/>
          <w:highlight w:val="none"/>
        </w:rPr>
        <w:t>18. 保险</w:t>
      </w:r>
      <w:bookmarkEnd w:id="901"/>
    </w:p>
    <w:bookmarkEnd w:id="899"/>
    <w:p w14:paraId="26DD4ECC">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18.1 工程保险</w:t>
      </w:r>
    </w:p>
    <w:p w14:paraId="20C74B4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关于工程保险的特别约定：</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由承包人自行购买工程一切保险并支付保险费。承包人未投保，产生的法律责任和后果均由承包人承担</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165D2C61">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18.3 其他保险</w:t>
      </w:r>
    </w:p>
    <w:p w14:paraId="2F45182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关于其他保险的约定：</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2FE661D0">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承包人是否应为其施工设备等办理财产保险：</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1E8EDBD1">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18.7 通知义务</w:t>
      </w:r>
    </w:p>
    <w:p w14:paraId="27B1FA35">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关于变更保险合同时的通知义务的约定：</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bookmarkEnd w:id="881"/>
    <w:bookmarkEnd w:id="882"/>
    <w:bookmarkEnd w:id="883"/>
    <w:bookmarkEnd w:id="884"/>
    <w:bookmarkEnd w:id="885"/>
    <w:bookmarkEnd w:id="886"/>
    <w:bookmarkEnd w:id="887"/>
    <w:bookmarkEnd w:id="888"/>
    <w:bookmarkEnd w:id="889"/>
    <w:bookmarkEnd w:id="890"/>
    <w:bookmarkEnd w:id="891"/>
    <w:bookmarkEnd w:id="892"/>
    <w:p w14:paraId="1750BB9C">
      <w:pPr>
        <w:pStyle w:val="5"/>
        <w:spacing w:before="120" w:after="120" w:line="360" w:lineRule="auto"/>
        <w:rPr>
          <w:rFonts w:ascii="宋体" w:hAnsi="宋体"/>
          <w:b w:val="0"/>
          <w:color w:val="auto"/>
          <w:sz w:val="24"/>
          <w:szCs w:val="24"/>
          <w:highlight w:val="none"/>
        </w:rPr>
      </w:pPr>
      <w:bookmarkStart w:id="902" w:name="_Toc351203651"/>
      <w:r>
        <w:rPr>
          <w:rFonts w:hint="eastAsia" w:ascii="宋体" w:hAnsi="宋体"/>
          <w:b w:val="0"/>
          <w:color w:val="auto"/>
          <w:sz w:val="24"/>
          <w:szCs w:val="24"/>
          <w:highlight w:val="none"/>
        </w:rPr>
        <w:t>20. 争议解决</w:t>
      </w:r>
      <w:bookmarkEnd w:id="902"/>
    </w:p>
    <w:bookmarkEnd w:id="893"/>
    <w:bookmarkEnd w:id="894"/>
    <w:p w14:paraId="61E2B654">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20.3 争</w:t>
      </w:r>
      <w:bookmarkEnd w:id="895"/>
      <w:r>
        <w:rPr>
          <w:rFonts w:hint="eastAsia" w:ascii="宋体" w:hAnsi="宋体"/>
          <w:color w:val="auto"/>
          <w:sz w:val="24"/>
          <w:szCs w:val="24"/>
          <w:highlight w:val="none"/>
        </w:rPr>
        <w:t>议评审</w:t>
      </w:r>
    </w:p>
    <w:p w14:paraId="1CFFC1CB">
      <w:pPr>
        <w:spacing w:line="360" w:lineRule="auto"/>
        <w:ind w:left="149" w:leftChars="71" w:firstLine="360" w:firstLineChars="150"/>
        <w:rPr>
          <w:rFonts w:ascii="宋体" w:hAnsi="宋体"/>
          <w:color w:val="auto"/>
          <w:sz w:val="24"/>
          <w:szCs w:val="24"/>
          <w:highlight w:val="none"/>
          <w:u w:val="single"/>
        </w:rPr>
      </w:pPr>
      <w:r>
        <w:rPr>
          <w:rFonts w:hint="eastAsia" w:ascii="宋体" w:hAnsi="宋体"/>
          <w:color w:val="auto"/>
          <w:sz w:val="24"/>
          <w:szCs w:val="24"/>
          <w:highlight w:val="none"/>
        </w:rPr>
        <w:t>合同当事人是否同意将工程争议提交争议评审小组决定：</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否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p>
    <w:p w14:paraId="2459C6D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20.3.1 争议评审小组的确定</w:t>
      </w:r>
    </w:p>
    <w:p w14:paraId="49382974">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争议评审小组成员的确定：</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4D42869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选定争议评审员的期限：</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6C8495F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争议评审小组成员的报酬承担方式：</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34418D2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其他事项的约定：</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33A2033E">
      <w:pPr>
        <w:autoSpaceDE w:val="0"/>
        <w:autoSpaceDN w:val="0"/>
        <w:adjustRightIn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20.3.2 争议评审小组的决定</w:t>
      </w:r>
    </w:p>
    <w:p w14:paraId="6B78D84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合同当事人关于本项的约定：</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22C49F81">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20.4仲裁或诉讼</w:t>
      </w:r>
      <w:bookmarkEnd w:id="896"/>
    </w:p>
    <w:p w14:paraId="3901128E">
      <w:pPr>
        <w:spacing w:after="120"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因合同及合同有关事项发生的争议，按下列第</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rPr>
        <w:t xml:space="preserve">2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种方式解决：</w:t>
      </w:r>
    </w:p>
    <w:p w14:paraId="7E2F7A4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（1）向</w:t>
      </w:r>
      <w:r>
        <w:rPr>
          <w:rFonts w:hint="eastAsia" w:ascii="宋体" w:hAnsi="宋体"/>
          <w:color w:val="auto"/>
          <w:sz w:val="24"/>
          <w:szCs w:val="24"/>
          <w:highlight w:val="none"/>
          <w:u w:val="single"/>
        </w:rPr>
        <w:t xml:space="preserve">           /          </w:t>
      </w:r>
      <w:r>
        <w:rPr>
          <w:rFonts w:hint="eastAsia" w:ascii="宋体" w:hAnsi="宋体"/>
          <w:color w:val="auto"/>
          <w:sz w:val="24"/>
          <w:szCs w:val="24"/>
          <w:highlight w:val="none"/>
        </w:rPr>
        <w:t>仲裁委员会申请仲裁；</w:t>
      </w:r>
    </w:p>
    <w:p w14:paraId="1F74552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（2）向</w:t>
      </w:r>
      <w:r>
        <w:rPr>
          <w:rFonts w:hint="eastAsia" w:ascii="宋体" w:hAnsi="宋体"/>
          <w:color w:val="auto"/>
          <w:sz w:val="24"/>
          <w:szCs w:val="24"/>
          <w:highlight w:val="none"/>
          <w:u w:val="single"/>
        </w:rPr>
        <w:t xml:space="preserve">  </w:t>
      </w:r>
      <w:r>
        <w:rPr>
          <w:rFonts w:hint="eastAsia" w:ascii="宋体" w:hAnsi="宋体"/>
          <w:b/>
          <w:bCs/>
          <w:color w:val="auto"/>
          <w:sz w:val="24"/>
          <w:szCs w:val="24"/>
          <w:highlight w:val="none"/>
          <w:u w:val="single"/>
        </w:rPr>
        <w:t xml:space="preserve">工程项目所在地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人民法院起诉。</w:t>
      </w:r>
      <w:bookmarkEnd w:id="380"/>
      <w:bookmarkEnd w:id="381"/>
      <w:bookmarkEnd w:id="382"/>
      <w:bookmarkEnd w:id="383"/>
      <w:bookmarkEnd w:id="384"/>
      <w:bookmarkEnd w:id="385"/>
      <w:bookmarkStart w:id="903" w:name="_Toc1699"/>
      <w:bookmarkStart w:id="904" w:name="_Toc144971663"/>
    </w:p>
    <w:p w14:paraId="2362D694">
      <w:pPr>
        <w:spacing w:line="360" w:lineRule="auto"/>
        <w:ind w:firstLine="480" w:firstLineChars="200"/>
        <w:jc w:val="center"/>
        <w:rPr>
          <w:color w:val="auto"/>
          <w:sz w:val="30"/>
          <w:szCs w:val="30"/>
          <w:highlight w:val="none"/>
        </w:rPr>
      </w:pPr>
      <w:r>
        <w:rPr>
          <w:rFonts w:hint="eastAsia" w:ascii="宋体" w:hAnsi="宋体"/>
          <w:color w:val="auto"/>
          <w:sz w:val="24"/>
          <w:szCs w:val="24"/>
          <w:highlight w:val="none"/>
        </w:rPr>
        <w:br w:type="page"/>
      </w:r>
      <w:r>
        <w:rPr>
          <w:rFonts w:hint="eastAsia" w:ascii="方正小标宋_GBK" w:hAnsi="方正小标宋_GBK" w:eastAsia="方正小标宋_GBK" w:cs="方正小标宋_GBK"/>
          <w:color w:val="auto"/>
          <w:sz w:val="32"/>
          <w:szCs w:val="32"/>
          <w:highlight w:val="none"/>
        </w:rPr>
        <w:t>工程廉政内容</w:t>
      </w:r>
      <w:bookmarkEnd w:id="903"/>
      <w:bookmarkEnd w:id="904"/>
    </w:p>
    <w:p w14:paraId="49C3C7AD">
      <w:pPr>
        <w:spacing w:line="440" w:lineRule="exact"/>
        <w:ind w:firstLine="493"/>
        <w:rPr>
          <w:rFonts w:ascii="宋体" w:hAnsi="宋体" w:cs="宋体"/>
          <w:color w:val="auto"/>
          <w:sz w:val="24"/>
          <w:szCs w:val="24"/>
          <w:highlight w:val="none"/>
        </w:rPr>
      </w:pPr>
      <w:r>
        <w:rPr>
          <w:rFonts w:hint="eastAsia" w:ascii="宋体" w:hAnsi="宋体" w:cs="宋体"/>
          <w:color w:val="auto"/>
          <w:sz w:val="24"/>
          <w:szCs w:val="24"/>
          <w:highlight w:val="none"/>
        </w:rPr>
        <w:t>根据有关工程建设、廉政建设的规定，为做好工程建设中的党风廉政建设，保证工程建设高效优质，保证建设资金的安全有效使用以及投资效益，本项目业主（以下简称“甲方”)  与承包人（以下简称“乙方”)，特订立如下合同。</w:t>
      </w:r>
    </w:p>
    <w:p w14:paraId="250D460D">
      <w:pPr>
        <w:spacing w:line="440" w:lineRule="exact"/>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1．甲乙双方的权利和义务</w:t>
      </w:r>
    </w:p>
    <w:p w14:paraId="26FAE20C">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（1）严格遵守党的政策规定和国家有关法律法规及交通部的有关规定。</w:t>
      </w:r>
    </w:p>
    <w:p w14:paraId="792916DD">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（2）严格执行</w:t>
      </w:r>
      <w:r>
        <w:rPr>
          <w:rFonts w:hint="eastAsia" w:ascii="宋体" w:hAnsi="宋体" w:cs="宋体"/>
          <w:b/>
          <w:bCs/>
          <w:color w:val="auto"/>
          <w:sz w:val="24"/>
          <w:szCs w:val="24"/>
          <w:highlight w:val="none"/>
          <w:u w:val="single"/>
        </w:rPr>
        <w:t xml:space="preserve">              </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的合</w:t>
      </w:r>
      <w:r>
        <w:rPr>
          <w:rFonts w:hint="eastAsia" w:ascii="宋体" w:hAnsi="宋体" w:cs="宋体"/>
          <w:color w:val="auto"/>
          <w:sz w:val="24"/>
          <w:szCs w:val="24"/>
          <w:highlight w:val="none"/>
        </w:rPr>
        <w:t>同文件，自觉按合同办事。</w:t>
      </w:r>
    </w:p>
    <w:p w14:paraId="2B853A76">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（3）双方的业务活动坚持公开、公正、诚信、透明的原则(法律认定的商业秘密和合同文件另有规定除外)，不得损害国家和集体利益，违反工程建设管理规章制度。</w:t>
      </w:r>
    </w:p>
    <w:p w14:paraId="5AFD9387">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（4）建立健全廉政制度，开展廉政教育，设立廉政告示牌，公布举报电话，监督并认真查处违法违纪行为。</w:t>
      </w:r>
    </w:p>
    <w:p w14:paraId="3459FB55">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（5）发现对方在业务活动中有违反廉政规定的行为，有及时提醒对方纠正的权利和义务。</w:t>
      </w:r>
    </w:p>
    <w:p w14:paraId="1AD13FE9">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（6）发现对方严重违反本合同义务条款的行为，有向其上级有关部门举报、建议给予处理并要求告知处理结果的权利。</w:t>
      </w:r>
    </w:p>
    <w:p w14:paraId="02BD24F4">
      <w:pPr>
        <w:spacing w:line="440" w:lineRule="exact"/>
        <w:ind w:firstLine="359"/>
        <w:rPr>
          <w:rFonts w:ascii="宋体" w:hAnsi="宋体" w:cs="宋体"/>
          <w:b/>
          <w:color w:val="auto"/>
          <w:sz w:val="24"/>
          <w:szCs w:val="24"/>
          <w:highlight w:val="none"/>
        </w:rPr>
      </w:pPr>
      <w:r>
        <w:rPr>
          <w:rFonts w:hint="eastAsia" w:ascii="宋体" w:hAnsi="宋体" w:cs="宋体"/>
          <w:b/>
          <w:color w:val="auto"/>
          <w:sz w:val="24"/>
          <w:szCs w:val="24"/>
          <w:highlight w:val="none"/>
        </w:rPr>
        <w:t xml:space="preserve"> 2．甲方的义务</w:t>
      </w:r>
    </w:p>
    <w:p w14:paraId="47230BBC">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（1）甲方及其工作人员不得索要或接受乙方的礼金、有价证券和贵重物品，不得在乙方报销任何应由甲方或甲方工作人员个人支付的费用等。</w:t>
      </w:r>
    </w:p>
    <w:p w14:paraId="5D028254">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（2）甲方工作人员不得参加乙方安排的超标准宴请和娱乐活动；不得接受乙方提供的通讯工具、交通工具和高档办公用品等。</w:t>
      </w:r>
    </w:p>
    <w:p w14:paraId="14ADDF50">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（3）甲方及其工作人员不得要求或者接受乙方为其住房装修、婚丧嫁娶活动、配偶子女的工作安排以及出国出境、旅游等提供方便等。</w:t>
      </w:r>
    </w:p>
    <w:p w14:paraId="571F455B">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（4）甲方工作人员及其配偶、子女不得从事与甲方工程有关的材料设备供应、工程分包、劳务等经济活动。</w:t>
      </w:r>
    </w:p>
    <w:p w14:paraId="6DC282CC">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（5）甲方及其工作人员不得以任何理由向乙方推荐分包单位或推销材料，不得要求乙方购买合同规定外的材料和设备。</w:t>
      </w:r>
    </w:p>
    <w:p w14:paraId="4BF13DB2">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（6）甲方工作人员要秉公办事，不准营私舞弊，不准利用职权从事各种个人有偿中介活动和安排个人施工队伍。</w:t>
      </w:r>
    </w:p>
    <w:p w14:paraId="2E08219E">
      <w:pPr>
        <w:spacing w:line="440" w:lineRule="exact"/>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3．乙方义务</w:t>
      </w:r>
    </w:p>
    <w:p w14:paraId="6536EA45">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（1）乙方不得以任何理由向甲方及其工作人员行贿或馈赠礼金、有价证券、贵重礼品。</w:t>
      </w:r>
    </w:p>
    <w:p w14:paraId="566404B3">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（2）乙方不得以任何名义为甲方及其工作人员报销应由甲方单位或个人支付的任何费用。</w:t>
      </w:r>
    </w:p>
    <w:p w14:paraId="37E3FD80">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（3）乙方不得以任何理由安排甲方工作人员参加超标准宴请及娱乐活动。</w:t>
      </w:r>
    </w:p>
    <w:p w14:paraId="49F61B02">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（4）乙方不得为甲方单位和个人购置或提供通讯工具、交通工具和高档办公用品等。</w:t>
      </w:r>
    </w:p>
    <w:p w14:paraId="44BA3A52">
      <w:pPr>
        <w:spacing w:line="440" w:lineRule="exact"/>
        <w:ind w:firstLine="359"/>
        <w:rPr>
          <w:rFonts w:ascii="宋体" w:hAnsi="宋体" w:cs="宋体"/>
          <w:b/>
          <w:color w:val="auto"/>
          <w:sz w:val="24"/>
          <w:szCs w:val="24"/>
          <w:highlight w:val="none"/>
        </w:rPr>
      </w:pPr>
      <w:r>
        <w:rPr>
          <w:rFonts w:hint="eastAsia" w:ascii="宋体" w:hAnsi="宋体" w:cs="宋体"/>
          <w:b/>
          <w:color w:val="auto"/>
          <w:sz w:val="24"/>
          <w:szCs w:val="24"/>
          <w:highlight w:val="none"/>
        </w:rPr>
        <w:t>4．违约责任</w:t>
      </w:r>
    </w:p>
    <w:p w14:paraId="71D2B476">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（1）甲方及其工作人员违反本合同第一、二条，按管理权限，依据有关规定给予党纪、政纪或组织处理；涉嫌犯罪的，移交司法机关追究刑事责任；给乙方单位造成经济损失的，应予以赔偿。</w:t>
      </w:r>
    </w:p>
    <w:p w14:paraId="5C627860">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（2）乙方及其工作人员违反本合同第一、三条，按管理权限，依据有关规定给予党纪、政纪或组织处理；给甲方单位造成经济损失的，应予以赔偿；情节严重的，甲方建议相关主管部门对乙方予以处理。</w:t>
      </w:r>
    </w:p>
    <w:p w14:paraId="46393526">
      <w:pPr>
        <w:spacing w:line="440" w:lineRule="exact"/>
        <w:ind w:firstLine="359"/>
        <w:rPr>
          <w:rFonts w:ascii="宋体" w:hAnsi="宋体" w:cs="宋体"/>
          <w:color w:val="auto"/>
          <w:sz w:val="24"/>
          <w:szCs w:val="24"/>
          <w:highlight w:val="none"/>
        </w:rPr>
      </w:pPr>
      <w:r>
        <w:rPr>
          <w:rFonts w:hint="eastAsia" w:ascii="宋体" w:hAnsi="宋体" w:cs="宋体"/>
          <w:b/>
          <w:color w:val="auto"/>
          <w:sz w:val="24"/>
          <w:szCs w:val="24"/>
          <w:highlight w:val="none"/>
        </w:rPr>
        <w:t>5．双方约定：</w:t>
      </w:r>
    </w:p>
    <w:p w14:paraId="50054605">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本合同由双方或双方上级单位的纪检监察机关负责监督执行。由甲方或甲方上级单位的纪检监察机关约请乙方或乙方上级单位纪检监察机关对本合同执行情况进行检查，提出在本合同规定范围内的裁定意见。</w:t>
      </w:r>
    </w:p>
    <w:p w14:paraId="345CD819">
      <w:pPr>
        <w:spacing w:line="440" w:lineRule="exact"/>
        <w:ind w:firstLine="359"/>
        <w:rPr>
          <w:rFonts w:ascii="宋体" w:hAnsi="宋体" w:cs="宋体"/>
          <w:color w:val="auto"/>
          <w:sz w:val="24"/>
          <w:szCs w:val="24"/>
          <w:highlight w:val="none"/>
        </w:rPr>
      </w:pPr>
      <w:bookmarkStart w:id="905" w:name="_Toc144971662"/>
      <w:r>
        <w:rPr>
          <w:rFonts w:hint="eastAsia" w:ascii="宋体" w:hAnsi="宋体" w:cs="宋体"/>
          <w:b/>
          <w:color w:val="auto"/>
          <w:sz w:val="24"/>
          <w:szCs w:val="24"/>
          <w:highlight w:val="none"/>
        </w:rPr>
        <w:t>6．生效条件：</w:t>
      </w:r>
    </w:p>
    <w:p w14:paraId="65AB398C">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工程廉政内容随主合同的签署生效。</w:t>
      </w:r>
    </w:p>
    <w:p w14:paraId="2929347F">
      <w:pPr>
        <w:spacing w:line="440" w:lineRule="exact"/>
        <w:ind w:firstLine="600" w:firstLineChars="200"/>
        <w:jc w:val="center"/>
        <w:rPr>
          <w:color w:val="auto"/>
          <w:sz w:val="30"/>
          <w:szCs w:val="30"/>
          <w:highlight w:val="none"/>
        </w:rPr>
      </w:pPr>
      <w:r>
        <w:rPr>
          <w:rFonts w:hint="eastAsia"/>
          <w:color w:val="auto"/>
          <w:sz w:val="30"/>
          <w:szCs w:val="30"/>
          <w:highlight w:val="none"/>
        </w:rPr>
        <w:br w:type="page"/>
      </w:r>
      <w:bookmarkStart w:id="906" w:name="_Toc3494"/>
      <w:bookmarkStart w:id="907" w:name="_Toc7438"/>
      <w:r>
        <w:rPr>
          <w:rFonts w:hint="eastAsia" w:ascii="方正小标宋_GBK" w:hAnsi="方正小标宋_GBK" w:eastAsia="方正小标宋_GBK" w:cs="方正小标宋_GBK"/>
          <w:bCs/>
          <w:color w:val="auto"/>
          <w:sz w:val="32"/>
          <w:szCs w:val="32"/>
          <w:highlight w:val="none"/>
        </w:rPr>
        <w:t>安全生产</w:t>
      </w:r>
      <w:bookmarkEnd w:id="905"/>
      <w:r>
        <w:rPr>
          <w:rFonts w:hint="eastAsia" w:ascii="方正小标宋_GBK" w:hAnsi="方正小标宋_GBK" w:eastAsia="方正小标宋_GBK" w:cs="方正小标宋_GBK"/>
          <w:bCs/>
          <w:color w:val="auto"/>
          <w:sz w:val="32"/>
          <w:szCs w:val="32"/>
          <w:highlight w:val="none"/>
        </w:rPr>
        <w:t>内容</w:t>
      </w:r>
      <w:bookmarkEnd w:id="906"/>
      <w:bookmarkEnd w:id="907"/>
    </w:p>
    <w:p w14:paraId="3A7B3588">
      <w:pPr>
        <w:spacing w:line="48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为在</w:t>
      </w:r>
      <w:r>
        <w:rPr>
          <w:rFonts w:hint="eastAsia" w:ascii="宋体" w:hAnsi="宋体" w:cs="宋体"/>
          <w:b/>
          <w:bCs/>
          <w:color w:val="auto"/>
          <w:sz w:val="24"/>
          <w:szCs w:val="24"/>
          <w:highlight w:val="none"/>
          <w:u w:val="single"/>
        </w:rPr>
        <w:t xml:space="preserve">               </w:t>
      </w:r>
      <w:r>
        <w:rPr>
          <w:rFonts w:hint="eastAsia" w:ascii="宋体" w:hAnsi="宋体" w:cs="宋体"/>
          <w:color w:val="auto"/>
          <w:sz w:val="24"/>
          <w:szCs w:val="24"/>
          <w:highlight w:val="none"/>
        </w:rPr>
        <w:t>的实施过程中创造安全、高效的施工环境，切实搞好本项目的安全管理工作，本项目业主(以下简称“甲方”)与承包人</w:t>
      </w:r>
      <w:r>
        <w:rPr>
          <w:rFonts w:hint="eastAsia" w:ascii="宋体" w:hAnsi="宋体" w:cs="宋体"/>
          <w:b/>
          <w:bCs/>
          <w:color w:val="auto"/>
          <w:sz w:val="24"/>
          <w:szCs w:val="24"/>
          <w:highlight w:val="none"/>
          <w:u w:val="single"/>
        </w:rPr>
        <w:t xml:space="preserve">         </w:t>
      </w:r>
      <w:r>
        <w:rPr>
          <w:rFonts w:ascii="宋体" w:hAnsi="宋体" w:cs="宋体"/>
          <w:b/>
          <w:bCs/>
          <w:color w:val="auto"/>
          <w:sz w:val="24"/>
          <w:szCs w:val="24"/>
          <w:highlight w:val="none"/>
          <w:u w:val="single"/>
        </w:rPr>
        <w:t xml:space="preserve"> </w:t>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以下简称“乙方”)特此签订安全生产合同：</w:t>
      </w:r>
    </w:p>
    <w:p w14:paraId="4D1D59A0">
      <w:pPr>
        <w:spacing w:line="480" w:lineRule="exact"/>
        <w:ind w:firstLine="540"/>
        <w:rPr>
          <w:rFonts w:ascii="宋体" w:hAnsi="宋体" w:cs="宋体"/>
          <w:b/>
          <w:color w:val="auto"/>
          <w:sz w:val="24"/>
          <w:szCs w:val="24"/>
          <w:highlight w:val="none"/>
        </w:rPr>
      </w:pPr>
      <w:r>
        <w:rPr>
          <w:rFonts w:hint="eastAsia" w:ascii="宋体" w:hAnsi="宋体" w:cs="宋体"/>
          <w:b/>
          <w:color w:val="auto"/>
          <w:sz w:val="24"/>
          <w:szCs w:val="24"/>
          <w:highlight w:val="none"/>
        </w:rPr>
        <w:t>一、甲方职责</w:t>
      </w:r>
    </w:p>
    <w:p w14:paraId="204BF1AA">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1．严格遵守国家有关安全生产的法律法规，认真执行工程承包合同中的有关安全要求。</w:t>
      </w:r>
    </w:p>
    <w:p w14:paraId="2EDB1A23">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2．按照“安全第一、预防为主”和坚持“管生产必须管安全”的原则进行安全生产管理，做到生产与安全工作同时计划、布置、检查、总结和评比。</w:t>
      </w:r>
    </w:p>
    <w:p w14:paraId="618528C8">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3．重要的安全设施必须坚持与主体工程“三同时”的原则，即：同时设计、审批，同时施工，同时验收，投入使用。</w:t>
      </w:r>
    </w:p>
    <w:p w14:paraId="78EB93E5">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4．定期召开安全生产调度会，及时传达中央及地方有关安全生产的精神。</w:t>
      </w:r>
    </w:p>
    <w:p w14:paraId="6B57F37F">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5．组织对乙方施工现场安全生产检查，监督乙方及时处理发现的各种安全隐患。</w:t>
      </w:r>
    </w:p>
    <w:p w14:paraId="1BC31212">
      <w:pPr>
        <w:spacing w:line="480" w:lineRule="exact"/>
        <w:ind w:firstLine="359"/>
        <w:rPr>
          <w:rFonts w:ascii="宋体" w:hAnsi="宋体" w:cs="宋体"/>
          <w:b/>
          <w:color w:val="auto"/>
          <w:sz w:val="24"/>
          <w:szCs w:val="24"/>
          <w:highlight w:val="none"/>
        </w:rPr>
      </w:pPr>
      <w:r>
        <w:rPr>
          <w:rFonts w:hint="eastAsia" w:ascii="宋体" w:hAnsi="宋体" w:cs="宋体"/>
          <w:b/>
          <w:color w:val="auto"/>
          <w:sz w:val="24"/>
          <w:szCs w:val="24"/>
          <w:highlight w:val="none"/>
        </w:rPr>
        <w:t>二、乙方职责</w:t>
      </w:r>
    </w:p>
    <w:p w14:paraId="436583ED">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1.严格遵守国家有关安全生产的法律法规，认真执行工程承包合同中的有关安全要求。</w:t>
      </w:r>
    </w:p>
    <w:p w14:paraId="247E3018">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59AEED82">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1F0CCD9A">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4.乙方在任何时候都应采取各种合理的预防措施，防止其员工发生任何违法、违禁、暴力或妨碍治安的行为。</w:t>
      </w:r>
    </w:p>
    <w:p w14:paraId="2D24DBE5">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50AA18FE">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395ED145">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7.操作人员上岗，必须按规定穿戴防护用品。施工负责人和安全检查员应随时检查劳动防护用品的穿戴情况，不按规定穿戴防护用品的人员不得上岗。</w:t>
      </w:r>
    </w:p>
    <w:p w14:paraId="42BF8BEA">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8．所有施工机具设备和高空作业的设备均应定期检查，并有安全员的签字记录，保证其经常处于完好状态；不合格的机具、设备和劳动保护用品严禁使用。</w:t>
      </w:r>
    </w:p>
    <w:p w14:paraId="267FA581">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9．施工中采用新技术、新工艺、新设备、新材料时，必须制定相应的安全技术措施，施工现场必须具有相关的安全标志牌。</w:t>
      </w:r>
    </w:p>
    <w:p w14:paraId="054E6590">
      <w:pPr>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10．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14:paraId="4023FABC">
      <w:pPr>
        <w:spacing w:line="480" w:lineRule="exact"/>
        <w:ind w:firstLine="378"/>
        <w:rPr>
          <w:rFonts w:ascii="宋体" w:hAnsi="宋体" w:cs="宋体"/>
          <w:b/>
          <w:color w:val="auto"/>
          <w:sz w:val="24"/>
          <w:szCs w:val="24"/>
          <w:highlight w:val="none"/>
        </w:rPr>
      </w:pPr>
      <w:r>
        <w:rPr>
          <w:rFonts w:hint="eastAsia" w:ascii="宋体" w:hAnsi="宋体" w:cs="宋体"/>
          <w:b/>
          <w:color w:val="auto"/>
          <w:sz w:val="24"/>
          <w:szCs w:val="24"/>
          <w:highlight w:val="none"/>
        </w:rPr>
        <w:t>三、违约责任</w:t>
      </w:r>
    </w:p>
    <w:p w14:paraId="4386FE31">
      <w:pPr>
        <w:spacing w:line="440" w:lineRule="exact"/>
        <w:ind w:firstLine="359"/>
        <w:rPr>
          <w:rFonts w:ascii="宋体" w:hAnsi="宋体" w:cs="宋体"/>
          <w:b/>
          <w:color w:val="auto"/>
          <w:sz w:val="24"/>
          <w:szCs w:val="24"/>
          <w:highlight w:val="none"/>
        </w:rPr>
      </w:pPr>
      <w:r>
        <w:rPr>
          <w:rFonts w:hint="eastAsia" w:ascii="宋体" w:hAnsi="宋体" w:cs="宋体"/>
          <w:color w:val="auto"/>
          <w:sz w:val="24"/>
          <w:szCs w:val="24"/>
          <w:highlight w:val="none"/>
        </w:rPr>
        <w:t>如因甲方或乙方违约造成安全事故，将依法追究责任。</w:t>
      </w:r>
      <w:r>
        <w:rPr>
          <w:rFonts w:hint="eastAsia" w:ascii="宋体" w:hAnsi="宋体" w:cs="宋体"/>
          <w:b/>
          <w:color w:val="auto"/>
          <w:sz w:val="24"/>
          <w:szCs w:val="24"/>
          <w:highlight w:val="none"/>
        </w:rPr>
        <w:t xml:space="preserve"> </w:t>
      </w:r>
    </w:p>
    <w:p w14:paraId="0893D2C4">
      <w:pPr>
        <w:spacing w:line="440" w:lineRule="exact"/>
        <w:ind w:firstLine="359"/>
        <w:rPr>
          <w:rFonts w:ascii="宋体" w:hAnsi="宋体" w:cs="宋体"/>
          <w:color w:val="auto"/>
          <w:sz w:val="24"/>
          <w:szCs w:val="24"/>
          <w:highlight w:val="none"/>
        </w:rPr>
      </w:pPr>
      <w:r>
        <w:rPr>
          <w:rFonts w:hint="eastAsia" w:ascii="宋体" w:hAnsi="宋体" w:cs="宋体"/>
          <w:b/>
          <w:color w:val="auto"/>
          <w:sz w:val="24"/>
          <w:szCs w:val="24"/>
          <w:highlight w:val="none"/>
        </w:rPr>
        <w:t>四、生效条件：</w:t>
      </w:r>
    </w:p>
    <w:p w14:paraId="53F80A8E">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安全生产内容随主合同的签署生效。</w:t>
      </w:r>
    </w:p>
    <w:p w14:paraId="2A35EEA8">
      <w:pPr>
        <w:spacing w:line="440" w:lineRule="exact"/>
        <w:ind w:firstLine="480" w:firstLineChars="200"/>
        <w:jc w:val="center"/>
        <w:rPr>
          <w:rFonts w:ascii="宋体" w:hAnsi="宋体"/>
          <w:b/>
          <w:color w:val="auto"/>
          <w:sz w:val="28"/>
          <w:szCs w:val="28"/>
          <w:highlight w:val="none"/>
        </w:rPr>
      </w:pPr>
      <w:r>
        <w:rPr>
          <w:rFonts w:hint="eastAsia" w:ascii="宋体" w:hAnsi="宋体" w:cs="宋体"/>
          <w:color w:val="auto"/>
          <w:sz w:val="24"/>
          <w:szCs w:val="24"/>
          <w:highlight w:val="none"/>
        </w:rPr>
        <w:br w:type="page"/>
      </w:r>
      <w:r>
        <w:rPr>
          <w:rFonts w:hint="eastAsia" w:ascii="方正小标宋_GBK" w:hAnsi="方正小标宋_GBK" w:eastAsia="方正小标宋_GBK" w:cs="方正小标宋_GBK"/>
          <w:bCs/>
          <w:color w:val="auto"/>
          <w:sz w:val="32"/>
          <w:szCs w:val="32"/>
          <w:highlight w:val="none"/>
        </w:rPr>
        <w:t>工程质量保修书</w:t>
      </w:r>
    </w:p>
    <w:p w14:paraId="4643BBF5">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发包人（全称）：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腾冲市团田乡人民政府</w:t>
      </w:r>
      <w:r>
        <w:rPr>
          <w:rFonts w:hint="eastAsia" w:ascii="宋体" w:hAnsi="宋体"/>
          <w:color w:val="auto"/>
          <w:sz w:val="24"/>
          <w:szCs w:val="24"/>
          <w:highlight w:val="none"/>
          <w:u w:val="single"/>
        </w:rPr>
        <w:t xml:space="preserve"> </w:t>
      </w:r>
    </w:p>
    <w:p w14:paraId="06199DC4">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承包人（全称）：</w:t>
      </w:r>
      <w:r>
        <w:rPr>
          <w:rFonts w:hint="eastAsia" w:ascii="宋体" w:hAnsi="宋体"/>
          <w:color w:val="auto"/>
          <w:sz w:val="24"/>
          <w:szCs w:val="24"/>
          <w:highlight w:val="none"/>
          <w:u w:val="single"/>
        </w:rPr>
        <w:t xml:space="preserve">               </w:t>
      </w:r>
    </w:p>
    <w:p w14:paraId="6FADCDA7">
      <w:pPr>
        <w:rPr>
          <w:rFonts w:ascii="宋体" w:hAnsi="宋体"/>
          <w:color w:val="auto"/>
          <w:sz w:val="24"/>
          <w:szCs w:val="24"/>
          <w:highlight w:val="none"/>
        </w:rPr>
      </w:pPr>
    </w:p>
    <w:p w14:paraId="72580AC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为保证</w:t>
      </w:r>
      <w:r>
        <w:rPr>
          <w:rFonts w:hint="eastAsia" w:ascii="宋体" w:hAnsi="宋体"/>
          <w:color w:val="auto"/>
          <w:sz w:val="24"/>
          <w:szCs w:val="24"/>
          <w:highlight w:val="none"/>
          <w:u w:val="single"/>
        </w:rPr>
        <w:t xml:space="preserve"> </w:t>
      </w:r>
      <w:r>
        <w:rPr>
          <w:rFonts w:hint="eastAsia" w:ascii="宋体" w:hAnsi="宋体"/>
          <w:b/>
          <w:bCs/>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在合理使用期限内正常使用，发包人承包人协商一致签订工程质量保修书。承包人在质量保修期内按照有关管理规定及双方约定承担工程质量保修责任。</w:t>
      </w:r>
    </w:p>
    <w:p w14:paraId="6110FB2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一、工程质量保修范围和内容</w:t>
      </w:r>
    </w:p>
    <w:p w14:paraId="391AAD6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质量保修范围包括地基基础工程、主体结构工程、屋面防水工程和双方约定的其他土建工程，以及电气管线、上下水管线的安装工程，供热、供冷系统工程，装饰装修工程、消防工程等项目。具体质量保修内容双方约定如下：</w:t>
      </w:r>
    </w:p>
    <w:p w14:paraId="1C9643A7">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u w:val="single"/>
        </w:rPr>
        <w:t>保修期按照《建筑工程质量管理条例》执行，在保修期内承包人负责对出现的质量问题免费维修。保修期外出现的质量问题承包人有义务进行维修，发包人支付材料、人工费。保修范围为本工程实际发生所有施工内容。</w:t>
      </w:r>
    </w:p>
    <w:p w14:paraId="3EEBFBBE">
      <w:pPr>
        <w:spacing w:line="360" w:lineRule="auto"/>
        <w:ind w:firstLine="480" w:firstLineChars="200"/>
        <w:rPr>
          <w:rFonts w:ascii="宋体" w:hAnsi="宋体" w:cs="宋体"/>
          <w:color w:val="auto"/>
          <w:sz w:val="24"/>
          <w:szCs w:val="24"/>
          <w:highlight w:val="none"/>
          <w:u w:val="single"/>
        </w:rPr>
      </w:pPr>
      <w:bookmarkStart w:id="908" w:name="_Toc144971657"/>
      <w:r>
        <w:rPr>
          <w:rFonts w:hint="eastAsia" w:ascii="宋体" w:hAnsi="宋体" w:cs="宋体"/>
          <w:color w:val="auto"/>
          <w:sz w:val="24"/>
          <w:szCs w:val="24"/>
          <w:highlight w:val="none"/>
        </w:rPr>
        <w:t>二、质量保修期</w:t>
      </w:r>
      <w:bookmarkEnd w:id="908"/>
    </w:p>
    <w:p w14:paraId="30AF2E0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根据《建设工程质量管理条例》及有关规定，工程的质量保修期如下：</w:t>
      </w:r>
    </w:p>
    <w:p w14:paraId="7EFE8B5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1．地基基础工程和主体结构工程为设计文件规定的工程合理使用年限；</w:t>
      </w:r>
    </w:p>
    <w:p w14:paraId="08D6EE5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2．屋面防水工程、有防水要求的卫生间、房间和外墙面的防渗为</w:t>
      </w:r>
      <w:r>
        <w:rPr>
          <w:rFonts w:hint="eastAsia" w:ascii="宋体" w:hAnsi="宋体" w:cs="宋体"/>
          <w:color w:val="auto"/>
          <w:sz w:val="24"/>
          <w:szCs w:val="24"/>
          <w:highlight w:val="none"/>
          <w:u w:val="single"/>
        </w:rPr>
        <w:t xml:space="preserve">  5  </w:t>
      </w:r>
      <w:r>
        <w:rPr>
          <w:rFonts w:hint="eastAsia" w:ascii="宋体" w:hAnsi="宋体" w:cs="宋体"/>
          <w:color w:val="auto"/>
          <w:sz w:val="24"/>
          <w:szCs w:val="24"/>
          <w:highlight w:val="none"/>
        </w:rPr>
        <w:t>年；</w:t>
      </w:r>
    </w:p>
    <w:p w14:paraId="4DB235E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3．装修工程为</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年；</w:t>
      </w:r>
    </w:p>
    <w:p w14:paraId="76217F5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4．电气管线、给排水管道、设备安装工程为</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年；</w:t>
      </w:r>
    </w:p>
    <w:p w14:paraId="5B05252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5．供热与供冷系统为</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个采暖期、供冷期；</w:t>
      </w:r>
    </w:p>
    <w:p w14:paraId="5440D23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6．住宅小区内的给排水设施、道路等配套工程为</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年；</w:t>
      </w:r>
    </w:p>
    <w:p w14:paraId="2AE6018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7．其他项目保修期限约定如下：。</w:t>
      </w:r>
    </w:p>
    <w:p w14:paraId="3ED26F07">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w:t>
      </w:r>
      <w:r>
        <w:rPr>
          <w:rFonts w:hint="eastAsia" w:ascii="宋体" w:hAnsi="宋体"/>
          <w:b/>
          <w:bCs/>
          <w:color w:val="auto"/>
          <w:sz w:val="24"/>
          <w:szCs w:val="24"/>
          <w:highlight w:val="none"/>
          <w:u w:val="single"/>
        </w:rPr>
        <w:t>本项目质保期</w:t>
      </w:r>
      <w:r>
        <w:rPr>
          <w:rFonts w:hint="eastAsia" w:ascii="宋体" w:hAnsi="宋体" w:cs="宋体"/>
          <w:b/>
          <w:bCs/>
          <w:color w:val="auto"/>
          <w:sz w:val="24"/>
          <w:szCs w:val="24"/>
          <w:highlight w:val="none"/>
          <w:u w:val="single"/>
        </w:rPr>
        <w:t>壹</w:t>
      </w:r>
      <w:r>
        <w:rPr>
          <w:rFonts w:hint="eastAsia" w:ascii="宋体" w:hAnsi="宋体"/>
          <w:b/>
          <w:bCs/>
          <w:color w:val="auto"/>
          <w:sz w:val="24"/>
          <w:szCs w:val="24"/>
          <w:highlight w:val="none"/>
          <w:u w:val="single"/>
        </w:rPr>
        <w:t>年，质量保修期自工程竣工验收合格之日起计算。</w:t>
      </w:r>
    </w:p>
    <w:p w14:paraId="06A4636A">
      <w:pPr>
        <w:spacing w:line="360" w:lineRule="auto"/>
        <w:ind w:firstLine="480" w:firstLineChars="200"/>
        <w:outlineLvl w:val="9"/>
        <w:rPr>
          <w:rFonts w:ascii="宋体" w:hAnsi="宋体" w:cs="宋体"/>
          <w:color w:val="auto"/>
          <w:sz w:val="24"/>
          <w:szCs w:val="24"/>
          <w:highlight w:val="none"/>
        </w:rPr>
      </w:pPr>
      <w:bookmarkStart w:id="909" w:name="_Toc2678"/>
      <w:bookmarkStart w:id="910" w:name="_Toc144971658"/>
      <w:r>
        <w:rPr>
          <w:rFonts w:hint="eastAsia" w:ascii="宋体" w:hAnsi="宋体" w:cs="宋体"/>
          <w:color w:val="auto"/>
          <w:sz w:val="24"/>
          <w:szCs w:val="24"/>
          <w:highlight w:val="none"/>
        </w:rPr>
        <w:t>三、缺陷责任期</w:t>
      </w:r>
      <w:bookmarkEnd w:id="909"/>
      <w:bookmarkEnd w:id="910"/>
    </w:p>
    <w:p w14:paraId="7BD4BD9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工程缺陷责任期为</w:t>
      </w:r>
      <w:r>
        <w:rPr>
          <w:rFonts w:hint="eastAsia" w:ascii="宋体" w:hAnsi="宋体" w:cs="宋体"/>
          <w:color w:val="auto"/>
          <w:sz w:val="24"/>
          <w:szCs w:val="24"/>
          <w:highlight w:val="none"/>
          <w:u w:val="single"/>
        </w:rPr>
        <w:t>12</w:t>
      </w:r>
      <w:r>
        <w:rPr>
          <w:rFonts w:hint="eastAsia" w:ascii="宋体" w:hAnsi="宋体" w:cs="宋体"/>
          <w:color w:val="auto"/>
          <w:sz w:val="24"/>
          <w:szCs w:val="24"/>
          <w:highlight w:val="none"/>
        </w:rPr>
        <w:t>个月，缺陷责任期自工程通过竣工验收之日起计算。单位工程先于全部工程进行验收，单位工程缺陷责任期自单位工程验收合格之日起算。</w:t>
      </w:r>
    </w:p>
    <w:p w14:paraId="52344E1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缺陷责任期终止后，发包人应退还剩余的质量保证金。</w:t>
      </w:r>
    </w:p>
    <w:p w14:paraId="3B0D00C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四、质量保修责任</w:t>
      </w:r>
    </w:p>
    <w:p w14:paraId="3B11FEC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1、属于保修范围和内容的项目，承包人应在接到修理通知之日后2天内派人修理。承包人不在约定期限内派人修理，发包人可委托其他人员修理，保修费用从质量保修金内扣除。</w:t>
      </w:r>
    </w:p>
    <w:p w14:paraId="1E20007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2、发生须紧急抢修事故（如上水跑水、暖气漏水漏气、燃气漏气等），承包人接到事故通知后，应立即到达事故现场抢修。非承包人施工质量引起的事故，抢修费用由发包人承担。</w:t>
      </w:r>
    </w:p>
    <w:p w14:paraId="457FC22E">
      <w:pPr>
        <w:spacing w:line="360" w:lineRule="auto"/>
        <w:ind w:left="105" w:leftChars="50" w:firstLine="491" w:firstLineChars="205"/>
        <w:rPr>
          <w:rFonts w:ascii="宋体" w:hAnsi="宋体" w:cs="宋体"/>
          <w:color w:val="auto"/>
          <w:sz w:val="24"/>
          <w:szCs w:val="24"/>
          <w:highlight w:val="none"/>
        </w:rPr>
      </w:pPr>
      <w:r>
        <w:rPr>
          <w:rFonts w:hint="eastAsia" w:ascii="宋体" w:hAnsi="宋体" w:cs="宋体"/>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9917211">
      <w:pPr>
        <w:spacing w:line="360" w:lineRule="auto"/>
        <w:ind w:left="420" w:leftChars="200" w:firstLine="120" w:firstLineChars="50"/>
        <w:rPr>
          <w:rFonts w:ascii="宋体" w:hAnsi="宋体" w:cs="宋体"/>
          <w:color w:val="auto"/>
          <w:sz w:val="24"/>
          <w:szCs w:val="24"/>
          <w:highlight w:val="none"/>
        </w:rPr>
      </w:pPr>
      <w:r>
        <w:rPr>
          <w:rFonts w:hint="eastAsia" w:ascii="宋体" w:hAnsi="宋体" w:cs="宋体"/>
          <w:color w:val="auto"/>
          <w:sz w:val="24"/>
          <w:szCs w:val="24"/>
          <w:highlight w:val="none"/>
        </w:rPr>
        <w:t>4．质量保修完成后，由发包人组织验收。</w:t>
      </w:r>
    </w:p>
    <w:p w14:paraId="587AFC1D">
      <w:pPr>
        <w:spacing w:line="360" w:lineRule="auto"/>
        <w:ind w:firstLine="480" w:firstLineChars="200"/>
        <w:outlineLvl w:val="9"/>
        <w:rPr>
          <w:rFonts w:ascii="宋体" w:hAnsi="宋体" w:cs="宋体"/>
          <w:color w:val="auto"/>
          <w:sz w:val="24"/>
          <w:szCs w:val="24"/>
          <w:highlight w:val="none"/>
        </w:rPr>
      </w:pPr>
      <w:bookmarkStart w:id="911" w:name="_Toc9323"/>
      <w:bookmarkStart w:id="912" w:name="_Toc144971660"/>
      <w:r>
        <w:rPr>
          <w:rFonts w:hint="eastAsia" w:ascii="宋体" w:hAnsi="宋体" w:cs="宋体"/>
          <w:color w:val="auto"/>
          <w:sz w:val="24"/>
          <w:szCs w:val="24"/>
          <w:highlight w:val="none"/>
        </w:rPr>
        <w:t>五、保修费用</w:t>
      </w:r>
      <w:bookmarkEnd w:id="911"/>
      <w:bookmarkEnd w:id="912"/>
    </w:p>
    <w:p w14:paraId="34497559">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保修费用由造成质量缺陷的责任方承担。</w:t>
      </w:r>
    </w:p>
    <w:p w14:paraId="3EDB526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六、其他</w:t>
      </w:r>
    </w:p>
    <w:p w14:paraId="1147CDD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双方约定的其他工程质量保修事项：</w:t>
      </w:r>
    </w:p>
    <w:p w14:paraId="0A95ACD6">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u w:val="single"/>
        </w:rPr>
        <w:t>双方约定的其他工程质量保修事项：参照《建筑工程质量管理条例》及相关规定执行。</w:t>
      </w:r>
    </w:p>
    <w:p w14:paraId="33A20787">
      <w:pPr>
        <w:spacing w:line="360" w:lineRule="auto"/>
        <w:ind w:firstLine="456" w:firstLineChars="190"/>
        <w:rPr>
          <w:rFonts w:ascii="宋体" w:hAnsi="宋体" w:cs="宋体"/>
          <w:color w:val="auto"/>
          <w:sz w:val="24"/>
          <w:szCs w:val="24"/>
          <w:highlight w:val="none"/>
        </w:rPr>
      </w:pPr>
      <w:r>
        <w:rPr>
          <w:rFonts w:hint="eastAsia" w:ascii="宋体" w:hAnsi="宋体" w:cs="宋体"/>
          <w:color w:val="auto"/>
          <w:sz w:val="24"/>
          <w:szCs w:val="24"/>
          <w:highlight w:val="none"/>
        </w:rPr>
        <w:t>工程质量保修书由发包人、承包人在工程竣工验收前共同签署，作为施工合同附件，其有效期限至保修期满。</w:t>
      </w:r>
    </w:p>
    <w:bookmarkEnd w:id="359"/>
    <w:p w14:paraId="779066F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七、生效条件：</w:t>
      </w:r>
    </w:p>
    <w:p w14:paraId="57FFCAD1">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宋体" w:hAnsi="宋体"/>
          <w:color w:val="auto"/>
          <w:sz w:val="24"/>
          <w:szCs w:val="24"/>
          <w:highlight w:val="none"/>
        </w:rPr>
        <w:t>工程质量保修书内容随主合同的签署生效。</w:t>
      </w:r>
    </w:p>
    <w:p w14:paraId="7175C147">
      <w:pPr>
        <w:autoSpaceDE w:val="0"/>
        <w:autoSpaceDN w:val="0"/>
        <w:adjustRightInd w:val="0"/>
        <w:spacing w:line="300" w:lineRule="auto"/>
        <w:ind w:right="-72"/>
        <w:rPr>
          <w:rFonts w:asciiTheme="minorEastAsia" w:hAnsiTheme="minorEastAsia" w:eastAsiaTheme="minorEastAsia" w:cstheme="minorEastAsia"/>
          <w:color w:val="auto"/>
          <w:highlight w:val="none"/>
        </w:rPr>
      </w:pPr>
    </w:p>
    <w:p w14:paraId="3D9B00C1">
      <w:pPr>
        <w:snapToGrid w:val="0"/>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highlight w:val="none"/>
        </w:rPr>
        <w:br w:type="page"/>
      </w:r>
    </w:p>
    <w:p w14:paraId="2B6E39A2">
      <w:pPr>
        <w:pStyle w:val="3"/>
        <w:numPr>
          <w:ilvl w:val="0"/>
          <w:numId w:val="0"/>
        </w:numPr>
        <w:tabs>
          <w:tab w:val="clear" w:pos="1665"/>
        </w:tabs>
        <w:jc w:val="center"/>
        <w:rPr>
          <w:rFonts w:asciiTheme="minorEastAsia" w:hAnsiTheme="minorEastAsia" w:eastAsiaTheme="minorEastAsia" w:cstheme="minorEastAsia"/>
          <w:color w:val="auto"/>
          <w:sz w:val="36"/>
          <w:szCs w:val="36"/>
          <w:highlight w:val="none"/>
        </w:rPr>
      </w:pPr>
      <w:bookmarkStart w:id="913" w:name="_Toc22876"/>
      <w:bookmarkStart w:id="914" w:name="_Toc31352"/>
      <w:r>
        <w:rPr>
          <w:rFonts w:hint="eastAsia" w:asciiTheme="minorEastAsia" w:hAnsiTheme="minorEastAsia" w:eastAsiaTheme="minorEastAsia" w:cstheme="minorEastAsia"/>
          <w:color w:val="auto"/>
          <w:sz w:val="36"/>
          <w:szCs w:val="36"/>
          <w:highlight w:val="none"/>
        </w:rPr>
        <w:t>第四章  响应文件格式</w:t>
      </w:r>
      <w:bookmarkEnd w:id="913"/>
      <w:bookmarkEnd w:id="914"/>
    </w:p>
    <w:p w14:paraId="35BF454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color w:val="auto"/>
          <w:sz w:val="44"/>
          <w:szCs w:val="44"/>
          <w:highlight w:val="none"/>
          <w:lang w:eastAsia="zh-CN"/>
        </w:rPr>
      </w:pPr>
    </w:p>
    <w:p w14:paraId="5B39FBF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heme="minorEastAsia" w:hAnsiTheme="minorEastAsia" w:eastAsiaTheme="minorEastAsia" w:cstheme="minorEastAsia"/>
          <w:b/>
          <w:color w:val="auto"/>
          <w:sz w:val="44"/>
          <w:szCs w:val="44"/>
          <w:highlight w:val="none"/>
          <w:lang w:eastAsia="zh-CN"/>
        </w:rPr>
      </w:pPr>
    </w:p>
    <w:p w14:paraId="67CF1AC1">
      <w:pPr>
        <w:spacing w:line="360" w:lineRule="auto"/>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44"/>
          <w:szCs w:val="44"/>
          <w:highlight w:val="none"/>
          <w:lang w:eastAsia="zh-CN"/>
        </w:rPr>
        <w:t>2026年保山市腾冲市团田乡弄玲村农村公益事业建设财政奖补项目(普惠)</w:t>
      </w:r>
    </w:p>
    <w:p w14:paraId="7EAC71E3">
      <w:pPr>
        <w:spacing w:line="360" w:lineRule="auto"/>
        <w:jc w:val="center"/>
        <w:rPr>
          <w:rFonts w:asciiTheme="minorEastAsia" w:hAnsiTheme="minorEastAsia" w:eastAsiaTheme="minorEastAsia" w:cstheme="minorEastAsia"/>
          <w:color w:val="auto"/>
          <w:sz w:val="24"/>
          <w:highlight w:val="none"/>
        </w:rPr>
      </w:pPr>
    </w:p>
    <w:p w14:paraId="1A5D3AC6">
      <w:pPr>
        <w:spacing w:line="360" w:lineRule="auto"/>
        <w:jc w:val="center"/>
        <w:rPr>
          <w:rFonts w:asciiTheme="minorEastAsia" w:hAnsiTheme="minorEastAsia" w:eastAsiaTheme="minorEastAsia" w:cstheme="minorEastAsia"/>
          <w:color w:val="auto"/>
          <w:sz w:val="24"/>
          <w:highlight w:val="none"/>
        </w:rPr>
      </w:pPr>
    </w:p>
    <w:p w14:paraId="493FB7A1">
      <w:pPr>
        <w:spacing w:line="360" w:lineRule="auto"/>
        <w:jc w:val="center"/>
        <w:rPr>
          <w:rFonts w:asciiTheme="minorEastAsia" w:hAnsiTheme="minorEastAsia" w:eastAsiaTheme="minorEastAsia" w:cstheme="minorEastAsia"/>
          <w:color w:val="auto"/>
          <w:sz w:val="24"/>
          <w:highlight w:val="none"/>
        </w:rPr>
      </w:pPr>
    </w:p>
    <w:p w14:paraId="7596AAD1">
      <w:pPr>
        <w:pStyle w:val="15"/>
        <w:spacing w:line="360" w:lineRule="auto"/>
        <w:jc w:val="center"/>
        <w:rPr>
          <w:rFonts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w:t>响应文件</w:t>
      </w:r>
    </w:p>
    <w:p w14:paraId="674CE6AD">
      <w:pPr>
        <w:spacing w:line="360" w:lineRule="auto"/>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8"/>
          <w:szCs w:val="28"/>
          <w:highlight w:val="none"/>
        </w:rPr>
        <w:t>项目编号：</w:t>
      </w:r>
      <w:r>
        <w:rPr>
          <w:rFonts w:hint="eastAsia" w:asciiTheme="minorEastAsia" w:hAnsiTheme="minorEastAsia" w:eastAsiaTheme="minorEastAsia" w:cstheme="minorEastAsia"/>
          <w:b/>
          <w:bCs/>
          <w:color w:val="auto"/>
          <w:sz w:val="28"/>
          <w:szCs w:val="28"/>
          <w:highlight w:val="none"/>
          <w:lang w:eastAsia="zh-CN"/>
        </w:rPr>
        <w:t xml:space="preserve">   </w:t>
      </w:r>
    </w:p>
    <w:p w14:paraId="60C2499A">
      <w:pPr>
        <w:spacing w:line="360" w:lineRule="auto"/>
        <w:rPr>
          <w:rFonts w:asciiTheme="minorEastAsia" w:hAnsiTheme="minorEastAsia" w:eastAsiaTheme="minorEastAsia" w:cstheme="minorEastAsia"/>
          <w:color w:val="auto"/>
          <w:sz w:val="24"/>
          <w:highlight w:val="none"/>
        </w:rPr>
      </w:pPr>
    </w:p>
    <w:p w14:paraId="76AB2FA6">
      <w:pPr>
        <w:spacing w:line="360" w:lineRule="auto"/>
        <w:rPr>
          <w:rFonts w:asciiTheme="minorEastAsia" w:hAnsiTheme="minorEastAsia" w:eastAsiaTheme="minorEastAsia" w:cstheme="minorEastAsia"/>
          <w:color w:val="auto"/>
          <w:sz w:val="24"/>
          <w:highlight w:val="none"/>
        </w:rPr>
      </w:pPr>
    </w:p>
    <w:p w14:paraId="68E43D99">
      <w:pPr>
        <w:spacing w:line="360" w:lineRule="auto"/>
        <w:rPr>
          <w:rFonts w:asciiTheme="minorEastAsia" w:hAnsiTheme="minorEastAsia" w:eastAsiaTheme="minorEastAsia" w:cstheme="minorEastAsia"/>
          <w:color w:val="auto"/>
          <w:sz w:val="24"/>
          <w:highlight w:val="none"/>
        </w:rPr>
      </w:pPr>
    </w:p>
    <w:p w14:paraId="10FCD505">
      <w:pPr>
        <w:spacing w:line="360" w:lineRule="auto"/>
        <w:rPr>
          <w:rFonts w:asciiTheme="minorEastAsia" w:hAnsiTheme="minorEastAsia" w:eastAsiaTheme="minorEastAsia" w:cstheme="minorEastAsia"/>
          <w:color w:val="auto"/>
          <w:sz w:val="24"/>
          <w:highlight w:val="none"/>
        </w:rPr>
      </w:pPr>
    </w:p>
    <w:p w14:paraId="171693B2">
      <w:pPr>
        <w:spacing w:line="360" w:lineRule="auto"/>
        <w:jc w:val="center"/>
        <w:rPr>
          <w:rFonts w:asciiTheme="minorEastAsia" w:hAnsiTheme="minorEastAsia" w:eastAsiaTheme="minorEastAsia" w:cstheme="minorEastAsia"/>
          <w:color w:val="auto"/>
          <w:sz w:val="24"/>
          <w:highlight w:val="none"/>
        </w:rPr>
      </w:pPr>
    </w:p>
    <w:p w14:paraId="6329B59E">
      <w:pPr>
        <w:spacing w:line="900" w:lineRule="exact"/>
        <w:jc w:val="left"/>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供应商：</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（电子签章）</w:t>
      </w:r>
    </w:p>
    <w:p w14:paraId="60AEECA7">
      <w:pPr>
        <w:spacing w:line="900" w:lineRule="exact"/>
        <w:jc w:val="left"/>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法定代表人或其委托代理人：</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（电子签章）</w:t>
      </w:r>
    </w:p>
    <w:p w14:paraId="24F236E6">
      <w:pPr>
        <w:spacing w:line="900" w:lineRule="exact"/>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年</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月</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日</w:t>
      </w:r>
    </w:p>
    <w:p w14:paraId="51DE80E9">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br w:type="page"/>
      </w:r>
    </w:p>
    <w:p w14:paraId="6A2EA0E2">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 w:val="36"/>
          <w:szCs w:val="32"/>
          <w:highlight w:val="none"/>
        </w:rPr>
        <w:t>响应文件目录</w:t>
      </w:r>
    </w:p>
    <w:p w14:paraId="6140A9FF">
      <w:pPr>
        <w:pStyle w:val="7"/>
        <w:spacing w:line="360" w:lineRule="auto"/>
        <w:ind w:firstLine="0" w:firstLineChars="0"/>
        <w:jc w:val="center"/>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（格式自拟）</w:t>
      </w:r>
    </w:p>
    <w:p w14:paraId="6DDAC691">
      <w:pPr>
        <w:pStyle w:val="1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1"/>
          <w:highlight w:val="none"/>
        </w:rPr>
        <w:br w:type="page"/>
      </w:r>
    </w:p>
    <w:p w14:paraId="5DBAA318">
      <w:pPr>
        <w:pStyle w:val="13"/>
        <w:rPr>
          <w:rFonts w:asciiTheme="minorEastAsia" w:hAnsiTheme="minorEastAsia" w:eastAsiaTheme="minorEastAsia" w:cstheme="minorEastAsia"/>
          <w:color w:val="auto"/>
          <w:highlight w:val="none"/>
        </w:rPr>
      </w:pPr>
    </w:p>
    <w:p w14:paraId="08B1F4AD">
      <w:pPr>
        <w:pStyle w:val="13"/>
        <w:rPr>
          <w:rFonts w:asciiTheme="minorEastAsia" w:hAnsiTheme="minorEastAsia" w:eastAsiaTheme="minorEastAsia" w:cstheme="minorEastAsia"/>
          <w:color w:val="auto"/>
          <w:highlight w:val="none"/>
        </w:rPr>
      </w:pPr>
    </w:p>
    <w:p w14:paraId="184C7361">
      <w:pPr>
        <w:pStyle w:val="13"/>
        <w:rPr>
          <w:rFonts w:asciiTheme="minorEastAsia" w:hAnsiTheme="minorEastAsia" w:eastAsiaTheme="minorEastAsia" w:cstheme="minorEastAsia"/>
          <w:color w:val="auto"/>
          <w:highlight w:val="none"/>
        </w:rPr>
      </w:pPr>
    </w:p>
    <w:p w14:paraId="38BBD75D">
      <w:pPr>
        <w:pStyle w:val="13"/>
        <w:rPr>
          <w:rFonts w:asciiTheme="minorEastAsia" w:hAnsiTheme="minorEastAsia" w:eastAsiaTheme="minorEastAsia" w:cstheme="minorEastAsia"/>
          <w:color w:val="auto"/>
          <w:highlight w:val="none"/>
        </w:rPr>
      </w:pPr>
    </w:p>
    <w:p w14:paraId="78F1E2CF">
      <w:pPr>
        <w:pStyle w:val="13"/>
        <w:rPr>
          <w:rFonts w:asciiTheme="minorEastAsia" w:hAnsiTheme="minorEastAsia" w:eastAsiaTheme="minorEastAsia" w:cstheme="minorEastAsia"/>
          <w:color w:val="auto"/>
          <w:highlight w:val="none"/>
        </w:rPr>
      </w:pPr>
    </w:p>
    <w:p w14:paraId="697CDE3D">
      <w:pPr>
        <w:pStyle w:val="13"/>
        <w:rPr>
          <w:rFonts w:asciiTheme="minorEastAsia" w:hAnsiTheme="minorEastAsia" w:eastAsiaTheme="minorEastAsia" w:cstheme="minorEastAsia"/>
          <w:color w:val="auto"/>
          <w:highlight w:val="none"/>
        </w:rPr>
      </w:pPr>
    </w:p>
    <w:p w14:paraId="6EB2A506">
      <w:pPr>
        <w:pStyle w:val="13"/>
        <w:rPr>
          <w:rFonts w:asciiTheme="minorEastAsia" w:hAnsiTheme="minorEastAsia" w:eastAsiaTheme="minorEastAsia" w:cstheme="minorEastAsia"/>
          <w:color w:val="auto"/>
          <w:highlight w:val="none"/>
        </w:rPr>
      </w:pPr>
    </w:p>
    <w:p w14:paraId="7D28F2C9">
      <w:pPr>
        <w:pStyle w:val="13"/>
        <w:rPr>
          <w:rFonts w:asciiTheme="minorEastAsia" w:hAnsiTheme="minorEastAsia" w:eastAsiaTheme="minorEastAsia" w:cstheme="minorEastAsia"/>
          <w:color w:val="auto"/>
          <w:highlight w:val="none"/>
        </w:rPr>
      </w:pPr>
    </w:p>
    <w:p w14:paraId="3ABF82BC">
      <w:pPr>
        <w:pStyle w:val="13"/>
        <w:rPr>
          <w:rFonts w:asciiTheme="minorEastAsia" w:hAnsiTheme="minorEastAsia" w:eastAsiaTheme="minorEastAsia" w:cstheme="minorEastAsia"/>
          <w:color w:val="auto"/>
          <w:highlight w:val="none"/>
        </w:rPr>
      </w:pPr>
    </w:p>
    <w:p w14:paraId="3EBFB1F3">
      <w:pPr>
        <w:pStyle w:val="13"/>
        <w:rPr>
          <w:rFonts w:asciiTheme="minorEastAsia" w:hAnsiTheme="minorEastAsia" w:eastAsiaTheme="minorEastAsia" w:cstheme="minorEastAsia"/>
          <w:color w:val="auto"/>
          <w:highlight w:val="none"/>
        </w:rPr>
      </w:pPr>
    </w:p>
    <w:p w14:paraId="5C3529BF">
      <w:pPr>
        <w:pStyle w:val="13"/>
        <w:rPr>
          <w:rFonts w:asciiTheme="minorEastAsia" w:hAnsiTheme="minorEastAsia" w:eastAsiaTheme="minorEastAsia" w:cstheme="minorEastAsia"/>
          <w:color w:val="auto"/>
          <w:highlight w:val="none"/>
        </w:rPr>
      </w:pPr>
    </w:p>
    <w:p w14:paraId="58B5B86D">
      <w:pPr>
        <w:pStyle w:val="13"/>
        <w:rPr>
          <w:rFonts w:asciiTheme="minorEastAsia" w:hAnsiTheme="minorEastAsia" w:eastAsiaTheme="minorEastAsia" w:cstheme="minorEastAsia"/>
          <w:color w:val="auto"/>
          <w:highlight w:val="none"/>
        </w:rPr>
      </w:pPr>
    </w:p>
    <w:p w14:paraId="0A146C6A">
      <w:pPr>
        <w:pStyle w:val="13"/>
        <w:rPr>
          <w:rFonts w:asciiTheme="minorEastAsia" w:hAnsiTheme="minorEastAsia" w:eastAsiaTheme="minorEastAsia" w:cstheme="minorEastAsia"/>
          <w:color w:val="auto"/>
          <w:highlight w:val="none"/>
        </w:rPr>
      </w:pPr>
    </w:p>
    <w:p w14:paraId="6C8335D7">
      <w:pPr>
        <w:pStyle w:val="13"/>
        <w:rPr>
          <w:rFonts w:asciiTheme="minorEastAsia" w:hAnsiTheme="minorEastAsia" w:eastAsiaTheme="minorEastAsia" w:cstheme="minorEastAsia"/>
          <w:color w:val="auto"/>
          <w:highlight w:val="none"/>
        </w:rPr>
      </w:pPr>
    </w:p>
    <w:p w14:paraId="4852404C">
      <w:pPr>
        <w:pStyle w:val="13"/>
        <w:rPr>
          <w:rFonts w:asciiTheme="minorEastAsia" w:hAnsiTheme="minorEastAsia" w:eastAsiaTheme="minorEastAsia" w:cstheme="minorEastAsia"/>
          <w:color w:val="auto"/>
          <w:highlight w:val="none"/>
        </w:rPr>
      </w:pPr>
    </w:p>
    <w:p w14:paraId="1C602CA1">
      <w:pPr>
        <w:pStyle w:val="13"/>
        <w:rPr>
          <w:rFonts w:asciiTheme="minorEastAsia" w:hAnsiTheme="minorEastAsia" w:eastAsiaTheme="minorEastAsia" w:cstheme="minorEastAsia"/>
          <w:color w:val="auto"/>
          <w:highlight w:val="none"/>
        </w:rPr>
      </w:pPr>
    </w:p>
    <w:p w14:paraId="567002BE">
      <w:pPr>
        <w:pStyle w:val="13"/>
        <w:rPr>
          <w:rFonts w:asciiTheme="minorEastAsia" w:hAnsiTheme="minorEastAsia" w:eastAsiaTheme="minorEastAsia" w:cstheme="minorEastAsia"/>
          <w:color w:val="auto"/>
          <w:highlight w:val="none"/>
        </w:rPr>
      </w:pPr>
    </w:p>
    <w:p w14:paraId="0B4CC698">
      <w:pPr>
        <w:pStyle w:val="4"/>
        <w:keepLines w:val="0"/>
        <w:numPr>
          <w:ilvl w:val="0"/>
          <w:numId w:val="0"/>
        </w:numPr>
        <w:tabs>
          <w:tab w:val="left" w:pos="1665"/>
          <w:tab w:val="clear" w:pos="3690"/>
        </w:tabs>
        <w:autoSpaceDE w:val="0"/>
        <w:autoSpaceDN w:val="0"/>
        <w:spacing w:line="800" w:lineRule="exact"/>
        <w:jc w:val="center"/>
        <w:textAlignment w:val="auto"/>
        <w:rPr>
          <w:rFonts w:hint="eastAsia" w:asciiTheme="minorEastAsia" w:hAnsiTheme="minorEastAsia" w:eastAsiaTheme="minorEastAsia" w:cstheme="minorEastAsia"/>
          <w:color w:val="auto"/>
          <w:sz w:val="52"/>
          <w:szCs w:val="52"/>
          <w:highlight w:val="none"/>
          <w:lang w:eastAsia="zh-CN"/>
        </w:rPr>
      </w:pPr>
      <w:bookmarkStart w:id="915" w:name="_Toc24566"/>
      <w:bookmarkStart w:id="916" w:name="_Toc23544"/>
      <w:r>
        <w:rPr>
          <w:rFonts w:hint="eastAsia" w:asciiTheme="minorEastAsia" w:hAnsiTheme="minorEastAsia" w:eastAsiaTheme="minorEastAsia" w:cstheme="minorEastAsia"/>
          <w:color w:val="auto"/>
          <w:sz w:val="52"/>
          <w:szCs w:val="52"/>
          <w:highlight w:val="none"/>
        </w:rPr>
        <w:t>资格</w:t>
      </w:r>
      <w:bookmarkEnd w:id="915"/>
      <w:r>
        <w:rPr>
          <w:rFonts w:hint="eastAsia" w:asciiTheme="minorEastAsia" w:hAnsiTheme="minorEastAsia" w:eastAsiaTheme="minorEastAsia" w:cstheme="minorEastAsia"/>
          <w:color w:val="auto"/>
          <w:sz w:val="52"/>
          <w:szCs w:val="52"/>
          <w:highlight w:val="none"/>
          <w:lang w:val="en-US" w:eastAsia="zh-CN"/>
        </w:rPr>
        <w:t>文件</w:t>
      </w:r>
      <w:bookmarkEnd w:id="916"/>
    </w:p>
    <w:p w14:paraId="2AD79C4C">
      <w:pPr>
        <w:rPr>
          <w:rFonts w:asciiTheme="minorEastAsia" w:hAnsiTheme="minorEastAsia" w:eastAsiaTheme="minorEastAsia" w:cstheme="minorEastAsia"/>
          <w:color w:val="auto"/>
          <w:sz w:val="52"/>
          <w:szCs w:val="52"/>
          <w:highlight w:val="none"/>
        </w:rPr>
      </w:pPr>
    </w:p>
    <w:p w14:paraId="31D7ECCD">
      <w:pPr>
        <w:pStyle w:val="10"/>
        <w:rPr>
          <w:rFonts w:asciiTheme="minorEastAsia" w:hAnsiTheme="minorEastAsia" w:eastAsiaTheme="minorEastAsia" w:cstheme="minorEastAsia"/>
          <w:color w:val="auto"/>
          <w:sz w:val="52"/>
          <w:szCs w:val="52"/>
          <w:highlight w:val="none"/>
        </w:rPr>
      </w:pPr>
    </w:p>
    <w:p w14:paraId="485B5A69">
      <w:pPr>
        <w:pStyle w:val="13"/>
        <w:rPr>
          <w:rFonts w:asciiTheme="minorEastAsia" w:hAnsiTheme="minorEastAsia" w:eastAsiaTheme="minorEastAsia" w:cstheme="minorEastAsia"/>
          <w:color w:val="auto"/>
          <w:sz w:val="52"/>
          <w:szCs w:val="52"/>
          <w:highlight w:val="none"/>
        </w:rPr>
      </w:pPr>
    </w:p>
    <w:p w14:paraId="53F4E1FD">
      <w:pPr>
        <w:rPr>
          <w:rFonts w:asciiTheme="minorEastAsia" w:hAnsiTheme="minorEastAsia" w:eastAsiaTheme="minorEastAsia" w:cstheme="minorEastAsia"/>
          <w:color w:val="auto"/>
          <w:sz w:val="52"/>
          <w:szCs w:val="52"/>
          <w:highlight w:val="none"/>
        </w:rPr>
      </w:pPr>
    </w:p>
    <w:p w14:paraId="2AFBAB16">
      <w:pPr>
        <w:pStyle w:val="10"/>
        <w:rPr>
          <w:rFonts w:asciiTheme="minorEastAsia" w:hAnsiTheme="minorEastAsia" w:eastAsiaTheme="minorEastAsia" w:cstheme="minorEastAsia"/>
          <w:color w:val="auto"/>
          <w:sz w:val="52"/>
          <w:szCs w:val="52"/>
          <w:highlight w:val="none"/>
        </w:rPr>
      </w:pPr>
    </w:p>
    <w:p w14:paraId="22503069">
      <w:pPr>
        <w:pStyle w:val="13"/>
        <w:rPr>
          <w:rFonts w:asciiTheme="minorEastAsia" w:hAnsiTheme="minorEastAsia" w:eastAsiaTheme="minorEastAsia" w:cstheme="minorEastAsia"/>
          <w:color w:val="auto"/>
          <w:sz w:val="52"/>
          <w:szCs w:val="52"/>
          <w:highlight w:val="none"/>
        </w:rPr>
      </w:pPr>
    </w:p>
    <w:p w14:paraId="3DC472D3">
      <w:pPr>
        <w:rPr>
          <w:rFonts w:asciiTheme="minorEastAsia" w:hAnsiTheme="minorEastAsia" w:eastAsiaTheme="minorEastAsia" w:cstheme="minorEastAsia"/>
          <w:color w:val="auto"/>
          <w:sz w:val="52"/>
          <w:szCs w:val="52"/>
          <w:highlight w:val="none"/>
        </w:rPr>
      </w:pPr>
    </w:p>
    <w:p w14:paraId="0C2F220A">
      <w:pPr>
        <w:pStyle w:val="10"/>
        <w:rPr>
          <w:rFonts w:asciiTheme="minorEastAsia" w:hAnsiTheme="minorEastAsia" w:eastAsiaTheme="minorEastAsia" w:cstheme="minorEastAsia"/>
          <w:color w:val="auto"/>
          <w:sz w:val="52"/>
          <w:szCs w:val="52"/>
          <w:highlight w:val="none"/>
        </w:rPr>
      </w:pPr>
    </w:p>
    <w:p w14:paraId="1630DC47">
      <w:pPr>
        <w:pStyle w:val="33"/>
        <w:spacing w:line="480" w:lineRule="exact"/>
        <w:ind w:firstLine="482" w:firstLineChars="200"/>
        <w:jc w:val="both"/>
        <w:outlineLvl w:val="9"/>
        <w:rPr>
          <w:rFonts w:asciiTheme="minorEastAsia" w:hAnsiTheme="minorEastAsia" w:eastAsiaTheme="minorEastAsia" w:cstheme="minorEastAsia"/>
          <w:color w:val="auto"/>
          <w:sz w:val="32"/>
          <w:highlight w:val="none"/>
        </w:rPr>
      </w:pPr>
      <w:bookmarkStart w:id="917" w:name="_Toc20256"/>
      <w:r>
        <w:rPr>
          <w:rFonts w:hint="eastAsia" w:asciiTheme="minorEastAsia" w:hAnsiTheme="minorEastAsia" w:eastAsiaTheme="minorEastAsia" w:cstheme="minorEastAsia"/>
          <w:color w:val="auto"/>
          <w:highlight w:val="none"/>
        </w:rPr>
        <w:t>注：供应商应填写和提交下述规定的有关资料。所附格式要求填写的全部内容都必须填写，供应商应保证全部声明和填写的内容是真实的和正确的。</w:t>
      </w:r>
      <w:bookmarkEnd w:id="917"/>
    </w:p>
    <w:p w14:paraId="26DF7797">
      <w:pPr>
        <w:tabs>
          <w:tab w:val="left" w:pos="720"/>
          <w:tab w:val="left" w:pos="1021"/>
          <w:tab w:val="left" w:pos="3690"/>
        </w:tabs>
        <w:snapToGrid w:val="0"/>
        <w:spacing w:beforeLines="50" w:afterLines="50"/>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iCs/>
          <w:color w:val="auto"/>
          <w:sz w:val="28"/>
          <w:szCs w:val="28"/>
          <w:highlight w:val="none"/>
        </w:rPr>
        <w:t>供应商基本情况表</w:t>
      </w:r>
    </w:p>
    <w:p w14:paraId="0BAF208A">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供应商:(公章)                                                    填表日期:</w:t>
      </w:r>
    </w:p>
    <w:tbl>
      <w:tblPr>
        <w:tblStyle w:val="27"/>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7"/>
        <w:gridCol w:w="1112"/>
        <w:gridCol w:w="2423"/>
        <w:gridCol w:w="1368"/>
        <w:gridCol w:w="1929"/>
      </w:tblGrid>
      <w:tr w14:paraId="0CC11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7" w:type="dxa"/>
            <w:tcBorders>
              <w:top w:val="single" w:color="auto" w:sz="4" w:space="0"/>
              <w:left w:val="single" w:color="auto" w:sz="4" w:space="0"/>
              <w:bottom w:val="single" w:color="auto" w:sz="4" w:space="0"/>
              <w:right w:val="single" w:color="auto" w:sz="4" w:space="0"/>
            </w:tcBorders>
            <w:vAlign w:val="center"/>
          </w:tcPr>
          <w:p w14:paraId="1C249938">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供应商名称</w:t>
            </w:r>
          </w:p>
        </w:tc>
        <w:tc>
          <w:tcPr>
            <w:tcW w:w="6832" w:type="dxa"/>
            <w:gridSpan w:val="4"/>
            <w:tcBorders>
              <w:top w:val="single" w:color="auto" w:sz="4" w:space="0"/>
              <w:left w:val="nil"/>
              <w:bottom w:val="single" w:color="auto" w:sz="4" w:space="0"/>
              <w:right w:val="single" w:color="auto" w:sz="4" w:space="0"/>
            </w:tcBorders>
            <w:vAlign w:val="center"/>
          </w:tcPr>
          <w:p w14:paraId="0538392B">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p>
        </w:tc>
      </w:tr>
      <w:tr w14:paraId="3A5A6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7" w:type="dxa"/>
            <w:tcBorders>
              <w:top w:val="single" w:color="auto" w:sz="4" w:space="0"/>
              <w:left w:val="single" w:color="auto" w:sz="4" w:space="0"/>
              <w:bottom w:val="single" w:color="auto" w:sz="4" w:space="0"/>
              <w:right w:val="single" w:color="auto" w:sz="4" w:space="0"/>
            </w:tcBorders>
            <w:vAlign w:val="center"/>
          </w:tcPr>
          <w:p w14:paraId="16EA5842">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税号</w:t>
            </w:r>
          </w:p>
        </w:tc>
        <w:tc>
          <w:tcPr>
            <w:tcW w:w="6832" w:type="dxa"/>
            <w:gridSpan w:val="4"/>
            <w:tcBorders>
              <w:top w:val="single" w:color="auto" w:sz="4" w:space="0"/>
              <w:left w:val="nil"/>
              <w:bottom w:val="single" w:color="auto" w:sz="4" w:space="0"/>
              <w:right w:val="single" w:color="auto" w:sz="4" w:space="0"/>
            </w:tcBorders>
            <w:vAlign w:val="center"/>
          </w:tcPr>
          <w:p w14:paraId="250F3C74">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p>
        </w:tc>
      </w:tr>
      <w:tr w14:paraId="31522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7" w:type="dxa"/>
            <w:tcBorders>
              <w:top w:val="single" w:color="auto" w:sz="4" w:space="0"/>
              <w:left w:val="single" w:color="auto" w:sz="4" w:space="0"/>
              <w:bottom w:val="single" w:color="auto" w:sz="4" w:space="0"/>
              <w:right w:val="single" w:color="auto" w:sz="4" w:space="0"/>
            </w:tcBorders>
            <w:vAlign w:val="center"/>
          </w:tcPr>
          <w:p w14:paraId="3355ACF2">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注册资金</w:t>
            </w:r>
          </w:p>
        </w:tc>
        <w:tc>
          <w:tcPr>
            <w:tcW w:w="3535" w:type="dxa"/>
            <w:gridSpan w:val="2"/>
            <w:tcBorders>
              <w:top w:val="single" w:color="auto" w:sz="4" w:space="0"/>
              <w:left w:val="nil"/>
              <w:bottom w:val="single" w:color="auto" w:sz="4" w:space="0"/>
              <w:right w:val="single" w:color="auto" w:sz="4" w:space="0"/>
            </w:tcBorders>
            <w:vAlign w:val="center"/>
          </w:tcPr>
          <w:p w14:paraId="34AC2D5C">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p>
        </w:tc>
        <w:tc>
          <w:tcPr>
            <w:tcW w:w="1368" w:type="dxa"/>
            <w:tcBorders>
              <w:top w:val="single" w:color="auto" w:sz="4" w:space="0"/>
              <w:left w:val="nil"/>
              <w:bottom w:val="single" w:color="auto" w:sz="4" w:space="0"/>
              <w:right w:val="single" w:color="auto" w:sz="4" w:space="0"/>
            </w:tcBorders>
            <w:vAlign w:val="center"/>
          </w:tcPr>
          <w:p w14:paraId="67F69DEE">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成立时间</w:t>
            </w:r>
          </w:p>
        </w:tc>
        <w:tc>
          <w:tcPr>
            <w:tcW w:w="1929" w:type="dxa"/>
            <w:tcBorders>
              <w:top w:val="single" w:color="auto" w:sz="4" w:space="0"/>
              <w:left w:val="nil"/>
              <w:bottom w:val="single" w:color="auto" w:sz="4" w:space="0"/>
              <w:right w:val="single" w:color="auto" w:sz="4" w:space="0"/>
            </w:tcBorders>
            <w:vAlign w:val="center"/>
          </w:tcPr>
          <w:p w14:paraId="57C2D85D">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p>
        </w:tc>
      </w:tr>
      <w:tr w14:paraId="23E94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7" w:type="dxa"/>
            <w:tcBorders>
              <w:top w:val="single" w:color="auto" w:sz="4" w:space="0"/>
              <w:left w:val="single" w:color="auto" w:sz="4" w:space="0"/>
              <w:bottom w:val="single" w:color="auto" w:sz="4" w:space="0"/>
              <w:right w:val="single" w:color="auto" w:sz="4" w:space="0"/>
            </w:tcBorders>
            <w:vAlign w:val="center"/>
          </w:tcPr>
          <w:p w14:paraId="3FCAFCC2">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注册地址</w:t>
            </w:r>
          </w:p>
        </w:tc>
        <w:tc>
          <w:tcPr>
            <w:tcW w:w="6832" w:type="dxa"/>
            <w:gridSpan w:val="4"/>
            <w:tcBorders>
              <w:top w:val="single" w:color="auto" w:sz="4" w:space="0"/>
              <w:left w:val="nil"/>
              <w:bottom w:val="single" w:color="auto" w:sz="4" w:space="0"/>
              <w:right w:val="single" w:color="auto" w:sz="4" w:space="0"/>
            </w:tcBorders>
            <w:vAlign w:val="center"/>
          </w:tcPr>
          <w:p w14:paraId="1537B133">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p>
        </w:tc>
      </w:tr>
      <w:tr w14:paraId="7154C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7" w:type="dxa"/>
            <w:tcBorders>
              <w:top w:val="single" w:color="auto" w:sz="4" w:space="0"/>
              <w:left w:val="single" w:color="auto" w:sz="4" w:space="0"/>
              <w:bottom w:val="single" w:color="auto" w:sz="4" w:space="0"/>
              <w:right w:val="single" w:color="auto" w:sz="4" w:space="0"/>
            </w:tcBorders>
            <w:vAlign w:val="center"/>
          </w:tcPr>
          <w:p w14:paraId="7AFCB38E">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邮政编码</w:t>
            </w:r>
          </w:p>
        </w:tc>
        <w:tc>
          <w:tcPr>
            <w:tcW w:w="3535" w:type="dxa"/>
            <w:gridSpan w:val="2"/>
            <w:tcBorders>
              <w:top w:val="single" w:color="auto" w:sz="4" w:space="0"/>
              <w:left w:val="nil"/>
              <w:bottom w:val="single" w:color="auto" w:sz="4" w:space="0"/>
              <w:right w:val="single" w:color="auto" w:sz="4" w:space="0"/>
            </w:tcBorders>
            <w:vAlign w:val="center"/>
          </w:tcPr>
          <w:p w14:paraId="5365D0B5">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p>
        </w:tc>
        <w:tc>
          <w:tcPr>
            <w:tcW w:w="1368" w:type="dxa"/>
            <w:tcBorders>
              <w:top w:val="single" w:color="auto" w:sz="4" w:space="0"/>
              <w:left w:val="nil"/>
              <w:bottom w:val="single" w:color="auto" w:sz="4" w:space="0"/>
              <w:right w:val="single" w:color="auto" w:sz="4" w:space="0"/>
            </w:tcBorders>
            <w:vAlign w:val="center"/>
          </w:tcPr>
          <w:p w14:paraId="4E2CAE94">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员工总数</w:t>
            </w:r>
          </w:p>
        </w:tc>
        <w:tc>
          <w:tcPr>
            <w:tcW w:w="1929" w:type="dxa"/>
            <w:tcBorders>
              <w:top w:val="single" w:color="auto" w:sz="4" w:space="0"/>
              <w:left w:val="nil"/>
              <w:bottom w:val="single" w:color="auto" w:sz="4" w:space="0"/>
              <w:right w:val="single" w:color="auto" w:sz="4" w:space="0"/>
            </w:tcBorders>
            <w:vAlign w:val="center"/>
          </w:tcPr>
          <w:p w14:paraId="0276ECCD">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p>
        </w:tc>
      </w:tr>
      <w:tr w14:paraId="41C67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7" w:type="dxa"/>
            <w:vMerge w:val="restart"/>
            <w:tcBorders>
              <w:top w:val="nil"/>
              <w:left w:val="single" w:color="auto" w:sz="4" w:space="0"/>
              <w:bottom w:val="single" w:color="auto" w:sz="4" w:space="0"/>
              <w:right w:val="single" w:color="auto" w:sz="4" w:space="0"/>
            </w:tcBorders>
            <w:vAlign w:val="center"/>
          </w:tcPr>
          <w:p w14:paraId="50122E29">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联系方式</w:t>
            </w:r>
          </w:p>
        </w:tc>
        <w:tc>
          <w:tcPr>
            <w:tcW w:w="1112" w:type="dxa"/>
            <w:tcBorders>
              <w:top w:val="single" w:color="auto" w:sz="4" w:space="0"/>
              <w:left w:val="nil"/>
              <w:bottom w:val="single" w:color="auto" w:sz="4" w:space="0"/>
              <w:right w:val="single" w:color="auto" w:sz="4" w:space="0"/>
            </w:tcBorders>
            <w:vAlign w:val="center"/>
          </w:tcPr>
          <w:p w14:paraId="4FB4A399">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联系人</w:t>
            </w:r>
          </w:p>
        </w:tc>
        <w:tc>
          <w:tcPr>
            <w:tcW w:w="2423" w:type="dxa"/>
            <w:tcBorders>
              <w:top w:val="single" w:color="auto" w:sz="4" w:space="0"/>
              <w:left w:val="nil"/>
              <w:bottom w:val="single" w:color="auto" w:sz="4" w:space="0"/>
              <w:right w:val="single" w:color="auto" w:sz="4" w:space="0"/>
            </w:tcBorders>
            <w:vAlign w:val="center"/>
          </w:tcPr>
          <w:p w14:paraId="47839F5A">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p>
        </w:tc>
        <w:tc>
          <w:tcPr>
            <w:tcW w:w="1368" w:type="dxa"/>
            <w:tcBorders>
              <w:top w:val="single" w:color="auto" w:sz="4" w:space="0"/>
              <w:left w:val="nil"/>
              <w:bottom w:val="single" w:color="auto" w:sz="4" w:space="0"/>
              <w:right w:val="single" w:color="auto" w:sz="4" w:space="0"/>
            </w:tcBorders>
            <w:vAlign w:val="center"/>
          </w:tcPr>
          <w:p w14:paraId="463C2098">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电话</w:t>
            </w:r>
          </w:p>
        </w:tc>
        <w:tc>
          <w:tcPr>
            <w:tcW w:w="1929" w:type="dxa"/>
            <w:tcBorders>
              <w:top w:val="single" w:color="auto" w:sz="4" w:space="0"/>
              <w:left w:val="nil"/>
              <w:bottom w:val="single" w:color="auto" w:sz="4" w:space="0"/>
              <w:right w:val="single" w:color="auto" w:sz="4" w:space="0"/>
            </w:tcBorders>
            <w:vAlign w:val="center"/>
          </w:tcPr>
          <w:p w14:paraId="38172A24">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p>
        </w:tc>
      </w:tr>
      <w:tr w14:paraId="402CC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7" w:type="dxa"/>
            <w:vMerge w:val="continue"/>
            <w:tcBorders>
              <w:top w:val="nil"/>
              <w:left w:val="single" w:color="auto" w:sz="4" w:space="0"/>
              <w:bottom w:val="single" w:color="auto" w:sz="4" w:space="0"/>
              <w:right w:val="single" w:color="auto" w:sz="4" w:space="0"/>
            </w:tcBorders>
            <w:vAlign w:val="center"/>
          </w:tcPr>
          <w:p w14:paraId="240B7B0C">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p>
        </w:tc>
        <w:tc>
          <w:tcPr>
            <w:tcW w:w="1112" w:type="dxa"/>
            <w:tcBorders>
              <w:top w:val="single" w:color="auto" w:sz="4" w:space="0"/>
              <w:left w:val="nil"/>
              <w:bottom w:val="single" w:color="auto" w:sz="4" w:space="0"/>
              <w:right w:val="single" w:color="auto" w:sz="4" w:space="0"/>
            </w:tcBorders>
            <w:vAlign w:val="center"/>
          </w:tcPr>
          <w:p w14:paraId="54A5DA6C">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网址</w:t>
            </w:r>
          </w:p>
        </w:tc>
        <w:tc>
          <w:tcPr>
            <w:tcW w:w="2423" w:type="dxa"/>
            <w:tcBorders>
              <w:top w:val="single" w:color="auto" w:sz="4" w:space="0"/>
              <w:left w:val="nil"/>
              <w:bottom w:val="single" w:color="auto" w:sz="4" w:space="0"/>
              <w:right w:val="single" w:color="auto" w:sz="4" w:space="0"/>
            </w:tcBorders>
            <w:vAlign w:val="center"/>
          </w:tcPr>
          <w:p w14:paraId="0605FA22">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p>
        </w:tc>
        <w:tc>
          <w:tcPr>
            <w:tcW w:w="1368" w:type="dxa"/>
            <w:tcBorders>
              <w:top w:val="single" w:color="auto" w:sz="4" w:space="0"/>
              <w:left w:val="nil"/>
              <w:bottom w:val="single" w:color="auto" w:sz="4" w:space="0"/>
              <w:right w:val="single" w:color="auto" w:sz="4" w:space="0"/>
            </w:tcBorders>
            <w:vAlign w:val="center"/>
          </w:tcPr>
          <w:p w14:paraId="5FEBCB11">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传真</w:t>
            </w:r>
          </w:p>
        </w:tc>
        <w:tc>
          <w:tcPr>
            <w:tcW w:w="1929" w:type="dxa"/>
            <w:tcBorders>
              <w:top w:val="single" w:color="auto" w:sz="4" w:space="0"/>
              <w:left w:val="nil"/>
              <w:bottom w:val="single" w:color="auto" w:sz="4" w:space="0"/>
              <w:right w:val="single" w:color="auto" w:sz="4" w:space="0"/>
            </w:tcBorders>
            <w:vAlign w:val="center"/>
          </w:tcPr>
          <w:p w14:paraId="5B7A316C">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p>
        </w:tc>
      </w:tr>
      <w:tr w14:paraId="112B3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7" w:type="dxa"/>
            <w:tcBorders>
              <w:top w:val="single" w:color="auto" w:sz="4" w:space="0"/>
              <w:left w:val="single" w:color="auto" w:sz="4" w:space="0"/>
              <w:bottom w:val="single" w:color="auto" w:sz="4" w:space="0"/>
              <w:right w:val="single" w:color="auto" w:sz="4" w:space="0"/>
            </w:tcBorders>
            <w:vAlign w:val="center"/>
          </w:tcPr>
          <w:p w14:paraId="5665DA79">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法定代表人</w:t>
            </w:r>
          </w:p>
          <w:p w14:paraId="5B6AB7B7">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（单位负责人）</w:t>
            </w:r>
          </w:p>
        </w:tc>
        <w:tc>
          <w:tcPr>
            <w:tcW w:w="1112" w:type="dxa"/>
            <w:tcBorders>
              <w:top w:val="single" w:color="auto" w:sz="4" w:space="0"/>
              <w:left w:val="nil"/>
              <w:bottom w:val="single" w:color="auto" w:sz="4" w:space="0"/>
              <w:right w:val="single" w:color="auto" w:sz="4" w:space="0"/>
            </w:tcBorders>
            <w:vAlign w:val="center"/>
          </w:tcPr>
          <w:p w14:paraId="7CC4B4E4">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姓名</w:t>
            </w:r>
          </w:p>
        </w:tc>
        <w:tc>
          <w:tcPr>
            <w:tcW w:w="2423" w:type="dxa"/>
            <w:tcBorders>
              <w:top w:val="single" w:color="auto" w:sz="4" w:space="0"/>
              <w:left w:val="nil"/>
              <w:bottom w:val="single" w:color="auto" w:sz="4" w:space="0"/>
              <w:right w:val="single" w:color="auto" w:sz="4" w:space="0"/>
            </w:tcBorders>
            <w:vAlign w:val="center"/>
          </w:tcPr>
          <w:p w14:paraId="415E3810">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p>
        </w:tc>
        <w:tc>
          <w:tcPr>
            <w:tcW w:w="1368" w:type="dxa"/>
            <w:tcBorders>
              <w:top w:val="single" w:color="auto" w:sz="4" w:space="0"/>
              <w:left w:val="nil"/>
              <w:bottom w:val="single" w:color="auto" w:sz="4" w:space="0"/>
              <w:right w:val="single" w:color="auto" w:sz="4" w:space="0"/>
            </w:tcBorders>
            <w:vAlign w:val="center"/>
          </w:tcPr>
          <w:p w14:paraId="76A85E8F">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电话</w:t>
            </w:r>
          </w:p>
        </w:tc>
        <w:tc>
          <w:tcPr>
            <w:tcW w:w="1929" w:type="dxa"/>
            <w:tcBorders>
              <w:top w:val="single" w:color="auto" w:sz="4" w:space="0"/>
              <w:left w:val="nil"/>
              <w:bottom w:val="single" w:color="auto" w:sz="4" w:space="0"/>
              <w:right w:val="single" w:color="auto" w:sz="4" w:space="0"/>
            </w:tcBorders>
            <w:vAlign w:val="center"/>
          </w:tcPr>
          <w:p w14:paraId="349CDA71">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p>
        </w:tc>
      </w:tr>
      <w:tr w14:paraId="55618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7" w:type="dxa"/>
            <w:tcBorders>
              <w:top w:val="single" w:color="auto" w:sz="4" w:space="0"/>
              <w:left w:val="single" w:color="auto" w:sz="4" w:space="0"/>
              <w:bottom w:val="single" w:color="auto" w:sz="4" w:space="0"/>
              <w:right w:val="single" w:color="auto" w:sz="4" w:space="0"/>
            </w:tcBorders>
            <w:vAlign w:val="center"/>
          </w:tcPr>
          <w:p w14:paraId="13316FB4">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基本账户开户银行</w:t>
            </w:r>
          </w:p>
        </w:tc>
        <w:tc>
          <w:tcPr>
            <w:tcW w:w="6832" w:type="dxa"/>
            <w:gridSpan w:val="4"/>
            <w:tcBorders>
              <w:top w:val="single" w:color="auto" w:sz="4" w:space="0"/>
              <w:left w:val="nil"/>
              <w:bottom w:val="single" w:color="auto" w:sz="4" w:space="0"/>
              <w:right w:val="single" w:color="auto" w:sz="4" w:space="0"/>
            </w:tcBorders>
            <w:vAlign w:val="center"/>
          </w:tcPr>
          <w:p w14:paraId="5B4825C8">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p>
        </w:tc>
      </w:tr>
      <w:tr w14:paraId="71D25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7" w:type="dxa"/>
            <w:tcBorders>
              <w:top w:val="single" w:color="auto" w:sz="4" w:space="0"/>
              <w:left w:val="single" w:color="auto" w:sz="4" w:space="0"/>
              <w:bottom w:val="single" w:color="auto" w:sz="4" w:space="0"/>
              <w:right w:val="single" w:color="auto" w:sz="4" w:space="0"/>
            </w:tcBorders>
            <w:vAlign w:val="center"/>
          </w:tcPr>
          <w:p w14:paraId="6E24F0B2">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基本账户银行账号</w:t>
            </w:r>
          </w:p>
        </w:tc>
        <w:tc>
          <w:tcPr>
            <w:tcW w:w="6832" w:type="dxa"/>
            <w:gridSpan w:val="4"/>
            <w:tcBorders>
              <w:top w:val="single" w:color="auto" w:sz="4" w:space="0"/>
              <w:left w:val="nil"/>
              <w:bottom w:val="single" w:color="auto" w:sz="4" w:space="0"/>
              <w:right w:val="single" w:color="auto" w:sz="4" w:space="0"/>
            </w:tcBorders>
            <w:vAlign w:val="center"/>
          </w:tcPr>
          <w:p w14:paraId="3BD76EB2">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p>
        </w:tc>
      </w:tr>
      <w:tr w14:paraId="2E843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7" w:type="dxa"/>
            <w:tcBorders>
              <w:top w:val="single" w:color="auto" w:sz="4" w:space="0"/>
              <w:left w:val="single" w:color="auto" w:sz="4" w:space="0"/>
              <w:bottom w:val="single" w:color="auto" w:sz="4" w:space="0"/>
              <w:right w:val="single" w:color="auto" w:sz="4" w:space="0"/>
            </w:tcBorders>
            <w:vAlign w:val="center"/>
          </w:tcPr>
          <w:p w14:paraId="2C277E84">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供应商关联企业情况（包括但不限于与供应商法定代表人（单位负责人）为同一人或者存在控股、管理关系的不同单位）</w:t>
            </w:r>
          </w:p>
        </w:tc>
        <w:tc>
          <w:tcPr>
            <w:tcW w:w="6832" w:type="dxa"/>
            <w:gridSpan w:val="4"/>
            <w:tcBorders>
              <w:top w:val="single" w:color="auto" w:sz="4" w:space="0"/>
              <w:left w:val="nil"/>
              <w:bottom w:val="single" w:color="auto" w:sz="4" w:space="0"/>
              <w:right w:val="single" w:color="auto" w:sz="4" w:space="0"/>
            </w:tcBorders>
            <w:vAlign w:val="center"/>
          </w:tcPr>
          <w:p w14:paraId="367C3729">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p>
        </w:tc>
      </w:tr>
      <w:tr w14:paraId="2B35B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07" w:type="dxa"/>
            <w:tcBorders>
              <w:top w:val="single" w:color="auto" w:sz="4" w:space="0"/>
              <w:left w:val="single" w:color="auto" w:sz="4" w:space="0"/>
              <w:bottom w:val="single" w:color="auto" w:sz="4" w:space="0"/>
              <w:right w:val="single" w:color="auto" w:sz="4" w:space="0"/>
            </w:tcBorders>
            <w:vAlign w:val="center"/>
          </w:tcPr>
          <w:p w14:paraId="7AE16A14">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备注</w:t>
            </w:r>
          </w:p>
        </w:tc>
        <w:tc>
          <w:tcPr>
            <w:tcW w:w="6832" w:type="dxa"/>
            <w:gridSpan w:val="4"/>
            <w:tcBorders>
              <w:top w:val="single" w:color="auto" w:sz="4" w:space="0"/>
              <w:left w:val="nil"/>
              <w:bottom w:val="single" w:color="auto" w:sz="4" w:space="0"/>
              <w:right w:val="single" w:color="auto" w:sz="4" w:space="0"/>
            </w:tcBorders>
            <w:vAlign w:val="center"/>
          </w:tcPr>
          <w:p w14:paraId="54C10200">
            <w:pPr>
              <w:keepNext/>
              <w:keepLines/>
              <w:tabs>
                <w:tab w:val="left" w:pos="1021"/>
              </w:tabs>
              <w:spacing w:line="240" w:lineRule="atLeast"/>
              <w:jc w:val="center"/>
              <w:rPr>
                <w:rFonts w:asciiTheme="minorEastAsia" w:hAnsiTheme="minorEastAsia" w:eastAsiaTheme="minorEastAsia" w:cstheme="minorEastAsia"/>
                <w:color w:val="auto"/>
                <w:szCs w:val="21"/>
                <w:highlight w:val="none"/>
              </w:rPr>
            </w:pPr>
          </w:p>
        </w:tc>
      </w:tr>
    </w:tbl>
    <w:p w14:paraId="1C073928">
      <w:pPr>
        <w:rPr>
          <w:rFonts w:asciiTheme="minorEastAsia" w:hAnsiTheme="minorEastAsia" w:eastAsiaTheme="minorEastAsia" w:cstheme="minorEastAsia"/>
          <w:b/>
          <w:bCs/>
          <w:color w:val="auto"/>
          <w:szCs w:val="21"/>
          <w:highlight w:val="none"/>
        </w:rPr>
      </w:pPr>
    </w:p>
    <w:p w14:paraId="0CA35E84">
      <w:pP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br w:type="page"/>
      </w:r>
    </w:p>
    <w:p w14:paraId="4E514A08">
      <w:pPr>
        <w:spacing w:line="360" w:lineRule="auto"/>
        <w:ind w:firstLine="562" w:firstLineChars="20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8"/>
          <w:szCs w:val="28"/>
          <w:highlight w:val="none"/>
        </w:rPr>
        <w:t>★申请人须按以下要求提供相对应的资格证明材料的扫描件、声明书、承诺书等，且须加盖申请人电子公章：</w:t>
      </w:r>
    </w:p>
    <w:p w14:paraId="07CF0382">
      <w:pPr>
        <w:pStyle w:val="15"/>
        <w:spacing w:line="480" w:lineRule="exact"/>
        <w:jc w:val="center"/>
        <w:outlineLvl w:val="2"/>
        <w:rPr>
          <w:rFonts w:asciiTheme="minorEastAsia" w:hAnsiTheme="minorEastAsia" w:eastAsiaTheme="minorEastAsia" w:cstheme="minorEastAsia"/>
          <w:b/>
          <w:color w:val="auto"/>
          <w:kern w:val="0"/>
          <w:sz w:val="32"/>
          <w:szCs w:val="32"/>
          <w:highlight w:val="none"/>
        </w:rPr>
      </w:pPr>
      <w:r>
        <w:rPr>
          <w:rFonts w:hint="eastAsia" w:asciiTheme="minorEastAsia" w:hAnsiTheme="minorEastAsia" w:eastAsiaTheme="minorEastAsia" w:cstheme="minorEastAsia"/>
          <w:b/>
          <w:color w:val="auto"/>
          <w:kern w:val="0"/>
          <w:sz w:val="32"/>
          <w:szCs w:val="32"/>
          <w:highlight w:val="none"/>
          <w:lang w:val="en-US" w:eastAsia="zh-CN"/>
        </w:rPr>
        <w:t>一、</w:t>
      </w:r>
      <w:r>
        <w:rPr>
          <w:rFonts w:hint="eastAsia" w:asciiTheme="minorEastAsia" w:hAnsiTheme="minorEastAsia" w:eastAsiaTheme="minorEastAsia" w:cstheme="minorEastAsia"/>
          <w:b/>
          <w:color w:val="auto"/>
          <w:kern w:val="0"/>
          <w:sz w:val="32"/>
          <w:szCs w:val="32"/>
          <w:highlight w:val="none"/>
        </w:rPr>
        <w:t>满足《中华人民共和国政府采购法》第二十二条规定</w:t>
      </w:r>
    </w:p>
    <w:p w14:paraId="6659796A">
      <w:pPr>
        <w:spacing w:line="500" w:lineRule="exact"/>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满足《中华人民共和国政府采购法》第二十二条规定：</w:t>
      </w:r>
    </w:p>
    <w:p w14:paraId="0F34AB7D">
      <w:pPr>
        <w:spacing w:line="5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（1）具有独立承担民事责任的能力:提供法人或者其他组织的有效的营业执照或事业单位法人证书或其他类似的法定证明文件</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扫描件加盖供应商电子公章</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w:t>
      </w:r>
    </w:p>
    <w:p w14:paraId="1A6BE02F">
      <w:pPr>
        <w:spacing w:line="500" w:lineRule="exact"/>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（2）具有良好的商业信誉和健全的财务会计制度：</w:t>
      </w:r>
    </w:p>
    <w:p w14:paraId="140A1567">
      <w:pPr>
        <w:spacing w:line="500" w:lineRule="exact"/>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a.在“信用中国”网站没有被列入失信被执行人和重大税收违法失信主体；在中国政府采购网无政府采购严重违法失信行为信息记录，在一定期限内被禁止参加政府采购活动但期限届满的除外（以采购人和采购代理机构查询结果为准）；</w:t>
      </w:r>
    </w:p>
    <w:p w14:paraId="4ACF1F2A">
      <w:pPr>
        <w:spacing w:line="5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b.提供202</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rPr>
        <w:t>年至202</w:t>
      </w:r>
      <w:r>
        <w:rPr>
          <w:rFonts w:hint="eastAsia" w:asciiTheme="minorEastAsia" w:hAnsiTheme="minorEastAsia" w:eastAsiaTheme="minorEastAsia" w:cstheme="minorEastAsia"/>
          <w:color w:val="auto"/>
          <w:szCs w:val="21"/>
          <w:highlight w:val="none"/>
          <w:lang w:val="en-US" w:eastAsia="zh-CN"/>
        </w:rPr>
        <w:t>5</w:t>
      </w:r>
      <w:r>
        <w:rPr>
          <w:rFonts w:hint="eastAsia" w:asciiTheme="minorEastAsia" w:hAnsiTheme="minorEastAsia" w:eastAsiaTheme="minorEastAsia" w:cstheme="minorEastAsia"/>
          <w:color w:val="auto"/>
          <w:szCs w:val="21"/>
          <w:highlight w:val="none"/>
        </w:rPr>
        <w:t>年任</w:t>
      </w:r>
      <w:r>
        <w:rPr>
          <w:rFonts w:hint="eastAsia" w:asciiTheme="minorEastAsia" w:hAnsiTheme="minorEastAsia" w:eastAsiaTheme="minorEastAsia" w:cstheme="minorEastAsia"/>
          <w:color w:val="auto"/>
          <w:szCs w:val="21"/>
          <w:highlight w:val="none"/>
          <w:lang w:val="en-US" w:eastAsia="zh-CN"/>
        </w:rPr>
        <w:t>意一</w:t>
      </w:r>
      <w:r>
        <w:rPr>
          <w:rFonts w:hint="eastAsia" w:asciiTheme="minorEastAsia" w:hAnsiTheme="minorEastAsia" w:eastAsiaTheme="minorEastAsia" w:cstheme="minorEastAsia"/>
          <w:color w:val="auto"/>
          <w:szCs w:val="21"/>
          <w:highlight w:val="none"/>
        </w:rPr>
        <w:t>年度的经第三方审计后的财务审计报告，成立不足一年的提供成立至今的财务报表(包括资产负债表、利润表、现金流量表),若为事业单位，则不需提供利润表</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扫描件加盖供应商电子公章</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w:t>
      </w:r>
    </w:p>
    <w:p w14:paraId="3A0AC049">
      <w:pPr>
        <w:spacing w:line="500" w:lineRule="exact"/>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（3）具有履行合同所必需的设备和专业技术能力：提供供应商具有履行合同所必需的设备和专业技术能力证明材料或书面声明（证明材料扫描件加盖供应商电子公章或书面声明加盖供应商电子公章）。</w:t>
      </w:r>
    </w:p>
    <w:p w14:paraId="567014A2">
      <w:pPr>
        <w:spacing w:line="500" w:lineRule="exact"/>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（4）有依法缴纳税收和社会保障资金的良好记录：提供</w:t>
      </w:r>
      <w:r>
        <w:rPr>
          <w:rFonts w:hint="eastAsia" w:asciiTheme="minorEastAsia" w:hAnsiTheme="minorEastAsia" w:eastAsiaTheme="minorEastAsia" w:cstheme="minorEastAsia"/>
          <w:color w:val="auto"/>
          <w:szCs w:val="21"/>
          <w:highlight w:val="none"/>
          <w:lang w:eastAsia="zh-CN"/>
        </w:rPr>
        <w:t>2024年</w:t>
      </w:r>
      <w:r>
        <w:rPr>
          <w:rFonts w:hint="eastAsia" w:asciiTheme="minorEastAsia" w:hAnsiTheme="minorEastAsia" w:eastAsiaTheme="minorEastAsia" w:cstheme="minorEastAsia"/>
          <w:color w:val="auto"/>
          <w:szCs w:val="21"/>
          <w:highlight w:val="none"/>
          <w:lang w:val="en-US" w:eastAsia="zh-CN"/>
        </w:rPr>
        <w:t>0</w:t>
      </w:r>
      <w:r>
        <w:rPr>
          <w:rFonts w:hint="eastAsia" w:asciiTheme="minorEastAsia" w:hAnsiTheme="minorEastAsia" w:eastAsiaTheme="minorEastAsia" w:cstheme="minorEastAsia"/>
          <w:color w:val="auto"/>
          <w:szCs w:val="21"/>
          <w:highlight w:val="none"/>
          <w:lang w:eastAsia="zh-CN"/>
        </w:rPr>
        <w:t>1月01日</w:t>
      </w:r>
      <w:r>
        <w:rPr>
          <w:rFonts w:hint="eastAsia" w:asciiTheme="minorEastAsia" w:hAnsiTheme="minorEastAsia" w:eastAsiaTheme="minorEastAsia" w:cstheme="minorEastAsia"/>
          <w:color w:val="auto"/>
          <w:szCs w:val="21"/>
          <w:highlight w:val="none"/>
        </w:rPr>
        <w:t>至本项目响应文件提交截止时间前（税款所属时期/费款所属时期），任意</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rPr>
        <w:t>个月的依法纳税证明和社保缴费证明材料，成立未满1</w:t>
      </w:r>
      <w:r>
        <w:rPr>
          <w:rFonts w:hint="eastAsia" w:asciiTheme="minorEastAsia" w:hAnsiTheme="minorEastAsia" w:eastAsiaTheme="minorEastAsia" w:cstheme="minorEastAsia"/>
          <w:color w:val="auto"/>
          <w:szCs w:val="21"/>
          <w:highlight w:val="none"/>
          <w:lang w:val="en-US" w:eastAsia="zh-CN"/>
        </w:rPr>
        <w:t>年</w:t>
      </w:r>
      <w:r>
        <w:rPr>
          <w:rFonts w:hint="eastAsia" w:asciiTheme="minorEastAsia" w:hAnsiTheme="minorEastAsia" w:eastAsiaTheme="minorEastAsia" w:cstheme="minorEastAsia"/>
          <w:color w:val="auto"/>
          <w:szCs w:val="21"/>
          <w:highlight w:val="none"/>
        </w:rPr>
        <w:t>的，可提供自成立以来任意1个月的税收和社会保障资金缴纳凭证或相关情况说明；依法免税或不需要缴纳社会保障资金的供应商，应提供相应证明文件</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扫描件加盖供应商电子公章</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w:t>
      </w:r>
    </w:p>
    <w:p w14:paraId="5422607F">
      <w:pPr>
        <w:spacing w:line="500" w:lineRule="exact"/>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（5）参加政府采购活动近三年内，在经营活动中没有重大违法记录：提供书面声明（重大违法记录是指供应商因违法经营受到刑事处罚或者责令停产停业、吊销许可证或者执照、较大数额罚款等行政处罚）</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书面声明加盖供应商电子公章</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w:t>
      </w:r>
    </w:p>
    <w:p w14:paraId="389574E8">
      <w:pP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br w:type="page"/>
      </w:r>
    </w:p>
    <w:p w14:paraId="5E24733B">
      <w:pPr>
        <w:pStyle w:val="15"/>
        <w:spacing w:line="480" w:lineRule="exact"/>
        <w:ind w:firstLine="643" w:firstLineChars="200"/>
        <w:jc w:val="center"/>
        <w:outlineLvl w:val="2"/>
        <w:rPr>
          <w:rFonts w:asciiTheme="minorEastAsia" w:hAnsiTheme="minorEastAsia" w:eastAsiaTheme="minorEastAsia" w:cstheme="minorEastAsia"/>
          <w:b/>
          <w:color w:val="auto"/>
          <w:kern w:val="0"/>
          <w:sz w:val="32"/>
          <w:szCs w:val="32"/>
          <w:highlight w:val="none"/>
        </w:rPr>
      </w:pPr>
      <w:r>
        <w:rPr>
          <w:rFonts w:hint="eastAsia" w:asciiTheme="minorEastAsia" w:hAnsiTheme="minorEastAsia" w:eastAsiaTheme="minorEastAsia" w:cstheme="minorEastAsia"/>
          <w:b/>
          <w:color w:val="auto"/>
          <w:kern w:val="0"/>
          <w:sz w:val="32"/>
          <w:szCs w:val="32"/>
          <w:highlight w:val="none"/>
          <w:lang w:val="en-US" w:eastAsia="zh-CN"/>
        </w:rPr>
        <w:t>二、</w:t>
      </w:r>
      <w:r>
        <w:rPr>
          <w:rFonts w:hint="eastAsia" w:asciiTheme="minorEastAsia" w:hAnsiTheme="minorEastAsia" w:eastAsiaTheme="minorEastAsia" w:cstheme="minorEastAsia"/>
          <w:b/>
          <w:color w:val="auto"/>
          <w:kern w:val="0"/>
          <w:sz w:val="32"/>
          <w:szCs w:val="32"/>
          <w:highlight w:val="none"/>
        </w:rPr>
        <w:t>落实政府采购政策需满足的资格要求</w:t>
      </w:r>
    </w:p>
    <w:p w14:paraId="3DFFD82A">
      <w:pPr>
        <w:spacing w:line="5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本项目不属于专门面向中小企业采购的项目。评审时小型、微型企业的报价给予5%的扣除。监狱企业、残疾人福利性单位视同小型和微型企业，在评审时给予相同的价格扣除。执行政策文件：《中华人民共和国中小企业促进法》、《政府采购促进中小企业发展管理办法》（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2017〕141号）。</w:t>
      </w:r>
    </w:p>
    <w:p w14:paraId="7481BD42">
      <w:pPr>
        <w:spacing w:line="500" w:lineRule="exact"/>
        <w:ind w:firstLine="420" w:firstLineChars="200"/>
        <w:rPr>
          <w:rFonts w:hint="eastAsia" w:asciiTheme="minorEastAsia" w:hAnsiTheme="minorEastAsia" w:eastAsiaTheme="minorEastAsia" w:cstheme="minorEastAsia"/>
          <w:color w:val="auto"/>
          <w:szCs w:val="21"/>
          <w:highlight w:val="none"/>
        </w:rPr>
      </w:pPr>
    </w:p>
    <w:p w14:paraId="37B908F9">
      <w:pPr>
        <w:spacing w:line="500" w:lineRule="exact"/>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请根据要求单独上传《中小企业声明函》。格式以采购文件要求为准。</w:t>
      </w:r>
    </w:p>
    <w:p w14:paraId="58E97686">
      <w:pPr>
        <w:jc w:val="center"/>
        <w:rPr>
          <w:rFonts w:hint="eastAsia" w:asciiTheme="minorEastAsia" w:hAnsiTheme="minorEastAsia" w:eastAsiaTheme="minorEastAsia" w:cstheme="minorEastAsia"/>
          <w:b/>
          <w:bCs/>
          <w:color w:val="auto"/>
          <w:sz w:val="24"/>
          <w:highlight w:val="none"/>
        </w:rPr>
        <w:sectPr>
          <w:headerReference r:id="rId6" w:type="default"/>
          <w:footerReference r:id="rId7" w:type="default"/>
          <w:pgSz w:w="11906" w:h="16838"/>
          <w:pgMar w:top="1417" w:right="1417" w:bottom="1417" w:left="1417" w:header="850" w:footer="850" w:gutter="0"/>
          <w:pgNumType w:fmt="numberInDash"/>
          <w:cols w:space="0" w:num="1"/>
          <w:rtlGutter w:val="0"/>
          <w:docGrid w:type="lines" w:linePitch="312" w:charSpace="0"/>
        </w:sectPr>
      </w:pPr>
    </w:p>
    <w:p w14:paraId="61DC53DE">
      <w:pPr>
        <w:jc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中小企业声明函</w:t>
      </w:r>
    </w:p>
    <w:p w14:paraId="7D105F3F">
      <w:pPr>
        <w:spacing w:line="440" w:lineRule="exact"/>
        <w:ind w:firstLine="420" w:firstLineChars="200"/>
        <w:jc w:val="left"/>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本公司郑重声明，根据《政府采购促进中小企业发展管理办法》（财库﹝2020﹞46 号）的规定，本公司参加</w:t>
      </w:r>
      <w:r>
        <w:rPr>
          <w:rFonts w:hint="eastAsia" w:asciiTheme="minorEastAsia" w:hAnsiTheme="minorEastAsia" w:eastAsiaTheme="minorEastAsia" w:cstheme="minorEastAsia"/>
          <w:bCs/>
          <w:color w:val="auto"/>
          <w:szCs w:val="21"/>
          <w:highlight w:val="none"/>
          <w:u w:val="single"/>
        </w:rPr>
        <w:t>（采购单位名称）</w:t>
      </w:r>
      <w:r>
        <w:rPr>
          <w:rFonts w:hint="eastAsia" w:asciiTheme="minorEastAsia" w:hAnsiTheme="minorEastAsia" w:eastAsiaTheme="minorEastAsia" w:cstheme="minorEastAsia"/>
          <w:bCs/>
          <w:color w:val="auto"/>
          <w:szCs w:val="21"/>
          <w:highlight w:val="none"/>
        </w:rPr>
        <w:t>的</w:t>
      </w:r>
      <w:r>
        <w:rPr>
          <w:rFonts w:hint="eastAsia" w:asciiTheme="minorEastAsia" w:hAnsiTheme="minorEastAsia" w:eastAsiaTheme="minorEastAsia" w:cstheme="minorEastAsia"/>
          <w:bCs/>
          <w:color w:val="auto"/>
          <w:szCs w:val="21"/>
          <w:highlight w:val="none"/>
          <w:u w:val="single"/>
        </w:rPr>
        <w:t>（项目名称）</w:t>
      </w:r>
      <w:r>
        <w:rPr>
          <w:rFonts w:hint="eastAsia" w:asciiTheme="minorEastAsia" w:hAnsiTheme="minorEastAsia" w:eastAsiaTheme="minorEastAsia" w:cstheme="minorEastAsia"/>
          <w:bCs/>
          <w:color w:val="auto"/>
          <w:szCs w:val="21"/>
          <w:highlight w:val="none"/>
        </w:rPr>
        <w:t>采购活动，工程的施工单位全部为符合政策要求的中小企业。相关企业（含联合体中的中小企业、签订分包意向协议的中小企业）的具体情况如下：</w:t>
      </w:r>
    </w:p>
    <w:p w14:paraId="237F79CC">
      <w:pPr>
        <w:numPr>
          <w:ilvl w:val="0"/>
          <w:numId w:val="5"/>
        </w:numPr>
        <w:spacing w:line="440" w:lineRule="exact"/>
        <w:ind w:firstLine="420" w:firstLineChars="200"/>
        <w:jc w:val="left"/>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u w:val="single"/>
        </w:rPr>
        <w:t xml:space="preserve">（标的名称） </w:t>
      </w:r>
      <w:r>
        <w:rPr>
          <w:rFonts w:hint="eastAsia" w:asciiTheme="minorEastAsia" w:hAnsiTheme="minorEastAsia" w:eastAsiaTheme="minorEastAsia" w:cstheme="minorEastAsia"/>
          <w:bCs/>
          <w:color w:val="auto"/>
          <w:szCs w:val="21"/>
          <w:highlight w:val="none"/>
        </w:rPr>
        <w:t>，属于</w:t>
      </w:r>
      <w:r>
        <w:rPr>
          <w:rFonts w:hint="eastAsia" w:asciiTheme="minorEastAsia" w:hAnsiTheme="minorEastAsia" w:eastAsiaTheme="minorEastAsia" w:cstheme="minorEastAsia"/>
          <w:bCs/>
          <w:color w:val="auto"/>
          <w:szCs w:val="21"/>
          <w:highlight w:val="none"/>
          <w:u w:val="single"/>
        </w:rPr>
        <w:t>（采购文件中明确的所属行业）</w:t>
      </w:r>
      <w:r>
        <w:rPr>
          <w:rFonts w:hint="eastAsia" w:asciiTheme="minorEastAsia" w:hAnsiTheme="minorEastAsia" w:eastAsiaTheme="minorEastAsia" w:cstheme="minorEastAsia"/>
          <w:bCs/>
          <w:color w:val="auto"/>
          <w:szCs w:val="21"/>
          <w:highlight w:val="none"/>
        </w:rPr>
        <w:t>； 承建（承接）企业为</w:t>
      </w:r>
      <w:r>
        <w:rPr>
          <w:rFonts w:hint="eastAsia" w:asciiTheme="minorEastAsia" w:hAnsiTheme="minorEastAsia" w:eastAsiaTheme="minorEastAsia" w:cstheme="minorEastAsia"/>
          <w:bCs/>
          <w:color w:val="auto"/>
          <w:szCs w:val="21"/>
          <w:highlight w:val="none"/>
          <w:u w:val="single"/>
        </w:rPr>
        <w:t>（企业名称）</w:t>
      </w:r>
      <w:r>
        <w:rPr>
          <w:rFonts w:hint="eastAsia" w:asciiTheme="minorEastAsia" w:hAnsiTheme="minorEastAsia" w:eastAsiaTheme="minorEastAsia" w:cstheme="minorEastAsia"/>
          <w:bCs/>
          <w:color w:val="auto"/>
          <w:szCs w:val="21"/>
          <w:highlight w:val="none"/>
        </w:rPr>
        <w:t>，从业人员</w:t>
      </w:r>
      <w:r>
        <w:rPr>
          <w:rFonts w:hint="eastAsia" w:asciiTheme="minorEastAsia" w:hAnsiTheme="minorEastAsia" w:eastAsiaTheme="minorEastAsia" w:cstheme="minorEastAsia"/>
          <w:bCs/>
          <w:color w:val="auto"/>
          <w:szCs w:val="21"/>
          <w:highlight w:val="none"/>
          <w:u w:val="single"/>
        </w:rPr>
        <w:t xml:space="preserve">   </w:t>
      </w:r>
      <w:r>
        <w:rPr>
          <w:rFonts w:hint="eastAsia" w:asciiTheme="minorEastAsia" w:hAnsiTheme="minorEastAsia" w:eastAsiaTheme="minorEastAsia" w:cstheme="minorEastAsia"/>
          <w:bCs/>
          <w:color w:val="auto"/>
          <w:szCs w:val="21"/>
          <w:highlight w:val="none"/>
        </w:rPr>
        <w:t>人，营业收入为</w:t>
      </w:r>
      <w:r>
        <w:rPr>
          <w:rFonts w:hint="eastAsia" w:asciiTheme="minorEastAsia" w:hAnsiTheme="minorEastAsia" w:eastAsiaTheme="minorEastAsia" w:cstheme="minorEastAsia"/>
          <w:bCs/>
          <w:color w:val="auto"/>
          <w:szCs w:val="21"/>
          <w:highlight w:val="none"/>
          <w:u w:val="single"/>
        </w:rPr>
        <w:t xml:space="preserve">   </w:t>
      </w:r>
      <w:r>
        <w:rPr>
          <w:rFonts w:hint="eastAsia" w:asciiTheme="minorEastAsia" w:hAnsiTheme="minorEastAsia" w:eastAsiaTheme="minorEastAsia" w:cstheme="minorEastAsia"/>
          <w:bCs/>
          <w:color w:val="auto"/>
          <w:szCs w:val="21"/>
          <w:highlight w:val="none"/>
        </w:rPr>
        <w:t>万元，资产总额为</w:t>
      </w:r>
      <w:r>
        <w:rPr>
          <w:rFonts w:hint="eastAsia" w:asciiTheme="minorEastAsia" w:hAnsiTheme="minorEastAsia" w:eastAsiaTheme="minorEastAsia" w:cstheme="minorEastAsia"/>
          <w:bCs/>
          <w:color w:val="auto"/>
          <w:szCs w:val="21"/>
          <w:highlight w:val="none"/>
          <w:u w:val="single"/>
        </w:rPr>
        <w:t xml:space="preserve">   </w:t>
      </w:r>
      <w:r>
        <w:rPr>
          <w:rFonts w:hint="eastAsia" w:asciiTheme="minorEastAsia" w:hAnsiTheme="minorEastAsia" w:eastAsiaTheme="minorEastAsia" w:cstheme="minorEastAsia"/>
          <w:bCs/>
          <w:color w:val="auto"/>
          <w:szCs w:val="21"/>
          <w:highlight w:val="none"/>
        </w:rPr>
        <w:t>万元，属于</w:t>
      </w:r>
      <w:r>
        <w:rPr>
          <w:rFonts w:hint="eastAsia" w:asciiTheme="minorEastAsia" w:hAnsiTheme="minorEastAsia" w:eastAsiaTheme="minorEastAsia" w:cstheme="minorEastAsia"/>
          <w:bCs/>
          <w:color w:val="auto"/>
          <w:szCs w:val="21"/>
          <w:highlight w:val="none"/>
          <w:u w:val="single"/>
        </w:rPr>
        <w:t>（中型企业、 小型企业、微型企业）</w:t>
      </w:r>
      <w:r>
        <w:rPr>
          <w:rFonts w:hint="eastAsia" w:asciiTheme="minorEastAsia" w:hAnsiTheme="minorEastAsia" w:eastAsiaTheme="minorEastAsia" w:cstheme="minorEastAsia"/>
          <w:bCs/>
          <w:color w:val="auto"/>
          <w:szCs w:val="21"/>
          <w:highlight w:val="none"/>
        </w:rPr>
        <w:t>；</w:t>
      </w:r>
    </w:p>
    <w:p w14:paraId="68548AF6">
      <w:pPr>
        <w:numPr>
          <w:ilvl w:val="0"/>
          <w:numId w:val="5"/>
        </w:numPr>
        <w:spacing w:line="440" w:lineRule="exact"/>
        <w:ind w:firstLine="420" w:firstLineChars="200"/>
        <w:jc w:val="left"/>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u w:val="single"/>
        </w:rPr>
        <w:t xml:space="preserve">  （标的名称） </w:t>
      </w:r>
      <w:r>
        <w:rPr>
          <w:rFonts w:hint="eastAsia" w:asciiTheme="minorEastAsia" w:hAnsiTheme="minorEastAsia" w:eastAsiaTheme="minorEastAsia" w:cstheme="minorEastAsia"/>
          <w:bCs/>
          <w:color w:val="auto"/>
          <w:szCs w:val="21"/>
          <w:highlight w:val="none"/>
        </w:rPr>
        <w:t>，属于</w:t>
      </w:r>
      <w:r>
        <w:rPr>
          <w:rFonts w:hint="eastAsia" w:asciiTheme="minorEastAsia" w:hAnsiTheme="minorEastAsia" w:eastAsiaTheme="minorEastAsia" w:cstheme="minorEastAsia"/>
          <w:bCs/>
          <w:color w:val="auto"/>
          <w:szCs w:val="21"/>
          <w:highlight w:val="none"/>
          <w:u w:val="single"/>
        </w:rPr>
        <w:t>（采购文件中明确的所属行业）</w:t>
      </w:r>
      <w:r>
        <w:rPr>
          <w:rFonts w:hint="eastAsia" w:asciiTheme="minorEastAsia" w:hAnsiTheme="minorEastAsia" w:eastAsiaTheme="minorEastAsia" w:cstheme="minorEastAsia"/>
          <w:bCs/>
          <w:color w:val="auto"/>
          <w:szCs w:val="21"/>
          <w:highlight w:val="none"/>
        </w:rPr>
        <w:t>； 承建（承接）企业为</w:t>
      </w:r>
      <w:r>
        <w:rPr>
          <w:rFonts w:hint="eastAsia" w:asciiTheme="minorEastAsia" w:hAnsiTheme="minorEastAsia" w:eastAsiaTheme="minorEastAsia" w:cstheme="minorEastAsia"/>
          <w:bCs/>
          <w:color w:val="auto"/>
          <w:szCs w:val="21"/>
          <w:highlight w:val="none"/>
          <w:u w:val="single"/>
        </w:rPr>
        <w:t>（企业名称）</w:t>
      </w:r>
      <w:r>
        <w:rPr>
          <w:rFonts w:hint="eastAsia" w:asciiTheme="minorEastAsia" w:hAnsiTheme="minorEastAsia" w:eastAsiaTheme="minorEastAsia" w:cstheme="minorEastAsia"/>
          <w:bCs/>
          <w:color w:val="auto"/>
          <w:szCs w:val="21"/>
          <w:highlight w:val="none"/>
        </w:rPr>
        <w:t>，从业人员</w:t>
      </w:r>
      <w:r>
        <w:rPr>
          <w:rFonts w:hint="eastAsia" w:asciiTheme="minorEastAsia" w:hAnsiTheme="minorEastAsia" w:eastAsiaTheme="minorEastAsia" w:cstheme="minorEastAsia"/>
          <w:bCs/>
          <w:color w:val="auto"/>
          <w:szCs w:val="21"/>
          <w:highlight w:val="none"/>
          <w:u w:val="single"/>
        </w:rPr>
        <w:t xml:space="preserve">   </w:t>
      </w:r>
      <w:r>
        <w:rPr>
          <w:rFonts w:hint="eastAsia" w:asciiTheme="minorEastAsia" w:hAnsiTheme="minorEastAsia" w:eastAsiaTheme="minorEastAsia" w:cstheme="minorEastAsia"/>
          <w:bCs/>
          <w:color w:val="auto"/>
          <w:szCs w:val="21"/>
          <w:highlight w:val="none"/>
        </w:rPr>
        <w:t>人，营业收入为</w:t>
      </w:r>
      <w:r>
        <w:rPr>
          <w:rFonts w:hint="eastAsia" w:asciiTheme="minorEastAsia" w:hAnsiTheme="minorEastAsia" w:eastAsiaTheme="minorEastAsia" w:cstheme="minorEastAsia"/>
          <w:bCs/>
          <w:color w:val="auto"/>
          <w:szCs w:val="21"/>
          <w:highlight w:val="none"/>
          <w:u w:val="single"/>
        </w:rPr>
        <w:t xml:space="preserve">   </w:t>
      </w:r>
      <w:r>
        <w:rPr>
          <w:rFonts w:hint="eastAsia" w:asciiTheme="minorEastAsia" w:hAnsiTheme="minorEastAsia" w:eastAsiaTheme="minorEastAsia" w:cstheme="minorEastAsia"/>
          <w:bCs/>
          <w:color w:val="auto"/>
          <w:szCs w:val="21"/>
          <w:highlight w:val="none"/>
        </w:rPr>
        <w:t>万元，资产总额为</w:t>
      </w:r>
      <w:r>
        <w:rPr>
          <w:rFonts w:hint="eastAsia" w:asciiTheme="minorEastAsia" w:hAnsiTheme="minorEastAsia" w:eastAsiaTheme="minorEastAsia" w:cstheme="minorEastAsia"/>
          <w:bCs/>
          <w:color w:val="auto"/>
          <w:szCs w:val="21"/>
          <w:highlight w:val="none"/>
          <w:u w:val="single"/>
        </w:rPr>
        <w:t xml:space="preserve">    </w:t>
      </w:r>
      <w:r>
        <w:rPr>
          <w:rFonts w:hint="eastAsia" w:asciiTheme="minorEastAsia" w:hAnsiTheme="minorEastAsia" w:eastAsiaTheme="minorEastAsia" w:cstheme="minorEastAsia"/>
          <w:bCs/>
          <w:color w:val="auto"/>
          <w:szCs w:val="21"/>
          <w:highlight w:val="none"/>
        </w:rPr>
        <w:t>万元，属于</w:t>
      </w:r>
      <w:r>
        <w:rPr>
          <w:rFonts w:hint="eastAsia" w:asciiTheme="minorEastAsia" w:hAnsiTheme="minorEastAsia" w:eastAsiaTheme="minorEastAsia" w:cstheme="minorEastAsia"/>
          <w:bCs/>
          <w:color w:val="auto"/>
          <w:szCs w:val="21"/>
          <w:highlight w:val="none"/>
          <w:u w:val="single"/>
        </w:rPr>
        <w:t>（中型企业、 小型企业、微型企业）</w:t>
      </w:r>
      <w:r>
        <w:rPr>
          <w:rFonts w:hint="eastAsia" w:asciiTheme="minorEastAsia" w:hAnsiTheme="minorEastAsia" w:eastAsiaTheme="minorEastAsia" w:cstheme="minorEastAsia"/>
          <w:bCs/>
          <w:color w:val="auto"/>
          <w:szCs w:val="21"/>
          <w:highlight w:val="none"/>
        </w:rPr>
        <w:t xml:space="preserve">； </w:t>
      </w:r>
    </w:p>
    <w:p w14:paraId="0966DBDE">
      <w:pPr>
        <w:spacing w:line="440" w:lineRule="exact"/>
        <w:ind w:firstLine="420" w:firstLineChars="200"/>
        <w:jc w:val="left"/>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w:t>
      </w:r>
    </w:p>
    <w:p w14:paraId="792D1C31">
      <w:pPr>
        <w:spacing w:line="440" w:lineRule="exact"/>
        <w:ind w:firstLine="420" w:firstLineChars="200"/>
        <w:jc w:val="left"/>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以上企业，不属于大企业的分支机构，不存在控股股东为大企业的情形，也不存在与大企业的负责人为同一人的情形。</w:t>
      </w:r>
    </w:p>
    <w:p w14:paraId="7C0CE1B7">
      <w:pPr>
        <w:spacing w:line="440" w:lineRule="exact"/>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 xml:space="preserve">本企业对上述声明内容的真实性负责。如有虚假，将依法承担相应责任。 </w:t>
      </w:r>
      <w:r>
        <w:rPr>
          <w:rFonts w:hint="eastAsia" w:asciiTheme="minorEastAsia" w:hAnsiTheme="minorEastAsia" w:eastAsiaTheme="minorEastAsia" w:cstheme="minorEastAsia"/>
          <w:color w:val="auto"/>
          <w:szCs w:val="21"/>
          <w:highlight w:val="none"/>
        </w:rPr>
        <w:t xml:space="preserve"> </w:t>
      </w:r>
    </w:p>
    <w:p w14:paraId="20CB25F5">
      <w:pPr>
        <w:wordWrap w:val="0"/>
        <w:adjustRightInd w:val="0"/>
        <w:spacing w:line="360" w:lineRule="auto"/>
        <w:ind w:firstLine="420" w:firstLineChars="200"/>
        <w:rPr>
          <w:rFonts w:asciiTheme="minorEastAsia" w:hAnsiTheme="minorEastAsia" w:eastAsiaTheme="minorEastAsia" w:cstheme="minorEastAsia"/>
          <w:color w:val="auto"/>
          <w:szCs w:val="21"/>
          <w:highlight w:val="none"/>
        </w:rPr>
      </w:pPr>
    </w:p>
    <w:p w14:paraId="1F0EA5CD">
      <w:pPr>
        <w:wordWrap w:val="0"/>
        <w:autoSpaceDE w:val="0"/>
        <w:autoSpaceDN w:val="0"/>
        <w:adjustRightInd w:val="0"/>
        <w:spacing w:line="500" w:lineRule="exact"/>
        <w:ind w:firstLine="420" w:firstLineChars="200"/>
        <w:jc w:val="left"/>
        <w:rPr>
          <w:rFonts w:asciiTheme="minorEastAsia" w:hAnsiTheme="minorEastAsia" w:eastAsiaTheme="minorEastAsia" w:cstheme="minorEastAsia"/>
          <w:bCs/>
          <w:color w:val="auto"/>
          <w:kern w:val="0"/>
          <w:szCs w:val="21"/>
          <w:highlight w:val="none"/>
        </w:rPr>
      </w:pPr>
      <w:r>
        <w:rPr>
          <w:rFonts w:hint="eastAsia" w:asciiTheme="minorEastAsia" w:hAnsiTheme="minorEastAsia" w:eastAsiaTheme="minorEastAsia" w:cstheme="minorEastAsia"/>
          <w:bCs/>
          <w:color w:val="auto"/>
          <w:szCs w:val="21"/>
          <w:highlight w:val="none"/>
        </w:rPr>
        <w:t>供应商人：</w:t>
      </w:r>
      <w:r>
        <w:rPr>
          <w:rFonts w:hint="eastAsia" w:asciiTheme="minorEastAsia" w:hAnsiTheme="minorEastAsia" w:eastAsiaTheme="minorEastAsia" w:cstheme="minorEastAsia"/>
          <w:bCs/>
          <w:color w:val="auto"/>
          <w:szCs w:val="21"/>
          <w:highlight w:val="none"/>
          <w:u w:val="single"/>
        </w:rPr>
        <w:t xml:space="preserve">                                  </w:t>
      </w:r>
      <w:r>
        <w:rPr>
          <w:rFonts w:hint="eastAsia" w:asciiTheme="minorEastAsia" w:hAnsiTheme="minorEastAsia" w:eastAsiaTheme="minorEastAsia" w:cstheme="minorEastAsia"/>
          <w:bCs/>
          <w:color w:val="auto"/>
          <w:szCs w:val="21"/>
          <w:highlight w:val="none"/>
        </w:rPr>
        <w:t>（</w:t>
      </w:r>
      <w:r>
        <w:rPr>
          <w:rFonts w:hint="eastAsia" w:asciiTheme="minorEastAsia" w:hAnsiTheme="minorEastAsia" w:eastAsiaTheme="minorEastAsia" w:cstheme="minorEastAsia"/>
          <w:color w:val="auto"/>
          <w:szCs w:val="21"/>
          <w:highlight w:val="none"/>
        </w:rPr>
        <w:t>电子签章</w:t>
      </w:r>
      <w:r>
        <w:rPr>
          <w:rFonts w:hint="eastAsia" w:asciiTheme="minorEastAsia" w:hAnsiTheme="minorEastAsia" w:eastAsiaTheme="minorEastAsia" w:cstheme="minorEastAsia"/>
          <w:bCs/>
          <w:color w:val="auto"/>
          <w:szCs w:val="21"/>
          <w:highlight w:val="none"/>
        </w:rPr>
        <w:t>）</w:t>
      </w:r>
    </w:p>
    <w:p w14:paraId="40EF5095">
      <w:pPr>
        <w:wordWrap w:val="0"/>
        <w:autoSpaceDE w:val="0"/>
        <w:autoSpaceDN w:val="0"/>
        <w:adjustRightInd w:val="0"/>
        <w:spacing w:line="500" w:lineRule="exact"/>
        <w:ind w:firstLine="420" w:firstLineChars="200"/>
        <w:jc w:val="left"/>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法定代表人或其委托代理人：</w:t>
      </w:r>
      <w:r>
        <w:rPr>
          <w:rFonts w:hint="eastAsia" w:asciiTheme="minorEastAsia" w:hAnsiTheme="minorEastAsia" w:eastAsiaTheme="minorEastAsia" w:cstheme="minorEastAsia"/>
          <w:bCs/>
          <w:color w:val="auto"/>
          <w:szCs w:val="21"/>
          <w:highlight w:val="none"/>
          <w:u w:val="single"/>
        </w:rPr>
        <w:t xml:space="preserve">                </w:t>
      </w:r>
      <w:r>
        <w:rPr>
          <w:rFonts w:hint="eastAsia" w:asciiTheme="minorEastAsia" w:hAnsiTheme="minorEastAsia" w:eastAsiaTheme="minorEastAsia" w:cstheme="minorEastAsia"/>
          <w:bCs/>
          <w:color w:val="auto"/>
          <w:szCs w:val="21"/>
          <w:highlight w:val="none"/>
        </w:rPr>
        <w:t>（</w:t>
      </w:r>
      <w:r>
        <w:rPr>
          <w:rFonts w:hint="eastAsia" w:asciiTheme="minorEastAsia" w:hAnsiTheme="minorEastAsia" w:eastAsiaTheme="minorEastAsia" w:cstheme="minorEastAsia"/>
          <w:color w:val="auto"/>
          <w:szCs w:val="21"/>
          <w:highlight w:val="none"/>
        </w:rPr>
        <w:t>电子签章</w:t>
      </w:r>
      <w:r>
        <w:rPr>
          <w:rFonts w:hint="eastAsia" w:asciiTheme="minorEastAsia" w:hAnsiTheme="minorEastAsia" w:eastAsiaTheme="minorEastAsia" w:cstheme="minorEastAsia"/>
          <w:bCs/>
          <w:color w:val="auto"/>
          <w:szCs w:val="21"/>
          <w:highlight w:val="none"/>
        </w:rPr>
        <w:t>）</w:t>
      </w:r>
    </w:p>
    <w:p w14:paraId="6562F39F">
      <w:pPr>
        <w:wordWrap w:val="0"/>
        <w:spacing w:line="500" w:lineRule="exact"/>
        <w:ind w:firstLine="420" w:firstLineChars="200"/>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u w:val="single"/>
        </w:rPr>
        <w:t xml:space="preserve">      </w:t>
      </w:r>
      <w:r>
        <w:rPr>
          <w:rFonts w:hint="eastAsia" w:asciiTheme="minorEastAsia" w:hAnsiTheme="minorEastAsia" w:eastAsiaTheme="minorEastAsia" w:cstheme="minorEastAsia"/>
          <w:bCs/>
          <w:color w:val="auto"/>
          <w:szCs w:val="21"/>
          <w:highlight w:val="none"/>
        </w:rPr>
        <w:t>年</w:t>
      </w:r>
      <w:r>
        <w:rPr>
          <w:rFonts w:hint="eastAsia" w:asciiTheme="minorEastAsia" w:hAnsiTheme="minorEastAsia" w:eastAsiaTheme="minorEastAsia" w:cstheme="minorEastAsia"/>
          <w:bCs/>
          <w:color w:val="auto"/>
          <w:szCs w:val="21"/>
          <w:highlight w:val="none"/>
          <w:u w:val="single"/>
        </w:rPr>
        <w:t xml:space="preserve">    </w:t>
      </w:r>
      <w:r>
        <w:rPr>
          <w:rFonts w:hint="eastAsia" w:asciiTheme="minorEastAsia" w:hAnsiTheme="minorEastAsia" w:eastAsiaTheme="minorEastAsia" w:cstheme="minorEastAsia"/>
          <w:bCs/>
          <w:color w:val="auto"/>
          <w:szCs w:val="21"/>
          <w:highlight w:val="none"/>
        </w:rPr>
        <w:t>月</w:t>
      </w:r>
      <w:r>
        <w:rPr>
          <w:rFonts w:hint="eastAsia" w:asciiTheme="minorEastAsia" w:hAnsiTheme="minorEastAsia" w:eastAsiaTheme="minorEastAsia" w:cstheme="minorEastAsia"/>
          <w:bCs/>
          <w:color w:val="auto"/>
          <w:szCs w:val="21"/>
          <w:highlight w:val="none"/>
          <w:u w:val="single"/>
        </w:rPr>
        <w:t xml:space="preserve">    </w:t>
      </w:r>
      <w:r>
        <w:rPr>
          <w:rFonts w:hint="eastAsia" w:asciiTheme="minorEastAsia" w:hAnsiTheme="minorEastAsia" w:eastAsiaTheme="minorEastAsia" w:cstheme="minorEastAsia"/>
          <w:bCs/>
          <w:color w:val="auto"/>
          <w:szCs w:val="21"/>
          <w:highlight w:val="none"/>
        </w:rPr>
        <w:t>日</w:t>
      </w:r>
    </w:p>
    <w:p w14:paraId="08AEA996">
      <w:pPr>
        <w:wordWrap w:val="0"/>
        <w:spacing w:line="360" w:lineRule="auto"/>
        <w:ind w:left="380"/>
        <w:rPr>
          <w:rFonts w:asciiTheme="minorEastAsia" w:hAnsiTheme="minorEastAsia" w:eastAsiaTheme="minorEastAsia" w:cstheme="minorEastAsia"/>
          <w:color w:val="auto"/>
          <w:szCs w:val="21"/>
          <w:highlight w:val="none"/>
        </w:rPr>
      </w:pPr>
    </w:p>
    <w:p w14:paraId="476F0479">
      <w:pPr>
        <w:widowControl/>
        <w:spacing w:line="360" w:lineRule="exact"/>
        <w:jc w:val="left"/>
        <w:rPr>
          <w:rFonts w:asciiTheme="minorEastAsia" w:hAnsiTheme="minorEastAsia" w:eastAsiaTheme="minorEastAsia" w:cstheme="minorEastAsia"/>
          <w:color w:val="auto"/>
          <w:spacing w:val="6"/>
          <w:sz w:val="22"/>
          <w:szCs w:val="22"/>
          <w:highlight w:val="none"/>
        </w:rPr>
      </w:pPr>
      <w:r>
        <w:rPr>
          <w:rFonts w:hint="eastAsia" w:asciiTheme="minorEastAsia" w:hAnsiTheme="minorEastAsia" w:eastAsiaTheme="minorEastAsia" w:cstheme="minorEastAsia"/>
          <w:bCs/>
          <w:color w:val="auto"/>
          <w:szCs w:val="21"/>
          <w:highlight w:val="none"/>
        </w:rPr>
        <w:t>注：</w:t>
      </w:r>
      <w:r>
        <w:rPr>
          <w:rFonts w:hint="eastAsia" w:asciiTheme="minorEastAsia" w:hAnsiTheme="minorEastAsia" w:eastAsiaTheme="minorEastAsia" w:cstheme="minorEastAsia"/>
          <w:b/>
          <w:color w:val="auto"/>
          <w:szCs w:val="21"/>
          <w:highlight w:val="none"/>
        </w:rPr>
        <w:t>（1）本项目是</w:t>
      </w:r>
      <w:r>
        <w:rPr>
          <w:rFonts w:hint="eastAsia" w:asciiTheme="minorEastAsia" w:hAnsiTheme="minorEastAsia" w:eastAsiaTheme="minorEastAsia" w:cstheme="minorEastAsia"/>
          <w:b/>
          <w:color w:val="auto"/>
          <w:szCs w:val="21"/>
          <w:highlight w:val="none"/>
          <w:lang w:val="en-US" w:eastAsia="zh-CN"/>
        </w:rPr>
        <w:t>不</w:t>
      </w:r>
      <w:r>
        <w:rPr>
          <w:rFonts w:hint="eastAsia" w:asciiTheme="minorEastAsia" w:hAnsiTheme="minorEastAsia" w:eastAsiaTheme="minorEastAsia" w:cstheme="minorEastAsia"/>
          <w:b/>
          <w:color w:val="auto"/>
          <w:szCs w:val="21"/>
          <w:highlight w:val="none"/>
        </w:rPr>
        <w:t>专门面向中小微企业采购的项目（监狱企业、残疾人企业视同小微企业）：供应商根据自身情况提供声明函，未提供的投标将被否决。</w:t>
      </w:r>
      <w:r>
        <w:rPr>
          <w:rFonts w:hint="eastAsia" w:asciiTheme="minorEastAsia" w:hAnsiTheme="minorEastAsia" w:eastAsiaTheme="minorEastAsia" w:cstheme="minorEastAsia"/>
          <w:bCs/>
          <w:color w:val="auto"/>
          <w:szCs w:val="21"/>
          <w:highlight w:val="none"/>
        </w:rPr>
        <w:t>（2）</w:t>
      </w:r>
      <w:r>
        <w:rPr>
          <w:rFonts w:hint="eastAsia" w:asciiTheme="minorEastAsia" w:hAnsiTheme="minorEastAsia" w:eastAsiaTheme="minorEastAsia" w:cstheme="minorEastAsia"/>
          <w:color w:val="auto"/>
          <w:spacing w:val="6"/>
          <w:sz w:val="22"/>
          <w:szCs w:val="22"/>
          <w:highlight w:val="none"/>
        </w:rPr>
        <w:t>从业人员、营业收入、资产总额填报上一年度数据，无上一年度数据的新成立企业可不填报。（3）现行中小企业划分标准行业包括农、林、牧、渔业，工业，建筑业，批发业，零售业，交通运输业，仓储业，邮政业，住宿业，餐饮业，信息传输业，软件和信息技术服务业，房地产开发经营，物业管理，租赁和商业服务业和其他未列明行业等十六类，</w:t>
      </w:r>
      <w:r>
        <w:rPr>
          <w:rFonts w:hint="eastAsia" w:asciiTheme="minorEastAsia" w:hAnsiTheme="minorEastAsia" w:eastAsiaTheme="minorEastAsia" w:cstheme="minorEastAsia"/>
          <w:b/>
          <w:bCs/>
          <w:color w:val="auto"/>
          <w:spacing w:val="6"/>
          <w:sz w:val="22"/>
          <w:szCs w:val="22"/>
          <w:highlight w:val="none"/>
        </w:rPr>
        <w:t>本项目所属行业为建筑业。</w:t>
      </w:r>
      <w:r>
        <w:rPr>
          <w:rFonts w:hint="eastAsia" w:asciiTheme="minorEastAsia" w:hAnsiTheme="minorEastAsia" w:eastAsiaTheme="minorEastAsia" w:cstheme="minorEastAsia"/>
          <w:color w:val="auto"/>
          <w:spacing w:val="6"/>
          <w:sz w:val="22"/>
          <w:szCs w:val="22"/>
          <w:highlight w:val="none"/>
        </w:rPr>
        <w:t>（4）中小企业应当按照《政府采购促进中小企业发展管理办法》（财库〔2020〕46号）规定和国家统计局关于印发《统计上大中小微型企业划分办法（2017）》的通知（国统字〔2017〕213号)，如实填写并提交《中小企业声明函》。供应商提供声明函内容不实的，属于提供虚假材料谋取中标、成交，依照《中华人民共和国政府采购法》等国家有关规定追究相应责任。</w:t>
      </w:r>
    </w:p>
    <w:p w14:paraId="7BB3CA5F">
      <w:pPr>
        <w:widowControl/>
        <w:spacing w:line="360" w:lineRule="exact"/>
        <w:jc w:val="left"/>
        <w:rPr>
          <w:rFonts w:hint="eastAsia" w:asciiTheme="minorEastAsia" w:hAnsiTheme="minorEastAsia" w:eastAsiaTheme="minorEastAsia" w:cstheme="minorEastAsia"/>
          <w:color w:val="auto"/>
          <w:kern w:val="0"/>
          <w:sz w:val="32"/>
          <w:szCs w:val="32"/>
          <w:highlight w:val="none"/>
        </w:rPr>
        <w:sectPr>
          <w:pgSz w:w="11906" w:h="16838"/>
          <w:pgMar w:top="1417" w:right="1417" w:bottom="1417" w:left="1417" w:header="850" w:footer="850" w:gutter="0"/>
          <w:pgNumType w:fmt="numberInDash"/>
          <w:cols w:space="0" w:num="1"/>
          <w:rtlGutter w:val="0"/>
          <w:docGrid w:type="lines" w:linePitch="312" w:charSpace="0"/>
        </w:sectPr>
      </w:pPr>
    </w:p>
    <w:p w14:paraId="44A868CD">
      <w:pPr>
        <w:widowControl/>
        <w:spacing w:line="360" w:lineRule="exact"/>
        <w:jc w:val="left"/>
        <w:rPr>
          <w:rFonts w:asciiTheme="minorEastAsia" w:hAnsiTheme="minorEastAsia" w:eastAsiaTheme="minorEastAsia" w:cstheme="minorEastAsia"/>
          <w:color w:val="auto"/>
          <w:kern w:val="0"/>
          <w:sz w:val="32"/>
          <w:szCs w:val="32"/>
          <w:highlight w:val="none"/>
        </w:rPr>
      </w:pPr>
      <w:r>
        <w:rPr>
          <w:rFonts w:hint="eastAsia" w:asciiTheme="minorEastAsia" w:hAnsiTheme="minorEastAsia" w:eastAsiaTheme="minorEastAsia" w:cstheme="minorEastAsia"/>
          <w:color w:val="auto"/>
          <w:kern w:val="0"/>
          <w:sz w:val="32"/>
          <w:szCs w:val="32"/>
          <w:highlight w:val="none"/>
        </w:rPr>
        <w:t>附表</w:t>
      </w:r>
    </w:p>
    <w:p w14:paraId="6CB34705">
      <w:pPr>
        <w:widowControl/>
        <w:spacing w:line="330" w:lineRule="atLeast"/>
        <w:jc w:val="center"/>
        <w:rPr>
          <w:rFonts w:asciiTheme="minorEastAsia" w:hAnsiTheme="minorEastAsia" w:eastAsiaTheme="minorEastAsia" w:cstheme="minorEastAsia"/>
          <w:color w:val="auto"/>
          <w:kern w:val="0"/>
          <w:sz w:val="36"/>
          <w:szCs w:val="32"/>
          <w:highlight w:val="none"/>
        </w:rPr>
      </w:pPr>
      <w:r>
        <w:rPr>
          <w:rFonts w:hint="eastAsia" w:asciiTheme="minorEastAsia" w:hAnsiTheme="minorEastAsia" w:eastAsiaTheme="minorEastAsia" w:cstheme="minorEastAsia"/>
          <w:color w:val="auto"/>
          <w:kern w:val="0"/>
          <w:sz w:val="36"/>
          <w:szCs w:val="32"/>
          <w:highlight w:val="none"/>
        </w:rPr>
        <w:t>统计上大中小微型企业划分标准</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14:paraId="37D72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shd w:val="clear" w:color="auto" w:fill="auto"/>
            <w:vAlign w:val="center"/>
          </w:tcPr>
          <w:p w14:paraId="4467E5F7">
            <w:pPr>
              <w:widowControl/>
              <w:spacing w:line="240" w:lineRule="exact"/>
              <w:jc w:val="center"/>
              <w:rPr>
                <w:rFonts w:asciiTheme="minorEastAsia" w:hAnsiTheme="minorEastAsia" w:eastAsiaTheme="minorEastAsia" w:cstheme="minorEastAsia"/>
                <w:b/>
                <w:bCs/>
                <w:color w:val="auto"/>
                <w:kern w:val="0"/>
                <w:sz w:val="18"/>
                <w:szCs w:val="21"/>
                <w:highlight w:val="none"/>
              </w:rPr>
            </w:pPr>
            <w:r>
              <w:rPr>
                <w:rFonts w:hint="eastAsia" w:asciiTheme="minorEastAsia" w:hAnsiTheme="minorEastAsia" w:eastAsiaTheme="minorEastAsia" w:cstheme="minorEastAsia"/>
                <w:b/>
                <w:bCs/>
                <w:color w:val="auto"/>
                <w:kern w:val="0"/>
                <w:sz w:val="18"/>
                <w:szCs w:val="21"/>
                <w:highlight w:val="none"/>
              </w:rPr>
              <w:t>行业名称</w:t>
            </w:r>
          </w:p>
        </w:tc>
        <w:tc>
          <w:tcPr>
            <w:tcW w:w="1369" w:type="dxa"/>
            <w:shd w:val="clear" w:color="auto" w:fill="auto"/>
            <w:vAlign w:val="center"/>
          </w:tcPr>
          <w:p w14:paraId="225B8C49">
            <w:pPr>
              <w:widowControl/>
              <w:jc w:val="center"/>
              <w:rPr>
                <w:rFonts w:asciiTheme="minorEastAsia" w:hAnsiTheme="minorEastAsia" w:eastAsiaTheme="minorEastAsia" w:cstheme="minorEastAsia"/>
                <w:b/>
                <w:bCs/>
                <w:color w:val="auto"/>
                <w:kern w:val="0"/>
                <w:sz w:val="18"/>
                <w:szCs w:val="18"/>
                <w:highlight w:val="none"/>
              </w:rPr>
            </w:pPr>
            <w:r>
              <w:rPr>
                <w:rFonts w:hint="eastAsia" w:asciiTheme="minorEastAsia" w:hAnsiTheme="minorEastAsia" w:eastAsiaTheme="minorEastAsia" w:cstheme="minorEastAsia"/>
                <w:b/>
                <w:bCs/>
                <w:color w:val="auto"/>
                <w:kern w:val="0"/>
                <w:sz w:val="18"/>
                <w:szCs w:val="18"/>
                <w:highlight w:val="none"/>
              </w:rPr>
              <w:t>指标名称</w:t>
            </w:r>
          </w:p>
        </w:tc>
        <w:tc>
          <w:tcPr>
            <w:tcW w:w="709" w:type="dxa"/>
            <w:shd w:val="clear" w:color="auto" w:fill="auto"/>
            <w:vAlign w:val="center"/>
          </w:tcPr>
          <w:p w14:paraId="4AFBBB92">
            <w:pPr>
              <w:widowControl/>
              <w:jc w:val="center"/>
              <w:rPr>
                <w:rFonts w:asciiTheme="minorEastAsia" w:hAnsiTheme="minorEastAsia" w:eastAsiaTheme="minorEastAsia" w:cstheme="minorEastAsia"/>
                <w:b/>
                <w:bCs/>
                <w:color w:val="auto"/>
                <w:kern w:val="0"/>
                <w:sz w:val="18"/>
                <w:szCs w:val="18"/>
                <w:highlight w:val="none"/>
              </w:rPr>
            </w:pPr>
            <w:r>
              <w:rPr>
                <w:rFonts w:hint="eastAsia" w:asciiTheme="minorEastAsia" w:hAnsiTheme="minorEastAsia" w:eastAsiaTheme="minorEastAsia" w:cstheme="minorEastAsia"/>
                <w:b/>
                <w:bCs/>
                <w:color w:val="auto"/>
                <w:kern w:val="0"/>
                <w:sz w:val="18"/>
                <w:szCs w:val="18"/>
                <w:highlight w:val="none"/>
              </w:rPr>
              <w:t>计量</w:t>
            </w:r>
          </w:p>
          <w:p w14:paraId="2EECA66A">
            <w:pPr>
              <w:widowControl/>
              <w:jc w:val="center"/>
              <w:rPr>
                <w:rFonts w:asciiTheme="minorEastAsia" w:hAnsiTheme="minorEastAsia" w:eastAsiaTheme="minorEastAsia" w:cstheme="minorEastAsia"/>
                <w:b/>
                <w:bCs/>
                <w:color w:val="auto"/>
                <w:kern w:val="0"/>
                <w:sz w:val="18"/>
                <w:szCs w:val="18"/>
                <w:highlight w:val="none"/>
              </w:rPr>
            </w:pPr>
            <w:r>
              <w:rPr>
                <w:rFonts w:hint="eastAsia" w:asciiTheme="minorEastAsia" w:hAnsiTheme="minorEastAsia" w:eastAsiaTheme="minorEastAsia" w:cstheme="minorEastAsia"/>
                <w:b/>
                <w:bCs/>
                <w:color w:val="auto"/>
                <w:kern w:val="0"/>
                <w:sz w:val="18"/>
                <w:szCs w:val="18"/>
                <w:highlight w:val="none"/>
              </w:rPr>
              <w:t>单位</w:t>
            </w:r>
          </w:p>
        </w:tc>
        <w:tc>
          <w:tcPr>
            <w:tcW w:w="1125" w:type="dxa"/>
            <w:shd w:val="clear" w:color="auto" w:fill="auto"/>
            <w:vAlign w:val="center"/>
          </w:tcPr>
          <w:p w14:paraId="34489A99">
            <w:pPr>
              <w:widowControl/>
              <w:jc w:val="center"/>
              <w:rPr>
                <w:rFonts w:asciiTheme="minorEastAsia" w:hAnsiTheme="minorEastAsia" w:eastAsiaTheme="minorEastAsia" w:cstheme="minorEastAsia"/>
                <w:b/>
                <w:bCs/>
                <w:color w:val="auto"/>
                <w:kern w:val="0"/>
                <w:sz w:val="18"/>
                <w:szCs w:val="18"/>
                <w:highlight w:val="none"/>
              </w:rPr>
            </w:pPr>
            <w:r>
              <w:rPr>
                <w:rFonts w:hint="eastAsia" w:asciiTheme="minorEastAsia" w:hAnsiTheme="minorEastAsia" w:eastAsiaTheme="minorEastAsia" w:cstheme="minorEastAsia"/>
                <w:b/>
                <w:bCs/>
                <w:color w:val="auto"/>
                <w:kern w:val="0"/>
                <w:sz w:val="18"/>
                <w:szCs w:val="18"/>
                <w:highlight w:val="none"/>
              </w:rPr>
              <w:t>大型</w:t>
            </w:r>
          </w:p>
        </w:tc>
        <w:tc>
          <w:tcPr>
            <w:tcW w:w="1701" w:type="dxa"/>
            <w:shd w:val="clear" w:color="auto" w:fill="auto"/>
            <w:vAlign w:val="center"/>
          </w:tcPr>
          <w:p w14:paraId="12B07D3B">
            <w:pPr>
              <w:widowControl/>
              <w:jc w:val="center"/>
              <w:rPr>
                <w:rFonts w:asciiTheme="minorEastAsia" w:hAnsiTheme="minorEastAsia" w:eastAsiaTheme="minorEastAsia" w:cstheme="minorEastAsia"/>
                <w:b/>
                <w:bCs/>
                <w:color w:val="auto"/>
                <w:kern w:val="0"/>
                <w:sz w:val="18"/>
                <w:szCs w:val="18"/>
                <w:highlight w:val="none"/>
              </w:rPr>
            </w:pPr>
            <w:r>
              <w:rPr>
                <w:rFonts w:hint="eastAsia" w:asciiTheme="minorEastAsia" w:hAnsiTheme="minorEastAsia" w:eastAsiaTheme="minorEastAsia" w:cstheme="minorEastAsia"/>
                <w:b/>
                <w:bCs/>
                <w:color w:val="auto"/>
                <w:kern w:val="0"/>
                <w:sz w:val="18"/>
                <w:szCs w:val="18"/>
                <w:highlight w:val="none"/>
              </w:rPr>
              <w:t>中型</w:t>
            </w:r>
          </w:p>
        </w:tc>
        <w:tc>
          <w:tcPr>
            <w:tcW w:w="1426" w:type="dxa"/>
            <w:shd w:val="clear" w:color="auto" w:fill="auto"/>
            <w:vAlign w:val="center"/>
          </w:tcPr>
          <w:p w14:paraId="066F400A">
            <w:pPr>
              <w:widowControl/>
              <w:jc w:val="center"/>
              <w:rPr>
                <w:rFonts w:asciiTheme="minorEastAsia" w:hAnsiTheme="minorEastAsia" w:eastAsiaTheme="minorEastAsia" w:cstheme="minorEastAsia"/>
                <w:b/>
                <w:bCs/>
                <w:color w:val="auto"/>
                <w:kern w:val="0"/>
                <w:sz w:val="18"/>
                <w:szCs w:val="18"/>
                <w:highlight w:val="none"/>
              </w:rPr>
            </w:pPr>
            <w:r>
              <w:rPr>
                <w:rFonts w:hint="eastAsia" w:asciiTheme="minorEastAsia" w:hAnsiTheme="minorEastAsia" w:eastAsiaTheme="minorEastAsia" w:cstheme="minorEastAsia"/>
                <w:b/>
                <w:bCs/>
                <w:color w:val="auto"/>
                <w:kern w:val="0"/>
                <w:sz w:val="18"/>
                <w:szCs w:val="18"/>
                <w:highlight w:val="none"/>
              </w:rPr>
              <w:t>小型</w:t>
            </w:r>
          </w:p>
        </w:tc>
        <w:tc>
          <w:tcPr>
            <w:tcW w:w="992" w:type="dxa"/>
            <w:shd w:val="clear" w:color="auto" w:fill="auto"/>
            <w:vAlign w:val="center"/>
          </w:tcPr>
          <w:p w14:paraId="7F31F82C">
            <w:pPr>
              <w:widowControl/>
              <w:jc w:val="center"/>
              <w:rPr>
                <w:rFonts w:asciiTheme="minorEastAsia" w:hAnsiTheme="minorEastAsia" w:eastAsiaTheme="minorEastAsia" w:cstheme="minorEastAsia"/>
                <w:b/>
                <w:bCs/>
                <w:color w:val="auto"/>
                <w:kern w:val="0"/>
                <w:sz w:val="18"/>
                <w:szCs w:val="18"/>
                <w:highlight w:val="none"/>
              </w:rPr>
            </w:pPr>
            <w:r>
              <w:rPr>
                <w:rFonts w:hint="eastAsia" w:asciiTheme="minorEastAsia" w:hAnsiTheme="minorEastAsia" w:eastAsiaTheme="minorEastAsia" w:cstheme="minorEastAsia"/>
                <w:b/>
                <w:bCs/>
                <w:color w:val="auto"/>
                <w:kern w:val="0"/>
                <w:sz w:val="18"/>
                <w:szCs w:val="18"/>
                <w:highlight w:val="none"/>
              </w:rPr>
              <w:t>微型</w:t>
            </w:r>
          </w:p>
        </w:tc>
      </w:tr>
      <w:tr w14:paraId="145C0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shd w:val="clear" w:color="auto" w:fill="auto"/>
            <w:vAlign w:val="center"/>
          </w:tcPr>
          <w:p w14:paraId="500394F1">
            <w:pPr>
              <w:widowControl/>
              <w:spacing w:line="240" w:lineRule="exact"/>
              <w:jc w:val="left"/>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农、林、牧、渔业</w:t>
            </w:r>
          </w:p>
        </w:tc>
        <w:tc>
          <w:tcPr>
            <w:tcW w:w="1369" w:type="dxa"/>
            <w:shd w:val="clear" w:color="auto" w:fill="auto"/>
            <w:vAlign w:val="center"/>
          </w:tcPr>
          <w:p w14:paraId="25D7EC9C">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营业收入(Y)</w:t>
            </w:r>
          </w:p>
        </w:tc>
        <w:tc>
          <w:tcPr>
            <w:tcW w:w="709" w:type="dxa"/>
            <w:shd w:val="clear" w:color="auto" w:fill="auto"/>
            <w:vAlign w:val="center"/>
          </w:tcPr>
          <w:p w14:paraId="3C58A890">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万元</w:t>
            </w:r>
          </w:p>
        </w:tc>
        <w:tc>
          <w:tcPr>
            <w:tcW w:w="1125" w:type="dxa"/>
            <w:shd w:val="clear" w:color="auto" w:fill="auto"/>
            <w:vAlign w:val="center"/>
          </w:tcPr>
          <w:p w14:paraId="52D5848A">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Y≥20000</w:t>
            </w:r>
          </w:p>
        </w:tc>
        <w:tc>
          <w:tcPr>
            <w:tcW w:w="1701" w:type="dxa"/>
            <w:shd w:val="clear" w:color="auto" w:fill="auto"/>
            <w:vAlign w:val="center"/>
          </w:tcPr>
          <w:p w14:paraId="29ADFF6F">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500≤Y＜20000</w:t>
            </w:r>
          </w:p>
        </w:tc>
        <w:tc>
          <w:tcPr>
            <w:tcW w:w="1426" w:type="dxa"/>
            <w:shd w:val="clear" w:color="auto" w:fill="auto"/>
            <w:vAlign w:val="center"/>
          </w:tcPr>
          <w:p w14:paraId="794F82DE">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50≤Y＜500</w:t>
            </w:r>
          </w:p>
        </w:tc>
        <w:tc>
          <w:tcPr>
            <w:tcW w:w="992" w:type="dxa"/>
            <w:shd w:val="clear" w:color="auto" w:fill="auto"/>
            <w:vAlign w:val="center"/>
          </w:tcPr>
          <w:p w14:paraId="5D22019E">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Y＜50</w:t>
            </w:r>
          </w:p>
        </w:tc>
      </w:tr>
      <w:tr w14:paraId="37026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0E915F3F">
            <w:pPr>
              <w:widowControl/>
              <w:spacing w:line="240" w:lineRule="exact"/>
              <w:jc w:val="left"/>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工业 *</w:t>
            </w:r>
          </w:p>
        </w:tc>
        <w:tc>
          <w:tcPr>
            <w:tcW w:w="1369" w:type="dxa"/>
            <w:shd w:val="clear" w:color="auto" w:fill="auto"/>
            <w:vAlign w:val="center"/>
          </w:tcPr>
          <w:p w14:paraId="442F78FB">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从业人员(X)</w:t>
            </w:r>
          </w:p>
        </w:tc>
        <w:tc>
          <w:tcPr>
            <w:tcW w:w="709" w:type="dxa"/>
            <w:shd w:val="clear" w:color="auto" w:fill="auto"/>
            <w:vAlign w:val="center"/>
          </w:tcPr>
          <w:p w14:paraId="2B0FC3A9">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人</w:t>
            </w:r>
          </w:p>
        </w:tc>
        <w:tc>
          <w:tcPr>
            <w:tcW w:w="1125" w:type="dxa"/>
            <w:shd w:val="clear" w:color="auto" w:fill="auto"/>
            <w:vAlign w:val="center"/>
          </w:tcPr>
          <w:p w14:paraId="052602B9">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X≥1000</w:t>
            </w:r>
          </w:p>
        </w:tc>
        <w:tc>
          <w:tcPr>
            <w:tcW w:w="1701" w:type="dxa"/>
            <w:shd w:val="clear" w:color="auto" w:fill="auto"/>
            <w:vAlign w:val="center"/>
          </w:tcPr>
          <w:p w14:paraId="37C204E7">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300≤X＜1000</w:t>
            </w:r>
          </w:p>
        </w:tc>
        <w:tc>
          <w:tcPr>
            <w:tcW w:w="1426" w:type="dxa"/>
            <w:shd w:val="clear" w:color="auto" w:fill="auto"/>
            <w:vAlign w:val="center"/>
          </w:tcPr>
          <w:p w14:paraId="2F06E578">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20≤X＜300</w:t>
            </w:r>
          </w:p>
        </w:tc>
        <w:tc>
          <w:tcPr>
            <w:tcW w:w="992" w:type="dxa"/>
            <w:shd w:val="clear" w:color="auto" w:fill="auto"/>
            <w:vAlign w:val="center"/>
          </w:tcPr>
          <w:p w14:paraId="4E247F37">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X＜20</w:t>
            </w:r>
          </w:p>
        </w:tc>
      </w:tr>
      <w:tr w14:paraId="377BD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01DC7371">
            <w:pPr>
              <w:widowControl/>
              <w:jc w:val="left"/>
              <w:rPr>
                <w:rFonts w:asciiTheme="minorEastAsia" w:hAnsiTheme="minorEastAsia" w:eastAsiaTheme="minorEastAsia" w:cstheme="minorEastAsia"/>
                <w:color w:val="auto"/>
                <w:kern w:val="0"/>
                <w:sz w:val="18"/>
                <w:szCs w:val="18"/>
                <w:highlight w:val="none"/>
              </w:rPr>
            </w:pPr>
          </w:p>
        </w:tc>
        <w:tc>
          <w:tcPr>
            <w:tcW w:w="1369" w:type="dxa"/>
            <w:shd w:val="clear" w:color="auto" w:fill="auto"/>
            <w:vAlign w:val="center"/>
          </w:tcPr>
          <w:p w14:paraId="204D9A1E">
            <w:pPr>
              <w:widowControl/>
              <w:spacing w:line="240" w:lineRule="exact"/>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营业收入(Y)</w:t>
            </w:r>
          </w:p>
        </w:tc>
        <w:tc>
          <w:tcPr>
            <w:tcW w:w="709" w:type="dxa"/>
            <w:shd w:val="clear" w:color="auto" w:fill="auto"/>
            <w:vAlign w:val="center"/>
          </w:tcPr>
          <w:p w14:paraId="503503E1">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万元</w:t>
            </w:r>
          </w:p>
        </w:tc>
        <w:tc>
          <w:tcPr>
            <w:tcW w:w="1125" w:type="dxa"/>
            <w:shd w:val="clear" w:color="auto" w:fill="auto"/>
            <w:vAlign w:val="center"/>
          </w:tcPr>
          <w:p w14:paraId="541D7099">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Y≥40000</w:t>
            </w:r>
          </w:p>
        </w:tc>
        <w:tc>
          <w:tcPr>
            <w:tcW w:w="1701" w:type="dxa"/>
            <w:shd w:val="clear" w:color="auto" w:fill="auto"/>
            <w:vAlign w:val="center"/>
          </w:tcPr>
          <w:p w14:paraId="5055A0B0">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2000≤Y＜40000</w:t>
            </w:r>
          </w:p>
        </w:tc>
        <w:tc>
          <w:tcPr>
            <w:tcW w:w="1426" w:type="dxa"/>
            <w:shd w:val="clear" w:color="auto" w:fill="auto"/>
            <w:vAlign w:val="center"/>
          </w:tcPr>
          <w:p w14:paraId="209A2FDA">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300≤Y＜2000</w:t>
            </w:r>
          </w:p>
        </w:tc>
        <w:tc>
          <w:tcPr>
            <w:tcW w:w="992" w:type="dxa"/>
            <w:shd w:val="clear" w:color="auto" w:fill="auto"/>
            <w:vAlign w:val="center"/>
          </w:tcPr>
          <w:p w14:paraId="19175DE0">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Y＜300</w:t>
            </w:r>
          </w:p>
        </w:tc>
      </w:tr>
      <w:tr w14:paraId="4953D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56BE2C86">
            <w:pPr>
              <w:widowControl/>
              <w:spacing w:line="240" w:lineRule="exact"/>
              <w:jc w:val="left"/>
              <w:rPr>
                <w:rFonts w:asciiTheme="minorEastAsia" w:hAnsiTheme="minorEastAsia" w:eastAsiaTheme="minorEastAsia" w:cstheme="minorEastAsia"/>
                <w:b/>
                <w:bCs/>
                <w:color w:val="auto"/>
                <w:kern w:val="0"/>
                <w:sz w:val="18"/>
                <w:szCs w:val="18"/>
                <w:highlight w:val="none"/>
              </w:rPr>
            </w:pPr>
            <w:r>
              <w:rPr>
                <w:rFonts w:hint="eastAsia" w:asciiTheme="minorEastAsia" w:hAnsiTheme="minorEastAsia" w:eastAsiaTheme="minorEastAsia" w:cstheme="minorEastAsia"/>
                <w:b/>
                <w:bCs/>
                <w:color w:val="auto"/>
                <w:kern w:val="0"/>
                <w:sz w:val="18"/>
                <w:szCs w:val="18"/>
                <w:highlight w:val="none"/>
              </w:rPr>
              <w:t>建筑业</w:t>
            </w:r>
          </w:p>
        </w:tc>
        <w:tc>
          <w:tcPr>
            <w:tcW w:w="1369" w:type="dxa"/>
            <w:shd w:val="clear" w:color="auto" w:fill="auto"/>
            <w:vAlign w:val="center"/>
          </w:tcPr>
          <w:p w14:paraId="1CA6A023">
            <w:pPr>
              <w:widowControl/>
              <w:jc w:val="center"/>
              <w:rPr>
                <w:rFonts w:asciiTheme="minorEastAsia" w:hAnsiTheme="minorEastAsia" w:eastAsiaTheme="minorEastAsia" w:cstheme="minorEastAsia"/>
                <w:b/>
                <w:bCs/>
                <w:color w:val="auto"/>
                <w:kern w:val="0"/>
                <w:sz w:val="18"/>
                <w:szCs w:val="18"/>
                <w:highlight w:val="none"/>
              </w:rPr>
            </w:pPr>
            <w:r>
              <w:rPr>
                <w:rFonts w:hint="eastAsia" w:asciiTheme="minorEastAsia" w:hAnsiTheme="minorEastAsia" w:eastAsiaTheme="minorEastAsia" w:cstheme="minorEastAsia"/>
                <w:b/>
                <w:bCs/>
                <w:color w:val="auto"/>
                <w:kern w:val="0"/>
                <w:sz w:val="18"/>
                <w:szCs w:val="18"/>
                <w:highlight w:val="none"/>
              </w:rPr>
              <w:t>营业收入(Y)</w:t>
            </w:r>
          </w:p>
        </w:tc>
        <w:tc>
          <w:tcPr>
            <w:tcW w:w="709" w:type="dxa"/>
            <w:shd w:val="clear" w:color="auto" w:fill="auto"/>
            <w:vAlign w:val="center"/>
          </w:tcPr>
          <w:p w14:paraId="70E68665">
            <w:pPr>
              <w:widowControl/>
              <w:jc w:val="center"/>
              <w:rPr>
                <w:rFonts w:asciiTheme="minorEastAsia" w:hAnsiTheme="minorEastAsia" w:eastAsiaTheme="minorEastAsia" w:cstheme="minorEastAsia"/>
                <w:b/>
                <w:bCs/>
                <w:color w:val="auto"/>
                <w:kern w:val="0"/>
                <w:sz w:val="18"/>
                <w:szCs w:val="18"/>
                <w:highlight w:val="none"/>
              </w:rPr>
            </w:pPr>
            <w:r>
              <w:rPr>
                <w:rFonts w:hint="eastAsia" w:asciiTheme="minorEastAsia" w:hAnsiTheme="minorEastAsia" w:eastAsiaTheme="minorEastAsia" w:cstheme="minorEastAsia"/>
                <w:b/>
                <w:bCs/>
                <w:color w:val="auto"/>
                <w:kern w:val="0"/>
                <w:sz w:val="18"/>
                <w:szCs w:val="18"/>
                <w:highlight w:val="none"/>
              </w:rPr>
              <w:t>万元</w:t>
            </w:r>
          </w:p>
        </w:tc>
        <w:tc>
          <w:tcPr>
            <w:tcW w:w="1125" w:type="dxa"/>
            <w:shd w:val="clear" w:color="auto" w:fill="auto"/>
            <w:vAlign w:val="center"/>
          </w:tcPr>
          <w:p w14:paraId="7DBCF31E">
            <w:pPr>
              <w:widowControl/>
              <w:jc w:val="center"/>
              <w:rPr>
                <w:rFonts w:asciiTheme="minorEastAsia" w:hAnsiTheme="minorEastAsia" w:eastAsiaTheme="minorEastAsia" w:cstheme="minorEastAsia"/>
                <w:b/>
                <w:bCs/>
                <w:color w:val="auto"/>
                <w:kern w:val="0"/>
                <w:sz w:val="18"/>
                <w:szCs w:val="18"/>
                <w:highlight w:val="none"/>
              </w:rPr>
            </w:pPr>
            <w:r>
              <w:rPr>
                <w:rFonts w:hint="eastAsia" w:asciiTheme="minorEastAsia" w:hAnsiTheme="minorEastAsia" w:eastAsiaTheme="minorEastAsia" w:cstheme="minorEastAsia"/>
                <w:b/>
                <w:bCs/>
                <w:color w:val="auto"/>
                <w:kern w:val="0"/>
                <w:sz w:val="18"/>
                <w:szCs w:val="18"/>
                <w:highlight w:val="none"/>
              </w:rPr>
              <w:t>Y≥80000</w:t>
            </w:r>
          </w:p>
        </w:tc>
        <w:tc>
          <w:tcPr>
            <w:tcW w:w="1701" w:type="dxa"/>
            <w:shd w:val="clear" w:color="auto" w:fill="auto"/>
            <w:vAlign w:val="center"/>
          </w:tcPr>
          <w:p w14:paraId="4358352A">
            <w:pPr>
              <w:widowControl/>
              <w:jc w:val="center"/>
              <w:rPr>
                <w:rFonts w:asciiTheme="minorEastAsia" w:hAnsiTheme="minorEastAsia" w:eastAsiaTheme="minorEastAsia" w:cstheme="minorEastAsia"/>
                <w:b/>
                <w:bCs/>
                <w:color w:val="auto"/>
                <w:kern w:val="0"/>
                <w:sz w:val="18"/>
                <w:szCs w:val="18"/>
                <w:highlight w:val="none"/>
              </w:rPr>
            </w:pPr>
            <w:r>
              <w:rPr>
                <w:rFonts w:hint="eastAsia" w:asciiTheme="minorEastAsia" w:hAnsiTheme="minorEastAsia" w:eastAsiaTheme="minorEastAsia" w:cstheme="minorEastAsia"/>
                <w:b/>
                <w:bCs/>
                <w:color w:val="auto"/>
                <w:kern w:val="0"/>
                <w:sz w:val="18"/>
                <w:szCs w:val="18"/>
                <w:highlight w:val="none"/>
              </w:rPr>
              <w:t>6000≤Y＜80000</w:t>
            </w:r>
          </w:p>
        </w:tc>
        <w:tc>
          <w:tcPr>
            <w:tcW w:w="1426" w:type="dxa"/>
            <w:shd w:val="clear" w:color="auto" w:fill="auto"/>
            <w:vAlign w:val="center"/>
          </w:tcPr>
          <w:p w14:paraId="1D60A2BB">
            <w:pPr>
              <w:widowControl/>
              <w:jc w:val="center"/>
              <w:rPr>
                <w:rFonts w:asciiTheme="minorEastAsia" w:hAnsiTheme="minorEastAsia" w:eastAsiaTheme="minorEastAsia" w:cstheme="minorEastAsia"/>
                <w:b/>
                <w:bCs/>
                <w:color w:val="auto"/>
                <w:kern w:val="0"/>
                <w:sz w:val="18"/>
                <w:szCs w:val="18"/>
                <w:highlight w:val="none"/>
              </w:rPr>
            </w:pPr>
            <w:r>
              <w:rPr>
                <w:rFonts w:hint="eastAsia" w:asciiTheme="minorEastAsia" w:hAnsiTheme="minorEastAsia" w:eastAsiaTheme="minorEastAsia" w:cstheme="minorEastAsia"/>
                <w:b/>
                <w:bCs/>
                <w:color w:val="auto"/>
                <w:kern w:val="0"/>
                <w:sz w:val="18"/>
                <w:szCs w:val="18"/>
                <w:highlight w:val="none"/>
              </w:rPr>
              <w:t xml:space="preserve"> 300≤Y＜6000</w:t>
            </w:r>
          </w:p>
        </w:tc>
        <w:tc>
          <w:tcPr>
            <w:tcW w:w="992" w:type="dxa"/>
            <w:shd w:val="clear" w:color="auto" w:fill="auto"/>
            <w:vAlign w:val="center"/>
          </w:tcPr>
          <w:p w14:paraId="07676DF4">
            <w:pPr>
              <w:widowControl/>
              <w:jc w:val="center"/>
              <w:rPr>
                <w:rFonts w:asciiTheme="minorEastAsia" w:hAnsiTheme="minorEastAsia" w:eastAsiaTheme="minorEastAsia" w:cstheme="minorEastAsia"/>
                <w:b/>
                <w:bCs/>
                <w:color w:val="auto"/>
                <w:kern w:val="0"/>
                <w:sz w:val="18"/>
                <w:szCs w:val="18"/>
                <w:highlight w:val="none"/>
              </w:rPr>
            </w:pPr>
            <w:r>
              <w:rPr>
                <w:rFonts w:hint="eastAsia" w:asciiTheme="minorEastAsia" w:hAnsiTheme="minorEastAsia" w:eastAsiaTheme="minorEastAsia" w:cstheme="minorEastAsia"/>
                <w:b/>
                <w:bCs/>
                <w:color w:val="auto"/>
                <w:kern w:val="0"/>
                <w:sz w:val="18"/>
                <w:szCs w:val="18"/>
                <w:highlight w:val="none"/>
              </w:rPr>
              <w:t>Y＜300</w:t>
            </w:r>
          </w:p>
        </w:tc>
      </w:tr>
      <w:tr w14:paraId="65FBF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670D0916">
            <w:pPr>
              <w:widowControl/>
              <w:jc w:val="left"/>
              <w:rPr>
                <w:rFonts w:asciiTheme="minorEastAsia" w:hAnsiTheme="minorEastAsia" w:eastAsiaTheme="minorEastAsia" w:cstheme="minorEastAsia"/>
                <w:b/>
                <w:bCs/>
                <w:color w:val="auto"/>
                <w:kern w:val="0"/>
                <w:sz w:val="18"/>
                <w:szCs w:val="18"/>
                <w:highlight w:val="none"/>
              </w:rPr>
            </w:pPr>
          </w:p>
        </w:tc>
        <w:tc>
          <w:tcPr>
            <w:tcW w:w="1369" w:type="dxa"/>
            <w:shd w:val="clear" w:color="auto" w:fill="auto"/>
            <w:vAlign w:val="center"/>
          </w:tcPr>
          <w:p w14:paraId="720B3B42">
            <w:pPr>
              <w:widowControl/>
              <w:spacing w:line="240" w:lineRule="exact"/>
              <w:jc w:val="center"/>
              <w:rPr>
                <w:rFonts w:asciiTheme="minorEastAsia" w:hAnsiTheme="minorEastAsia" w:eastAsiaTheme="minorEastAsia" w:cstheme="minorEastAsia"/>
                <w:b/>
                <w:bCs/>
                <w:color w:val="auto"/>
                <w:kern w:val="0"/>
                <w:sz w:val="18"/>
                <w:szCs w:val="18"/>
                <w:highlight w:val="none"/>
              </w:rPr>
            </w:pPr>
            <w:r>
              <w:rPr>
                <w:rFonts w:hint="eastAsia" w:asciiTheme="minorEastAsia" w:hAnsiTheme="minorEastAsia" w:eastAsiaTheme="minorEastAsia" w:cstheme="minorEastAsia"/>
                <w:b/>
                <w:bCs/>
                <w:color w:val="auto"/>
                <w:kern w:val="0"/>
                <w:sz w:val="18"/>
                <w:szCs w:val="18"/>
                <w:highlight w:val="none"/>
              </w:rPr>
              <w:t>资产总额(Z)</w:t>
            </w:r>
          </w:p>
        </w:tc>
        <w:tc>
          <w:tcPr>
            <w:tcW w:w="709" w:type="dxa"/>
            <w:shd w:val="clear" w:color="auto" w:fill="auto"/>
            <w:vAlign w:val="center"/>
          </w:tcPr>
          <w:p w14:paraId="668F315B">
            <w:pPr>
              <w:widowControl/>
              <w:jc w:val="center"/>
              <w:rPr>
                <w:rFonts w:asciiTheme="minorEastAsia" w:hAnsiTheme="minorEastAsia" w:eastAsiaTheme="minorEastAsia" w:cstheme="minorEastAsia"/>
                <w:b/>
                <w:bCs/>
                <w:color w:val="auto"/>
                <w:kern w:val="0"/>
                <w:sz w:val="18"/>
                <w:szCs w:val="18"/>
                <w:highlight w:val="none"/>
              </w:rPr>
            </w:pPr>
            <w:r>
              <w:rPr>
                <w:rFonts w:hint="eastAsia" w:asciiTheme="minorEastAsia" w:hAnsiTheme="minorEastAsia" w:eastAsiaTheme="minorEastAsia" w:cstheme="minorEastAsia"/>
                <w:b/>
                <w:bCs/>
                <w:color w:val="auto"/>
                <w:kern w:val="0"/>
                <w:sz w:val="18"/>
                <w:szCs w:val="18"/>
                <w:highlight w:val="none"/>
              </w:rPr>
              <w:t>万元</w:t>
            </w:r>
          </w:p>
        </w:tc>
        <w:tc>
          <w:tcPr>
            <w:tcW w:w="1125" w:type="dxa"/>
            <w:shd w:val="clear" w:color="auto" w:fill="auto"/>
            <w:vAlign w:val="center"/>
          </w:tcPr>
          <w:p w14:paraId="576D84F6">
            <w:pPr>
              <w:widowControl/>
              <w:jc w:val="center"/>
              <w:rPr>
                <w:rFonts w:asciiTheme="minorEastAsia" w:hAnsiTheme="minorEastAsia" w:eastAsiaTheme="minorEastAsia" w:cstheme="minorEastAsia"/>
                <w:b/>
                <w:bCs/>
                <w:color w:val="auto"/>
                <w:kern w:val="0"/>
                <w:sz w:val="18"/>
                <w:szCs w:val="18"/>
                <w:highlight w:val="none"/>
              </w:rPr>
            </w:pPr>
            <w:r>
              <w:rPr>
                <w:rFonts w:hint="eastAsia" w:asciiTheme="minorEastAsia" w:hAnsiTheme="minorEastAsia" w:eastAsiaTheme="minorEastAsia" w:cstheme="minorEastAsia"/>
                <w:b/>
                <w:bCs/>
                <w:color w:val="auto"/>
                <w:kern w:val="0"/>
                <w:sz w:val="18"/>
                <w:szCs w:val="18"/>
                <w:highlight w:val="none"/>
              </w:rPr>
              <w:t>Z≥80000</w:t>
            </w:r>
          </w:p>
        </w:tc>
        <w:tc>
          <w:tcPr>
            <w:tcW w:w="1701" w:type="dxa"/>
            <w:shd w:val="clear" w:color="auto" w:fill="auto"/>
            <w:vAlign w:val="center"/>
          </w:tcPr>
          <w:p w14:paraId="072E61AC">
            <w:pPr>
              <w:widowControl/>
              <w:jc w:val="center"/>
              <w:rPr>
                <w:rFonts w:asciiTheme="minorEastAsia" w:hAnsiTheme="minorEastAsia" w:eastAsiaTheme="minorEastAsia" w:cstheme="minorEastAsia"/>
                <w:b/>
                <w:bCs/>
                <w:color w:val="auto"/>
                <w:kern w:val="0"/>
                <w:sz w:val="18"/>
                <w:szCs w:val="18"/>
                <w:highlight w:val="none"/>
              </w:rPr>
            </w:pPr>
            <w:r>
              <w:rPr>
                <w:rFonts w:hint="eastAsia" w:asciiTheme="minorEastAsia" w:hAnsiTheme="minorEastAsia" w:eastAsiaTheme="minorEastAsia" w:cstheme="minorEastAsia"/>
                <w:b/>
                <w:bCs/>
                <w:color w:val="auto"/>
                <w:kern w:val="0"/>
                <w:sz w:val="18"/>
                <w:szCs w:val="18"/>
                <w:highlight w:val="none"/>
              </w:rPr>
              <w:t>5000≤Z＜80000</w:t>
            </w:r>
          </w:p>
        </w:tc>
        <w:tc>
          <w:tcPr>
            <w:tcW w:w="1426" w:type="dxa"/>
            <w:shd w:val="clear" w:color="auto" w:fill="auto"/>
            <w:vAlign w:val="center"/>
          </w:tcPr>
          <w:p w14:paraId="02743C24">
            <w:pPr>
              <w:widowControl/>
              <w:jc w:val="center"/>
              <w:rPr>
                <w:rFonts w:asciiTheme="minorEastAsia" w:hAnsiTheme="minorEastAsia" w:eastAsiaTheme="minorEastAsia" w:cstheme="minorEastAsia"/>
                <w:b/>
                <w:bCs/>
                <w:color w:val="auto"/>
                <w:kern w:val="0"/>
                <w:sz w:val="18"/>
                <w:szCs w:val="18"/>
                <w:highlight w:val="none"/>
              </w:rPr>
            </w:pPr>
            <w:r>
              <w:rPr>
                <w:rFonts w:hint="eastAsia" w:asciiTheme="minorEastAsia" w:hAnsiTheme="minorEastAsia" w:eastAsiaTheme="minorEastAsia" w:cstheme="minorEastAsia"/>
                <w:b/>
                <w:bCs/>
                <w:color w:val="auto"/>
                <w:kern w:val="0"/>
                <w:sz w:val="18"/>
                <w:szCs w:val="18"/>
                <w:highlight w:val="none"/>
              </w:rPr>
              <w:t xml:space="preserve"> 300≤Z＜5000</w:t>
            </w:r>
          </w:p>
        </w:tc>
        <w:tc>
          <w:tcPr>
            <w:tcW w:w="992" w:type="dxa"/>
            <w:shd w:val="clear" w:color="auto" w:fill="auto"/>
            <w:vAlign w:val="center"/>
          </w:tcPr>
          <w:p w14:paraId="04439869">
            <w:pPr>
              <w:widowControl/>
              <w:jc w:val="center"/>
              <w:rPr>
                <w:rFonts w:asciiTheme="minorEastAsia" w:hAnsiTheme="minorEastAsia" w:eastAsiaTheme="minorEastAsia" w:cstheme="minorEastAsia"/>
                <w:b/>
                <w:bCs/>
                <w:color w:val="auto"/>
                <w:kern w:val="0"/>
                <w:sz w:val="18"/>
                <w:szCs w:val="18"/>
                <w:highlight w:val="none"/>
              </w:rPr>
            </w:pPr>
            <w:r>
              <w:rPr>
                <w:rFonts w:hint="eastAsia" w:asciiTheme="minorEastAsia" w:hAnsiTheme="minorEastAsia" w:eastAsiaTheme="minorEastAsia" w:cstheme="minorEastAsia"/>
                <w:b/>
                <w:bCs/>
                <w:color w:val="auto"/>
                <w:kern w:val="0"/>
                <w:sz w:val="18"/>
                <w:szCs w:val="18"/>
                <w:highlight w:val="none"/>
              </w:rPr>
              <w:t>Z＜300</w:t>
            </w:r>
          </w:p>
        </w:tc>
      </w:tr>
      <w:tr w14:paraId="6B29F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7040669B">
            <w:pPr>
              <w:widowControl/>
              <w:spacing w:line="240" w:lineRule="exact"/>
              <w:jc w:val="left"/>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批发业</w:t>
            </w:r>
          </w:p>
        </w:tc>
        <w:tc>
          <w:tcPr>
            <w:tcW w:w="1369" w:type="dxa"/>
            <w:shd w:val="clear" w:color="auto" w:fill="auto"/>
            <w:vAlign w:val="center"/>
          </w:tcPr>
          <w:p w14:paraId="022E5D65">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从业人员(X)</w:t>
            </w:r>
          </w:p>
        </w:tc>
        <w:tc>
          <w:tcPr>
            <w:tcW w:w="709" w:type="dxa"/>
            <w:shd w:val="clear" w:color="auto" w:fill="auto"/>
            <w:vAlign w:val="center"/>
          </w:tcPr>
          <w:p w14:paraId="202CD454">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人</w:t>
            </w:r>
          </w:p>
        </w:tc>
        <w:tc>
          <w:tcPr>
            <w:tcW w:w="1125" w:type="dxa"/>
            <w:shd w:val="clear" w:color="auto" w:fill="auto"/>
            <w:vAlign w:val="center"/>
          </w:tcPr>
          <w:p w14:paraId="2D7F5F60">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X≥200</w:t>
            </w:r>
          </w:p>
        </w:tc>
        <w:tc>
          <w:tcPr>
            <w:tcW w:w="1701" w:type="dxa"/>
            <w:shd w:val="clear" w:color="auto" w:fill="auto"/>
            <w:vAlign w:val="center"/>
          </w:tcPr>
          <w:p w14:paraId="37769D8F">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20≤X＜200</w:t>
            </w:r>
          </w:p>
        </w:tc>
        <w:tc>
          <w:tcPr>
            <w:tcW w:w="1426" w:type="dxa"/>
            <w:shd w:val="clear" w:color="auto" w:fill="auto"/>
            <w:vAlign w:val="center"/>
          </w:tcPr>
          <w:p w14:paraId="0EE6ED71">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5≤X＜20</w:t>
            </w:r>
          </w:p>
        </w:tc>
        <w:tc>
          <w:tcPr>
            <w:tcW w:w="992" w:type="dxa"/>
            <w:shd w:val="clear" w:color="auto" w:fill="auto"/>
            <w:vAlign w:val="center"/>
          </w:tcPr>
          <w:p w14:paraId="4B9F541C">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X＜5</w:t>
            </w:r>
          </w:p>
        </w:tc>
      </w:tr>
      <w:tr w14:paraId="04344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12A5A27B">
            <w:pPr>
              <w:widowControl/>
              <w:jc w:val="left"/>
              <w:rPr>
                <w:rFonts w:asciiTheme="minorEastAsia" w:hAnsiTheme="minorEastAsia" w:eastAsiaTheme="minorEastAsia" w:cstheme="minorEastAsia"/>
                <w:color w:val="auto"/>
                <w:kern w:val="0"/>
                <w:sz w:val="18"/>
                <w:szCs w:val="18"/>
                <w:highlight w:val="none"/>
              </w:rPr>
            </w:pPr>
          </w:p>
        </w:tc>
        <w:tc>
          <w:tcPr>
            <w:tcW w:w="1369" w:type="dxa"/>
            <w:shd w:val="clear" w:color="auto" w:fill="auto"/>
            <w:vAlign w:val="center"/>
          </w:tcPr>
          <w:p w14:paraId="542DCEC2">
            <w:pPr>
              <w:widowControl/>
              <w:spacing w:line="240" w:lineRule="exact"/>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营业收入(Y)</w:t>
            </w:r>
          </w:p>
        </w:tc>
        <w:tc>
          <w:tcPr>
            <w:tcW w:w="709" w:type="dxa"/>
            <w:shd w:val="clear" w:color="auto" w:fill="auto"/>
            <w:vAlign w:val="center"/>
          </w:tcPr>
          <w:p w14:paraId="3E7DAC02">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万元</w:t>
            </w:r>
          </w:p>
        </w:tc>
        <w:tc>
          <w:tcPr>
            <w:tcW w:w="1125" w:type="dxa"/>
            <w:shd w:val="clear" w:color="auto" w:fill="auto"/>
            <w:vAlign w:val="center"/>
          </w:tcPr>
          <w:p w14:paraId="7C6FAC91">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Y≥40000</w:t>
            </w:r>
          </w:p>
        </w:tc>
        <w:tc>
          <w:tcPr>
            <w:tcW w:w="1701" w:type="dxa"/>
            <w:shd w:val="clear" w:color="auto" w:fill="auto"/>
            <w:vAlign w:val="center"/>
          </w:tcPr>
          <w:p w14:paraId="712507D0">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5000≤Y＜40000</w:t>
            </w:r>
          </w:p>
        </w:tc>
        <w:tc>
          <w:tcPr>
            <w:tcW w:w="1426" w:type="dxa"/>
            <w:shd w:val="clear" w:color="auto" w:fill="auto"/>
            <w:vAlign w:val="center"/>
          </w:tcPr>
          <w:p w14:paraId="3EAE9E76">
            <w:pPr>
              <w:widowControl/>
              <w:ind w:left="-1" w:leftChars="-1" w:hanging="1"/>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1000≤Y＜5000</w:t>
            </w:r>
          </w:p>
        </w:tc>
        <w:tc>
          <w:tcPr>
            <w:tcW w:w="992" w:type="dxa"/>
            <w:shd w:val="clear" w:color="auto" w:fill="auto"/>
            <w:vAlign w:val="center"/>
          </w:tcPr>
          <w:p w14:paraId="1E5A770C">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Y＜1000</w:t>
            </w:r>
          </w:p>
        </w:tc>
      </w:tr>
      <w:tr w14:paraId="779C7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5C6933BB">
            <w:pPr>
              <w:widowControl/>
              <w:spacing w:line="240" w:lineRule="exact"/>
              <w:jc w:val="left"/>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零售业</w:t>
            </w:r>
          </w:p>
        </w:tc>
        <w:tc>
          <w:tcPr>
            <w:tcW w:w="1369" w:type="dxa"/>
            <w:shd w:val="clear" w:color="auto" w:fill="auto"/>
            <w:vAlign w:val="center"/>
          </w:tcPr>
          <w:p w14:paraId="28BE0AE0">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从业人员(X)</w:t>
            </w:r>
          </w:p>
        </w:tc>
        <w:tc>
          <w:tcPr>
            <w:tcW w:w="709" w:type="dxa"/>
            <w:shd w:val="clear" w:color="auto" w:fill="auto"/>
            <w:vAlign w:val="center"/>
          </w:tcPr>
          <w:p w14:paraId="425439B1">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人</w:t>
            </w:r>
          </w:p>
        </w:tc>
        <w:tc>
          <w:tcPr>
            <w:tcW w:w="1125" w:type="dxa"/>
            <w:shd w:val="clear" w:color="auto" w:fill="auto"/>
            <w:vAlign w:val="center"/>
          </w:tcPr>
          <w:p w14:paraId="1C8DE5AA">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X≥300</w:t>
            </w:r>
          </w:p>
        </w:tc>
        <w:tc>
          <w:tcPr>
            <w:tcW w:w="1701" w:type="dxa"/>
            <w:shd w:val="clear" w:color="auto" w:fill="auto"/>
            <w:vAlign w:val="center"/>
          </w:tcPr>
          <w:p w14:paraId="35F5D1A6">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50≤X＜300</w:t>
            </w:r>
          </w:p>
        </w:tc>
        <w:tc>
          <w:tcPr>
            <w:tcW w:w="1426" w:type="dxa"/>
            <w:shd w:val="clear" w:color="auto" w:fill="auto"/>
            <w:vAlign w:val="center"/>
          </w:tcPr>
          <w:p w14:paraId="46C27C6D">
            <w:pPr>
              <w:widowControl/>
              <w:ind w:left="-1" w:leftChars="-1" w:hanging="1"/>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10≤X＜50 </w:t>
            </w:r>
          </w:p>
        </w:tc>
        <w:tc>
          <w:tcPr>
            <w:tcW w:w="992" w:type="dxa"/>
            <w:shd w:val="clear" w:color="auto" w:fill="auto"/>
            <w:vAlign w:val="center"/>
          </w:tcPr>
          <w:p w14:paraId="245C83A0">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X＜10</w:t>
            </w:r>
          </w:p>
        </w:tc>
      </w:tr>
      <w:tr w14:paraId="46305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FF49895">
            <w:pPr>
              <w:widowControl/>
              <w:jc w:val="left"/>
              <w:rPr>
                <w:rFonts w:asciiTheme="minorEastAsia" w:hAnsiTheme="minorEastAsia" w:eastAsiaTheme="minorEastAsia" w:cstheme="minorEastAsia"/>
                <w:color w:val="auto"/>
                <w:kern w:val="0"/>
                <w:sz w:val="18"/>
                <w:szCs w:val="18"/>
                <w:highlight w:val="none"/>
              </w:rPr>
            </w:pPr>
          </w:p>
        </w:tc>
        <w:tc>
          <w:tcPr>
            <w:tcW w:w="1369" w:type="dxa"/>
            <w:shd w:val="clear" w:color="auto" w:fill="auto"/>
            <w:vAlign w:val="center"/>
          </w:tcPr>
          <w:p w14:paraId="6369EE18">
            <w:pPr>
              <w:widowControl/>
              <w:spacing w:line="240" w:lineRule="exact"/>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营业收入(Y)</w:t>
            </w:r>
          </w:p>
        </w:tc>
        <w:tc>
          <w:tcPr>
            <w:tcW w:w="709" w:type="dxa"/>
            <w:shd w:val="clear" w:color="auto" w:fill="auto"/>
            <w:vAlign w:val="center"/>
          </w:tcPr>
          <w:p w14:paraId="35C3C762">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万元</w:t>
            </w:r>
          </w:p>
        </w:tc>
        <w:tc>
          <w:tcPr>
            <w:tcW w:w="1125" w:type="dxa"/>
            <w:shd w:val="clear" w:color="auto" w:fill="auto"/>
            <w:vAlign w:val="center"/>
          </w:tcPr>
          <w:p w14:paraId="2D84CCC0">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Y≥20000</w:t>
            </w:r>
          </w:p>
        </w:tc>
        <w:tc>
          <w:tcPr>
            <w:tcW w:w="1701" w:type="dxa"/>
            <w:shd w:val="clear" w:color="auto" w:fill="auto"/>
            <w:vAlign w:val="center"/>
          </w:tcPr>
          <w:p w14:paraId="511F67DA">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500≤Y＜20000</w:t>
            </w:r>
          </w:p>
        </w:tc>
        <w:tc>
          <w:tcPr>
            <w:tcW w:w="1426" w:type="dxa"/>
            <w:shd w:val="clear" w:color="auto" w:fill="auto"/>
            <w:vAlign w:val="center"/>
          </w:tcPr>
          <w:p w14:paraId="44C27C86">
            <w:pPr>
              <w:widowControl/>
              <w:ind w:left="-1" w:leftChars="-1" w:hanging="1"/>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100≤Y＜500 </w:t>
            </w:r>
          </w:p>
        </w:tc>
        <w:tc>
          <w:tcPr>
            <w:tcW w:w="992" w:type="dxa"/>
            <w:shd w:val="clear" w:color="auto" w:fill="auto"/>
            <w:vAlign w:val="center"/>
          </w:tcPr>
          <w:p w14:paraId="0C173832">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Y＜100</w:t>
            </w:r>
          </w:p>
        </w:tc>
      </w:tr>
      <w:tr w14:paraId="45A0D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7297C114">
            <w:pPr>
              <w:widowControl/>
              <w:spacing w:line="240" w:lineRule="exact"/>
              <w:jc w:val="left"/>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交通运输业 *</w:t>
            </w:r>
          </w:p>
        </w:tc>
        <w:tc>
          <w:tcPr>
            <w:tcW w:w="1369" w:type="dxa"/>
            <w:shd w:val="clear" w:color="auto" w:fill="auto"/>
            <w:vAlign w:val="center"/>
          </w:tcPr>
          <w:p w14:paraId="5BBBC819">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从业人员(X)</w:t>
            </w:r>
          </w:p>
        </w:tc>
        <w:tc>
          <w:tcPr>
            <w:tcW w:w="709" w:type="dxa"/>
            <w:shd w:val="clear" w:color="auto" w:fill="auto"/>
            <w:vAlign w:val="center"/>
          </w:tcPr>
          <w:p w14:paraId="03EEB12E">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人</w:t>
            </w:r>
          </w:p>
        </w:tc>
        <w:tc>
          <w:tcPr>
            <w:tcW w:w="1125" w:type="dxa"/>
            <w:shd w:val="clear" w:color="auto" w:fill="auto"/>
            <w:vAlign w:val="center"/>
          </w:tcPr>
          <w:p w14:paraId="606D6EC8">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X≥1000</w:t>
            </w:r>
          </w:p>
        </w:tc>
        <w:tc>
          <w:tcPr>
            <w:tcW w:w="1701" w:type="dxa"/>
            <w:shd w:val="clear" w:color="auto" w:fill="auto"/>
            <w:vAlign w:val="center"/>
          </w:tcPr>
          <w:p w14:paraId="52251D63">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300≤X＜1000</w:t>
            </w:r>
          </w:p>
        </w:tc>
        <w:tc>
          <w:tcPr>
            <w:tcW w:w="1426" w:type="dxa"/>
            <w:shd w:val="clear" w:color="auto" w:fill="auto"/>
            <w:vAlign w:val="center"/>
          </w:tcPr>
          <w:p w14:paraId="37DEA736">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20≤X＜300</w:t>
            </w:r>
          </w:p>
        </w:tc>
        <w:tc>
          <w:tcPr>
            <w:tcW w:w="992" w:type="dxa"/>
            <w:shd w:val="clear" w:color="auto" w:fill="auto"/>
            <w:vAlign w:val="center"/>
          </w:tcPr>
          <w:p w14:paraId="45FA0F85">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X＜20</w:t>
            </w:r>
          </w:p>
        </w:tc>
      </w:tr>
      <w:tr w14:paraId="7E6E1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3CFAF1B6">
            <w:pPr>
              <w:widowControl/>
              <w:jc w:val="left"/>
              <w:rPr>
                <w:rFonts w:asciiTheme="minorEastAsia" w:hAnsiTheme="minorEastAsia" w:eastAsiaTheme="minorEastAsia" w:cstheme="minorEastAsia"/>
                <w:color w:val="auto"/>
                <w:kern w:val="0"/>
                <w:sz w:val="18"/>
                <w:szCs w:val="18"/>
                <w:highlight w:val="none"/>
              </w:rPr>
            </w:pPr>
          </w:p>
        </w:tc>
        <w:tc>
          <w:tcPr>
            <w:tcW w:w="1369" w:type="dxa"/>
            <w:shd w:val="clear" w:color="auto" w:fill="auto"/>
            <w:vAlign w:val="center"/>
          </w:tcPr>
          <w:p w14:paraId="134CBD46">
            <w:pPr>
              <w:widowControl/>
              <w:spacing w:line="240" w:lineRule="exact"/>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营业收入(Y)</w:t>
            </w:r>
          </w:p>
        </w:tc>
        <w:tc>
          <w:tcPr>
            <w:tcW w:w="709" w:type="dxa"/>
            <w:shd w:val="clear" w:color="auto" w:fill="auto"/>
            <w:vAlign w:val="center"/>
          </w:tcPr>
          <w:p w14:paraId="1042DBC0">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万元</w:t>
            </w:r>
          </w:p>
        </w:tc>
        <w:tc>
          <w:tcPr>
            <w:tcW w:w="1125" w:type="dxa"/>
            <w:shd w:val="clear" w:color="auto" w:fill="auto"/>
            <w:vAlign w:val="center"/>
          </w:tcPr>
          <w:p w14:paraId="6C8C620B">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Y≥30000</w:t>
            </w:r>
          </w:p>
        </w:tc>
        <w:tc>
          <w:tcPr>
            <w:tcW w:w="1701" w:type="dxa"/>
            <w:shd w:val="clear" w:color="auto" w:fill="auto"/>
            <w:vAlign w:val="center"/>
          </w:tcPr>
          <w:p w14:paraId="16543CD7">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3000≤Y＜30000</w:t>
            </w:r>
          </w:p>
        </w:tc>
        <w:tc>
          <w:tcPr>
            <w:tcW w:w="1426" w:type="dxa"/>
            <w:shd w:val="clear" w:color="auto" w:fill="auto"/>
            <w:vAlign w:val="center"/>
          </w:tcPr>
          <w:p w14:paraId="2786E231">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200≤Y＜3000</w:t>
            </w:r>
          </w:p>
        </w:tc>
        <w:tc>
          <w:tcPr>
            <w:tcW w:w="992" w:type="dxa"/>
            <w:shd w:val="clear" w:color="auto" w:fill="auto"/>
            <w:vAlign w:val="center"/>
          </w:tcPr>
          <w:p w14:paraId="6A307F02">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Y＜200</w:t>
            </w:r>
          </w:p>
        </w:tc>
      </w:tr>
      <w:tr w14:paraId="74A0B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229CAE4E">
            <w:pPr>
              <w:widowControl/>
              <w:spacing w:line="240" w:lineRule="exact"/>
              <w:jc w:val="left"/>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仓储业*</w:t>
            </w:r>
          </w:p>
        </w:tc>
        <w:tc>
          <w:tcPr>
            <w:tcW w:w="1369" w:type="dxa"/>
            <w:shd w:val="clear" w:color="auto" w:fill="auto"/>
            <w:vAlign w:val="center"/>
          </w:tcPr>
          <w:p w14:paraId="49076A7C">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从业人员(X)</w:t>
            </w:r>
          </w:p>
        </w:tc>
        <w:tc>
          <w:tcPr>
            <w:tcW w:w="709" w:type="dxa"/>
            <w:shd w:val="clear" w:color="auto" w:fill="auto"/>
            <w:vAlign w:val="center"/>
          </w:tcPr>
          <w:p w14:paraId="0CD5668F">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人</w:t>
            </w:r>
          </w:p>
        </w:tc>
        <w:tc>
          <w:tcPr>
            <w:tcW w:w="1125" w:type="dxa"/>
            <w:shd w:val="clear" w:color="auto" w:fill="auto"/>
            <w:vAlign w:val="center"/>
          </w:tcPr>
          <w:p w14:paraId="1E987776">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X≥200</w:t>
            </w:r>
          </w:p>
        </w:tc>
        <w:tc>
          <w:tcPr>
            <w:tcW w:w="1701" w:type="dxa"/>
            <w:shd w:val="clear" w:color="auto" w:fill="auto"/>
            <w:vAlign w:val="center"/>
          </w:tcPr>
          <w:p w14:paraId="2471E741">
            <w:pPr>
              <w:widowControl/>
              <w:ind w:left="1" w:leftChars="-51" w:hanging="108" w:hangingChars="60"/>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100≤X＜200</w:t>
            </w:r>
          </w:p>
        </w:tc>
        <w:tc>
          <w:tcPr>
            <w:tcW w:w="1426" w:type="dxa"/>
            <w:shd w:val="clear" w:color="auto" w:fill="auto"/>
            <w:vAlign w:val="center"/>
          </w:tcPr>
          <w:p w14:paraId="5CDB686C">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20≤X＜100</w:t>
            </w:r>
          </w:p>
        </w:tc>
        <w:tc>
          <w:tcPr>
            <w:tcW w:w="992" w:type="dxa"/>
            <w:shd w:val="clear" w:color="auto" w:fill="auto"/>
            <w:vAlign w:val="center"/>
          </w:tcPr>
          <w:p w14:paraId="2D4EFC42">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X＜20</w:t>
            </w:r>
          </w:p>
        </w:tc>
      </w:tr>
      <w:tr w14:paraId="46B8C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6D687632">
            <w:pPr>
              <w:widowControl/>
              <w:jc w:val="left"/>
              <w:rPr>
                <w:rFonts w:asciiTheme="minorEastAsia" w:hAnsiTheme="minorEastAsia" w:eastAsiaTheme="minorEastAsia" w:cstheme="minorEastAsia"/>
                <w:color w:val="auto"/>
                <w:kern w:val="0"/>
                <w:sz w:val="18"/>
                <w:szCs w:val="18"/>
                <w:highlight w:val="none"/>
              </w:rPr>
            </w:pPr>
          </w:p>
        </w:tc>
        <w:tc>
          <w:tcPr>
            <w:tcW w:w="1369" w:type="dxa"/>
            <w:shd w:val="clear" w:color="auto" w:fill="auto"/>
            <w:vAlign w:val="center"/>
          </w:tcPr>
          <w:p w14:paraId="72739CA0">
            <w:pPr>
              <w:widowControl/>
              <w:spacing w:line="240" w:lineRule="exact"/>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营业收入(Y)</w:t>
            </w:r>
          </w:p>
        </w:tc>
        <w:tc>
          <w:tcPr>
            <w:tcW w:w="709" w:type="dxa"/>
            <w:shd w:val="clear" w:color="auto" w:fill="auto"/>
            <w:vAlign w:val="center"/>
          </w:tcPr>
          <w:p w14:paraId="08D4FF80">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万元</w:t>
            </w:r>
          </w:p>
        </w:tc>
        <w:tc>
          <w:tcPr>
            <w:tcW w:w="1125" w:type="dxa"/>
            <w:shd w:val="clear" w:color="auto" w:fill="auto"/>
            <w:vAlign w:val="center"/>
          </w:tcPr>
          <w:p w14:paraId="59A6C893">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Y≥30000</w:t>
            </w:r>
          </w:p>
        </w:tc>
        <w:tc>
          <w:tcPr>
            <w:tcW w:w="1701" w:type="dxa"/>
            <w:shd w:val="clear" w:color="auto" w:fill="auto"/>
            <w:vAlign w:val="center"/>
          </w:tcPr>
          <w:p w14:paraId="4214009C">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1000≤Y＜30000</w:t>
            </w:r>
          </w:p>
        </w:tc>
        <w:tc>
          <w:tcPr>
            <w:tcW w:w="1426" w:type="dxa"/>
            <w:shd w:val="clear" w:color="auto" w:fill="auto"/>
            <w:vAlign w:val="center"/>
          </w:tcPr>
          <w:p w14:paraId="1A84C6F1">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100≤Y＜1000</w:t>
            </w:r>
          </w:p>
        </w:tc>
        <w:tc>
          <w:tcPr>
            <w:tcW w:w="992" w:type="dxa"/>
            <w:shd w:val="clear" w:color="auto" w:fill="auto"/>
            <w:vAlign w:val="center"/>
          </w:tcPr>
          <w:p w14:paraId="581A1749">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Y＜100</w:t>
            </w:r>
          </w:p>
        </w:tc>
      </w:tr>
      <w:tr w14:paraId="19245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172A4388">
            <w:pPr>
              <w:widowControl/>
              <w:spacing w:line="240" w:lineRule="exact"/>
              <w:jc w:val="left"/>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邮政业</w:t>
            </w:r>
          </w:p>
        </w:tc>
        <w:tc>
          <w:tcPr>
            <w:tcW w:w="1369" w:type="dxa"/>
            <w:shd w:val="clear" w:color="auto" w:fill="auto"/>
            <w:vAlign w:val="center"/>
          </w:tcPr>
          <w:p w14:paraId="264F5562">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从业人员(X)</w:t>
            </w:r>
          </w:p>
        </w:tc>
        <w:tc>
          <w:tcPr>
            <w:tcW w:w="709" w:type="dxa"/>
            <w:shd w:val="clear" w:color="auto" w:fill="auto"/>
            <w:vAlign w:val="center"/>
          </w:tcPr>
          <w:p w14:paraId="6CA7CF83">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人</w:t>
            </w:r>
          </w:p>
        </w:tc>
        <w:tc>
          <w:tcPr>
            <w:tcW w:w="1125" w:type="dxa"/>
            <w:shd w:val="clear" w:color="auto" w:fill="auto"/>
            <w:vAlign w:val="center"/>
          </w:tcPr>
          <w:p w14:paraId="7C60E187">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X≥1000</w:t>
            </w:r>
          </w:p>
        </w:tc>
        <w:tc>
          <w:tcPr>
            <w:tcW w:w="1701" w:type="dxa"/>
            <w:shd w:val="clear" w:color="auto" w:fill="auto"/>
            <w:vAlign w:val="center"/>
          </w:tcPr>
          <w:p w14:paraId="4B2A9F97">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300≤X＜1000</w:t>
            </w:r>
          </w:p>
        </w:tc>
        <w:tc>
          <w:tcPr>
            <w:tcW w:w="1426" w:type="dxa"/>
            <w:shd w:val="clear" w:color="auto" w:fill="auto"/>
            <w:vAlign w:val="center"/>
          </w:tcPr>
          <w:p w14:paraId="2BB6918A">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20≤X＜300</w:t>
            </w:r>
          </w:p>
        </w:tc>
        <w:tc>
          <w:tcPr>
            <w:tcW w:w="992" w:type="dxa"/>
            <w:shd w:val="clear" w:color="auto" w:fill="auto"/>
            <w:vAlign w:val="center"/>
          </w:tcPr>
          <w:p w14:paraId="5826E9D1">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X＜20</w:t>
            </w:r>
          </w:p>
        </w:tc>
      </w:tr>
      <w:tr w14:paraId="37294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224D076D">
            <w:pPr>
              <w:widowControl/>
              <w:jc w:val="left"/>
              <w:rPr>
                <w:rFonts w:asciiTheme="minorEastAsia" w:hAnsiTheme="minorEastAsia" w:eastAsiaTheme="minorEastAsia" w:cstheme="minorEastAsia"/>
                <w:color w:val="auto"/>
                <w:kern w:val="0"/>
                <w:sz w:val="18"/>
                <w:szCs w:val="18"/>
                <w:highlight w:val="none"/>
              </w:rPr>
            </w:pPr>
          </w:p>
        </w:tc>
        <w:tc>
          <w:tcPr>
            <w:tcW w:w="1369" w:type="dxa"/>
            <w:shd w:val="clear" w:color="auto" w:fill="auto"/>
            <w:vAlign w:val="center"/>
          </w:tcPr>
          <w:p w14:paraId="10DDDCC7">
            <w:pPr>
              <w:widowControl/>
              <w:spacing w:line="240" w:lineRule="exact"/>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营业收入(Y)</w:t>
            </w:r>
          </w:p>
        </w:tc>
        <w:tc>
          <w:tcPr>
            <w:tcW w:w="709" w:type="dxa"/>
            <w:shd w:val="clear" w:color="auto" w:fill="auto"/>
            <w:vAlign w:val="center"/>
          </w:tcPr>
          <w:p w14:paraId="76724F25">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万元</w:t>
            </w:r>
          </w:p>
        </w:tc>
        <w:tc>
          <w:tcPr>
            <w:tcW w:w="1125" w:type="dxa"/>
            <w:shd w:val="clear" w:color="auto" w:fill="auto"/>
            <w:vAlign w:val="center"/>
          </w:tcPr>
          <w:p w14:paraId="361A48D8">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Y≥30000</w:t>
            </w:r>
          </w:p>
        </w:tc>
        <w:tc>
          <w:tcPr>
            <w:tcW w:w="1701" w:type="dxa"/>
            <w:shd w:val="clear" w:color="auto" w:fill="auto"/>
            <w:vAlign w:val="center"/>
          </w:tcPr>
          <w:p w14:paraId="595C6A48">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2000≤Y＜30000</w:t>
            </w:r>
          </w:p>
        </w:tc>
        <w:tc>
          <w:tcPr>
            <w:tcW w:w="1426" w:type="dxa"/>
            <w:shd w:val="clear" w:color="auto" w:fill="auto"/>
            <w:vAlign w:val="center"/>
          </w:tcPr>
          <w:p w14:paraId="6E0433A0">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100≤Y＜2000</w:t>
            </w:r>
          </w:p>
        </w:tc>
        <w:tc>
          <w:tcPr>
            <w:tcW w:w="992" w:type="dxa"/>
            <w:shd w:val="clear" w:color="auto" w:fill="auto"/>
            <w:vAlign w:val="center"/>
          </w:tcPr>
          <w:p w14:paraId="01D56950">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Y＜100</w:t>
            </w:r>
          </w:p>
        </w:tc>
      </w:tr>
      <w:tr w14:paraId="259E2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11C7275C">
            <w:pPr>
              <w:widowControl/>
              <w:spacing w:line="240" w:lineRule="exact"/>
              <w:jc w:val="left"/>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住宿业</w:t>
            </w:r>
          </w:p>
        </w:tc>
        <w:tc>
          <w:tcPr>
            <w:tcW w:w="1369" w:type="dxa"/>
            <w:shd w:val="clear" w:color="auto" w:fill="auto"/>
            <w:vAlign w:val="center"/>
          </w:tcPr>
          <w:p w14:paraId="250C3015">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从业人员(X)</w:t>
            </w:r>
          </w:p>
        </w:tc>
        <w:tc>
          <w:tcPr>
            <w:tcW w:w="709" w:type="dxa"/>
            <w:shd w:val="clear" w:color="auto" w:fill="auto"/>
            <w:vAlign w:val="center"/>
          </w:tcPr>
          <w:p w14:paraId="15C4758C">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人</w:t>
            </w:r>
          </w:p>
        </w:tc>
        <w:tc>
          <w:tcPr>
            <w:tcW w:w="1125" w:type="dxa"/>
            <w:shd w:val="clear" w:color="auto" w:fill="auto"/>
            <w:vAlign w:val="center"/>
          </w:tcPr>
          <w:p w14:paraId="1EFAAE0E">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X≥300</w:t>
            </w:r>
          </w:p>
        </w:tc>
        <w:tc>
          <w:tcPr>
            <w:tcW w:w="1701" w:type="dxa"/>
            <w:shd w:val="clear" w:color="auto" w:fill="auto"/>
            <w:vAlign w:val="center"/>
          </w:tcPr>
          <w:p w14:paraId="1137FE39">
            <w:pPr>
              <w:widowControl/>
              <w:ind w:left="1" w:leftChars="-51" w:hanging="108" w:hangingChars="60"/>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100≤X＜300 </w:t>
            </w:r>
          </w:p>
        </w:tc>
        <w:tc>
          <w:tcPr>
            <w:tcW w:w="1426" w:type="dxa"/>
            <w:shd w:val="clear" w:color="auto" w:fill="auto"/>
            <w:vAlign w:val="center"/>
          </w:tcPr>
          <w:p w14:paraId="128730E4">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10≤X＜100</w:t>
            </w:r>
          </w:p>
        </w:tc>
        <w:tc>
          <w:tcPr>
            <w:tcW w:w="992" w:type="dxa"/>
            <w:shd w:val="clear" w:color="auto" w:fill="auto"/>
            <w:vAlign w:val="center"/>
          </w:tcPr>
          <w:p w14:paraId="5C58F889">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X＜10</w:t>
            </w:r>
          </w:p>
        </w:tc>
      </w:tr>
      <w:tr w14:paraId="3F88F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5B28B58">
            <w:pPr>
              <w:widowControl/>
              <w:jc w:val="left"/>
              <w:rPr>
                <w:rFonts w:asciiTheme="minorEastAsia" w:hAnsiTheme="minorEastAsia" w:eastAsiaTheme="minorEastAsia" w:cstheme="minorEastAsia"/>
                <w:color w:val="auto"/>
                <w:kern w:val="0"/>
                <w:sz w:val="18"/>
                <w:szCs w:val="18"/>
                <w:highlight w:val="none"/>
              </w:rPr>
            </w:pPr>
          </w:p>
        </w:tc>
        <w:tc>
          <w:tcPr>
            <w:tcW w:w="1369" w:type="dxa"/>
            <w:shd w:val="clear" w:color="auto" w:fill="auto"/>
            <w:vAlign w:val="center"/>
          </w:tcPr>
          <w:p w14:paraId="412574E5">
            <w:pPr>
              <w:widowControl/>
              <w:spacing w:line="240" w:lineRule="exact"/>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营业收入(Y)</w:t>
            </w:r>
          </w:p>
        </w:tc>
        <w:tc>
          <w:tcPr>
            <w:tcW w:w="709" w:type="dxa"/>
            <w:shd w:val="clear" w:color="auto" w:fill="auto"/>
            <w:vAlign w:val="center"/>
          </w:tcPr>
          <w:p w14:paraId="12B17DF6">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万元</w:t>
            </w:r>
          </w:p>
        </w:tc>
        <w:tc>
          <w:tcPr>
            <w:tcW w:w="1125" w:type="dxa"/>
            <w:shd w:val="clear" w:color="auto" w:fill="auto"/>
            <w:vAlign w:val="center"/>
          </w:tcPr>
          <w:p w14:paraId="022A007E">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Y≥10000</w:t>
            </w:r>
          </w:p>
        </w:tc>
        <w:tc>
          <w:tcPr>
            <w:tcW w:w="1701" w:type="dxa"/>
            <w:shd w:val="clear" w:color="auto" w:fill="auto"/>
            <w:vAlign w:val="center"/>
          </w:tcPr>
          <w:p w14:paraId="0198DACC">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2000≤Y＜10000</w:t>
            </w:r>
          </w:p>
        </w:tc>
        <w:tc>
          <w:tcPr>
            <w:tcW w:w="1426" w:type="dxa"/>
            <w:shd w:val="clear" w:color="auto" w:fill="auto"/>
            <w:vAlign w:val="center"/>
          </w:tcPr>
          <w:p w14:paraId="19B54519">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100≤Y＜2000</w:t>
            </w:r>
          </w:p>
        </w:tc>
        <w:tc>
          <w:tcPr>
            <w:tcW w:w="992" w:type="dxa"/>
            <w:shd w:val="clear" w:color="auto" w:fill="auto"/>
            <w:vAlign w:val="center"/>
          </w:tcPr>
          <w:p w14:paraId="5B97BB8B">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Y＜100</w:t>
            </w:r>
          </w:p>
        </w:tc>
      </w:tr>
      <w:tr w14:paraId="1B86E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63AEAC17">
            <w:pPr>
              <w:widowControl/>
              <w:spacing w:line="240" w:lineRule="exact"/>
              <w:jc w:val="left"/>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餐饮业</w:t>
            </w:r>
          </w:p>
        </w:tc>
        <w:tc>
          <w:tcPr>
            <w:tcW w:w="1369" w:type="dxa"/>
            <w:shd w:val="clear" w:color="auto" w:fill="auto"/>
            <w:vAlign w:val="center"/>
          </w:tcPr>
          <w:p w14:paraId="67C8919D">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从业人员(X)</w:t>
            </w:r>
          </w:p>
        </w:tc>
        <w:tc>
          <w:tcPr>
            <w:tcW w:w="709" w:type="dxa"/>
            <w:shd w:val="clear" w:color="auto" w:fill="auto"/>
            <w:vAlign w:val="center"/>
          </w:tcPr>
          <w:p w14:paraId="1BEE69FD">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人</w:t>
            </w:r>
          </w:p>
        </w:tc>
        <w:tc>
          <w:tcPr>
            <w:tcW w:w="1125" w:type="dxa"/>
            <w:shd w:val="clear" w:color="auto" w:fill="auto"/>
            <w:vAlign w:val="center"/>
          </w:tcPr>
          <w:p w14:paraId="3F932EF1">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X≥300</w:t>
            </w:r>
          </w:p>
        </w:tc>
        <w:tc>
          <w:tcPr>
            <w:tcW w:w="1701" w:type="dxa"/>
            <w:shd w:val="clear" w:color="auto" w:fill="auto"/>
            <w:vAlign w:val="center"/>
          </w:tcPr>
          <w:p w14:paraId="45C98D62">
            <w:pPr>
              <w:widowControl/>
              <w:ind w:left="1" w:leftChars="-51" w:hanging="108" w:hangingChars="60"/>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100≤X＜300 </w:t>
            </w:r>
          </w:p>
        </w:tc>
        <w:tc>
          <w:tcPr>
            <w:tcW w:w="1426" w:type="dxa"/>
            <w:shd w:val="clear" w:color="auto" w:fill="auto"/>
            <w:vAlign w:val="center"/>
          </w:tcPr>
          <w:p w14:paraId="256C3F70">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10≤X＜100</w:t>
            </w:r>
          </w:p>
        </w:tc>
        <w:tc>
          <w:tcPr>
            <w:tcW w:w="992" w:type="dxa"/>
            <w:shd w:val="clear" w:color="auto" w:fill="auto"/>
            <w:vAlign w:val="center"/>
          </w:tcPr>
          <w:p w14:paraId="769AE125">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X＜10</w:t>
            </w:r>
          </w:p>
        </w:tc>
      </w:tr>
      <w:tr w14:paraId="0AB15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38B35D00">
            <w:pPr>
              <w:widowControl/>
              <w:jc w:val="left"/>
              <w:rPr>
                <w:rFonts w:asciiTheme="minorEastAsia" w:hAnsiTheme="minorEastAsia" w:eastAsiaTheme="minorEastAsia" w:cstheme="minorEastAsia"/>
                <w:color w:val="auto"/>
                <w:kern w:val="0"/>
                <w:sz w:val="18"/>
                <w:szCs w:val="18"/>
                <w:highlight w:val="none"/>
              </w:rPr>
            </w:pPr>
          </w:p>
        </w:tc>
        <w:tc>
          <w:tcPr>
            <w:tcW w:w="1369" w:type="dxa"/>
            <w:shd w:val="clear" w:color="auto" w:fill="auto"/>
            <w:vAlign w:val="center"/>
          </w:tcPr>
          <w:p w14:paraId="371C6059">
            <w:pPr>
              <w:widowControl/>
              <w:spacing w:line="240" w:lineRule="exact"/>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营业收入(Y)</w:t>
            </w:r>
          </w:p>
        </w:tc>
        <w:tc>
          <w:tcPr>
            <w:tcW w:w="709" w:type="dxa"/>
            <w:shd w:val="clear" w:color="auto" w:fill="auto"/>
            <w:vAlign w:val="center"/>
          </w:tcPr>
          <w:p w14:paraId="3BF73F23">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万元</w:t>
            </w:r>
          </w:p>
        </w:tc>
        <w:tc>
          <w:tcPr>
            <w:tcW w:w="1125" w:type="dxa"/>
            <w:shd w:val="clear" w:color="auto" w:fill="auto"/>
            <w:vAlign w:val="center"/>
          </w:tcPr>
          <w:p w14:paraId="01F6AFF4">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Y≥10000</w:t>
            </w:r>
          </w:p>
        </w:tc>
        <w:tc>
          <w:tcPr>
            <w:tcW w:w="1701" w:type="dxa"/>
            <w:shd w:val="clear" w:color="auto" w:fill="auto"/>
            <w:vAlign w:val="center"/>
          </w:tcPr>
          <w:p w14:paraId="02D528F1">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2000≤Y＜10000</w:t>
            </w:r>
          </w:p>
        </w:tc>
        <w:tc>
          <w:tcPr>
            <w:tcW w:w="1426" w:type="dxa"/>
            <w:shd w:val="clear" w:color="auto" w:fill="auto"/>
            <w:vAlign w:val="center"/>
          </w:tcPr>
          <w:p w14:paraId="4A62D823">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100≤Y＜2000</w:t>
            </w:r>
          </w:p>
        </w:tc>
        <w:tc>
          <w:tcPr>
            <w:tcW w:w="992" w:type="dxa"/>
            <w:shd w:val="clear" w:color="auto" w:fill="auto"/>
            <w:vAlign w:val="center"/>
          </w:tcPr>
          <w:p w14:paraId="5A133234">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Y＜100</w:t>
            </w:r>
          </w:p>
        </w:tc>
      </w:tr>
      <w:tr w14:paraId="16AB9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shd w:val="clear" w:color="auto" w:fill="auto"/>
            <w:vAlign w:val="center"/>
          </w:tcPr>
          <w:p w14:paraId="1163A612">
            <w:pPr>
              <w:widowControl/>
              <w:spacing w:line="240" w:lineRule="exact"/>
              <w:jc w:val="left"/>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信息传输业 *</w:t>
            </w:r>
          </w:p>
        </w:tc>
        <w:tc>
          <w:tcPr>
            <w:tcW w:w="1369" w:type="dxa"/>
            <w:shd w:val="clear" w:color="auto" w:fill="auto"/>
            <w:vAlign w:val="center"/>
          </w:tcPr>
          <w:p w14:paraId="53A62D62">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从业人员(X)</w:t>
            </w:r>
          </w:p>
        </w:tc>
        <w:tc>
          <w:tcPr>
            <w:tcW w:w="709" w:type="dxa"/>
            <w:shd w:val="clear" w:color="auto" w:fill="auto"/>
            <w:vAlign w:val="center"/>
          </w:tcPr>
          <w:p w14:paraId="298F8198">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人</w:t>
            </w:r>
          </w:p>
        </w:tc>
        <w:tc>
          <w:tcPr>
            <w:tcW w:w="1125" w:type="dxa"/>
            <w:shd w:val="clear" w:color="auto" w:fill="auto"/>
            <w:vAlign w:val="center"/>
          </w:tcPr>
          <w:p w14:paraId="185C8464">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X≥2000</w:t>
            </w:r>
          </w:p>
        </w:tc>
        <w:tc>
          <w:tcPr>
            <w:tcW w:w="1701" w:type="dxa"/>
            <w:shd w:val="clear" w:color="auto" w:fill="auto"/>
            <w:vAlign w:val="center"/>
          </w:tcPr>
          <w:p w14:paraId="70D07E92">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100≤X＜2000</w:t>
            </w:r>
          </w:p>
        </w:tc>
        <w:tc>
          <w:tcPr>
            <w:tcW w:w="1426" w:type="dxa"/>
            <w:shd w:val="clear" w:color="auto" w:fill="auto"/>
            <w:vAlign w:val="center"/>
          </w:tcPr>
          <w:p w14:paraId="53062100">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10≤X＜100</w:t>
            </w:r>
          </w:p>
        </w:tc>
        <w:tc>
          <w:tcPr>
            <w:tcW w:w="992" w:type="dxa"/>
            <w:shd w:val="clear" w:color="auto" w:fill="auto"/>
            <w:vAlign w:val="center"/>
          </w:tcPr>
          <w:p w14:paraId="6CB670A7">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X＜10</w:t>
            </w:r>
          </w:p>
        </w:tc>
      </w:tr>
      <w:tr w14:paraId="4FE1F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ACEA2A5">
            <w:pPr>
              <w:widowControl/>
              <w:jc w:val="left"/>
              <w:rPr>
                <w:rFonts w:asciiTheme="minorEastAsia" w:hAnsiTheme="minorEastAsia" w:eastAsiaTheme="minorEastAsia" w:cstheme="minorEastAsia"/>
                <w:color w:val="auto"/>
                <w:kern w:val="0"/>
                <w:sz w:val="18"/>
                <w:szCs w:val="18"/>
                <w:highlight w:val="none"/>
              </w:rPr>
            </w:pPr>
          </w:p>
        </w:tc>
        <w:tc>
          <w:tcPr>
            <w:tcW w:w="1369" w:type="dxa"/>
            <w:shd w:val="clear" w:color="auto" w:fill="auto"/>
            <w:vAlign w:val="center"/>
          </w:tcPr>
          <w:p w14:paraId="3B2D6F94">
            <w:pPr>
              <w:widowControl/>
              <w:spacing w:line="240" w:lineRule="exact"/>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营业收入(Y)</w:t>
            </w:r>
          </w:p>
        </w:tc>
        <w:tc>
          <w:tcPr>
            <w:tcW w:w="709" w:type="dxa"/>
            <w:shd w:val="clear" w:color="auto" w:fill="auto"/>
            <w:vAlign w:val="center"/>
          </w:tcPr>
          <w:p w14:paraId="1C9A1647">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万元</w:t>
            </w:r>
          </w:p>
        </w:tc>
        <w:tc>
          <w:tcPr>
            <w:tcW w:w="1125" w:type="dxa"/>
            <w:shd w:val="clear" w:color="auto" w:fill="auto"/>
            <w:vAlign w:val="center"/>
          </w:tcPr>
          <w:p w14:paraId="55BB9EDD">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Y≥100000</w:t>
            </w:r>
          </w:p>
        </w:tc>
        <w:tc>
          <w:tcPr>
            <w:tcW w:w="1701" w:type="dxa"/>
            <w:shd w:val="clear" w:color="auto" w:fill="auto"/>
            <w:vAlign w:val="center"/>
          </w:tcPr>
          <w:p w14:paraId="40EAD89A">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1000≤Y＜100000</w:t>
            </w:r>
          </w:p>
        </w:tc>
        <w:tc>
          <w:tcPr>
            <w:tcW w:w="1426" w:type="dxa"/>
            <w:shd w:val="clear" w:color="auto" w:fill="auto"/>
            <w:vAlign w:val="center"/>
          </w:tcPr>
          <w:p w14:paraId="02EB5D62">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100≤Y＜1000</w:t>
            </w:r>
          </w:p>
        </w:tc>
        <w:tc>
          <w:tcPr>
            <w:tcW w:w="992" w:type="dxa"/>
            <w:shd w:val="clear" w:color="auto" w:fill="auto"/>
            <w:vAlign w:val="center"/>
          </w:tcPr>
          <w:p w14:paraId="79CACC2E">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Y＜100</w:t>
            </w:r>
          </w:p>
        </w:tc>
      </w:tr>
      <w:tr w14:paraId="74081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1CF9EF89">
            <w:pPr>
              <w:widowControl/>
              <w:spacing w:line="240" w:lineRule="exact"/>
              <w:jc w:val="left"/>
              <w:rPr>
                <w:rFonts w:asciiTheme="minorEastAsia" w:hAnsiTheme="minorEastAsia" w:eastAsiaTheme="minorEastAsia" w:cstheme="minorEastAsia"/>
                <w:color w:val="auto"/>
                <w:spacing w:val="-12"/>
                <w:kern w:val="0"/>
                <w:sz w:val="18"/>
                <w:szCs w:val="18"/>
                <w:highlight w:val="none"/>
              </w:rPr>
            </w:pPr>
            <w:r>
              <w:rPr>
                <w:rFonts w:hint="eastAsia" w:asciiTheme="minorEastAsia" w:hAnsiTheme="minorEastAsia" w:eastAsiaTheme="minorEastAsia" w:cstheme="minorEastAsia"/>
                <w:color w:val="auto"/>
                <w:spacing w:val="-12"/>
                <w:kern w:val="0"/>
                <w:sz w:val="18"/>
                <w:szCs w:val="18"/>
                <w:highlight w:val="none"/>
              </w:rPr>
              <w:t>软件和信息技术服</w:t>
            </w:r>
            <w:r>
              <w:rPr>
                <w:rFonts w:hint="eastAsia" w:asciiTheme="minorEastAsia" w:hAnsiTheme="minorEastAsia" w:eastAsiaTheme="minorEastAsia" w:cstheme="minorEastAsia"/>
                <w:color w:val="auto"/>
                <w:kern w:val="0"/>
                <w:sz w:val="18"/>
                <w:szCs w:val="18"/>
                <w:highlight w:val="none"/>
              </w:rPr>
              <w:t>务业</w:t>
            </w:r>
          </w:p>
        </w:tc>
        <w:tc>
          <w:tcPr>
            <w:tcW w:w="1369" w:type="dxa"/>
            <w:shd w:val="clear" w:color="auto" w:fill="auto"/>
            <w:vAlign w:val="center"/>
          </w:tcPr>
          <w:p w14:paraId="4E446315">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从业人员(X)</w:t>
            </w:r>
          </w:p>
        </w:tc>
        <w:tc>
          <w:tcPr>
            <w:tcW w:w="709" w:type="dxa"/>
            <w:shd w:val="clear" w:color="auto" w:fill="auto"/>
            <w:vAlign w:val="center"/>
          </w:tcPr>
          <w:p w14:paraId="2E99D469">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人</w:t>
            </w:r>
          </w:p>
        </w:tc>
        <w:tc>
          <w:tcPr>
            <w:tcW w:w="1125" w:type="dxa"/>
            <w:shd w:val="clear" w:color="auto" w:fill="auto"/>
            <w:vAlign w:val="center"/>
          </w:tcPr>
          <w:p w14:paraId="390260FC">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X≥300</w:t>
            </w:r>
          </w:p>
        </w:tc>
        <w:tc>
          <w:tcPr>
            <w:tcW w:w="1701" w:type="dxa"/>
            <w:shd w:val="clear" w:color="auto" w:fill="auto"/>
            <w:vAlign w:val="center"/>
          </w:tcPr>
          <w:p w14:paraId="49E62A9E">
            <w:pPr>
              <w:widowControl/>
              <w:ind w:left="1" w:leftChars="-51" w:hanging="108" w:hangingChars="60"/>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100≤X＜300 </w:t>
            </w:r>
          </w:p>
        </w:tc>
        <w:tc>
          <w:tcPr>
            <w:tcW w:w="1426" w:type="dxa"/>
            <w:shd w:val="clear" w:color="auto" w:fill="auto"/>
            <w:vAlign w:val="center"/>
          </w:tcPr>
          <w:p w14:paraId="63FFE5D6">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10≤X＜100</w:t>
            </w:r>
          </w:p>
        </w:tc>
        <w:tc>
          <w:tcPr>
            <w:tcW w:w="992" w:type="dxa"/>
            <w:shd w:val="clear" w:color="auto" w:fill="auto"/>
            <w:vAlign w:val="center"/>
          </w:tcPr>
          <w:p w14:paraId="2D70EB9D">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X＜10</w:t>
            </w:r>
          </w:p>
        </w:tc>
      </w:tr>
      <w:tr w14:paraId="750B1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20DEE9FA">
            <w:pPr>
              <w:widowControl/>
              <w:jc w:val="left"/>
              <w:rPr>
                <w:rFonts w:asciiTheme="minorEastAsia" w:hAnsiTheme="minorEastAsia" w:eastAsiaTheme="minorEastAsia" w:cstheme="minorEastAsia"/>
                <w:color w:val="auto"/>
                <w:spacing w:val="-12"/>
                <w:kern w:val="0"/>
                <w:sz w:val="18"/>
                <w:szCs w:val="18"/>
                <w:highlight w:val="none"/>
              </w:rPr>
            </w:pPr>
          </w:p>
        </w:tc>
        <w:tc>
          <w:tcPr>
            <w:tcW w:w="1369" w:type="dxa"/>
            <w:shd w:val="clear" w:color="auto" w:fill="auto"/>
            <w:vAlign w:val="center"/>
          </w:tcPr>
          <w:p w14:paraId="08971E9E">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营业收入(Y)</w:t>
            </w:r>
          </w:p>
        </w:tc>
        <w:tc>
          <w:tcPr>
            <w:tcW w:w="709" w:type="dxa"/>
            <w:shd w:val="clear" w:color="auto" w:fill="auto"/>
            <w:vAlign w:val="center"/>
          </w:tcPr>
          <w:p w14:paraId="3991ABDA">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万元</w:t>
            </w:r>
          </w:p>
        </w:tc>
        <w:tc>
          <w:tcPr>
            <w:tcW w:w="1125" w:type="dxa"/>
            <w:shd w:val="clear" w:color="auto" w:fill="auto"/>
            <w:vAlign w:val="center"/>
          </w:tcPr>
          <w:p w14:paraId="43F4D815">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Y≥10000</w:t>
            </w:r>
          </w:p>
        </w:tc>
        <w:tc>
          <w:tcPr>
            <w:tcW w:w="1701" w:type="dxa"/>
            <w:shd w:val="clear" w:color="auto" w:fill="auto"/>
            <w:vAlign w:val="center"/>
          </w:tcPr>
          <w:p w14:paraId="3F18FDC9">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1000≤Y＜10000</w:t>
            </w:r>
          </w:p>
        </w:tc>
        <w:tc>
          <w:tcPr>
            <w:tcW w:w="1426" w:type="dxa"/>
            <w:shd w:val="clear" w:color="auto" w:fill="auto"/>
            <w:vAlign w:val="center"/>
          </w:tcPr>
          <w:p w14:paraId="38C2631A">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50≤Y＜1000</w:t>
            </w:r>
          </w:p>
        </w:tc>
        <w:tc>
          <w:tcPr>
            <w:tcW w:w="992" w:type="dxa"/>
            <w:shd w:val="clear" w:color="auto" w:fill="auto"/>
            <w:vAlign w:val="center"/>
          </w:tcPr>
          <w:p w14:paraId="6DFCA978">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Y＜50</w:t>
            </w:r>
          </w:p>
        </w:tc>
      </w:tr>
      <w:tr w14:paraId="61314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19CD6743">
            <w:pPr>
              <w:widowControl/>
              <w:spacing w:line="240" w:lineRule="exact"/>
              <w:jc w:val="left"/>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房地产开发经营</w:t>
            </w:r>
          </w:p>
        </w:tc>
        <w:tc>
          <w:tcPr>
            <w:tcW w:w="1369" w:type="dxa"/>
            <w:shd w:val="clear" w:color="auto" w:fill="auto"/>
            <w:vAlign w:val="center"/>
          </w:tcPr>
          <w:p w14:paraId="230D2CFC">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营业收入(Y)</w:t>
            </w:r>
          </w:p>
        </w:tc>
        <w:tc>
          <w:tcPr>
            <w:tcW w:w="709" w:type="dxa"/>
            <w:shd w:val="clear" w:color="auto" w:fill="auto"/>
            <w:vAlign w:val="center"/>
          </w:tcPr>
          <w:p w14:paraId="448D53FE">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万元</w:t>
            </w:r>
          </w:p>
        </w:tc>
        <w:tc>
          <w:tcPr>
            <w:tcW w:w="1125" w:type="dxa"/>
            <w:shd w:val="clear" w:color="auto" w:fill="auto"/>
            <w:vAlign w:val="center"/>
          </w:tcPr>
          <w:p w14:paraId="5A0097C1">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Y≥200000</w:t>
            </w:r>
          </w:p>
        </w:tc>
        <w:tc>
          <w:tcPr>
            <w:tcW w:w="1701" w:type="dxa"/>
            <w:shd w:val="clear" w:color="auto" w:fill="auto"/>
            <w:vAlign w:val="center"/>
          </w:tcPr>
          <w:p w14:paraId="6B557FBF">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1000≤Y＜200000</w:t>
            </w:r>
          </w:p>
        </w:tc>
        <w:tc>
          <w:tcPr>
            <w:tcW w:w="1426" w:type="dxa"/>
            <w:shd w:val="clear" w:color="auto" w:fill="auto"/>
            <w:vAlign w:val="center"/>
          </w:tcPr>
          <w:p w14:paraId="339202E3">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100≤Y＜1000</w:t>
            </w:r>
          </w:p>
        </w:tc>
        <w:tc>
          <w:tcPr>
            <w:tcW w:w="992" w:type="dxa"/>
            <w:shd w:val="clear" w:color="auto" w:fill="auto"/>
            <w:vAlign w:val="center"/>
          </w:tcPr>
          <w:p w14:paraId="41904BC0">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Y＜100</w:t>
            </w:r>
          </w:p>
        </w:tc>
      </w:tr>
      <w:tr w14:paraId="161A0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30DEB865">
            <w:pPr>
              <w:widowControl/>
              <w:jc w:val="left"/>
              <w:rPr>
                <w:rFonts w:asciiTheme="minorEastAsia" w:hAnsiTheme="minorEastAsia" w:eastAsiaTheme="minorEastAsia" w:cstheme="minorEastAsia"/>
                <w:color w:val="auto"/>
                <w:kern w:val="0"/>
                <w:sz w:val="18"/>
                <w:szCs w:val="18"/>
                <w:highlight w:val="none"/>
              </w:rPr>
            </w:pPr>
          </w:p>
        </w:tc>
        <w:tc>
          <w:tcPr>
            <w:tcW w:w="1369" w:type="dxa"/>
            <w:shd w:val="clear" w:color="auto" w:fill="auto"/>
            <w:vAlign w:val="center"/>
          </w:tcPr>
          <w:p w14:paraId="12EE71E4">
            <w:pPr>
              <w:widowControl/>
              <w:spacing w:line="240" w:lineRule="exact"/>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资产总额(Z)</w:t>
            </w:r>
          </w:p>
        </w:tc>
        <w:tc>
          <w:tcPr>
            <w:tcW w:w="709" w:type="dxa"/>
            <w:shd w:val="clear" w:color="auto" w:fill="auto"/>
            <w:vAlign w:val="center"/>
          </w:tcPr>
          <w:p w14:paraId="05D7E56D">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万元</w:t>
            </w:r>
          </w:p>
        </w:tc>
        <w:tc>
          <w:tcPr>
            <w:tcW w:w="1125" w:type="dxa"/>
            <w:shd w:val="clear" w:color="auto" w:fill="auto"/>
            <w:vAlign w:val="center"/>
          </w:tcPr>
          <w:p w14:paraId="29590244">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Z≥10000</w:t>
            </w:r>
          </w:p>
        </w:tc>
        <w:tc>
          <w:tcPr>
            <w:tcW w:w="1701" w:type="dxa"/>
            <w:shd w:val="clear" w:color="auto" w:fill="auto"/>
            <w:vAlign w:val="center"/>
          </w:tcPr>
          <w:p w14:paraId="59988568">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5000≤Z＜10000</w:t>
            </w:r>
          </w:p>
        </w:tc>
        <w:tc>
          <w:tcPr>
            <w:tcW w:w="1426" w:type="dxa"/>
            <w:shd w:val="clear" w:color="auto" w:fill="auto"/>
            <w:vAlign w:val="center"/>
          </w:tcPr>
          <w:p w14:paraId="213DE627">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2000≤Z＜5000   </w:t>
            </w:r>
          </w:p>
        </w:tc>
        <w:tc>
          <w:tcPr>
            <w:tcW w:w="992" w:type="dxa"/>
            <w:shd w:val="clear" w:color="auto" w:fill="auto"/>
            <w:vAlign w:val="center"/>
          </w:tcPr>
          <w:p w14:paraId="0465AE54">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Z＜2000</w:t>
            </w:r>
          </w:p>
        </w:tc>
      </w:tr>
      <w:tr w14:paraId="1588F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1AFC99B8">
            <w:pPr>
              <w:widowControl/>
              <w:spacing w:line="240" w:lineRule="exact"/>
              <w:jc w:val="left"/>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物业管理</w:t>
            </w:r>
          </w:p>
        </w:tc>
        <w:tc>
          <w:tcPr>
            <w:tcW w:w="1369" w:type="dxa"/>
            <w:shd w:val="clear" w:color="auto" w:fill="auto"/>
            <w:vAlign w:val="center"/>
          </w:tcPr>
          <w:p w14:paraId="57C75C08">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从业人员(X)</w:t>
            </w:r>
          </w:p>
        </w:tc>
        <w:tc>
          <w:tcPr>
            <w:tcW w:w="709" w:type="dxa"/>
            <w:shd w:val="clear" w:color="auto" w:fill="auto"/>
            <w:vAlign w:val="center"/>
          </w:tcPr>
          <w:p w14:paraId="36942F8B">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人</w:t>
            </w:r>
          </w:p>
        </w:tc>
        <w:tc>
          <w:tcPr>
            <w:tcW w:w="1125" w:type="dxa"/>
            <w:shd w:val="clear" w:color="auto" w:fill="auto"/>
            <w:vAlign w:val="center"/>
          </w:tcPr>
          <w:p w14:paraId="30B8F30A">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X≥1000</w:t>
            </w:r>
          </w:p>
        </w:tc>
        <w:tc>
          <w:tcPr>
            <w:tcW w:w="1701" w:type="dxa"/>
            <w:shd w:val="clear" w:color="auto" w:fill="auto"/>
            <w:vAlign w:val="center"/>
          </w:tcPr>
          <w:p w14:paraId="37E5DBFB">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300≤X＜1000</w:t>
            </w:r>
          </w:p>
        </w:tc>
        <w:tc>
          <w:tcPr>
            <w:tcW w:w="1426" w:type="dxa"/>
            <w:shd w:val="clear" w:color="auto" w:fill="auto"/>
            <w:vAlign w:val="center"/>
          </w:tcPr>
          <w:p w14:paraId="7A00AD20">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100≤X＜300 </w:t>
            </w:r>
          </w:p>
        </w:tc>
        <w:tc>
          <w:tcPr>
            <w:tcW w:w="992" w:type="dxa"/>
            <w:shd w:val="clear" w:color="auto" w:fill="auto"/>
            <w:vAlign w:val="center"/>
          </w:tcPr>
          <w:p w14:paraId="1EC015F0">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X＜100</w:t>
            </w:r>
          </w:p>
        </w:tc>
      </w:tr>
      <w:tr w14:paraId="394B5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39A94312">
            <w:pPr>
              <w:widowControl/>
              <w:jc w:val="left"/>
              <w:rPr>
                <w:rFonts w:asciiTheme="minorEastAsia" w:hAnsiTheme="minorEastAsia" w:eastAsiaTheme="minorEastAsia" w:cstheme="minorEastAsia"/>
                <w:color w:val="auto"/>
                <w:kern w:val="0"/>
                <w:sz w:val="18"/>
                <w:szCs w:val="18"/>
                <w:highlight w:val="none"/>
              </w:rPr>
            </w:pPr>
          </w:p>
        </w:tc>
        <w:tc>
          <w:tcPr>
            <w:tcW w:w="1369" w:type="dxa"/>
            <w:shd w:val="clear" w:color="auto" w:fill="auto"/>
            <w:vAlign w:val="center"/>
          </w:tcPr>
          <w:p w14:paraId="6F8B3A5E">
            <w:pPr>
              <w:widowControl/>
              <w:spacing w:line="240" w:lineRule="exact"/>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营业收入(Y)</w:t>
            </w:r>
          </w:p>
        </w:tc>
        <w:tc>
          <w:tcPr>
            <w:tcW w:w="709" w:type="dxa"/>
            <w:shd w:val="clear" w:color="auto" w:fill="auto"/>
            <w:vAlign w:val="center"/>
          </w:tcPr>
          <w:p w14:paraId="30B83822">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万元</w:t>
            </w:r>
          </w:p>
        </w:tc>
        <w:tc>
          <w:tcPr>
            <w:tcW w:w="1125" w:type="dxa"/>
            <w:shd w:val="clear" w:color="auto" w:fill="auto"/>
            <w:vAlign w:val="center"/>
          </w:tcPr>
          <w:p w14:paraId="74117015">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Y≥5000</w:t>
            </w:r>
          </w:p>
        </w:tc>
        <w:tc>
          <w:tcPr>
            <w:tcW w:w="1701" w:type="dxa"/>
            <w:shd w:val="clear" w:color="auto" w:fill="auto"/>
            <w:vAlign w:val="center"/>
          </w:tcPr>
          <w:p w14:paraId="1078A8C0">
            <w:pPr>
              <w:widowControl/>
              <w:ind w:left="1" w:leftChars="-51" w:hanging="108" w:hangingChars="60"/>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1000≤Y＜5000 </w:t>
            </w:r>
          </w:p>
        </w:tc>
        <w:tc>
          <w:tcPr>
            <w:tcW w:w="1426" w:type="dxa"/>
            <w:shd w:val="clear" w:color="auto" w:fill="auto"/>
            <w:vAlign w:val="center"/>
          </w:tcPr>
          <w:p w14:paraId="7B74EEC7">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500≤Y＜1000</w:t>
            </w:r>
          </w:p>
        </w:tc>
        <w:tc>
          <w:tcPr>
            <w:tcW w:w="992" w:type="dxa"/>
            <w:shd w:val="clear" w:color="auto" w:fill="auto"/>
            <w:vAlign w:val="center"/>
          </w:tcPr>
          <w:p w14:paraId="5D312C6A">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Y＜500</w:t>
            </w:r>
          </w:p>
        </w:tc>
      </w:tr>
      <w:tr w14:paraId="31D44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shd w:val="clear" w:color="auto" w:fill="auto"/>
            <w:vAlign w:val="center"/>
          </w:tcPr>
          <w:p w14:paraId="1814546B">
            <w:pPr>
              <w:widowControl/>
              <w:spacing w:line="240" w:lineRule="exact"/>
              <w:jc w:val="left"/>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租赁和商务服务业</w:t>
            </w:r>
          </w:p>
        </w:tc>
        <w:tc>
          <w:tcPr>
            <w:tcW w:w="1369" w:type="dxa"/>
            <w:shd w:val="clear" w:color="auto" w:fill="auto"/>
            <w:vAlign w:val="center"/>
          </w:tcPr>
          <w:p w14:paraId="70060F6A">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从业人员(X)</w:t>
            </w:r>
          </w:p>
        </w:tc>
        <w:tc>
          <w:tcPr>
            <w:tcW w:w="709" w:type="dxa"/>
            <w:shd w:val="clear" w:color="auto" w:fill="auto"/>
            <w:vAlign w:val="center"/>
          </w:tcPr>
          <w:p w14:paraId="264B1424">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人</w:t>
            </w:r>
          </w:p>
        </w:tc>
        <w:tc>
          <w:tcPr>
            <w:tcW w:w="1125" w:type="dxa"/>
            <w:shd w:val="clear" w:color="auto" w:fill="auto"/>
            <w:vAlign w:val="center"/>
          </w:tcPr>
          <w:p w14:paraId="7D75C80A">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X≥300</w:t>
            </w:r>
          </w:p>
        </w:tc>
        <w:tc>
          <w:tcPr>
            <w:tcW w:w="1701" w:type="dxa"/>
            <w:shd w:val="clear" w:color="auto" w:fill="auto"/>
            <w:vAlign w:val="center"/>
          </w:tcPr>
          <w:p w14:paraId="5EA4F1B4">
            <w:pPr>
              <w:widowControl/>
              <w:ind w:left="1" w:leftChars="-51" w:hanging="108" w:hangingChars="60"/>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100≤X＜300 </w:t>
            </w:r>
          </w:p>
        </w:tc>
        <w:tc>
          <w:tcPr>
            <w:tcW w:w="1426" w:type="dxa"/>
            <w:shd w:val="clear" w:color="auto" w:fill="auto"/>
            <w:vAlign w:val="center"/>
          </w:tcPr>
          <w:p w14:paraId="27CECF4C">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10≤X＜100</w:t>
            </w:r>
          </w:p>
        </w:tc>
        <w:tc>
          <w:tcPr>
            <w:tcW w:w="992" w:type="dxa"/>
            <w:shd w:val="clear" w:color="auto" w:fill="auto"/>
            <w:vAlign w:val="center"/>
          </w:tcPr>
          <w:p w14:paraId="7704D455">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X＜10</w:t>
            </w:r>
          </w:p>
        </w:tc>
      </w:tr>
      <w:tr w14:paraId="7F255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40EAEFE5">
            <w:pPr>
              <w:widowControl/>
              <w:jc w:val="left"/>
              <w:rPr>
                <w:rFonts w:asciiTheme="minorEastAsia" w:hAnsiTheme="minorEastAsia" w:eastAsiaTheme="minorEastAsia" w:cstheme="minorEastAsia"/>
                <w:color w:val="auto"/>
                <w:kern w:val="0"/>
                <w:sz w:val="18"/>
                <w:szCs w:val="18"/>
                <w:highlight w:val="none"/>
              </w:rPr>
            </w:pPr>
          </w:p>
        </w:tc>
        <w:tc>
          <w:tcPr>
            <w:tcW w:w="1369" w:type="dxa"/>
            <w:shd w:val="clear" w:color="auto" w:fill="auto"/>
            <w:vAlign w:val="center"/>
          </w:tcPr>
          <w:p w14:paraId="3FAA01FD">
            <w:pPr>
              <w:widowControl/>
              <w:spacing w:line="240" w:lineRule="exact"/>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资产总额(Z)</w:t>
            </w:r>
          </w:p>
        </w:tc>
        <w:tc>
          <w:tcPr>
            <w:tcW w:w="709" w:type="dxa"/>
            <w:shd w:val="clear" w:color="auto" w:fill="auto"/>
            <w:vAlign w:val="center"/>
          </w:tcPr>
          <w:p w14:paraId="34E9B710">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万元</w:t>
            </w:r>
          </w:p>
        </w:tc>
        <w:tc>
          <w:tcPr>
            <w:tcW w:w="1125" w:type="dxa"/>
            <w:shd w:val="clear" w:color="auto" w:fill="auto"/>
            <w:vAlign w:val="center"/>
          </w:tcPr>
          <w:p w14:paraId="52AA8720">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Z≥120000</w:t>
            </w:r>
          </w:p>
        </w:tc>
        <w:tc>
          <w:tcPr>
            <w:tcW w:w="1701" w:type="dxa"/>
            <w:shd w:val="clear" w:color="auto" w:fill="auto"/>
            <w:vAlign w:val="center"/>
          </w:tcPr>
          <w:p w14:paraId="5A9A0978">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8000≤Z＜120000</w:t>
            </w:r>
          </w:p>
        </w:tc>
        <w:tc>
          <w:tcPr>
            <w:tcW w:w="1426" w:type="dxa"/>
            <w:shd w:val="clear" w:color="auto" w:fill="auto"/>
            <w:vAlign w:val="center"/>
          </w:tcPr>
          <w:p w14:paraId="7F412E4A">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100≤Z＜8000</w:t>
            </w:r>
          </w:p>
        </w:tc>
        <w:tc>
          <w:tcPr>
            <w:tcW w:w="992" w:type="dxa"/>
            <w:shd w:val="clear" w:color="auto" w:fill="auto"/>
            <w:vAlign w:val="center"/>
          </w:tcPr>
          <w:p w14:paraId="45FEB86F">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Z＜100</w:t>
            </w:r>
          </w:p>
        </w:tc>
      </w:tr>
      <w:tr w14:paraId="741FC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shd w:val="clear" w:color="auto" w:fill="auto"/>
            <w:vAlign w:val="center"/>
          </w:tcPr>
          <w:p w14:paraId="00F44175">
            <w:pPr>
              <w:widowControl/>
              <w:spacing w:line="240" w:lineRule="exact"/>
              <w:jc w:val="left"/>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其他未列明行业 *</w:t>
            </w:r>
          </w:p>
        </w:tc>
        <w:tc>
          <w:tcPr>
            <w:tcW w:w="1369" w:type="dxa"/>
            <w:shd w:val="clear" w:color="auto" w:fill="auto"/>
            <w:vAlign w:val="center"/>
          </w:tcPr>
          <w:p w14:paraId="1C7E1B80">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从业人员(X)</w:t>
            </w:r>
          </w:p>
        </w:tc>
        <w:tc>
          <w:tcPr>
            <w:tcW w:w="709" w:type="dxa"/>
            <w:shd w:val="clear" w:color="auto" w:fill="auto"/>
            <w:vAlign w:val="center"/>
          </w:tcPr>
          <w:p w14:paraId="1076AD2E">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人</w:t>
            </w:r>
          </w:p>
        </w:tc>
        <w:tc>
          <w:tcPr>
            <w:tcW w:w="1125" w:type="dxa"/>
            <w:shd w:val="clear" w:color="auto" w:fill="auto"/>
            <w:vAlign w:val="center"/>
          </w:tcPr>
          <w:p w14:paraId="13AAD66F">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X≥300</w:t>
            </w:r>
          </w:p>
        </w:tc>
        <w:tc>
          <w:tcPr>
            <w:tcW w:w="1701" w:type="dxa"/>
            <w:shd w:val="clear" w:color="auto" w:fill="auto"/>
            <w:vAlign w:val="center"/>
          </w:tcPr>
          <w:p w14:paraId="655142D0">
            <w:pPr>
              <w:widowControl/>
              <w:ind w:left="1" w:leftChars="-51" w:hanging="108" w:hangingChars="60"/>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100≤X＜300 </w:t>
            </w:r>
          </w:p>
        </w:tc>
        <w:tc>
          <w:tcPr>
            <w:tcW w:w="1426" w:type="dxa"/>
            <w:shd w:val="clear" w:color="auto" w:fill="auto"/>
            <w:vAlign w:val="center"/>
          </w:tcPr>
          <w:p w14:paraId="17F6E9A7">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 xml:space="preserve"> 10≤X＜100</w:t>
            </w:r>
          </w:p>
        </w:tc>
        <w:tc>
          <w:tcPr>
            <w:tcW w:w="992" w:type="dxa"/>
            <w:shd w:val="clear" w:color="auto" w:fill="auto"/>
            <w:vAlign w:val="center"/>
          </w:tcPr>
          <w:p w14:paraId="5C7B1825">
            <w:pPr>
              <w:widowControl/>
              <w:jc w:val="center"/>
              <w:rPr>
                <w:rFonts w:asciiTheme="minorEastAsia" w:hAnsiTheme="minorEastAsia" w:eastAsiaTheme="minorEastAsia" w:cstheme="minorEastAsia"/>
                <w:color w:val="auto"/>
                <w:kern w:val="0"/>
                <w:sz w:val="18"/>
                <w:szCs w:val="18"/>
                <w:highlight w:val="none"/>
              </w:rPr>
            </w:pPr>
            <w:r>
              <w:rPr>
                <w:rFonts w:hint="eastAsia" w:asciiTheme="minorEastAsia" w:hAnsiTheme="minorEastAsia" w:eastAsiaTheme="minorEastAsia" w:cstheme="minorEastAsia"/>
                <w:color w:val="auto"/>
                <w:kern w:val="0"/>
                <w:sz w:val="18"/>
                <w:szCs w:val="18"/>
                <w:highlight w:val="none"/>
              </w:rPr>
              <w:t>X＜10</w:t>
            </w:r>
          </w:p>
        </w:tc>
      </w:tr>
    </w:tbl>
    <w:p w14:paraId="7B4262C4">
      <w:pPr>
        <w:widowControl/>
        <w:spacing w:line="360" w:lineRule="auto"/>
        <w:jc w:val="left"/>
        <w:rPr>
          <w:rFonts w:asciiTheme="minorEastAsia" w:hAnsiTheme="minorEastAsia" w:eastAsiaTheme="minorEastAsia" w:cstheme="minorEastAsia"/>
          <w:b/>
          <w:bCs/>
          <w:color w:val="auto"/>
          <w:spacing w:val="8"/>
          <w:kern w:val="0"/>
          <w:szCs w:val="21"/>
          <w:highlight w:val="none"/>
        </w:rPr>
      </w:pPr>
      <w:r>
        <w:rPr>
          <w:rFonts w:hint="eastAsia" w:asciiTheme="minorEastAsia" w:hAnsiTheme="minorEastAsia" w:eastAsiaTheme="minorEastAsia" w:cstheme="minorEastAsia"/>
          <w:b/>
          <w:bCs/>
          <w:color w:val="auto"/>
          <w:spacing w:val="8"/>
          <w:kern w:val="0"/>
          <w:szCs w:val="21"/>
          <w:highlight w:val="none"/>
        </w:rPr>
        <w:t>说明：</w:t>
      </w:r>
    </w:p>
    <w:p w14:paraId="27DB87E5">
      <w:pPr>
        <w:spacing w:line="540" w:lineRule="exact"/>
        <w:rPr>
          <w:rFonts w:asciiTheme="minorEastAsia" w:hAnsiTheme="minorEastAsia" w:eastAsiaTheme="minorEastAsia" w:cstheme="minorEastAsia"/>
          <w:color w:val="auto"/>
          <w:spacing w:val="8"/>
          <w:kern w:val="0"/>
          <w:szCs w:val="21"/>
          <w:highlight w:val="none"/>
        </w:rPr>
      </w:pPr>
      <w:r>
        <w:rPr>
          <w:rFonts w:hint="eastAsia" w:asciiTheme="minorEastAsia" w:hAnsiTheme="minorEastAsia" w:eastAsiaTheme="minorEastAsia" w:cstheme="minorEastAsia"/>
          <w:color w:val="auto"/>
          <w:spacing w:val="8"/>
          <w:kern w:val="0"/>
          <w:szCs w:val="21"/>
          <w:highlight w:val="none"/>
        </w:rPr>
        <w:t>1.大型、中型和小型企业须同时满足所列指标的下限，否则下划一档；微型企业只须满足所列指标中的一项即可。</w:t>
      </w:r>
    </w:p>
    <w:p w14:paraId="2489BAB4">
      <w:pPr>
        <w:spacing w:line="540" w:lineRule="exact"/>
        <w:rPr>
          <w:rFonts w:asciiTheme="minorEastAsia" w:hAnsiTheme="minorEastAsia" w:eastAsiaTheme="minorEastAsia" w:cstheme="minorEastAsia"/>
          <w:color w:val="auto"/>
          <w:spacing w:val="8"/>
          <w:kern w:val="0"/>
          <w:szCs w:val="21"/>
          <w:highlight w:val="none"/>
        </w:rPr>
      </w:pPr>
      <w:r>
        <w:rPr>
          <w:rFonts w:hint="eastAsia" w:asciiTheme="minorEastAsia" w:hAnsiTheme="minorEastAsia" w:eastAsiaTheme="minorEastAsia" w:cstheme="minorEastAsia"/>
          <w:color w:val="auto"/>
          <w:spacing w:val="8"/>
          <w:kern w:val="0"/>
          <w:szCs w:val="21"/>
          <w:highlight w:val="none"/>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4BDD5A09">
      <w:pPr>
        <w:wordWrap w:val="0"/>
        <w:autoSpaceDE w:val="0"/>
        <w:autoSpaceDN w:val="0"/>
        <w:adjustRightInd w:val="0"/>
        <w:spacing w:line="440" w:lineRule="exact"/>
        <w:ind w:firstLine="452" w:firstLineChars="200"/>
        <w:jc w:val="left"/>
        <w:rPr>
          <w:rFonts w:asciiTheme="minorEastAsia" w:hAnsiTheme="minorEastAsia" w:eastAsiaTheme="minorEastAsia" w:cstheme="minorEastAsia"/>
          <w:color w:val="auto"/>
          <w:spacing w:val="8"/>
          <w:kern w:val="0"/>
          <w:szCs w:val="21"/>
          <w:highlight w:val="none"/>
        </w:rPr>
      </w:pPr>
      <w:r>
        <w:rPr>
          <w:rFonts w:hint="eastAsia" w:asciiTheme="minorEastAsia" w:hAnsiTheme="minorEastAsia" w:eastAsiaTheme="minorEastAsia" w:cstheme="minorEastAsia"/>
          <w:color w:val="auto"/>
          <w:spacing w:val="8"/>
          <w:kern w:val="0"/>
          <w:szCs w:val="21"/>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03238014">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szCs w:val="21"/>
          <w:highlight w:val="none"/>
        </w:rPr>
        <w:br w:type="page"/>
      </w:r>
    </w:p>
    <w:p w14:paraId="096CB385">
      <w:pPr>
        <w:spacing w:beforeLines="100" w:afterLines="50" w:line="360" w:lineRule="auto"/>
        <w:jc w:val="left"/>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《监狱企业证明文件》（符合《财政部 司法部关于政府采购支持监狱企业发展有关问题的通知》（财库〔2014〕68号）价格扣减条件的供应商须提交）</w:t>
      </w:r>
    </w:p>
    <w:p w14:paraId="40E07A5D">
      <w:pPr>
        <w:spacing w:beforeLines="100" w:afterLines="50" w:line="360" w:lineRule="auto"/>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监狱企业证明文件（若是）</w:t>
      </w:r>
    </w:p>
    <w:p w14:paraId="1421B298">
      <w:pPr>
        <w:spacing w:line="480" w:lineRule="auto"/>
        <w:ind w:firstLine="440" w:firstLineChars="200"/>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41C8C74">
      <w:pPr>
        <w:spacing w:line="480" w:lineRule="auto"/>
        <w:ind w:firstLine="440" w:firstLineChars="200"/>
        <w:rPr>
          <w:rFonts w:asciiTheme="minorEastAsia" w:hAnsiTheme="minorEastAsia" w:eastAsiaTheme="minorEastAsia" w:cstheme="minorEastAsia"/>
          <w:bCs/>
          <w:color w:val="auto"/>
          <w:sz w:val="22"/>
          <w:szCs w:val="22"/>
          <w:highlight w:val="none"/>
        </w:rPr>
      </w:pPr>
      <w:r>
        <w:rPr>
          <w:rFonts w:hint="eastAsia" w:asciiTheme="minorEastAsia" w:hAnsiTheme="minorEastAsia" w:eastAsiaTheme="minorEastAsia" w:cstheme="minorEastAsia"/>
          <w:bCs/>
          <w:color w:val="auto"/>
          <w:sz w:val="22"/>
          <w:szCs w:val="22"/>
          <w:highlight w:val="none"/>
        </w:rPr>
        <w:t>监狱企业参加政府采购活动时，应当提供由省级以上监狱管理局、戒毒管理局（含新疆生产建设兵团）出具的属于监狱企业的证明文件。</w:t>
      </w:r>
    </w:p>
    <w:p w14:paraId="393AD7E2">
      <w:pPr>
        <w:spacing w:line="480" w:lineRule="auto"/>
        <w:ind w:firstLine="442" w:firstLineChars="200"/>
        <w:rPr>
          <w:rFonts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注：符合条件的监狱企业在参加政府采购活动时，应当按《财政部 司法部关于政府采购支持监狱企业发展有关问题的通知》（财库〔2014〕68号）提供规定的《监狱企业证明文件》，并对声明的真实性负责。</w:t>
      </w:r>
    </w:p>
    <w:p w14:paraId="190F0D31">
      <w:pPr>
        <w:rPr>
          <w:rFonts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br w:type="page"/>
      </w:r>
    </w:p>
    <w:p w14:paraId="681FA4E0">
      <w:pPr>
        <w:spacing w:beforeLines="50" w:afterLines="50" w:line="500" w:lineRule="exact"/>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《残疾人福利性单位声明函》（符合《三部门联合发布关于促进残疾人就业政府采购政策的通知》（财库〔2017〕141号）价格扣减条件的供应商须提交）</w:t>
      </w:r>
    </w:p>
    <w:p w14:paraId="195CD7A2">
      <w:pPr>
        <w:spacing w:beforeLines="50" w:afterLines="50" w:line="500" w:lineRule="exact"/>
        <w:ind w:firstLine="482" w:firstLineChars="200"/>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残疾人福利性单位声明函（若是）</w:t>
      </w:r>
    </w:p>
    <w:p w14:paraId="09090BFB">
      <w:pPr>
        <w:spacing w:line="360" w:lineRule="auto"/>
        <w:ind w:firstLine="420" w:firstLineChars="200"/>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1A65232">
      <w:pPr>
        <w:spacing w:line="360" w:lineRule="auto"/>
        <w:ind w:firstLine="420" w:firstLineChars="200"/>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本单位对上述声明的真实性负责。如有虚假，将依法承担相应责任。</w:t>
      </w:r>
    </w:p>
    <w:p w14:paraId="41CBC567">
      <w:pPr>
        <w:spacing w:line="360" w:lineRule="auto"/>
        <w:ind w:firstLine="422" w:firstLineChars="200"/>
        <w:rPr>
          <w:rFonts w:asciiTheme="minorEastAsia" w:hAnsiTheme="minorEastAsia" w:eastAsiaTheme="minorEastAsia" w:cstheme="minorEastAsia"/>
          <w:b/>
          <w:color w:val="auto"/>
          <w:szCs w:val="21"/>
          <w:highlight w:val="none"/>
        </w:rPr>
      </w:pPr>
    </w:p>
    <w:p w14:paraId="36F910F7">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（电子签章）</w:t>
      </w:r>
    </w:p>
    <w:p w14:paraId="30C60D0E">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法定代表人或其委托代理人：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（电子签章）</w:t>
      </w:r>
    </w:p>
    <w:p w14:paraId="47BD4719">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日期：</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年</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月</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日</w:t>
      </w:r>
    </w:p>
    <w:p w14:paraId="151F4FB3">
      <w:pPr>
        <w:pStyle w:val="10"/>
        <w:rPr>
          <w:rFonts w:asciiTheme="minorEastAsia" w:hAnsiTheme="minorEastAsia" w:eastAsiaTheme="minorEastAsia" w:cstheme="minorEastAsia"/>
          <w:color w:val="auto"/>
          <w:sz w:val="21"/>
          <w:szCs w:val="21"/>
          <w:highlight w:val="none"/>
        </w:rPr>
      </w:pPr>
    </w:p>
    <w:p w14:paraId="44642DC8">
      <w:pPr>
        <w:spacing w:line="480" w:lineRule="auto"/>
        <w:jc w:val="left"/>
        <w:rPr>
          <w:rFonts w:asciiTheme="minorEastAsia" w:hAnsiTheme="minorEastAsia" w:eastAsiaTheme="minorEastAsia" w:cstheme="minorEastAsia"/>
          <w:color w:val="auto"/>
          <w:highlight w:val="none"/>
        </w:rPr>
      </w:pPr>
    </w:p>
    <w:p w14:paraId="0E1DFEBF">
      <w:pPr>
        <w:keepNext/>
        <w:keepLines/>
        <w:numPr>
          <w:ilvl w:val="1"/>
          <w:numId w:val="0"/>
        </w:numPr>
        <w:tabs>
          <w:tab w:val="left" w:pos="3690"/>
        </w:tabs>
        <w:adjustRightInd w:val="0"/>
        <w:spacing w:line="480" w:lineRule="auto"/>
        <w:ind w:firstLine="442" w:firstLineChars="200"/>
        <w:jc w:val="left"/>
        <w:textAlignment w:val="baseline"/>
        <w:rPr>
          <w:rFonts w:asciiTheme="minorEastAsia" w:hAnsiTheme="minorEastAsia" w:eastAsiaTheme="minorEastAsia" w:cstheme="minorEastAsia"/>
          <w:b/>
          <w:color w:val="auto"/>
          <w:sz w:val="22"/>
          <w:szCs w:val="22"/>
          <w:highlight w:val="none"/>
        </w:rPr>
      </w:pPr>
      <w:r>
        <w:rPr>
          <w:rFonts w:hint="eastAsia" w:asciiTheme="minorEastAsia" w:hAnsiTheme="minorEastAsia" w:eastAsiaTheme="minorEastAsia" w:cstheme="minorEastAsia"/>
          <w:b/>
          <w:color w:val="auto"/>
          <w:sz w:val="22"/>
          <w:szCs w:val="22"/>
          <w:highlight w:val="none"/>
        </w:rPr>
        <w:t>注：符合条件的残疾人福利性单位在参加政府采购活动时，应当按《三部门联合发布关于促进残疾人就业政府采购政策的通知》（财库〔2017〕141号）提供规定的《残疾人福利性单位声明函》，并对声明的真实性负责。</w:t>
      </w:r>
    </w:p>
    <w:p w14:paraId="609F5EF9">
      <w:pPr>
        <w:pStyle w:val="15"/>
        <w:spacing w:line="480" w:lineRule="exact"/>
        <w:ind w:firstLine="420" w:firstLineChars="200"/>
        <w:jc w:val="center"/>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br w:type="page"/>
      </w:r>
      <w:r>
        <w:rPr>
          <w:rFonts w:hint="eastAsia" w:asciiTheme="minorEastAsia" w:hAnsiTheme="minorEastAsia" w:eastAsiaTheme="minorEastAsia" w:cstheme="minorEastAsia"/>
          <w:b/>
          <w:color w:val="auto"/>
          <w:kern w:val="0"/>
          <w:sz w:val="32"/>
          <w:szCs w:val="32"/>
          <w:highlight w:val="none"/>
          <w:lang w:val="en-US" w:eastAsia="zh-CN"/>
        </w:rPr>
        <w:t>三、</w:t>
      </w:r>
      <w:r>
        <w:rPr>
          <w:rFonts w:hint="eastAsia" w:asciiTheme="minorEastAsia" w:hAnsiTheme="minorEastAsia" w:eastAsiaTheme="minorEastAsia" w:cstheme="minorEastAsia"/>
          <w:b/>
          <w:color w:val="auto"/>
          <w:kern w:val="0"/>
          <w:sz w:val="32"/>
          <w:szCs w:val="32"/>
          <w:highlight w:val="none"/>
        </w:rPr>
        <w:t>特定条件证明文件</w:t>
      </w:r>
    </w:p>
    <w:p w14:paraId="5F44D1FF">
      <w:pPr>
        <w:spacing w:line="500" w:lineRule="exact"/>
        <w:ind w:firstLine="480" w:firstLineChars="200"/>
        <w:rPr>
          <w:rFonts w:hint="default" w:asciiTheme="minorEastAsia" w:hAnsiTheme="minorEastAsia" w:eastAsiaTheme="minorEastAsia" w:cstheme="minorEastAsia"/>
          <w:color w:val="auto"/>
          <w:sz w:val="24"/>
          <w:szCs w:val="24"/>
          <w:highlight w:val="none"/>
          <w:lang w:eastAsia="zh-CN"/>
        </w:rPr>
      </w:pPr>
    </w:p>
    <w:p w14:paraId="114AD46B">
      <w:pPr>
        <w:spacing w:line="50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eastAsia="zh-CN"/>
        </w:rPr>
        <w:t>①</w:t>
      </w:r>
      <w:r>
        <w:rPr>
          <w:rFonts w:hint="eastAsia" w:asciiTheme="minorEastAsia" w:hAnsiTheme="minorEastAsia" w:eastAsiaTheme="minorEastAsia" w:cstheme="minorEastAsia"/>
          <w:color w:val="auto"/>
          <w:sz w:val="24"/>
          <w:szCs w:val="24"/>
          <w:highlight w:val="none"/>
          <w:lang w:val="en-US" w:eastAsia="zh-CN"/>
        </w:rPr>
        <w:t>企业资质要求：具备行政主管部门颁发的有效的水利水电工程或市政公用工程施工总承包三级（含三级）及以上资质；具备有效安全生产许可证，并在人员、设备、资金等方面具有相应的施工能力（提供资质证书、安全生产许可证扫描件加盖供应商电子公章）。</w:t>
      </w:r>
    </w:p>
    <w:p w14:paraId="74A8202C">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②</w:t>
      </w:r>
      <w:r>
        <w:rPr>
          <w:rFonts w:hint="eastAsia" w:asciiTheme="minorEastAsia" w:hAnsiTheme="minorEastAsia" w:eastAsiaTheme="minorEastAsia" w:cstheme="minorEastAsia"/>
          <w:color w:val="auto"/>
          <w:sz w:val="24"/>
          <w:szCs w:val="24"/>
          <w:highlight w:val="none"/>
          <w:lang w:val="en-US" w:eastAsia="zh-CN"/>
        </w:rPr>
        <w:t>拟派施工项目经理：具备行政主管部门颁发的</w:t>
      </w:r>
      <w:r>
        <w:rPr>
          <w:rFonts w:hint="eastAsia" w:ascii="宋体" w:hAnsi="宋体" w:cs="宋体"/>
          <w:color w:val="auto"/>
          <w:sz w:val="24"/>
          <w:szCs w:val="24"/>
          <w:highlight w:val="none"/>
          <w:lang w:val="en-US" w:eastAsia="zh-CN"/>
        </w:rPr>
        <w:t>水利水电工程或市政公用工程专业二级及以上建造师注册</w:t>
      </w:r>
      <w:r>
        <w:rPr>
          <w:rFonts w:hint="eastAsia" w:ascii="宋体" w:hAnsi="宋体" w:eastAsia="宋体" w:cs="宋体"/>
          <w:color w:val="auto"/>
          <w:sz w:val="24"/>
          <w:szCs w:val="24"/>
          <w:highlight w:val="none"/>
          <w:lang w:val="en-US" w:eastAsia="zh-CN"/>
        </w:rPr>
        <w:t>证书（不含临时）及有效的安全生产考核合格证书</w:t>
      </w:r>
      <w:r>
        <w:rPr>
          <w:rFonts w:hint="eastAsia" w:asciiTheme="minorEastAsia" w:hAnsiTheme="minorEastAsia" w:eastAsiaTheme="minorEastAsia" w:cstheme="minorEastAsia"/>
          <w:color w:val="auto"/>
          <w:sz w:val="24"/>
          <w:szCs w:val="24"/>
          <w:highlight w:val="none"/>
          <w:lang w:val="en-US" w:eastAsia="zh-CN"/>
        </w:rPr>
        <w:t>（提供建造师证书、安全生产考核合格证书、身份证扫描件加盖供应商电子公章）；拟派的项目经理的注册建造师证书及安全生产考核证注册单位需与供应商单位名称一致，且须为供应商本单位注册人员，提供社保证明等证明材料加盖供应商电子公章；未担任其他任何在建工程的施工项目负责人（提供承诺函加盖供应商电子公章）。</w:t>
      </w:r>
    </w:p>
    <w:p w14:paraId="287867B5">
      <w:pPr>
        <w:pStyle w:val="33"/>
        <w:outlineLvl w:val="9"/>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承诺书格式自拟。</w:t>
      </w:r>
    </w:p>
    <w:p w14:paraId="18DB944C">
      <w:pPr>
        <w:pStyle w:val="15"/>
        <w:keepNext w:val="0"/>
        <w:keepLines w:val="0"/>
        <w:pageBreakBefore w:val="0"/>
        <w:widowControl w:val="0"/>
        <w:kinsoku/>
        <w:wordWrap/>
        <w:overflowPunct/>
        <w:topLinePunct w:val="0"/>
        <w:autoSpaceDE/>
        <w:autoSpaceDN/>
        <w:bidi w:val="0"/>
        <w:adjustRightInd/>
        <w:snapToGrid/>
        <w:spacing w:line="480" w:lineRule="exact"/>
        <w:ind w:firstLine="643" w:firstLineChars="200"/>
        <w:jc w:val="center"/>
        <w:textAlignment w:val="auto"/>
        <w:outlineLvl w:val="9"/>
        <w:rPr>
          <w:rFonts w:hint="eastAsia" w:asciiTheme="minorEastAsia" w:hAnsiTheme="minorEastAsia" w:eastAsiaTheme="minorEastAsia" w:cstheme="minorEastAsia"/>
          <w:b/>
          <w:color w:val="auto"/>
          <w:kern w:val="0"/>
          <w:sz w:val="32"/>
          <w:szCs w:val="32"/>
          <w:highlight w:val="none"/>
          <w:lang w:val="en-US" w:eastAsia="zh-CN"/>
        </w:rPr>
      </w:pPr>
    </w:p>
    <w:p w14:paraId="7FDE820E">
      <w:pPr>
        <w:pStyle w:val="15"/>
        <w:keepNext w:val="0"/>
        <w:keepLines w:val="0"/>
        <w:pageBreakBefore w:val="0"/>
        <w:widowControl w:val="0"/>
        <w:kinsoku/>
        <w:wordWrap/>
        <w:overflowPunct/>
        <w:topLinePunct w:val="0"/>
        <w:autoSpaceDE/>
        <w:autoSpaceDN/>
        <w:bidi w:val="0"/>
        <w:adjustRightInd/>
        <w:snapToGrid/>
        <w:spacing w:line="480" w:lineRule="exact"/>
        <w:ind w:firstLine="643" w:firstLineChars="200"/>
        <w:jc w:val="center"/>
        <w:textAlignment w:val="auto"/>
        <w:outlineLvl w:val="9"/>
        <w:rPr>
          <w:rFonts w:hint="eastAsia" w:asciiTheme="minorEastAsia" w:hAnsiTheme="minorEastAsia" w:eastAsiaTheme="minorEastAsia" w:cstheme="minorEastAsia"/>
          <w:b/>
          <w:color w:val="auto"/>
          <w:kern w:val="0"/>
          <w:sz w:val="32"/>
          <w:szCs w:val="32"/>
          <w:highlight w:val="none"/>
          <w:lang w:val="en-US" w:eastAsia="zh-CN"/>
        </w:rPr>
      </w:pPr>
    </w:p>
    <w:p w14:paraId="7AB624B5">
      <w:pPr>
        <w:pStyle w:val="15"/>
        <w:spacing w:line="480" w:lineRule="exact"/>
        <w:ind w:firstLine="643" w:firstLineChars="200"/>
        <w:jc w:val="center"/>
        <w:outlineLvl w:val="2"/>
        <w:rPr>
          <w:rFonts w:hint="eastAsia" w:asciiTheme="minorEastAsia" w:hAnsiTheme="minorEastAsia" w:eastAsiaTheme="minorEastAsia" w:cstheme="minorEastAsia"/>
          <w:b/>
          <w:color w:val="auto"/>
          <w:kern w:val="0"/>
          <w:sz w:val="32"/>
          <w:szCs w:val="32"/>
          <w:highlight w:val="none"/>
          <w:lang w:val="en-US" w:eastAsia="zh-CN"/>
        </w:rPr>
        <w:sectPr>
          <w:pgSz w:w="11906" w:h="16838"/>
          <w:pgMar w:top="1417" w:right="1417" w:bottom="1417" w:left="1417" w:header="850" w:footer="850" w:gutter="0"/>
          <w:pgNumType w:fmt="numberInDash"/>
          <w:cols w:space="0" w:num="1"/>
          <w:rtlGutter w:val="0"/>
          <w:docGrid w:type="lines" w:linePitch="312" w:charSpace="0"/>
        </w:sectPr>
      </w:pPr>
    </w:p>
    <w:p w14:paraId="16F226BC">
      <w:pPr>
        <w:pStyle w:val="15"/>
        <w:spacing w:line="480" w:lineRule="exact"/>
        <w:ind w:firstLine="643" w:firstLineChars="200"/>
        <w:jc w:val="center"/>
        <w:outlineLvl w:val="2"/>
        <w:rPr>
          <w:rFonts w:hint="eastAsia" w:asciiTheme="minorEastAsia" w:hAnsiTheme="minorEastAsia" w:eastAsiaTheme="minorEastAsia" w:cstheme="minorEastAsia"/>
          <w:b/>
          <w:color w:val="auto"/>
          <w:kern w:val="0"/>
          <w:sz w:val="32"/>
          <w:szCs w:val="32"/>
          <w:highlight w:val="none"/>
          <w:lang w:val="en-US" w:eastAsia="zh-CN"/>
        </w:rPr>
      </w:pPr>
      <w:r>
        <w:rPr>
          <w:rFonts w:hint="eastAsia" w:asciiTheme="minorEastAsia" w:hAnsiTheme="minorEastAsia" w:eastAsiaTheme="minorEastAsia" w:cstheme="minorEastAsia"/>
          <w:b/>
          <w:color w:val="auto"/>
          <w:kern w:val="0"/>
          <w:sz w:val="32"/>
          <w:szCs w:val="32"/>
          <w:highlight w:val="none"/>
          <w:lang w:val="en-US" w:eastAsia="zh-CN"/>
        </w:rPr>
        <w:t>四、其他要求</w:t>
      </w:r>
    </w:p>
    <w:p w14:paraId="769DAD81">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p>
    <w:p w14:paraId="701CAC59">
      <w:pPr>
        <w:spacing w:line="360" w:lineRule="auto"/>
        <w:ind w:firstLine="480" w:firstLineChars="200"/>
        <w:rPr>
          <w:rFonts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4"/>
          <w:szCs w:val="24"/>
          <w:highlight w:val="none"/>
          <w:lang w:val="en-US" w:eastAsia="zh-CN"/>
        </w:rPr>
        <w:t>①单位负责人为同一人或者存在直接控股、管理关系的不同供应商，不得参加同一合同项下的政府采购活动（提供承诺函加盖供应商电子公章）；②为本采购项目提供整体设计、规范编制或者项目管理、监理、检测等服务的供应商，不得再参加本采购项目的其他采购活动（提供承诺函加盖供应商电子公章）。</w:t>
      </w:r>
    </w:p>
    <w:p w14:paraId="403866E7">
      <w:pPr>
        <w:pStyle w:val="15"/>
        <w:spacing w:line="480" w:lineRule="exact"/>
        <w:ind w:firstLine="643" w:firstLineChars="200"/>
        <w:jc w:val="center"/>
        <w:outlineLvl w:val="2"/>
        <w:rPr>
          <w:rFonts w:hint="eastAsia" w:asciiTheme="minorEastAsia" w:hAnsiTheme="minorEastAsia" w:eastAsiaTheme="minorEastAsia" w:cstheme="minorEastAsia"/>
          <w:b/>
          <w:color w:val="auto"/>
          <w:kern w:val="0"/>
          <w:sz w:val="32"/>
          <w:szCs w:val="32"/>
          <w:highlight w:val="none"/>
          <w:lang w:val="en-US" w:eastAsia="zh-CN"/>
        </w:rPr>
        <w:sectPr>
          <w:pgSz w:w="11906" w:h="16838"/>
          <w:pgMar w:top="1417" w:right="1417" w:bottom="1417" w:left="1417" w:header="850" w:footer="850" w:gutter="0"/>
          <w:pgNumType w:fmt="numberInDash"/>
          <w:cols w:space="0" w:num="1"/>
          <w:rtlGutter w:val="0"/>
          <w:docGrid w:type="lines" w:linePitch="312" w:charSpace="0"/>
        </w:sectPr>
      </w:pPr>
    </w:p>
    <w:p w14:paraId="6D338D24">
      <w:pPr>
        <w:pStyle w:val="15"/>
        <w:spacing w:line="480" w:lineRule="exact"/>
        <w:ind w:firstLine="643" w:firstLineChars="200"/>
        <w:jc w:val="center"/>
        <w:outlineLvl w:val="2"/>
        <w:rPr>
          <w:rFonts w:asciiTheme="minorEastAsia" w:hAnsiTheme="minorEastAsia" w:eastAsiaTheme="minorEastAsia" w:cstheme="minorEastAsia"/>
          <w:b/>
          <w:color w:val="auto"/>
          <w:kern w:val="0"/>
          <w:sz w:val="32"/>
          <w:szCs w:val="32"/>
          <w:highlight w:val="none"/>
        </w:rPr>
      </w:pPr>
      <w:r>
        <w:rPr>
          <w:rFonts w:hint="eastAsia" w:asciiTheme="minorEastAsia" w:hAnsiTheme="minorEastAsia" w:eastAsiaTheme="minorEastAsia" w:cstheme="minorEastAsia"/>
          <w:b/>
          <w:color w:val="auto"/>
          <w:kern w:val="0"/>
          <w:sz w:val="32"/>
          <w:szCs w:val="32"/>
          <w:highlight w:val="none"/>
          <w:lang w:val="en-US" w:eastAsia="zh-CN"/>
        </w:rPr>
        <w:t>五、</w:t>
      </w:r>
      <w:r>
        <w:rPr>
          <w:rFonts w:hint="eastAsia" w:asciiTheme="minorEastAsia" w:hAnsiTheme="minorEastAsia" w:eastAsiaTheme="minorEastAsia" w:cstheme="minorEastAsia"/>
          <w:b/>
          <w:color w:val="auto"/>
          <w:kern w:val="0"/>
          <w:sz w:val="32"/>
          <w:szCs w:val="32"/>
          <w:highlight w:val="none"/>
        </w:rPr>
        <w:t>供应商认为需要提交的其他资格证明材料</w:t>
      </w:r>
    </w:p>
    <w:p w14:paraId="77377EA8">
      <w:pPr>
        <w:pStyle w:val="15"/>
        <w:spacing w:line="48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br w:type="page"/>
      </w:r>
    </w:p>
    <w:p w14:paraId="71820900">
      <w:pPr>
        <w:rPr>
          <w:rFonts w:asciiTheme="minorEastAsia" w:hAnsiTheme="minorEastAsia" w:eastAsiaTheme="minorEastAsia" w:cstheme="minorEastAsia"/>
          <w:b/>
          <w:bCs/>
          <w:color w:val="auto"/>
          <w:sz w:val="52"/>
          <w:szCs w:val="52"/>
          <w:highlight w:val="none"/>
        </w:rPr>
      </w:pPr>
    </w:p>
    <w:p w14:paraId="2B598050">
      <w:pPr>
        <w:rPr>
          <w:rFonts w:asciiTheme="minorEastAsia" w:hAnsiTheme="minorEastAsia" w:eastAsiaTheme="minorEastAsia" w:cstheme="minorEastAsia"/>
          <w:b/>
          <w:bCs/>
          <w:color w:val="auto"/>
          <w:sz w:val="52"/>
          <w:szCs w:val="52"/>
          <w:highlight w:val="none"/>
        </w:rPr>
      </w:pPr>
    </w:p>
    <w:p w14:paraId="0F13EE29">
      <w:pPr>
        <w:rPr>
          <w:rFonts w:asciiTheme="minorEastAsia" w:hAnsiTheme="minorEastAsia" w:eastAsiaTheme="minorEastAsia" w:cstheme="minorEastAsia"/>
          <w:b/>
          <w:bCs/>
          <w:color w:val="auto"/>
          <w:sz w:val="52"/>
          <w:szCs w:val="52"/>
          <w:highlight w:val="none"/>
        </w:rPr>
      </w:pPr>
    </w:p>
    <w:p w14:paraId="65E97522">
      <w:pPr>
        <w:rPr>
          <w:rFonts w:asciiTheme="minorEastAsia" w:hAnsiTheme="minorEastAsia" w:eastAsiaTheme="minorEastAsia" w:cstheme="minorEastAsia"/>
          <w:b/>
          <w:bCs/>
          <w:color w:val="auto"/>
          <w:sz w:val="52"/>
          <w:szCs w:val="52"/>
          <w:highlight w:val="none"/>
        </w:rPr>
      </w:pPr>
    </w:p>
    <w:p w14:paraId="1C5CA8F8">
      <w:pPr>
        <w:rPr>
          <w:rFonts w:asciiTheme="minorEastAsia" w:hAnsiTheme="minorEastAsia" w:eastAsiaTheme="minorEastAsia" w:cstheme="minorEastAsia"/>
          <w:b/>
          <w:bCs/>
          <w:color w:val="auto"/>
          <w:sz w:val="52"/>
          <w:szCs w:val="52"/>
          <w:highlight w:val="none"/>
        </w:rPr>
      </w:pPr>
    </w:p>
    <w:p w14:paraId="56835450">
      <w:pPr>
        <w:rPr>
          <w:rFonts w:asciiTheme="minorEastAsia" w:hAnsiTheme="minorEastAsia" w:eastAsiaTheme="minorEastAsia" w:cstheme="minorEastAsia"/>
          <w:b/>
          <w:bCs/>
          <w:color w:val="auto"/>
          <w:sz w:val="52"/>
          <w:szCs w:val="52"/>
          <w:highlight w:val="none"/>
        </w:rPr>
      </w:pPr>
    </w:p>
    <w:p w14:paraId="5ACFB4E3">
      <w:pPr>
        <w:rPr>
          <w:rFonts w:asciiTheme="minorEastAsia" w:hAnsiTheme="minorEastAsia" w:eastAsiaTheme="minorEastAsia" w:cstheme="minorEastAsia"/>
          <w:b/>
          <w:bCs/>
          <w:color w:val="auto"/>
          <w:sz w:val="52"/>
          <w:szCs w:val="52"/>
          <w:highlight w:val="none"/>
        </w:rPr>
      </w:pPr>
    </w:p>
    <w:p w14:paraId="762982FE">
      <w:pPr>
        <w:pStyle w:val="4"/>
        <w:keepLines w:val="0"/>
        <w:numPr>
          <w:ilvl w:val="0"/>
          <w:numId w:val="0"/>
        </w:numPr>
        <w:tabs>
          <w:tab w:val="left" w:pos="1665"/>
          <w:tab w:val="clear" w:pos="3690"/>
        </w:tabs>
        <w:autoSpaceDE w:val="0"/>
        <w:autoSpaceDN w:val="0"/>
        <w:spacing w:line="800" w:lineRule="exact"/>
        <w:jc w:val="center"/>
        <w:textAlignment w:val="auto"/>
        <w:rPr>
          <w:rFonts w:hint="default" w:asciiTheme="minorEastAsia" w:hAnsiTheme="minorEastAsia" w:eastAsiaTheme="minorEastAsia" w:cstheme="minorEastAsia"/>
          <w:bCs/>
          <w:color w:val="auto"/>
          <w:sz w:val="52"/>
          <w:szCs w:val="52"/>
          <w:highlight w:val="none"/>
          <w:lang w:val="en-US"/>
        </w:rPr>
        <w:sectPr>
          <w:pgSz w:w="11906" w:h="16838"/>
          <w:pgMar w:top="1417" w:right="1417" w:bottom="1417" w:left="1417" w:header="850" w:footer="850" w:gutter="0"/>
          <w:pgNumType w:fmt="numberInDash"/>
          <w:cols w:space="0" w:num="1"/>
          <w:rtlGutter w:val="0"/>
          <w:docGrid w:type="lines" w:linePitch="312" w:charSpace="0"/>
        </w:sectPr>
      </w:pPr>
      <w:bookmarkStart w:id="918" w:name="_Toc21669"/>
      <w:bookmarkStart w:id="919" w:name="_Toc7354"/>
      <w:r>
        <w:rPr>
          <w:rFonts w:hint="eastAsia" w:asciiTheme="minorEastAsia" w:hAnsiTheme="minorEastAsia" w:eastAsiaTheme="minorEastAsia" w:cstheme="minorEastAsia"/>
          <w:bCs/>
          <w:color w:val="auto"/>
          <w:sz w:val="52"/>
          <w:szCs w:val="52"/>
          <w:highlight w:val="none"/>
          <w:lang w:val="en-US" w:eastAsia="zh-CN"/>
        </w:rPr>
        <w:t>报价</w:t>
      </w:r>
      <w:bookmarkEnd w:id="918"/>
      <w:r>
        <w:rPr>
          <w:rFonts w:hint="eastAsia" w:asciiTheme="minorEastAsia" w:hAnsiTheme="minorEastAsia" w:eastAsiaTheme="minorEastAsia" w:cstheme="minorEastAsia"/>
          <w:bCs/>
          <w:color w:val="auto"/>
          <w:sz w:val="52"/>
          <w:szCs w:val="52"/>
          <w:highlight w:val="none"/>
          <w:lang w:val="en-US" w:eastAsia="zh-CN"/>
        </w:rPr>
        <w:t>文件</w:t>
      </w:r>
      <w:bookmarkEnd w:id="919"/>
    </w:p>
    <w:p w14:paraId="3B4EB5A4">
      <w:pPr>
        <w:pStyle w:val="15"/>
        <w:spacing w:line="480" w:lineRule="exact"/>
        <w:jc w:val="center"/>
        <w:outlineLvl w:val="2"/>
        <w:rPr>
          <w:rFonts w:hint="eastAsia" w:asciiTheme="minorEastAsia" w:hAnsiTheme="minorEastAsia" w:eastAsiaTheme="minorEastAsia" w:cstheme="minorEastAsia"/>
          <w:b/>
          <w:color w:val="auto"/>
          <w:kern w:val="0"/>
          <w:sz w:val="32"/>
          <w:szCs w:val="32"/>
          <w:highlight w:val="none"/>
          <w:lang w:val="en-US" w:eastAsia="zh-CN"/>
        </w:rPr>
      </w:pPr>
      <w:bookmarkStart w:id="920" w:name="_Toc19994"/>
      <w:r>
        <w:rPr>
          <w:rFonts w:hint="eastAsia" w:asciiTheme="minorEastAsia" w:hAnsiTheme="minorEastAsia" w:eastAsiaTheme="minorEastAsia" w:cstheme="minorEastAsia"/>
          <w:b/>
          <w:color w:val="auto"/>
          <w:kern w:val="0"/>
          <w:sz w:val="32"/>
          <w:szCs w:val="32"/>
          <w:highlight w:val="none"/>
          <w:lang w:val="en-US" w:eastAsia="zh-CN"/>
        </w:rPr>
        <w:t>一、</w:t>
      </w:r>
      <w:r>
        <w:rPr>
          <w:rFonts w:hint="eastAsia" w:asciiTheme="minorEastAsia" w:hAnsiTheme="minorEastAsia" w:eastAsiaTheme="minorEastAsia" w:cstheme="minorEastAsia"/>
          <w:b/>
          <w:color w:val="auto"/>
          <w:kern w:val="0"/>
          <w:sz w:val="32"/>
          <w:szCs w:val="32"/>
          <w:highlight w:val="none"/>
        </w:rPr>
        <w:t>报价</w:t>
      </w:r>
      <w:bookmarkEnd w:id="920"/>
      <w:r>
        <w:rPr>
          <w:rFonts w:hint="eastAsia" w:asciiTheme="minorEastAsia" w:hAnsiTheme="minorEastAsia" w:eastAsiaTheme="minorEastAsia" w:cstheme="minorEastAsia"/>
          <w:b/>
          <w:color w:val="auto"/>
          <w:kern w:val="0"/>
          <w:sz w:val="32"/>
          <w:szCs w:val="32"/>
          <w:highlight w:val="none"/>
          <w:lang w:val="en-US" w:eastAsia="zh-CN"/>
        </w:rPr>
        <w:t>一览表</w:t>
      </w:r>
    </w:p>
    <w:p w14:paraId="365AEC86">
      <w:pPr>
        <w:autoSpaceDE w:val="0"/>
        <w:autoSpaceDN w:val="0"/>
        <w:adjustRightInd w:val="0"/>
        <w:spacing w:line="480" w:lineRule="auto"/>
        <w:jc w:val="left"/>
        <w:rPr>
          <w:rFonts w:hint="eastAsia" w:asciiTheme="minorEastAsia" w:hAnsiTheme="minorEastAsia" w:eastAsiaTheme="minorEastAsia" w:cstheme="minorEastAsia"/>
          <w:b/>
          <w:color w:val="auto"/>
          <w:kern w:val="0"/>
          <w:szCs w:val="21"/>
          <w:highlight w:val="none"/>
        </w:rPr>
      </w:pPr>
    </w:p>
    <w:p w14:paraId="7E535B5A">
      <w:pPr>
        <w:autoSpaceDE w:val="0"/>
        <w:autoSpaceDN w:val="0"/>
        <w:adjustRightInd w:val="0"/>
        <w:spacing w:line="480" w:lineRule="auto"/>
        <w:jc w:val="left"/>
        <w:rPr>
          <w:rFonts w:hint="eastAsia" w:asciiTheme="minorEastAsia" w:hAnsiTheme="minorEastAsia" w:eastAsiaTheme="minorEastAsia" w:cstheme="minorEastAsia"/>
          <w:b/>
          <w:color w:val="auto"/>
          <w:kern w:val="0"/>
          <w:szCs w:val="21"/>
          <w:highlight w:val="none"/>
          <w:lang w:val="en-US" w:eastAsia="zh-CN"/>
        </w:rPr>
      </w:pPr>
      <w:r>
        <w:rPr>
          <w:rFonts w:hint="eastAsia" w:asciiTheme="minorEastAsia" w:hAnsiTheme="minorEastAsia" w:eastAsiaTheme="minorEastAsia" w:cstheme="minorEastAsia"/>
          <w:b/>
          <w:color w:val="auto"/>
          <w:kern w:val="0"/>
          <w:szCs w:val="21"/>
          <w:highlight w:val="none"/>
        </w:rPr>
        <w:t xml:space="preserve">项目名称： </w:t>
      </w:r>
      <w:r>
        <w:rPr>
          <w:rFonts w:hint="eastAsia" w:asciiTheme="minorEastAsia" w:hAnsiTheme="minorEastAsia" w:eastAsiaTheme="minorEastAsia" w:cstheme="minorEastAsia"/>
          <w:b/>
          <w:color w:val="auto"/>
          <w:kern w:val="0"/>
          <w:szCs w:val="21"/>
          <w:highlight w:val="none"/>
          <w:lang w:eastAsia="zh-CN"/>
        </w:rPr>
        <w:t>2026年保山市腾冲市团田乡弄玲村农村公益事业建设财政奖补项目(普惠)</w:t>
      </w:r>
      <w:r>
        <w:rPr>
          <w:rFonts w:hint="eastAsia" w:asciiTheme="minorEastAsia" w:hAnsiTheme="minorEastAsia" w:eastAsiaTheme="minorEastAsia" w:cstheme="minorEastAsia"/>
          <w:b/>
          <w:color w:val="auto"/>
          <w:kern w:val="0"/>
          <w:szCs w:val="21"/>
          <w:highlight w:val="none"/>
          <w:lang w:val="en-US" w:eastAsia="zh-CN"/>
        </w:rPr>
        <w:t xml:space="preserve"> </w:t>
      </w:r>
    </w:p>
    <w:p w14:paraId="0DE68CF6">
      <w:pPr>
        <w:autoSpaceDE w:val="0"/>
        <w:autoSpaceDN w:val="0"/>
        <w:adjustRightInd w:val="0"/>
        <w:spacing w:line="480" w:lineRule="auto"/>
        <w:jc w:val="left"/>
        <w:rPr>
          <w:rFonts w:hint="eastAsia" w:asciiTheme="minorEastAsia" w:hAnsiTheme="minorEastAsia" w:eastAsiaTheme="minorEastAsia" w:cstheme="minorEastAsia"/>
          <w:b/>
          <w:color w:val="auto"/>
          <w:kern w:val="0"/>
          <w:szCs w:val="21"/>
          <w:highlight w:val="none"/>
          <w:lang w:eastAsia="zh-CN"/>
        </w:rPr>
      </w:pPr>
      <w:r>
        <w:rPr>
          <w:rFonts w:hint="eastAsia" w:asciiTheme="minorEastAsia" w:hAnsiTheme="minorEastAsia" w:eastAsiaTheme="minorEastAsia" w:cstheme="minorEastAsia"/>
          <w:b/>
          <w:color w:val="auto"/>
          <w:kern w:val="0"/>
          <w:szCs w:val="21"/>
          <w:highlight w:val="none"/>
        </w:rPr>
        <w:t>项目编号：</w:t>
      </w:r>
      <w:r>
        <w:rPr>
          <w:rFonts w:hint="eastAsia" w:asciiTheme="minorEastAsia" w:hAnsiTheme="minorEastAsia" w:eastAsiaTheme="minorEastAsia" w:cstheme="minorEastAsia"/>
          <w:b/>
          <w:color w:val="auto"/>
          <w:kern w:val="0"/>
          <w:szCs w:val="21"/>
          <w:highlight w:val="none"/>
          <w:lang w:eastAsia="zh-CN"/>
        </w:rPr>
        <w:t xml:space="preserve">   </w:t>
      </w:r>
      <w:r>
        <w:rPr>
          <w:rFonts w:hint="eastAsia" w:asciiTheme="minorEastAsia" w:hAnsiTheme="minorEastAsia" w:eastAsiaTheme="minorEastAsia" w:cstheme="minorEastAsia"/>
          <w:b/>
          <w:color w:val="auto"/>
          <w:kern w:val="0"/>
          <w:szCs w:val="21"/>
          <w:highlight w:val="none"/>
          <w:lang w:val="en-US" w:eastAsia="zh-CN"/>
        </w:rPr>
        <w:t xml:space="preserve"> </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1"/>
        <w:gridCol w:w="1841"/>
        <w:gridCol w:w="1482"/>
        <w:gridCol w:w="1965"/>
        <w:gridCol w:w="1689"/>
      </w:tblGrid>
      <w:tr w14:paraId="40FF8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8" w:hRule="atLeast"/>
          <w:jc w:val="center"/>
        </w:trPr>
        <w:tc>
          <w:tcPr>
            <w:tcW w:w="2311" w:type="dxa"/>
            <w:tcBorders>
              <w:top w:val="single" w:color="auto" w:sz="4" w:space="0"/>
              <w:left w:val="single" w:color="auto" w:sz="4" w:space="0"/>
              <w:bottom w:val="single" w:color="auto" w:sz="4" w:space="0"/>
              <w:right w:val="single" w:color="auto" w:sz="4" w:space="0"/>
            </w:tcBorders>
            <w:vAlign w:val="center"/>
          </w:tcPr>
          <w:p w14:paraId="22E84AE9">
            <w:pPr>
              <w:spacing w:line="360" w:lineRule="auto"/>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磋商总报价（元）</w:t>
            </w:r>
          </w:p>
        </w:tc>
        <w:tc>
          <w:tcPr>
            <w:tcW w:w="1841" w:type="dxa"/>
            <w:tcBorders>
              <w:top w:val="single" w:color="auto" w:sz="4" w:space="0"/>
              <w:left w:val="single" w:color="auto" w:sz="4" w:space="0"/>
              <w:bottom w:val="single" w:color="auto" w:sz="4" w:space="0"/>
              <w:right w:val="single" w:color="auto" w:sz="4" w:space="0"/>
            </w:tcBorders>
            <w:vAlign w:val="center"/>
          </w:tcPr>
          <w:p w14:paraId="013130A9">
            <w:pPr>
              <w:spacing w:line="360" w:lineRule="auto"/>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项目经理</w:t>
            </w:r>
          </w:p>
        </w:tc>
        <w:tc>
          <w:tcPr>
            <w:tcW w:w="1482" w:type="dxa"/>
            <w:tcBorders>
              <w:top w:val="single" w:color="auto" w:sz="4" w:space="0"/>
              <w:left w:val="single" w:color="auto" w:sz="4" w:space="0"/>
              <w:bottom w:val="single" w:color="auto" w:sz="4" w:space="0"/>
              <w:right w:val="single" w:color="auto" w:sz="4" w:space="0"/>
            </w:tcBorders>
            <w:vAlign w:val="center"/>
          </w:tcPr>
          <w:p w14:paraId="45E0F73D">
            <w:pPr>
              <w:spacing w:line="360" w:lineRule="auto"/>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合同履行期限</w:t>
            </w:r>
          </w:p>
        </w:tc>
        <w:tc>
          <w:tcPr>
            <w:tcW w:w="1965" w:type="dxa"/>
            <w:tcBorders>
              <w:top w:val="single" w:color="auto" w:sz="4" w:space="0"/>
              <w:left w:val="single" w:color="auto" w:sz="4" w:space="0"/>
              <w:bottom w:val="single" w:color="auto" w:sz="4" w:space="0"/>
              <w:right w:val="single" w:color="auto" w:sz="4" w:space="0"/>
            </w:tcBorders>
            <w:vAlign w:val="center"/>
          </w:tcPr>
          <w:p w14:paraId="0BAED75C">
            <w:pPr>
              <w:spacing w:line="360" w:lineRule="auto"/>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质量承诺</w:t>
            </w:r>
          </w:p>
        </w:tc>
        <w:tc>
          <w:tcPr>
            <w:tcW w:w="1689" w:type="dxa"/>
            <w:tcBorders>
              <w:top w:val="single" w:color="auto" w:sz="4" w:space="0"/>
              <w:left w:val="single" w:color="auto" w:sz="4" w:space="0"/>
              <w:bottom w:val="single" w:color="auto" w:sz="4" w:space="0"/>
              <w:right w:val="single" w:color="auto" w:sz="4" w:space="0"/>
            </w:tcBorders>
            <w:vAlign w:val="center"/>
          </w:tcPr>
          <w:p w14:paraId="6DB7616E">
            <w:pPr>
              <w:spacing w:line="360" w:lineRule="auto"/>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备 注</w:t>
            </w:r>
          </w:p>
        </w:tc>
      </w:tr>
      <w:tr w14:paraId="5B127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84" w:hRule="atLeast"/>
          <w:jc w:val="center"/>
        </w:trPr>
        <w:tc>
          <w:tcPr>
            <w:tcW w:w="2311" w:type="dxa"/>
            <w:tcBorders>
              <w:top w:val="single" w:color="auto" w:sz="4" w:space="0"/>
              <w:left w:val="single" w:color="auto" w:sz="4" w:space="0"/>
              <w:bottom w:val="single" w:color="auto" w:sz="4" w:space="0"/>
              <w:right w:val="single" w:color="auto" w:sz="4" w:space="0"/>
            </w:tcBorders>
            <w:vAlign w:val="center"/>
          </w:tcPr>
          <w:p w14:paraId="6AE13E70">
            <w:pPr>
              <w:spacing w:line="360" w:lineRule="auto"/>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大写：  </w:t>
            </w:r>
          </w:p>
          <w:p w14:paraId="4F2C6B04">
            <w:pPr>
              <w:spacing w:line="360" w:lineRule="auto"/>
              <w:jc w:val="lef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小写： </w:t>
            </w:r>
          </w:p>
        </w:tc>
        <w:tc>
          <w:tcPr>
            <w:tcW w:w="1841" w:type="dxa"/>
            <w:tcBorders>
              <w:top w:val="single" w:color="auto" w:sz="4" w:space="0"/>
              <w:left w:val="single" w:color="auto" w:sz="4" w:space="0"/>
              <w:bottom w:val="single" w:color="auto" w:sz="4" w:space="0"/>
              <w:right w:val="single" w:color="auto" w:sz="4" w:space="0"/>
            </w:tcBorders>
            <w:vAlign w:val="center"/>
          </w:tcPr>
          <w:p w14:paraId="606722BC">
            <w:pPr>
              <w:spacing w:line="360" w:lineRule="auto"/>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姓名：</w:t>
            </w:r>
          </w:p>
          <w:p w14:paraId="05C09095">
            <w:pPr>
              <w:spacing w:line="360" w:lineRule="auto"/>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身份证号：</w:t>
            </w:r>
          </w:p>
          <w:p w14:paraId="3C6660D5">
            <w:pPr>
              <w:spacing w:line="360" w:lineRule="auto"/>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证书名称：</w:t>
            </w:r>
          </w:p>
          <w:p w14:paraId="3A2F6634">
            <w:pPr>
              <w:spacing w:line="360" w:lineRule="auto"/>
              <w:jc w:val="left"/>
              <w:rPr>
                <w:rFonts w:hint="default" w:asciiTheme="minorEastAsia" w:hAnsiTheme="minorEastAsia" w:eastAsiaTheme="minorEastAsia" w:cstheme="minorEastAsia"/>
                <w:color w:val="auto"/>
                <w:szCs w:val="21"/>
                <w:highlight w:val="none"/>
                <w:u w:val="single"/>
                <w:lang w:val="en-US" w:eastAsia="zh-CN"/>
              </w:rPr>
            </w:pPr>
            <w:r>
              <w:rPr>
                <w:rFonts w:hint="eastAsia" w:asciiTheme="minorEastAsia" w:hAnsiTheme="minorEastAsia" w:eastAsiaTheme="minorEastAsia" w:cstheme="minorEastAsia"/>
                <w:color w:val="auto"/>
                <w:szCs w:val="21"/>
                <w:highlight w:val="none"/>
                <w:lang w:val="en-US" w:eastAsia="zh-CN"/>
              </w:rPr>
              <w:t>证书编号：</w:t>
            </w:r>
          </w:p>
        </w:tc>
        <w:tc>
          <w:tcPr>
            <w:tcW w:w="1482" w:type="dxa"/>
            <w:tcBorders>
              <w:top w:val="single" w:color="auto" w:sz="4" w:space="0"/>
              <w:left w:val="single" w:color="auto" w:sz="4" w:space="0"/>
              <w:bottom w:val="single" w:color="auto" w:sz="4" w:space="0"/>
              <w:right w:val="single" w:color="auto" w:sz="4" w:space="0"/>
            </w:tcBorders>
            <w:vAlign w:val="center"/>
          </w:tcPr>
          <w:p w14:paraId="18BBF1D1">
            <w:pPr>
              <w:widowControl/>
              <w:jc w:val="left"/>
              <w:rPr>
                <w:rFonts w:asciiTheme="minorEastAsia" w:hAnsiTheme="minorEastAsia" w:eastAsiaTheme="minorEastAsia" w:cstheme="minorEastAsia"/>
                <w:color w:val="auto"/>
                <w:szCs w:val="21"/>
                <w:highlight w:val="none"/>
                <w:u w:val="single"/>
              </w:rPr>
            </w:pPr>
          </w:p>
          <w:p w14:paraId="07F02984">
            <w:pPr>
              <w:spacing w:line="360" w:lineRule="auto"/>
              <w:rPr>
                <w:rFonts w:asciiTheme="minorEastAsia" w:hAnsiTheme="minorEastAsia" w:eastAsiaTheme="minorEastAsia" w:cstheme="minorEastAsia"/>
                <w:color w:val="auto"/>
                <w:szCs w:val="21"/>
                <w:highlight w:val="none"/>
                <w:u w:val="single"/>
              </w:rPr>
            </w:pPr>
          </w:p>
        </w:tc>
        <w:tc>
          <w:tcPr>
            <w:tcW w:w="1965" w:type="dxa"/>
            <w:tcBorders>
              <w:top w:val="single" w:color="auto" w:sz="4" w:space="0"/>
              <w:left w:val="single" w:color="auto" w:sz="4" w:space="0"/>
              <w:bottom w:val="single" w:color="auto" w:sz="4" w:space="0"/>
              <w:right w:val="single" w:color="auto" w:sz="4" w:space="0"/>
            </w:tcBorders>
            <w:vAlign w:val="center"/>
          </w:tcPr>
          <w:p w14:paraId="21E05ACC">
            <w:pPr>
              <w:widowControl/>
              <w:jc w:val="left"/>
              <w:rPr>
                <w:rFonts w:asciiTheme="minorEastAsia" w:hAnsiTheme="minorEastAsia" w:eastAsiaTheme="minorEastAsia" w:cstheme="minorEastAsia"/>
                <w:color w:val="auto"/>
                <w:szCs w:val="21"/>
                <w:highlight w:val="none"/>
                <w:u w:val="single"/>
              </w:rPr>
            </w:pPr>
          </w:p>
          <w:p w14:paraId="19718E92">
            <w:pPr>
              <w:spacing w:line="360" w:lineRule="auto"/>
              <w:rPr>
                <w:rFonts w:asciiTheme="minorEastAsia" w:hAnsiTheme="minorEastAsia" w:eastAsiaTheme="minorEastAsia" w:cstheme="minorEastAsia"/>
                <w:color w:val="auto"/>
                <w:szCs w:val="21"/>
                <w:highlight w:val="none"/>
                <w:u w:val="single"/>
              </w:rPr>
            </w:pPr>
          </w:p>
        </w:tc>
        <w:tc>
          <w:tcPr>
            <w:tcW w:w="1689" w:type="dxa"/>
            <w:tcBorders>
              <w:top w:val="single" w:color="auto" w:sz="4" w:space="0"/>
              <w:left w:val="single" w:color="auto" w:sz="4" w:space="0"/>
              <w:bottom w:val="single" w:color="auto" w:sz="4" w:space="0"/>
              <w:right w:val="single" w:color="auto" w:sz="4" w:space="0"/>
            </w:tcBorders>
          </w:tcPr>
          <w:p w14:paraId="55DF001D">
            <w:pPr>
              <w:spacing w:line="360" w:lineRule="auto"/>
              <w:rPr>
                <w:rFonts w:asciiTheme="minorEastAsia" w:hAnsiTheme="minorEastAsia" w:eastAsiaTheme="minorEastAsia" w:cstheme="minorEastAsia"/>
                <w:color w:val="auto"/>
                <w:highlight w:val="none"/>
              </w:rPr>
            </w:pPr>
          </w:p>
          <w:p w14:paraId="3D27C8E9">
            <w:pPr>
              <w:pStyle w:val="10"/>
              <w:rPr>
                <w:rFonts w:asciiTheme="minorEastAsia" w:hAnsiTheme="minorEastAsia" w:eastAsiaTheme="minorEastAsia" w:cstheme="minorEastAsia"/>
                <w:color w:val="auto"/>
                <w:szCs w:val="21"/>
                <w:highlight w:val="none"/>
              </w:rPr>
            </w:pPr>
          </w:p>
          <w:p w14:paraId="47CEFD96">
            <w:pPr>
              <w:pStyle w:val="10"/>
              <w:rPr>
                <w:rFonts w:asciiTheme="minorEastAsia" w:hAnsiTheme="minorEastAsia" w:eastAsiaTheme="minorEastAsia" w:cstheme="minorEastAsia"/>
                <w:color w:val="auto"/>
                <w:szCs w:val="21"/>
                <w:highlight w:val="none"/>
              </w:rPr>
            </w:pPr>
          </w:p>
        </w:tc>
      </w:tr>
      <w:tr w14:paraId="0897C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7" w:hRule="atLeast"/>
          <w:jc w:val="center"/>
        </w:trPr>
        <w:tc>
          <w:tcPr>
            <w:tcW w:w="9288" w:type="dxa"/>
            <w:gridSpan w:val="5"/>
            <w:tcBorders>
              <w:top w:val="single" w:color="auto" w:sz="4" w:space="0"/>
              <w:left w:val="single" w:color="auto" w:sz="4" w:space="0"/>
              <w:bottom w:val="single" w:color="auto" w:sz="4" w:space="0"/>
              <w:right w:val="single" w:color="auto" w:sz="4" w:space="0"/>
            </w:tcBorders>
          </w:tcPr>
          <w:p w14:paraId="1DF37DB1">
            <w:pPr>
              <w:spacing w:line="360" w:lineRule="auto"/>
              <w:jc w:val="left"/>
              <w:rPr>
                <w:rFonts w:hint="eastAsia" w:asciiTheme="minorEastAsia" w:hAnsiTheme="minorEastAsia" w:eastAsiaTheme="minorEastAsia" w:cstheme="minorEastAsia"/>
                <w:b/>
                <w:color w:val="auto"/>
                <w:szCs w:val="21"/>
                <w:highlight w:val="none"/>
                <w:lang w:val="en-US" w:eastAsia="zh-CN"/>
              </w:rPr>
            </w:pPr>
            <w:r>
              <w:rPr>
                <w:rFonts w:hint="eastAsia" w:asciiTheme="minorEastAsia" w:hAnsiTheme="minorEastAsia" w:eastAsiaTheme="minorEastAsia" w:cstheme="minorEastAsia"/>
                <w:b/>
                <w:color w:val="auto"/>
                <w:szCs w:val="21"/>
                <w:highlight w:val="none"/>
                <w:lang w:val="en-US" w:eastAsia="zh-CN"/>
              </w:rPr>
              <w:t>备注：</w:t>
            </w:r>
          </w:p>
        </w:tc>
      </w:tr>
    </w:tbl>
    <w:p w14:paraId="6F699D57">
      <w:pPr>
        <w:autoSpaceDE w:val="0"/>
        <w:autoSpaceDN w:val="0"/>
        <w:adjustRightInd w:val="0"/>
        <w:spacing w:before="156"/>
        <w:ind w:firstLine="436"/>
        <w:jc w:val="left"/>
        <w:rPr>
          <w:rFonts w:asciiTheme="minorEastAsia" w:hAnsiTheme="minorEastAsia" w:eastAsiaTheme="minorEastAsia" w:cstheme="minorEastAsia"/>
          <w:color w:val="auto"/>
          <w:kern w:val="0"/>
          <w:sz w:val="24"/>
          <w:szCs w:val="24"/>
          <w:highlight w:val="none"/>
        </w:rPr>
      </w:pPr>
    </w:p>
    <w:p w14:paraId="45A9373E">
      <w:pPr>
        <w:rPr>
          <w:rFonts w:asciiTheme="minorEastAsia" w:hAnsiTheme="minorEastAsia" w:eastAsiaTheme="minorEastAsia" w:cstheme="minorEastAsia"/>
          <w:color w:val="auto"/>
          <w:sz w:val="24"/>
          <w:highlight w:val="none"/>
          <w:u w:val="single"/>
        </w:rPr>
      </w:pPr>
    </w:p>
    <w:p w14:paraId="30AB1A50">
      <w:pPr>
        <w:autoSpaceDE w:val="0"/>
        <w:autoSpaceDN w:val="0"/>
        <w:adjustRightInd w:val="0"/>
        <w:spacing w:line="480" w:lineRule="auto"/>
        <w:jc w:val="left"/>
        <w:rPr>
          <w:rFonts w:asciiTheme="minorEastAsia" w:hAnsiTheme="minorEastAsia" w:eastAsiaTheme="minorEastAsia" w:cstheme="minorEastAsia"/>
          <w:bCs/>
          <w:color w:val="auto"/>
          <w:kern w:val="0"/>
          <w:szCs w:val="21"/>
          <w:highlight w:val="none"/>
        </w:rPr>
      </w:pPr>
      <w:r>
        <w:rPr>
          <w:rFonts w:hint="eastAsia" w:asciiTheme="minorEastAsia" w:hAnsiTheme="minorEastAsia" w:eastAsiaTheme="minorEastAsia" w:cstheme="minorEastAsia"/>
          <w:bCs/>
          <w:color w:val="auto"/>
          <w:kern w:val="0"/>
          <w:szCs w:val="21"/>
          <w:highlight w:val="none"/>
        </w:rPr>
        <w:t xml:space="preserve">供应商（电子签章）：                </w:t>
      </w:r>
    </w:p>
    <w:p w14:paraId="2D719650">
      <w:pPr>
        <w:autoSpaceDE w:val="0"/>
        <w:autoSpaceDN w:val="0"/>
        <w:adjustRightInd w:val="0"/>
        <w:spacing w:line="480" w:lineRule="auto"/>
        <w:jc w:val="left"/>
        <w:rPr>
          <w:rFonts w:asciiTheme="minorEastAsia" w:hAnsiTheme="minorEastAsia" w:eastAsiaTheme="minorEastAsia" w:cstheme="minorEastAsia"/>
          <w:bCs/>
          <w:color w:val="auto"/>
          <w:kern w:val="0"/>
          <w:szCs w:val="21"/>
          <w:highlight w:val="none"/>
        </w:rPr>
      </w:pPr>
      <w:r>
        <w:rPr>
          <w:rFonts w:hint="eastAsia" w:asciiTheme="minorEastAsia" w:hAnsiTheme="minorEastAsia" w:eastAsiaTheme="minorEastAsia" w:cstheme="minorEastAsia"/>
          <w:bCs/>
          <w:color w:val="auto"/>
          <w:kern w:val="0"/>
          <w:szCs w:val="21"/>
          <w:highlight w:val="none"/>
        </w:rPr>
        <w:t>法定代表人或其委托代理人（电子签章）：</w:t>
      </w:r>
    </w:p>
    <w:p w14:paraId="3D66AD31">
      <w:pPr>
        <w:autoSpaceDE w:val="0"/>
        <w:autoSpaceDN w:val="0"/>
        <w:adjustRightInd w:val="0"/>
        <w:spacing w:line="480" w:lineRule="auto"/>
        <w:jc w:val="left"/>
        <w:rPr>
          <w:rFonts w:hint="default" w:asciiTheme="minorEastAsia" w:hAnsiTheme="minorEastAsia" w:eastAsiaTheme="minorEastAsia" w:cstheme="minorEastAsia"/>
          <w:bCs/>
          <w:color w:val="auto"/>
          <w:kern w:val="0"/>
          <w:szCs w:val="21"/>
          <w:highlight w:val="none"/>
          <w:lang w:val="en-US" w:eastAsia="zh-CN"/>
        </w:rPr>
      </w:pPr>
      <w:r>
        <w:rPr>
          <w:rFonts w:hint="eastAsia" w:asciiTheme="minorEastAsia" w:hAnsiTheme="minorEastAsia" w:eastAsiaTheme="minorEastAsia" w:cstheme="minorEastAsia"/>
          <w:bCs/>
          <w:color w:val="auto"/>
          <w:kern w:val="0"/>
          <w:szCs w:val="21"/>
          <w:highlight w:val="none"/>
        </w:rPr>
        <w:t>日期：</w:t>
      </w:r>
      <w:r>
        <w:rPr>
          <w:rFonts w:hint="eastAsia" w:asciiTheme="minorEastAsia" w:hAnsiTheme="minorEastAsia" w:eastAsiaTheme="minorEastAsia" w:cstheme="minorEastAsia"/>
          <w:bCs/>
          <w:color w:val="auto"/>
          <w:kern w:val="0"/>
          <w:szCs w:val="21"/>
          <w:highlight w:val="none"/>
          <w:lang w:val="en-US" w:eastAsia="zh-CN"/>
        </w:rPr>
        <w:t xml:space="preserve">   年    月    日</w:t>
      </w:r>
    </w:p>
    <w:p w14:paraId="11A8A2B3">
      <w:pPr>
        <w:rPr>
          <w:rFonts w:asciiTheme="minorEastAsia" w:hAnsiTheme="minorEastAsia" w:eastAsiaTheme="minorEastAsia" w:cstheme="minorEastAsia"/>
          <w:color w:val="auto"/>
          <w:sz w:val="24"/>
          <w:highlight w:val="none"/>
        </w:rPr>
      </w:pPr>
    </w:p>
    <w:p w14:paraId="24D06937">
      <w:pPr>
        <w:rPr>
          <w:rFonts w:asciiTheme="minorEastAsia" w:hAnsiTheme="minorEastAsia" w:eastAsiaTheme="minorEastAsia" w:cstheme="minorEastAsia"/>
          <w:color w:val="auto"/>
          <w:sz w:val="24"/>
          <w:highlight w:val="none"/>
        </w:rPr>
      </w:pPr>
    </w:p>
    <w:p w14:paraId="4E5CD2EF">
      <w:pPr>
        <w:rPr>
          <w:rFonts w:asciiTheme="minorEastAsia" w:hAnsiTheme="minorEastAsia" w:eastAsiaTheme="minorEastAsia" w:cstheme="minorEastAsia"/>
          <w:color w:val="auto"/>
          <w:highlight w:val="none"/>
        </w:rPr>
      </w:pPr>
    </w:p>
    <w:p w14:paraId="7CF5BE57">
      <w:pPr>
        <w:rPr>
          <w:rFonts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r>
    </w:p>
    <w:p w14:paraId="488622BF">
      <w:pPr>
        <w:pStyle w:val="15"/>
        <w:spacing w:line="480" w:lineRule="exact"/>
        <w:jc w:val="center"/>
        <w:outlineLvl w:val="2"/>
        <w:rPr>
          <w:rFonts w:hint="eastAsia" w:asciiTheme="minorEastAsia" w:hAnsiTheme="minorEastAsia" w:eastAsiaTheme="minorEastAsia" w:cstheme="minorEastAsia"/>
          <w:b/>
          <w:color w:val="auto"/>
          <w:kern w:val="0"/>
          <w:sz w:val="32"/>
          <w:szCs w:val="32"/>
          <w:highlight w:val="none"/>
          <w:lang w:eastAsia="zh-CN"/>
        </w:rPr>
      </w:pPr>
      <w:bookmarkStart w:id="921" w:name="_Toc31223"/>
      <w:r>
        <w:rPr>
          <w:rFonts w:hint="eastAsia" w:asciiTheme="minorEastAsia" w:hAnsiTheme="minorEastAsia" w:eastAsiaTheme="minorEastAsia" w:cstheme="minorEastAsia"/>
          <w:b/>
          <w:color w:val="auto"/>
          <w:kern w:val="0"/>
          <w:sz w:val="32"/>
          <w:szCs w:val="32"/>
          <w:highlight w:val="none"/>
          <w:lang w:val="en-US" w:eastAsia="zh-CN"/>
        </w:rPr>
        <w:t>二、</w:t>
      </w:r>
      <w:r>
        <w:rPr>
          <w:rFonts w:hint="eastAsia" w:asciiTheme="minorEastAsia" w:hAnsiTheme="minorEastAsia" w:eastAsiaTheme="minorEastAsia" w:cstheme="minorEastAsia"/>
          <w:b/>
          <w:color w:val="auto"/>
          <w:kern w:val="0"/>
          <w:sz w:val="32"/>
          <w:szCs w:val="32"/>
          <w:highlight w:val="none"/>
          <w:lang w:eastAsia="zh-CN"/>
        </w:rPr>
        <w:t>工程量清单及报价说明</w:t>
      </w:r>
      <w:bookmarkEnd w:id="921"/>
    </w:p>
    <w:p w14:paraId="57C9DCE1">
      <w:pPr>
        <w:widowControl/>
        <w:spacing w:line="600" w:lineRule="exact"/>
        <w:ind w:right="-504" w:rightChars="-240"/>
        <w:jc w:val="left"/>
        <w:rPr>
          <w:rFonts w:asciiTheme="minorEastAsia" w:hAnsiTheme="minorEastAsia" w:eastAsiaTheme="minorEastAsia" w:cstheme="minorEastAsia"/>
          <w:bCs/>
          <w:color w:val="auto"/>
          <w:kern w:val="0"/>
          <w:sz w:val="22"/>
          <w:szCs w:val="22"/>
          <w:highlight w:val="none"/>
        </w:rPr>
      </w:pPr>
      <w:r>
        <w:rPr>
          <w:rFonts w:hint="eastAsia" w:asciiTheme="minorEastAsia" w:hAnsiTheme="minorEastAsia" w:eastAsiaTheme="minorEastAsia" w:cstheme="minorEastAsia"/>
          <w:bCs/>
          <w:color w:val="auto"/>
          <w:kern w:val="0"/>
          <w:sz w:val="22"/>
          <w:szCs w:val="22"/>
          <w:highlight w:val="none"/>
        </w:rPr>
        <w:t>1、后附已标价工程量清单（按计价软件自动生成的格式打印）。</w:t>
      </w:r>
    </w:p>
    <w:p w14:paraId="3E68A689">
      <w:pPr>
        <w:widowControl/>
        <w:spacing w:line="600" w:lineRule="exact"/>
        <w:ind w:right="-504" w:rightChars="-240"/>
        <w:jc w:val="left"/>
        <w:rPr>
          <w:rFonts w:asciiTheme="minorEastAsia" w:hAnsiTheme="minorEastAsia" w:eastAsiaTheme="minorEastAsia" w:cstheme="minorEastAsia"/>
          <w:bCs/>
          <w:color w:val="auto"/>
          <w:kern w:val="0"/>
          <w:sz w:val="22"/>
          <w:szCs w:val="22"/>
          <w:highlight w:val="none"/>
        </w:rPr>
      </w:pPr>
      <w:r>
        <w:rPr>
          <w:rFonts w:hint="eastAsia" w:asciiTheme="minorEastAsia" w:hAnsiTheme="minorEastAsia" w:eastAsiaTheme="minorEastAsia" w:cstheme="minorEastAsia"/>
          <w:bCs/>
          <w:color w:val="auto"/>
          <w:kern w:val="0"/>
          <w:sz w:val="22"/>
          <w:szCs w:val="22"/>
          <w:highlight w:val="none"/>
        </w:rPr>
        <w:t>★2、本工程的报价采用工程量清单计价模式进行报价，报价为供应商在响应文件中提出的各项支付金额的总和，磋商总报价不得超过采购人公布的招标控制价总价。磋商报价须由供应商造价工程师编制。【也可委托具有相应资质的工程造价咨询单位对其报价进行编制，附委托证明材料】。</w:t>
      </w:r>
    </w:p>
    <w:p w14:paraId="0259C4B3">
      <w:pPr>
        <w:spacing w:line="360" w:lineRule="auto"/>
        <w:jc w:val="center"/>
        <w:rPr>
          <w:rFonts w:asciiTheme="minorEastAsia" w:hAnsiTheme="minorEastAsia" w:eastAsiaTheme="minorEastAsia" w:cstheme="minorEastAsia"/>
          <w:color w:val="auto"/>
          <w:szCs w:val="21"/>
          <w:highlight w:val="none"/>
        </w:rPr>
      </w:pPr>
    </w:p>
    <w:p w14:paraId="288F17C1">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 w:val="28"/>
          <w:szCs w:val="28"/>
          <w:highlight w:val="none"/>
        </w:rPr>
        <w:br w:type="page"/>
      </w:r>
    </w:p>
    <w:p w14:paraId="18D5C8C2">
      <w:pPr>
        <w:keepNext/>
        <w:keepLines w:val="0"/>
        <w:pageBreakBefore w:val="0"/>
        <w:widowControl w:val="0"/>
        <w:numPr>
          <w:ilvl w:val="0"/>
          <w:numId w:val="0"/>
        </w:numPr>
        <w:tabs>
          <w:tab w:val="left" w:pos="1665"/>
        </w:tabs>
        <w:kinsoku/>
        <w:wordWrap/>
        <w:overflowPunct/>
        <w:topLinePunct w:val="0"/>
        <w:autoSpaceDE w:val="0"/>
        <w:autoSpaceDN w:val="0"/>
        <w:bidi w:val="0"/>
        <w:adjustRightInd w:val="0"/>
        <w:snapToGrid/>
        <w:spacing w:line="800" w:lineRule="exact"/>
        <w:jc w:val="center"/>
        <w:textAlignment w:val="auto"/>
        <w:outlineLvl w:val="9"/>
        <w:rPr>
          <w:rFonts w:hint="eastAsia" w:asciiTheme="minorEastAsia" w:hAnsiTheme="minorEastAsia" w:eastAsiaTheme="minorEastAsia" w:cstheme="minorEastAsia"/>
          <w:color w:val="auto"/>
          <w:sz w:val="52"/>
          <w:szCs w:val="52"/>
          <w:highlight w:val="none"/>
        </w:rPr>
      </w:pPr>
    </w:p>
    <w:p w14:paraId="203C03B9">
      <w:pPr>
        <w:keepNext/>
        <w:keepLines w:val="0"/>
        <w:pageBreakBefore w:val="0"/>
        <w:widowControl w:val="0"/>
        <w:numPr>
          <w:ilvl w:val="0"/>
          <w:numId w:val="0"/>
        </w:numPr>
        <w:tabs>
          <w:tab w:val="left" w:pos="1665"/>
        </w:tabs>
        <w:kinsoku/>
        <w:wordWrap/>
        <w:overflowPunct/>
        <w:topLinePunct w:val="0"/>
        <w:autoSpaceDE w:val="0"/>
        <w:autoSpaceDN w:val="0"/>
        <w:bidi w:val="0"/>
        <w:adjustRightInd w:val="0"/>
        <w:snapToGrid/>
        <w:spacing w:line="800" w:lineRule="exact"/>
        <w:jc w:val="center"/>
        <w:textAlignment w:val="auto"/>
        <w:outlineLvl w:val="9"/>
        <w:rPr>
          <w:rFonts w:hint="eastAsia" w:asciiTheme="minorEastAsia" w:hAnsiTheme="minorEastAsia" w:eastAsiaTheme="minorEastAsia" w:cstheme="minorEastAsia"/>
          <w:color w:val="auto"/>
          <w:sz w:val="52"/>
          <w:szCs w:val="52"/>
          <w:highlight w:val="none"/>
        </w:rPr>
      </w:pPr>
    </w:p>
    <w:p w14:paraId="332FCA6C">
      <w:pPr>
        <w:keepNext/>
        <w:keepLines w:val="0"/>
        <w:pageBreakBefore w:val="0"/>
        <w:widowControl w:val="0"/>
        <w:numPr>
          <w:ilvl w:val="0"/>
          <w:numId w:val="0"/>
        </w:numPr>
        <w:tabs>
          <w:tab w:val="left" w:pos="1665"/>
        </w:tabs>
        <w:kinsoku/>
        <w:wordWrap/>
        <w:overflowPunct/>
        <w:topLinePunct w:val="0"/>
        <w:autoSpaceDE w:val="0"/>
        <w:autoSpaceDN w:val="0"/>
        <w:bidi w:val="0"/>
        <w:adjustRightInd w:val="0"/>
        <w:snapToGrid/>
        <w:spacing w:line="800" w:lineRule="exact"/>
        <w:jc w:val="center"/>
        <w:textAlignment w:val="auto"/>
        <w:outlineLvl w:val="9"/>
        <w:rPr>
          <w:rFonts w:hint="eastAsia" w:asciiTheme="minorEastAsia" w:hAnsiTheme="minorEastAsia" w:eastAsiaTheme="minorEastAsia" w:cstheme="minorEastAsia"/>
          <w:color w:val="auto"/>
          <w:sz w:val="52"/>
          <w:szCs w:val="52"/>
          <w:highlight w:val="none"/>
        </w:rPr>
      </w:pPr>
    </w:p>
    <w:p w14:paraId="4D6F4DEC">
      <w:pPr>
        <w:keepNext/>
        <w:keepLines w:val="0"/>
        <w:pageBreakBefore w:val="0"/>
        <w:widowControl w:val="0"/>
        <w:numPr>
          <w:ilvl w:val="0"/>
          <w:numId w:val="0"/>
        </w:numPr>
        <w:tabs>
          <w:tab w:val="left" w:pos="1665"/>
        </w:tabs>
        <w:kinsoku/>
        <w:wordWrap/>
        <w:overflowPunct/>
        <w:topLinePunct w:val="0"/>
        <w:autoSpaceDE w:val="0"/>
        <w:autoSpaceDN w:val="0"/>
        <w:bidi w:val="0"/>
        <w:adjustRightInd w:val="0"/>
        <w:snapToGrid/>
        <w:spacing w:line="800" w:lineRule="exact"/>
        <w:jc w:val="center"/>
        <w:textAlignment w:val="auto"/>
        <w:outlineLvl w:val="9"/>
        <w:rPr>
          <w:rFonts w:hint="eastAsia" w:asciiTheme="minorEastAsia" w:hAnsiTheme="minorEastAsia" w:eastAsiaTheme="minorEastAsia" w:cstheme="minorEastAsia"/>
          <w:color w:val="auto"/>
          <w:sz w:val="52"/>
          <w:szCs w:val="52"/>
          <w:highlight w:val="none"/>
        </w:rPr>
      </w:pPr>
    </w:p>
    <w:p w14:paraId="28581A4C">
      <w:pPr>
        <w:keepNext/>
        <w:keepLines w:val="0"/>
        <w:pageBreakBefore w:val="0"/>
        <w:widowControl w:val="0"/>
        <w:numPr>
          <w:ilvl w:val="0"/>
          <w:numId w:val="0"/>
        </w:numPr>
        <w:tabs>
          <w:tab w:val="left" w:pos="1665"/>
        </w:tabs>
        <w:kinsoku/>
        <w:wordWrap/>
        <w:overflowPunct/>
        <w:topLinePunct w:val="0"/>
        <w:autoSpaceDE w:val="0"/>
        <w:autoSpaceDN w:val="0"/>
        <w:bidi w:val="0"/>
        <w:adjustRightInd w:val="0"/>
        <w:snapToGrid/>
        <w:spacing w:line="800" w:lineRule="exact"/>
        <w:jc w:val="center"/>
        <w:textAlignment w:val="auto"/>
        <w:outlineLvl w:val="9"/>
        <w:rPr>
          <w:rFonts w:hint="eastAsia" w:asciiTheme="minorEastAsia" w:hAnsiTheme="minorEastAsia" w:eastAsiaTheme="minorEastAsia" w:cstheme="minorEastAsia"/>
          <w:color w:val="auto"/>
          <w:sz w:val="52"/>
          <w:szCs w:val="52"/>
          <w:highlight w:val="none"/>
        </w:rPr>
      </w:pPr>
    </w:p>
    <w:p w14:paraId="225F659D">
      <w:pPr>
        <w:pStyle w:val="4"/>
        <w:keepLines w:val="0"/>
        <w:numPr>
          <w:ilvl w:val="0"/>
          <w:numId w:val="0"/>
        </w:numPr>
        <w:tabs>
          <w:tab w:val="left" w:pos="1665"/>
          <w:tab w:val="clear" w:pos="3690"/>
        </w:tabs>
        <w:autoSpaceDE w:val="0"/>
        <w:autoSpaceDN w:val="0"/>
        <w:spacing w:line="800" w:lineRule="exact"/>
        <w:jc w:val="center"/>
        <w:textAlignment w:val="auto"/>
        <w:rPr>
          <w:rFonts w:hint="eastAsia" w:asciiTheme="minorEastAsia" w:hAnsiTheme="minorEastAsia" w:eastAsiaTheme="minorEastAsia" w:cstheme="minorEastAsia"/>
          <w:color w:val="auto"/>
          <w:sz w:val="52"/>
          <w:szCs w:val="52"/>
          <w:highlight w:val="none"/>
          <w:lang w:val="en-US" w:eastAsia="zh-CN"/>
        </w:rPr>
        <w:sectPr>
          <w:pgSz w:w="11906" w:h="16838"/>
          <w:pgMar w:top="1417" w:right="1417" w:bottom="1417" w:left="1417" w:header="850" w:footer="850" w:gutter="0"/>
          <w:pgNumType w:fmt="numberInDash"/>
          <w:cols w:space="0" w:num="1"/>
          <w:rtlGutter w:val="0"/>
          <w:docGrid w:type="lines" w:linePitch="312" w:charSpace="0"/>
        </w:sectPr>
      </w:pPr>
      <w:bookmarkStart w:id="922" w:name="_Toc17375"/>
      <w:r>
        <w:rPr>
          <w:rFonts w:hint="eastAsia" w:asciiTheme="minorEastAsia" w:hAnsiTheme="minorEastAsia" w:eastAsiaTheme="minorEastAsia" w:cstheme="minorEastAsia"/>
          <w:color w:val="auto"/>
          <w:sz w:val="52"/>
          <w:szCs w:val="52"/>
          <w:highlight w:val="none"/>
        </w:rPr>
        <w:t>商务技术</w:t>
      </w:r>
      <w:r>
        <w:rPr>
          <w:rFonts w:hint="eastAsia" w:asciiTheme="minorEastAsia" w:hAnsiTheme="minorEastAsia" w:eastAsiaTheme="minorEastAsia" w:cstheme="minorEastAsia"/>
          <w:color w:val="auto"/>
          <w:sz w:val="52"/>
          <w:szCs w:val="52"/>
          <w:highlight w:val="none"/>
          <w:lang w:val="en-US" w:eastAsia="zh-CN"/>
        </w:rPr>
        <w:t>文件</w:t>
      </w:r>
      <w:bookmarkEnd w:id="922"/>
    </w:p>
    <w:p w14:paraId="0BB6694D">
      <w:pPr>
        <w:pStyle w:val="2"/>
        <w:keepLines w:val="0"/>
        <w:numPr>
          <w:ilvl w:val="0"/>
          <w:numId w:val="0"/>
        </w:numPr>
        <w:tabs>
          <w:tab w:val="left" w:pos="3690"/>
          <w:tab w:val="clear" w:pos="1200"/>
        </w:tabs>
        <w:spacing w:before="120" w:after="0" w:line="360" w:lineRule="auto"/>
        <w:jc w:val="center"/>
        <w:rPr>
          <w:rFonts w:asciiTheme="minorEastAsia" w:hAnsiTheme="minorEastAsia" w:eastAsiaTheme="minorEastAsia" w:cstheme="minorEastAsia"/>
          <w:color w:val="auto"/>
          <w:szCs w:val="32"/>
          <w:highlight w:val="none"/>
        </w:rPr>
      </w:pPr>
      <w:bookmarkStart w:id="923" w:name="_Toc30007"/>
      <w:r>
        <w:rPr>
          <w:rFonts w:hint="eastAsia" w:asciiTheme="minorEastAsia" w:hAnsiTheme="minorEastAsia" w:eastAsiaTheme="minorEastAsia" w:cstheme="minorEastAsia"/>
          <w:color w:val="auto"/>
          <w:szCs w:val="32"/>
          <w:highlight w:val="none"/>
        </w:rPr>
        <w:t>一、磋商申请函</w:t>
      </w:r>
      <w:bookmarkEnd w:id="923"/>
    </w:p>
    <w:p w14:paraId="24181960">
      <w:pPr>
        <w:spacing w:line="460" w:lineRule="exact"/>
        <w:jc w:val="left"/>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致：</w:t>
      </w:r>
      <w:r>
        <w:rPr>
          <w:rFonts w:hint="eastAsia" w:asciiTheme="minorEastAsia" w:hAnsiTheme="minorEastAsia" w:eastAsiaTheme="minorEastAsia" w:cstheme="minorEastAsia"/>
          <w:color w:val="auto"/>
          <w:szCs w:val="21"/>
          <w:highlight w:val="none"/>
          <w:u w:val="single"/>
        </w:rPr>
        <w:t xml:space="preserve">    （采购人名称）</w:t>
      </w:r>
    </w:p>
    <w:p w14:paraId="526634DB">
      <w:pPr>
        <w:spacing w:line="460" w:lineRule="exact"/>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根据贵方</w:t>
      </w:r>
      <w:r>
        <w:rPr>
          <w:rFonts w:hint="eastAsia" w:asciiTheme="minorEastAsia" w:hAnsiTheme="minorEastAsia" w:eastAsiaTheme="minorEastAsia" w:cstheme="minorEastAsia"/>
          <w:color w:val="auto"/>
          <w:szCs w:val="21"/>
          <w:highlight w:val="none"/>
          <w:u w:val="single"/>
        </w:rPr>
        <w:t xml:space="preserve">      （采购项目名称）         </w:t>
      </w:r>
      <w:r>
        <w:rPr>
          <w:rFonts w:hint="eastAsia" w:asciiTheme="minorEastAsia" w:hAnsiTheme="minorEastAsia" w:eastAsiaTheme="minorEastAsia" w:cstheme="minorEastAsia"/>
          <w:color w:val="auto"/>
          <w:szCs w:val="21"/>
          <w:highlight w:val="none"/>
        </w:rPr>
        <w:t>（项目编号：</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）的竞争性磋商，我方正式授权</w:t>
      </w:r>
      <w:r>
        <w:rPr>
          <w:rFonts w:hint="eastAsia" w:asciiTheme="minorEastAsia" w:hAnsiTheme="minorEastAsia" w:eastAsiaTheme="minorEastAsia" w:cstheme="minorEastAsia"/>
          <w:color w:val="auto"/>
          <w:szCs w:val="21"/>
          <w:highlight w:val="none"/>
          <w:u w:val="single"/>
        </w:rPr>
        <w:t xml:space="preserve">   （姓名和职务）     </w:t>
      </w:r>
      <w:r>
        <w:rPr>
          <w:rFonts w:hint="eastAsia" w:asciiTheme="minorEastAsia" w:hAnsiTheme="minorEastAsia" w:eastAsiaTheme="minorEastAsia" w:cstheme="minorEastAsia"/>
          <w:color w:val="auto"/>
          <w:szCs w:val="21"/>
          <w:highlight w:val="none"/>
        </w:rPr>
        <w:t>全权代表</w:t>
      </w:r>
      <w:r>
        <w:rPr>
          <w:rFonts w:hint="eastAsia" w:asciiTheme="minorEastAsia" w:hAnsiTheme="minorEastAsia" w:eastAsiaTheme="minorEastAsia" w:cstheme="minorEastAsia"/>
          <w:color w:val="auto"/>
          <w:szCs w:val="21"/>
          <w:highlight w:val="none"/>
          <w:u w:val="single"/>
        </w:rPr>
        <w:t xml:space="preserve">  （供应商全称）   </w:t>
      </w:r>
      <w:r>
        <w:rPr>
          <w:rFonts w:hint="eastAsia" w:asciiTheme="minorEastAsia" w:hAnsiTheme="minorEastAsia" w:eastAsiaTheme="minorEastAsia" w:cstheme="minorEastAsia"/>
          <w:color w:val="auto"/>
          <w:szCs w:val="21"/>
          <w:highlight w:val="none"/>
        </w:rPr>
        <w:t>参加磋商，并提交响应文件正本一份，副本</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份。</w:t>
      </w:r>
    </w:p>
    <w:p w14:paraId="29991274">
      <w:pPr>
        <w:spacing w:line="460" w:lineRule="exact"/>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据此申请书，兹宣布同意如下：</w:t>
      </w:r>
    </w:p>
    <w:p w14:paraId="449F3DDB">
      <w:pPr>
        <w:spacing w:line="460" w:lineRule="exact"/>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 按</w:t>
      </w:r>
      <w:r>
        <w:rPr>
          <w:rFonts w:hint="eastAsia" w:asciiTheme="minorEastAsia" w:hAnsiTheme="minorEastAsia" w:eastAsiaTheme="minorEastAsia" w:cstheme="minorEastAsia"/>
          <w:color w:val="auto"/>
          <w:kern w:val="0"/>
          <w:szCs w:val="21"/>
          <w:highlight w:val="none"/>
        </w:rPr>
        <w:t>竞争性</w:t>
      </w:r>
      <w:r>
        <w:rPr>
          <w:rFonts w:hint="eastAsia" w:asciiTheme="minorEastAsia" w:hAnsiTheme="minorEastAsia" w:eastAsiaTheme="minorEastAsia" w:cstheme="minorEastAsia"/>
          <w:color w:val="auto"/>
          <w:szCs w:val="21"/>
          <w:highlight w:val="none"/>
        </w:rPr>
        <w:t>磋商文件的采购需求和工程量清单，总报价为人民币（大写）</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single"/>
        </w:rPr>
        <w:t xml:space="preserve">      元</w:t>
      </w:r>
      <w:r>
        <w:rPr>
          <w:rFonts w:hint="eastAsia" w:asciiTheme="minorEastAsia" w:hAnsiTheme="minorEastAsia" w:eastAsiaTheme="minorEastAsia" w:cstheme="minorEastAsia"/>
          <w:color w:val="auto"/>
          <w:szCs w:val="21"/>
          <w:highlight w:val="none"/>
        </w:rPr>
        <w:t>）。</w:t>
      </w:r>
    </w:p>
    <w:p w14:paraId="2D93AAAF">
      <w:pPr>
        <w:spacing w:line="460" w:lineRule="exact"/>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 我方同意在《供应商须知》规定的递交响应文件截止日期起遵循本竞争性磋商文件，并在《供应商须知》第</w:t>
      </w:r>
      <w:r>
        <w:rPr>
          <w:rFonts w:hint="eastAsia" w:asciiTheme="minorEastAsia" w:hAnsiTheme="minorEastAsia" w:eastAsiaTheme="minorEastAsia" w:cstheme="minorEastAsia"/>
          <w:color w:val="auto"/>
          <w:szCs w:val="21"/>
          <w:highlight w:val="none"/>
          <w:u w:val="single"/>
        </w:rPr>
        <w:t>11.1</w:t>
      </w:r>
      <w:r>
        <w:rPr>
          <w:rFonts w:hint="eastAsia" w:asciiTheme="minorEastAsia" w:hAnsiTheme="minorEastAsia" w:eastAsiaTheme="minorEastAsia" w:cstheme="minorEastAsia"/>
          <w:color w:val="auto"/>
          <w:szCs w:val="21"/>
          <w:highlight w:val="none"/>
        </w:rPr>
        <w:t>条规定的磋商有效期满之前均具有约束力。如果我方报价被接受，则至合同履行完毕、质保期满为止，本承诺书保持有效。如果在竞争性磋商文件有效期内撤回磋商申请或者有其他违约行为，我方自行承担相关责任。</w:t>
      </w:r>
    </w:p>
    <w:p w14:paraId="1263B90F">
      <w:pPr>
        <w:spacing w:line="460" w:lineRule="exact"/>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 我方承诺已经具备《中华人民共和国政府采购法》中规定的参加政府采购活动的供应商应当具备的条件。</w:t>
      </w:r>
    </w:p>
    <w:p w14:paraId="73945624">
      <w:pPr>
        <w:spacing w:line="460" w:lineRule="exact"/>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 我方承诺严格遵守竞争性磋商文件中的各项要求及合同条款，在合同生效后</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日内完成，并承担合同规定的责任义务。</w:t>
      </w:r>
    </w:p>
    <w:p w14:paraId="6FFDA52F">
      <w:pPr>
        <w:spacing w:line="460" w:lineRule="exact"/>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 同意应贵方要求提供与本次磋商有关的任何数据和资料，并保证数据和资料的完整性和真实性，若有违反，我方愿意承担一切后果。若贵方需要，我方愿意提供我方作出的一切承诺的证明材料。</w:t>
      </w:r>
    </w:p>
    <w:p w14:paraId="49715733">
      <w:pPr>
        <w:spacing w:line="460" w:lineRule="exact"/>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 我方完全理解贵方不一定要接受最低报价的供应商为成交供应商的行为。</w:t>
      </w:r>
    </w:p>
    <w:p w14:paraId="1DE4294E">
      <w:pPr>
        <w:spacing w:line="460" w:lineRule="exact"/>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与本次磋商有关的正式通讯地址为：</w:t>
      </w:r>
    </w:p>
    <w:p w14:paraId="12F4F916">
      <w:pPr>
        <w:spacing w:line="460" w:lineRule="exact"/>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地    址：</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           邮政编码： </w:t>
      </w:r>
      <w:r>
        <w:rPr>
          <w:rFonts w:hint="eastAsia" w:asciiTheme="minorEastAsia" w:hAnsiTheme="minorEastAsia" w:eastAsiaTheme="minorEastAsia" w:cstheme="minorEastAsia"/>
          <w:color w:val="auto"/>
          <w:szCs w:val="21"/>
          <w:highlight w:val="none"/>
          <w:u w:val="single"/>
        </w:rPr>
        <w:t xml:space="preserve">              </w:t>
      </w:r>
    </w:p>
    <w:p w14:paraId="11F0BEC8">
      <w:pPr>
        <w:spacing w:line="460" w:lineRule="exact"/>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电    话：</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           传    真：</w:t>
      </w:r>
      <w:r>
        <w:rPr>
          <w:rFonts w:hint="eastAsia" w:asciiTheme="minorEastAsia" w:hAnsiTheme="minorEastAsia" w:eastAsiaTheme="minorEastAsia" w:cstheme="minorEastAsia"/>
          <w:color w:val="auto"/>
          <w:szCs w:val="21"/>
          <w:highlight w:val="none"/>
          <w:u w:val="single"/>
        </w:rPr>
        <w:t>　　　　　　　　</w:t>
      </w:r>
    </w:p>
    <w:p w14:paraId="125577F4">
      <w:pPr>
        <w:spacing w:line="460" w:lineRule="exact"/>
        <w:ind w:firstLine="420" w:firstLineChars="200"/>
        <w:jc w:val="left"/>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开户名称：</w:t>
      </w:r>
      <w:r>
        <w:rPr>
          <w:rFonts w:hint="eastAsia" w:asciiTheme="minorEastAsia" w:hAnsiTheme="minorEastAsia" w:eastAsiaTheme="minorEastAsia" w:cstheme="minorEastAsia"/>
          <w:color w:val="auto"/>
          <w:szCs w:val="21"/>
          <w:highlight w:val="none"/>
          <w:u w:val="single"/>
        </w:rPr>
        <w:t xml:space="preserve">                                                    </w:t>
      </w:r>
    </w:p>
    <w:p w14:paraId="35888604">
      <w:pPr>
        <w:spacing w:line="460" w:lineRule="exact"/>
        <w:ind w:firstLine="420" w:firstLineChars="200"/>
        <w:jc w:val="left"/>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开户银行：</w:t>
      </w:r>
      <w:r>
        <w:rPr>
          <w:rFonts w:hint="eastAsia" w:asciiTheme="minorEastAsia" w:hAnsiTheme="minorEastAsia" w:eastAsiaTheme="minorEastAsia" w:cstheme="minorEastAsia"/>
          <w:color w:val="auto"/>
          <w:szCs w:val="21"/>
          <w:highlight w:val="none"/>
          <w:u w:val="single"/>
        </w:rPr>
        <w:t xml:space="preserve">                                                    </w:t>
      </w:r>
    </w:p>
    <w:p w14:paraId="1C2B7E08">
      <w:pPr>
        <w:spacing w:line="460" w:lineRule="exact"/>
        <w:ind w:firstLine="420" w:firstLineChars="200"/>
        <w:jc w:val="left"/>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帐    号：</w:t>
      </w:r>
      <w:r>
        <w:rPr>
          <w:rFonts w:hint="eastAsia" w:asciiTheme="minorEastAsia" w:hAnsiTheme="minorEastAsia" w:eastAsiaTheme="minorEastAsia" w:cstheme="minorEastAsia"/>
          <w:color w:val="auto"/>
          <w:szCs w:val="21"/>
          <w:highlight w:val="none"/>
          <w:u w:val="single"/>
        </w:rPr>
        <w:t xml:space="preserve">                                                    </w:t>
      </w:r>
    </w:p>
    <w:p w14:paraId="340CAB8F">
      <w:pPr>
        <w:spacing w:line="460" w:lineRule="exact"/>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w:t>
      </w:r>
      <w:r>
        <w:rPr>
          <w:rFonts w:hint="eastAsia" w:asciiTheme="minorEastAsia" w:hAnsiTheme="minorEastAsia" w:eastAsiaTheme="minorEastAsia" w:cstheme="minorEastAsia"/>
          <w:color w:val="auto"/>
          <w:szCs w:val="21"/>
          <w:highlight w:val="none"/>
          <w:u w:val="single"/>
        </w:rPr>
        <w:t xml:space="preserve">              （全称）               （电子签章）</w:t>
      </w:r>
    </w:p>
    <w:p w14:paraId="3AE28079">
      <w:pPr>
        <w:spacing w:line="460" w:lineRule="exact"/>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法定代表人或其委托代理人：</w:t>
      </w:r>
      <w:r>
        <w:rPr>
          <w:rFonts w:hint="eastAsia" w:asciiTheme="minorEastAsia" w:hAnsiTheme="minorEastAsia" w:eastAsiaTheme="minorEastAsia" w:cstheme="minorEastAsia"/>
          <w:color w:val="auto"/>
          <w:szCs w:val="21"/>
          <w:highlight w:val="none"/>
          <w:u w:val="single"/>
        </w:rPr>
        <w:t xml:space="preserve">                     （电子签章）</w:t>
      </w:r>
    </w:p>
    <w:p w14:paraId="10DF9C9F">
      <w:pPr>
        <w:spacing w:line="460" w:lineRule="exact"/>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日期：</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年</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月</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日</w:t>
      </w:r>
    </w:p>
    <w:p w14:paraId="5DA7D8E0">
      <w:pPr>
        <w:spacing w:line="460" w:lineRule="exact"/>
        <w:ind w:firstLine="491" w:firstLineChars="233"/>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szCs w:val="21"/>
          <w:highlight w:val="none"/>
        </w:rPr>
        <w:t xml:space="preserve">说明：★1. </w:t>
      </w:r>
      <w:r>
        <w:rPr>
          <w:rFonts w:hint="eastAsia" w:asciiTheme="minorEastAsia" w:hAnsiTheme="minorEastAsia" w:eastAsiaTheme="minorEastAsia" w:cstheme="minorEastAsia"/>
          <w:b/>
          <w:color w:val="auto"/>
          <w:highlight w:val="none"/>
        </w:rPr>
        <w:t>未填写本表格的供应商将不能通过实质性要求审查。</w:t>
      </w:r>
    </w:p>
    <w:p w14:paraId="3C712424">
      <w:pPr>
        <w:spacing w:line="460" w:lineRule="exact"/>
        <w:ind w:left="762" w:firstLine="491" w:firstLineChars="233"/>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highlight w:val="none"/>
        </w:rPr>
        <w:t xml:space="preserve">2. </w:t>
      </w:r>
      <w:r>
        <w:rPr>
          <w:rFonts w:hint="eastAsia" w:asciiTheme="minorEastAsia" w:hAnsiTheme="minorEastAsia" w:eastAsiaTheme="minorEastAsia" w:cstheme="minorEastAsia"/>
          <w:b/>
          <w:color w:val="auto"/>
          <w:szCs w:val="21"/>
          <w:highlight w:val="none"/>
        </w:rPr>
        <w:t>本承诺函内容不得擅自修改。</w:t>
      </w:r>
    </w:p>
    <w:p w14:paraId="412A2DA9">
      <w:pPr>
        <w:pStyle w:val="2"/>
        <w:keepLines w:val="0"/>
        <w:numPr>
          <w:ilvl w:val="0"/>
          <w:numId w:val="0"/>
        </w:numPr>
        <w:tabs>
          <w:tab w:val="left" w:pos="3690"/>
          <w:tab w:val="clear" w:pos="1200"/>
        </w:tabs>
        <w:spacing w:before="120" w:after="0" w:line="360" w:lineRule="auto"/>
        <w:jc w:val="center"/>
        <w:rPr>
          <w:rFonts w:asciiTheme="minorEastAsia" w:hAnsiTheme="minorEastAsia" w:eastAsiaTheme="minorEastAsia" w:cstheme="minorEastAsia"/>
          <w:color w:val="auto"/>
          <w:szCs w:val="32"/>
          <w:highlight w:val="none"/>
        </w:rPr>
      </w:pPr>
      <w:bookmarkStart w:id="924" w:name="_Toc16781"/>
      <w:r>
        <w:rPr>
          <w:rFonts w:hint="eastAsia" w:asciiTheme="minorEastAsia" w:hAnsiTheme="minorEastAsia" w:eastAsiaTheme="minorEastAsia" w:cstheme="minorEastAsia"/>
          <w:color w:val="auto"/>
          <w:szCs w:val="32"/>
          <w:highlight w:val="none"/>
        </w:rPr>
        <w:t>二、法定代表人资格证明书及法定代表人授权委托书</w:t>
      </w:r>
      <w:bookmarkEnd w:id="924"/>
    </w:p>
    <w:p w14:paraId="05585AC1">
      <w:pPr>
        <w:spacing w:line="360" w:lineRule="auto"/>
        <w:jc w:val="center"/>
        <w:rPr>
          <w:rFonts w:asciiTheme="minorEastAsia" w:hAnsiTheme="minorEastAsia" w:eastAsiaTheme="minorEastAsia" w:cstheme="minorEastAsia"/>
          <w:b/>
          <w:bCs/>
          <w:color w:val="auto"/>
          <w:szCs w:val="21"/>
          <w:highlight w:val="none"/>
        </w:rPr>
      </w:pPr>
    </w:p>
    <w:p w14:paraId="5DCD533B">
      <w:pPr>
        <w:spacing w:line="360" w:lineRule="auto"/>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（一）法定代表人资格证明书</w:t>
      </w:r>
    </w:p>
    <w:p w14:paraId="7DF85077">
      <w:pPr>
        <w:spacing w:line="360" w:lineRule="auto"/>
        <w:jc w:val="center"/>
        <w:rPr>
          <w:rFonts w:asciiTheme="minorEastAsia" w:hAnsiTheme="minorEastAsia" w:eastAsiaTheme="minorEastAsia" w:cstheme="minorEastAsia"/>
          <w:b/>
          <w:color w:val="auto"/>
          <w:szCs w:val="21"/>
          <w:highlight w:val="none"/>
        </w:rPr>
      </w:pPr>
    </w:p>
    <w:p w14:paraId="3A82BA58">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供应商名称：</w:t>
      </w:r>
      <w:r>
        <w:rPr>
          <w:rFonts w:hint="eastAsia" w:asciiTheme="minorEastAsia" w:hAnsiTheme="minorEastAsia" w:eastAsiaTheme="minorEastAsia" w:cstheme="minorEastAsia"/>
          <w:color w:val="auto"/>
          <w:szCs w:val="21"/>
          <w:highlight w:val="none"/>
          <w:u w:val="single"/>
        </w:rPr>
        <w:t xml:space="preserve">                       </w:t>
      </w:r>
    </w:p>
    <w:p w14:paraId="07DD21C5">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单位性质：</w:t>
      </w:r>
      <w:r>
        <w:rPr>
          <w:rFonts w:hint="eastAsia" w:asciiTheme="minorEastAsia" w:hAnsiTheme="minorEastAsia" w:eastAsiaTheme="minorEastAsia" w:cstheme="minorEastAsia"/>
          <w:color w:val="auto"/>
          <w:szCs w:val="21"/>
          <w:highlight w:val="none"/>
          <w:u w:val="single"/>
        </w:rPr>
        <w:t xml:space="preserve">                             </w:t>
      </w:r>
    </w:p>
    <w:p w14:paraId="4E9F882F">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成立时间：</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年</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月</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日</w:t>
      </w:r>
    </w:p>
    <w:p w14:paraId="18418665">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经营期限：</w:t>
      </w:r>
      <w:r>
        <w:rPr>
          <w:rFonts w:hint="eastAsia" w:asciiTheme="minorEastAsia" w:hAnsiTheme="minorEastAsia" w:eastAsiaTheme="minorEastAsia" w:cstheme="minorEastAsia"/>
          <w:color w:val="auto"/>
          <w:szCs w:val="21"/>
          <w:highlight w:val="none"/>
          <w:u w:val="single"/>
        </w:rPr>
        <w:t xml:space="preserve">                          </w:t>
      </w:r>
    </w:p>
    <w:p w14:paraId="0C936CAC">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姓名：</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性别：</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年龄：</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职务：</w:t>
      </w:r>
      <w:r>
        <w:rPr>
          <w:rFonts w:hint="eastAsia" w:asciiTheme="minorEastAsia" w:hAnsiTheme="minorEastAsia" w:eastAsiaTheme="minorEastAsia" w:cstheme="minorEastAsia"/>
          <w:color w:val="auto"/>
          <w:szCs w:val="21"/>
          <w:highlight w:val="none"/>
          <w:u w:val="single"/>
        </w:rPr>
        <w:t xml:space="preserve">           </w:t>
      </w:r>
    </w:p>
    <w:p w14:paraId="33F72654">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系</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（供应商名称）的法定代表人。</w:t>
      </w:r>
    </w:p>
    <w:p w14:paraId="7CB0C5F0">
      <w:pPr>
        <w:spacing w:line="360" w:lineRule="auto"/>
        <w:ind w:firstLine="420" w:firstLineChars="200"/>
        <w:rPr>
          <w:rFonts w:asciiTheme="minorEastAsia" w:hAnsiTheme="minorEastAsia" w:eastAsiaTheme="minorEastAsia" w:cstheme="minorEastAsia"/>
          <w:color w:val="auto"/>
          <w:szCs w:val="21"/>
          <w:highlight w:val="none"/>
        </w:rPr>
      </w:pPr>
    </w:p>
    <w:p w14:paraId="00B3C67E">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特此证明。</w:t>
      </w:r>
    </w:p>
    <w:p w14:paraId="325AFC2D">
      <w:pPr>
        <w:spacing w:line="360" w:lineRule="auto"/>
        <w:ind w:firstLine="420" w:firstLineChars="200"/>
        <w:rPr>
          <w:rFonts w:asciiTheme="minorEastAsia" w:hAnsiTheme="minorEastAsia" w:eastAsiaTheme="minorEastAsia" w:cstheme="minorEastAsia"/>
          <w:color w:val="auto"/>
          <w:szCs w:val="21"/>
          <w:highlight w:val="none"/>
        </w:rPr>
      </w:pPr>
    </w:p>
    <w:p w14:paraId="144EEFBF">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附：法定代表人身份证复印件</w:t>
      </w:r>
    </w:p>
    <w:p w14:paraId="1B968B9A">
      <w:pPr>
        <w:spacing w:line="360" w:lineRule="auto"/>
        <w:rPr>
          <w:rFonts w:asciiTheme="minorEastAsia" w:hAnsiTheme="minorEastAsia" w:eastAsiaTheme="minorEastAsia" w:cstheme="minorEastAsia"/>
          <w:color w:val="auto"/>
          <w:szCs w:val="21"/>
          <w:highlight w:val="none"/>
        </w:rPr>
      </w:pPr>
    </w:p>
    <w:p w14:paraId="5239EBFA">
      <w:pPr>
        <w:spacing w:line="360" w:lineRule="auto"/>
        <w:ind w:left="3780" w:leftChars="18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（电子签章）</w:t>
      </w:r>
    </w:p>
    <w:p w14:paraId="013919C4">
      <w:pPr>
        <w:spacing w:line="360" w:lineRule="auto"/>
        <w:ind w:left="3780" w:leftChars="1800"/>
        <w:rPr>
          <w:rFonts w:asciiTheme="minorEastAsia" w:hAnsiTheme="minorEastAsia" w:eastAsiaTheme="minorEastAsia" w:cstheme="minorEastAsia"/>
          <w:color w:val="auto"/>
          <w:szCs w:val="21"/>
          <w:highlight w:val="none"/>
        </w:rPr>
      </w:pPr>
    </w:p>
    <w:p w14:paraId="713A32D0">
      <w:pPr>
        <w:spacing w:line="360" w:lineRule="auto"/>
        <w:ind w:left="3780" w:leftChars="18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年</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月</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日</w:t>
      </w:r>
    </w:p>
    <w:p w14:paraId="24028364">
      <w:pPr>
        <w:spacing w:line="360" w:lineRule="auto"/>
        <w:rPr>
          <w:rFonts w:asciiTheme="minorEastAsia" w:hAnsiTheme="minorEastAsia" w:eastAsiaTheme="minorEastAsia" w:cstheme="minorEastAsia"/>
          <w:color w:val="auto"/>
          <w:szCs w:val="21"/>
          <w:highlight w:val="none"/>
        </w:rPr>
      </w:pPr>
    </w:p>
    <w:p w14:paraId="50AF41E7">
      <w:pPr>
        <w:spacing w:line="360" w:lineRule="auto"/>
        <w:rPr>
          <w:rFonts w:asciiTheme="minorEastAsia" w:hAnsiTheme="minorEastAsia" w:eastAsiaTheme="minorEastAsia" w:cstheme="minorEastAsia"/>
          <w:color w:val="auto"/>
          <w:szCs w:val="21"/>
          <w:highlight w:val="none"/>
        </w:rPr>
      </w:pPr>
    </w:p>
    <w:p w14:paraId="56DF8803">
      <w:pPr>
        <w:spacing w:line="360" w:lineRule="auto"/>
        <w:jc w:val="center"/>
        <w:rPr>
          <w:rFonts w:asciiTheme="minorEastAsia" w:hAnsiTheme="minorEastAsia" w:eastAsiaTheme="minorEastAsia" w:cstheme="minorEastAsia"/>
          <w:color w:val="auto"/>
          <w:sz w:val="24"/>
          <w:szCs w:val="22"/>
          <w:highlight w:val="none"/>
        </w:rPr>
      </w:pPr>
      <w:r>
        <w:rPr>
          <w:rFonts w:hint="eastAsia" w:asciiTheme="minorEastAsia" w:hAnsiTheme="minorEastAsia" w:eastAsiaTheme="minorEastAsia" w:cstheme="minorEastAsia"/>
          <w:b/>
          <w:color w:val="auto"/>
          <w:szCs w:val="22"/>
          <w:highlight w:val="none"/>
        </w:rPr>
        <w:t>(附法定代表人身份证双面复印件)</w:t>
      </w:r>
    </w:p>
    <w:tbl>
      <w:tblPr>
        <w:tblStyle w:val="27"/>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3DC25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3" w:hRule="atLeast"/>
        </w:trPr>
        <w:tc>
          <w:tcPr>
            <w:tcW w:w="4728" w:type="dxa"/>
            <w:vAlign w:val="center"/>
          </w:tcPr>
          <w:p w14:paraId="25708BD1">
            <w:pPr>
              <w:spacing w:line="360" w:lineRule="auto"/>
              <w:jc w:val="center"/>
              <w:rPr>
                <w:rFonts w:asciiTheme="minorEastAsia" w:hAnsiTheme="minorEastAsia" w:eastAsiaTheme="minorEastAsia" w:cstheme="minorEastAsia"/>
                <w:color w:val="auto"/>
                <w:sz w:val="24"/>
                <w:szCs w:val="22"/>
                <w:highlight w:val="none"/>
              </w:rPr>
            </w:pPr>
          </w:p>
        </w:tc>
        <w:tc>
          <w:tcPr>
            <w:tcW w:w="4729" w:type="dxa"/>
            <w:vAlign w:val="center"/>
          </w:tcPr>
          <w:p w14:paraId="4626D586">
            <w:pPr>
              <w:spacing w:line="360" w:lineRule="auto"/>
              <w:jc w:val="center"/>
              <w:rPr>
                <w:rFonts w:asciiTheme="minorEastAsia" w:hAnsiTheme="minorEastAsia" w:eastAsiaTheme="minorEastAsia" w:cstheme="minorEastAsia"/>
                <w:color w:val="auto"/>
                <w:sz w:val="24"/>
                <w:szCs w:val="22"/>
                <w:highlight w:val="none"/>
              </w:rPr>
            </w:pPr>
          </w:p>
        </w:tc>
      </w:tr>
    </w:tbl>
    <w:p w14:paraId="488DEE31">
      <w:pP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br w:type="page"/>
      </w:r>
    </w:p>
    <w:p w14:paraId="0229BA62">
      <w:pPr>
        <w:spacing w:line="360" w:lineRule="auto"/>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（二）法定代表人授权委托书</w:t>
      </w:r>
    </w:p>
    <w:p w14:paraId="5E5B97CC">
      <w:pPr>
        <w:spacing w:line="360" w:lineRule="auto"/>
        <w:rPr>
          <w:rFonts w:asciiTheme="minorEastAsia" w:hAnsiTheme="minorEastAsia" w:eastAsiaTheme="minorEastAsia" w:cstheme="minorEastAsia"/>
          <w:b/>
          <w:bCs/>
          <w:color w:val="auto"/>
          <w:szCs w:val="21"/>
          <w:highlight w:val="none"/>
          <w:u w:val="single"/>
        </w:rPr>
      </w:pPr>
      <w:r>
        <w:rPr>
          <w:rFonts w:hint="eastAsia" w:asciiTheme="minorEastAsia" w:hAnsiTheme="minorEastAsia" w:eastAsiaTheme="minorEastAsia" w:cstheme="minorEastAsia"/>
          <w:color w:val="auto"/>
          <w:szCs w:val="21"/>
          <w:highlight w:val="none"/>
        </w:rPr>
        <w:t>致：</w:t>
      </w:r>
      <w:r>
        <w:rPr>
          <w:rFonts w:hint="eastAsia" w:asciiTheme="minorEastAsia" w:hAnsiTheme="minorEastAsia" w:eastAsiaTheme="minorEastAsia" w:cstheme="minorEastAsia"/>
          <w:color w:val="auto"/>
          <w:szCs w:val="21"/>
          <w:highlight w:val="none"/>
          <w:u w:val="single"/>
        </w:rPr>
        <w:t xml:space="preserve">              （采购人名称）</w:t>
      </w:r>
    </w:p>
    <w:p w14:paraId="44563E53">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本授权书声明：</w:t>
      </w:r>
      <w:r>
        <w:rPr>
          <w:rFonts w:hint="eastAsia" w:asciiTheme="minorEastAsia" w:hAnsiTheme="minorEastAsia" w:eastAsiaTheme="minorEastAsia" w:cstheme="minorEastAsia"/>
          <w:color w:val="auto"/>
          <w:szCs w:val="21"/>
          <w:highlight w:val="none"/>
          <w:u w:val="single"/>
        </w:rPr>
        <w:t xml:space="preserve">       （供应商全称）     </w:t>
      </w:r>
      <w:r>
        <w:rPr>
          <w:rFonts w:hint="eastAsia" w:asciiTheme="minorEastAsia" w:hAnsiTheme="minorEastAsia" w:eastAsiaTheme="minorEastAsia" w:cstheme="minorEastAsia"/>
          <w:color w:val="auto"/>
          <w:szCs w:val="21"/>
          <w:highlight w:val="none"/>
        </w:rPr>
        <w:t>的法定代表人</w:t>
      </w:r>
      <w:r>
        <w:rPr>
          <w:rFonts w:hint="eastAsia" w:asciiTheme="minorEastAsia" w:hAnsiTheme="minorEastAsia" w:eastAsiaTheme="minorEastAsia" w:cstheme="minorEastAsia"/>
          <w:color w:val="auto"/>
          <w:szCs w:val="21"/>
          <w:highlight w:val="none"/>
          <w:u w:val="single"/>
        </w:rPr>
        <w:t xml:space="preserve">   （法定代表人姓名） </w:t>
      </w:r>
      <w:r>
        <w:rPr>
          <w:rFonts w:hint="eastAsia" w:asciiTheme="minorEastAsia" w:hAnsiTheme="minorEastAsia" w:eastAsiaTheme="minorEastAsia" w:cstheme="minorEastAsia"/>
          <w:color w:val="auto"/>
          <w:szCs w:val="21"/>
          <w:highlight w:val="none"/>
        </w:rPr>
        <w:t>代表本公司授权</w:t>
      </w:r>
      <w:r>
        <w:rPr>
          <w:rFonts w:hint="eastAsia" w:asciiTheme="minorEastAsia" w:hAnsiTheme="minorEastAsia" w:eastAsiaTheme="minorEastAsia" w:cstheme="minorEastAsia"/>
          <w:color w:val="auto"/>
          <w:szCs w:val="21"/>
          <w:highlight w:val="none"/>
          <w:u w:val="single"/>
        </w:rPr>
        <w:t xml:space="preserve">   （委托代理人姓名）   </w:t>
      </w:r>
      <w:r>
        <w:rPr>
          <w:rFonts w:hint="eastAsia" w:asciiTheme="minorEastAsia" w:hAnsiTheme="minorEastAsia" w:eastAsiaTheme="minorEastAsia" w:cstheme="minorEastAsia"/>
          <w:color w:val="auto"/>
          <w:szCs w:val="21"/>
          <w:highlight w:val="none"/>
        </w:rPr>
        <w:t>为本公司合法代理人，就贵方组织的有关</w:t>
      </w:r>
      <w:r>
        <w:rPr>
          <w:rFonts w:hint="eastAsia" w:asciiTheme="minorEastAsia" w:hAnsiTheme="minorEastAsia" w:eastAsiaTheme="minorEastAsia" w:cstheme="minorEastAsia"/>
          <w:color w:val="auto"/>
          <w:szCs w:val="21"/>
          <w:highlight w:val="none"/>
          <w:u w:val="single"/>
        </w:rPr>
        <w:t xml:space="preserve">    （项目名称）    </w:t>
      </w:r>
      <w:r>
        <w:rPr>
          <w:rFonts w:hint="eastAsia" w:asciiTheme="minorEastAsia" w:hAnsiTheme="minorEastAsia" w:eastAsiaTheme="minorEastAsia" w:cstheme="minorEastAsia"/>
          <w:color w:val="auto"/>
          <w:szCs w:val="21"/>
          <w:highlight w:val="none"/>
        </w:rPr>
        <w:t>项目（项目编号：</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）的磋商，以本单位名义参加磋商。代理人在本项目磋商过程中所签署的一切文件和处理与之有关的一切事务，我方均予承认。</w:t>
      </w:r>
    </w:p>
    <w:p w14:paraId="14229507">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代理人无转委托权。</w:t>
      </w:r>
    </w:p>
    <w:p w14:paraId="3B8FAB53">
      <w:pPr>
        <w:spacing w:line="360" w:lineRule="auto"/>
        <w:ind w:firstLine="420" w:firstLineChars="200"/>
        <w:rPr>
          <w:rFonts w:asciiTheme="minorEastAsia" w:hAnsiTheme="minorEastAsia" w:eastAsiaTheme="minorEastAsia" w:cstheme="minorEastAsia"/>
          <w:color w:val="auto"/>
          <w:szCs w:val="21"/>
          <w:highlight w:val="none"/>
        </w:rPr>
      </w:pPr>
    </w:p>
    <w:p w14:paraId="4679B19C">
      <w:pPr>
        <w:spacing w:line="600" w:lineRule="exact"/>
        <w:ind w:right="-27" w:firstLine="621" w:firstLineChars="296"/>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委托代理人：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   性别：</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   年龄：</w:t>
      </w:r>
      <w:r>
        <w:rPr>
          <w:rFonts w:hint="eastAsia" w:asciiTheme="minorEastAsia" w:hAnsiTheme="minorEastAsia" w:eastAsiaTheme="minorEastAsia" w:cstheme="minorEastAsia"/>
          <w:color w:val="auto"/>
          <w:szCs w:val="21"/>
          <w:highlight w:val="none"/>
          <w:u w:val="single"/>
        </w:rPr>
        <w:t xml:space="preserve">       </w:t>
      </w:r>
    </w:p>
    <w:p w14:paraId="7A7441AA">
      <w:pPr>
        <w:spacing w:line="600" w:lineRule="exact"/>
        <w:ind w:firstLine="621" w:firstLineChars="296"/>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身份证号码：</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 职务：</w:t>
      </w:r>
      <w:r>
        <w:rPr>
          <w:rFonts w:hint="eastAsia" w:asciiTheme="minorEastAsia" w:hAnsiTheme="minorEastAsia" w:eastAsiaTheme="minorEastAsia" w:cstheme="minorEastAsia"/>
          <w:color w:val="auto"/>
          <w:szCs w:val="21"/>
          <w:highlight w:val="none"/>
          <w:u w:val="single"/>
        </w:rPr>
        <w:t xml:space="preserve">               </w:t>
      </w:r>
    </w:p>
    <w:p w14:paraId="0D3D2049">
      <w:pPr>
        <w:spacing w:line="600" w:lineRule="exact"/>
        <w:ind w:firstLine="621" w:firstLineChars="296"/>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(电子签章)</w:t>
      </w:r>
    </w:p>
    <w:p w14:paraId="6C579282">
      <w:pPr>
        <w:spacing w:line="600" w:lineRule="exact"/>
        <w:ind w:firstLine="621" w:firstLineChars="296"/>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法定代表人：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(电子签章)</w:t>
      </w:r>
    </w:p>
    <w:p w14:paraId="3CE98B8B">
      <w:pPr>
        <w:spacing w:line="600" w:lineRule="exact"/>
        <w:ind w:firstLine="621" w:firstLineChars="296"/>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授权委托日期：</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年</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月</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日</w:t>
      </w:r>
    </w:p>
    <w:p w14:paraId="14F50D7D">
      <w:pPr>
        <w:spacing w:line="360" w:lineRule="auto"/>
        <w:jc w:val="center"/>
        <w:rPr>
          <w:rFonts w:asciiTheme="minorEastAsia" w:hAnsiTheme="minorEastAsia" w:eastAsiaTheme="minorEastAsia" w:cstheme="minorEastAsia"/>
          <w:b/>
          <w:color w:val="auto"/>
          <w:szCs w:val="21"/>
          <w:highlight w:val="none"/>
        </w:rPr>
      </w:pPr>
    </w:p>
    <w:p w14:paraId="07783B93">
      <w:pPr>
        <w:spacing w:line="360" w:lineRule="auto"/>
        <w:jc w:val="center"/>
        <w:rPr>
          <w:rFonts w:asciiTheme="minorEastAsia" w:hAnsiTheme="minorEastAsia" w:eastAsiaTheme="minorEastAsia" w:cstheme="minorEastAsia"/>
          <w:b/>
          <w:color w:val="auto"/>
          <w:szCs w:val="21"/>
          <w:highlight w:val="none"/>
        </w:rPr>
      </w:pPr>
    </w:p>
    <w:p w14:paraId="5F029BC8">
      <w:pPr>
        <w:spacing w:line="360" w:lineRule="auto"/>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(附被授权的代理人身份证双面复印件)</w:t>
      </w:r>
    </w:p>
    <w:tbl>
      <w:tblPr>
        <w:tblStyle w:val="27"/>
        <w:tblpPr w:leftFromText="180" w:rightFromText="180" w:vertAnchor="text" w:horzAnchor="page" w:tblpXSpec="center" w:tblpY="175"/>
        <w:tblOverlap w:val="never"/>
        <w:tblW w:w="9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06430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5" w:hRule="atLeast"/>
          <w:jc w:val="center"/>
        </w:trPr>
        <w:tc>
          <w:tcPr>
            <w:tcW w:w="4728" w:type="dxa"/>
            <w:vAlign w:val="center"/>
          </w:tcPr>
          <w:p w14:paraId="16DF32A7">
            <w:pPr>
              <w:spacing w:line="360" w:lineRule="auto"/>
              <w:rPr>
                <w:rFonts w:asciiTheme="minorEastAsia" w:hAnsiTheme="minorEastAsia" w:eastAsiaTheme="minorEastAsia" w:cstheme="minorEastAsia"/>
                <w:color w:val="auto"/>
                <w:szCs w:val="21"/>
                <w:highlight w:val="none"/>
              </w:rPr>
            </w:pPr>
          </w:p>
        </w:tc>
        <w:tc>
          <w:tcPr>
            <w:tcW w:w="4729" w:type="dxa"/>
            <w:vAlign w:val="center"/>
          </w:tcPr>
          <w:p w14:paraId="5E5B7FA6">
            <w:pPr>
              <w:spacing w:line="360" w:lineRule="auto"/>
              <w:jc w:val="center"/>
              <w:rPr>
                <w:rFonts w:asciiTheme="minorEastAsia" w:hAnsiTheme="minorEastAsia" w:eastAsiaTheme="minorEastAsia" w:cstheme="minorEastAsia"/>
                <w:color w:val="auto"/>
                <w:szCs w:val="21"/>
                <w:highlight w:val="none"/>
              </w:rPr>
            </w:pPr>
          </w:p>
        </w:tc>
      </w:tr>
    </w:tbl>
    <w:p w14:paraId="5BAD002C">
      <w:pPr>
        <w:pStyle w:val="7"/>
        <w:ind w:firstLine="0" w:firstLineChars="0"/>
        <w:rPr>
          <w:rFonts w:asciiTheme="minorEastAsia" w:hAnsiTheme="minorEastAsia" w:eastAsiaTheme="minorEastAsia" w:cstheme="minorEastAsia"/>
          <w:b/>
          <w:color w:val="auto"/>
          <w:sz w:val="21"/>
          <w:szCs w:val="21"/>
          <w:highlight w:val="none"/>
        </w:rPr>
      </w:pPr>
    </w:p>
    <w:p w14:paraId="5BBE3310">
      <w:pPr>
        <w:pStyle w:val="7"/>
        <w:ind w:firstLine="0" w:firstLineChars="0"/>
        <w:rPr>
          <w:rFonts w:asciiTheme="minorEastAsia" w:hAnsiTheme="minorEastAsia" w:eastAsiaTheme="minorEastAsia" w:cstheme="minorEastAsia"/>
          <w:color w:val="auto"/>
          <w:sz w:val="21"/>
          <w:szCs w:val="21"/>
          <w:highlight w:val="none"/>
        </w:rPr>
      </w:pPr>
    </w:p>
    <w:p w14:paraId="6C8E2497">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1"/>
          <w:szCs w:val="21"/>
          <w:highlight w:val="none"/>
        </w:rPr>
        <w:br w:type="page"/>
      </w:r>
    </w:p>
    <w:p w14:paraId="7F872D12">
      <w:pPr>
        <w:pStyle w:val="2"/>
        <w:keepLines w:val="0"/>
        <w:numPr>
          <w:ilvl w:val="0"/>
          <w:numId w:val="0"/>
        </w:numPr>
        <w:tabs>
          <w:tab w:val="left" w:pos="3690"/>
          <w:tab w:val="clear" w:pos="1200"/>
        </w:tabs>
        <w:spacing w:before="120" w:after="0" w:line="360" w:lineRule="auto"/>
        <w:jc w:val="center"/>
        <w:rPr>
          <w:rFonts w:asciiTheme="minorEastAsia" w:hAnsiTheme="minorEastAsia" w:eastAsiaTheme="minorEastAsia" w:cstheme="minorEastAsia"/>
          <w:color w:val="auto"/>
          <w:szCs w:val="32"/>
          <w:highlight w:val="none"/>
        </w:rPr>
      </w:pPr>
      <w:bookmarkStart w:id="925" w:name="_Toc8375"/>
      <w:r>
        <w:rPr>
          <w:rFonts w:hint="eastAsia" w:asciiTheme="minorEastAsia" w:hAnsiTheme="minorEastAsia" w:eastAsiaTheme="minorEastAsia" w:cstheme="minorEastAsia"/>
          <w:color w:val="auto"/>
          <w:szCs w:val="32"/>
          <w:highlight w:val="none"/>
          <w:lang w:val="en-US" w:eastAsia="zh-CN"/>
        </w:rPr>
        <w:t>三</w:t>
      </w:r>
      <w:r>
        <w:rPr>
          <w:rFonts w:hint="eastAsia" w:asciiTheme="minorEastAsia" w:hAnsiTheme="minorEastAsia" w:eastAsiaTheme="minorEastAsia" w:cstheme="minorEastAsia"/>
          <w:color w:val="auto"/>
          <w:szCs w:val="32"/>
          <w:highlight w:val="none"/>
        </w:rPr>
        <w:t>、技术文件</w:t>
      </w:r>
      <w:bookmarkEnd w:id="925"/>
    </w:p>
    <w:p w14:paraId="75C63794">
      <w:pPr>
        <w:pStyle w:val="55"/>
        <w:numPr>
          <w:ilvl w:val="1"/>
          <w:numId w:val="0"/>
        </w:numPr>
        <w:spacing w:line="360" w:lineRule="auto"/>
        <w:ind w:left="3330" w:leftChars="0"/>
        <w:jc w:val="left"/>
        <w:rPr>
          <w:rFonts w:hint="eastAsia" w:asciiTheme="minorEastAsia" w:hAnsiTheme="minorEastAsia" w:eastAsiaTheme="minorEastAsia" w:cstheme="minorEastAsia"/>
          <w:b/>
          <w:bCs/>
          <w:color w:val="auto"/>
          <w:sz w:val="32"/>
          <w:szCs w:val="32"/>
          <w:highlight w:val="none"/>
          <w:lang w:val="en-US" w:eastAsia="zh-CN"/>
        </w:rPr>
      </w:pPr>
      <w:bookmarkStart w:id="926" w:name="_Toc8835"/>
      <w:r>
        <w:rPr>
          <w:rFonts w:hint="eastAsia" w:asciiTheme="minorEastAsia" w:hAnsiTheme="minorEastAsia" w:eastAsiaTheme="minorEastAsia" w:cstheme="minorEastAsia"/>
          <w:b/>
          <w:bCs/>
          <w:color w:val="auto"/>
          <w:sz w:val="32"/>
          <w:szCs w:val="32"/>
          <w:highlight w:val="none"/>
          <w:lang w:val="en-US" w:eastAsia="zh-CN"/>
        </w:rPr>
        <w:t>1、施工技术方案</w:t>
      </w:r>
      <w:bookmarkEnd w:id="926"/>
    </w:p>
    <w:p w14:paraId="13627889">
      <w:pPr>
        <w:jc w:val="center"/>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（格式自拟）</w:t>
      </w:r>
    </w:p>
    <w:p w14:paraId="2AF3B2FA">
      <w:pPr>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包含但不限于：</w:t>
      </w:r>
    </w:p>
    <w:p w14:paraId="284D8131">
      <w:pPr>
        <w:spacing w:line="360" w:lineRule="auto"/>
        <w:rPr>
          <w:rFonts w:hint="eastAsia" w:asciiTheme="minorEastAsia" w:hAnsiTheme="minorEastAsia" w:eastAsiaTheme="minorEastAsia" w:cstheme="minorEastAsia"/>
          <w:b/>
          <w:bCs/>
          <w:color w:val="auto"/>
          <w:szCs w:val="21"/>
          <w:highlight w:val="none"/>
          <w:lang w:val="en-US" w:eastAsia="zh-CN"/>
        </w:rPr>
      </w:pPr>
      <w:r>
        <w:rPr>
          <w:rFonts w:hint="eastAsia" w:asciiTheme="minorEastAsia" w:hAnsiTheme="minorEastAsia" w:eastAsiaTheme="minorEastAsia" w:cstheme="minorEastAsia"/>
          <w:b/>
          <w:bCs/>
          <w:color w:val="auto"/>
          <w:szCs w:val="21"/>
          <w:highlight w:val="none"/>
          <w:lang w:val="en-US" w:eastAsia="zh-CN"/>
        </w:rPr>
        <w:t>（1）</w:t>
      </w:r>
      <w:r>
        <w:rPr>
          <w:rFonts w:hint="eastAsia" w:asciiTheme="minorEastAsia" w:hAnsiTheme="minorEastAsia" w:eastAsiaTheme="minorEastAsia" w:cstheme="minorEastAsia"/>
          <w:b/>
          <w:bCs/>
          <w:color w:val="auto"/>
          <w:sz w:val="21"/>
          <w:szCs w:val="21"/>
          <w:highlight w:val="none"/>
          <w:lang w:val="en-US" w:eastAsia="zh-CN"/>
        </w:rPr>
        <w:t>施工技术方案</w:t>
      </w:r>
    </w:p>
    <w:p w14:paraId="2902F586">
      <w:pPr>
        <w:spacing w:line="360" w:lineRule="auto"/>
        <w:rPr>
          <w:rFonts w:hint="eastAsia" w:asciiTheme="minorEastAsia" w:hAnsiTheme="minorEastAsia" w:eastAsiaTheme="minorEastAsia" w:cstheme="minorEastAsia"/>
          <w:b/>
          <w:bCs/>
          <w:color w:val="auto"/>
          <w:szCs w:val="21"/>
          <w:highlight w:val="none"/>
          <w:lang w:val="en-US" w:eastAsia="zh-CN"/>
        </w:rPr>
      </w:pPr>
      <w:r>
        <w:rPr>
          <w:rFonts w:hint="eastAsia" w:asciiTheme="minorEastAsia" w:hAnsiTheme="minorEastAsia" w:eastAsiaTheme="minorEastAsia" w:cstheme="minorEastAsia"/>
          <w:b/>
          <w:bCs/>
          <w:color w:val="auto"/>
          <w:szCs w:val="21"/>
          <w:highlight w:val="none"/>
          <w:lang w:val="en-US" w:eastAsia="zh-CN"/>
        </w:rPr>
        <w:t>（2）</w:t>
      </w:r>
      <w:r>
        <w:rPr>
          <w:rFonts w:hint="eastAsia" w:asciiTheme="minorEastAsia" w:hAnsiTheme="minorEastAsia" w:eastAsiaTheme="minorEastAsia" w:cstheme="minorEastAsia"/>
          <w:b/>
          <w:bCs/>
          <w:color w:val="auto"/>
          <w:sz w:val="21"/>
          <w:szCs w:val="21"/>
          <w:highlight w:val="none"/>
          <w:lang w:val="en-US" w:eastAsia="zh-CN"/>
        </w:rPr>
        <w:t>施工现场组织流程规划</w:t>
      </w:r>
    </w:p>
    <w:p w14:paraId="2E6EBE52">
      <w:pPr>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br w:type="page"/>
      </w:r>
    </w:p>
    <w:p w14:paraId="1FB67E27">
      <w:pPr>
        <w:pStyle w:val="55"/>
        <w:numPr>
          <w:ilvl w:val="1"/>
          <w:numId w:val="0"/>
        </w:numPr>
        <w:spacing w:line="360" w:lineRule="auto"/>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2、质量承诺及保证措施</w:t>
      </w:r>
    </w:p>
    <w:p w14:paraId="2DBA842B">
      <w:pPr>
        <w:pStyle w:val="55"/>
        <w:numPr>
          <w:ilvl w:val="1"/>
          <w:numId w:val="0"/>
        </w:numPr>
        <w:spacing w:line="360" w:lineRule="auto"/>
        <w:jc w:val="center"/>
        <w:rPr>
          <w:rFonts w:hint="eastAsia"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（格式自拟）</w:t>
      </w:r>
    </w:p>
    <w:p w14:paraId="2C09CD73">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br w:type="page"/>
      </w:r>
    </w:p>
    <w:p w14:paraId="201638F5">
      <w:pPr>
        <w:pStyle w:val="55"/>
        <w:numPr>
          <w:ilvl w:val="1"/>
          <w:numId w:val="0"/>
        </w:numPr>
        <w:tabs>
          <w:tab w:val="clear" w:pos="3690"/>
        </w:tabs>
        <w:spacing w:line="360" w:lineRule="auto"/>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3、安全文明施工保证措施</w:t>
      </w:r>
    </w:p>
    <w:p w14:paraId="096AFE98">
      <w:pPr>
        <w:pStyle w:val="55"/>
        <w:numPr>
          <w:ilvl w:val="1"/>
          <w:numId w:val="0"/>
        </w:numPr>
        <w:spacing w:line="360" w:lineRule="auto"/>
        <w:jc w:val="center"/>
        <w:rPr>
          <w:rFonts w:hint="eastAsia"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（格式自拟）</w:t>
      </w:r>
    </w:p>
    <w:p w14:paraId="6EFA0812">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br w:type="page"/>
      </w:r>
    </w:p>
    <w:p w14:paraId="73B13A8F">
      <w:pPr>
        <w:pStyle w:val="55"/>
        <w:numPr>
          <w:ilvl w:val="1"/>
          <w:numId w:val="0"/>
        </w:numPr>
        <w:spacing w:line="360" w:lineRule="auto"/>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4、项目管理人员配置</w:t>
      </w:r>
    </w:p>
    <w:p w14:paraId="6386D681">
      <w:pPr>
        <w:pStyle w:val="55"/>
        <w:numPr>
          <w:ilvl w:val="1"/>
          <w:numId w:val="0"/>
        </w:numPr>
        <w:spacing w:line="360" w:lineRule="auto"/>
        <w:jc w:val="center"/>
        <w:rPr>
          <w:rFonts w:hint="eastAsia"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（格式自拟）</w:t>
      </w:r>
    </w:p>
    <w:tbl>
      <w:tblPr>
        <w:tblStyle w:val="27"/>
        <w:tblW w:w="8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0"/>
        <w:gridCol w:w="783"/>
        <w:gridCol w:w="567"/>
        <w:gridCol w:w="1010"/>
        <w:gridCol w:w="1135"/>
        <w:gridCol w:w="709"/>
        <w:gridCol w:w="803"/>
        <w:gridCol w:w="1191"/>
        <w:gridCol w:w="1417"/>
      </w:tblGrid>
      <w:tr w14:paraId="4FDA6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1350" w:type="dxa"/>
            <w:tcBorders>
              <w:top w:val="single" w:color="auto" w:sz="4" w:space="0"/>
              <w:left w:val="single" w:color="auto" w:sz="4" w:space="0"/>
              <w:bottom w:val="single" w:color="auto" w:sz="4" w:space="0"/>
              <w:right w:val="single" w:color="auto" w:sz="4" w:space="0"/>
            </w:tcBorders>
            <w:noWrap w:val="0"/>
            <w:vAlign w:val="center"/>
          </w:tcPr>
          <w:p w14:paraId="7F9C64DF">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岗位</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0857E522">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567" w:type="dxa"/>
            <w:tcBorders>
              <w:top w:val="single" w:color="auto" w:sz="4" w:space="0"/>
              <w:left w:val="single" w:color="auto" w:sz="4" w:space="0"/>
              <w:bottom w:val="single" w:color="auto" w:sz="4" w:space="0"/>
              <w:right w:val="single" w:color="auto" w:sz="4" w:space="0"/>
            </w:tcBorders>
            <w:noWrap w:val="0"/>
            <w:vAlign w:val="center"/>
          </w:tcPr>
          <w:p w14:paraId="57AA22F2">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性别</w:t>
            </w:r>
          </w:p>
        </w:tc>
        <w:tc>
          <w:tcPr>
            <w:tcW w:w="1010" w:type="dxa"/>
            <w:tcBorders>
              <w:top w:val="single" w:color="auto" w:sz="4" w:space="0"/>
              <w:left w:val="single" w:color="auto" w:sz="4" w:space="0"/>
              <w:bottom w:val="single" w:color="auto" w:sz="4" w:space="0"/>
              <w:right w:val="single" w:color="auto" w:sz="4" w:space="0"/>
            </w:tcBorders>
            <w:noWrap w:val="0"/>
            <w:vAlign w:val="center"/>
          </w:tcPr>
          <w:p w14:paraId="3C815EDD">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出生年月</w:t>
            </w:r>
          </w:p>
        </w:tc>
        <w:tc>
          <w:tcPr>
            <w:tcW w:w="1135" w:type="dxa"/>
            <w:tcBorders>
              <w:top w:val="single" w:color="auto" w:sz="4" w:space="0"/>
              <w:left w:val="single" w:color="auto" w:sz="4" w:space="0"/>
              <w:bottom w:val="single" w:color="auto" w:sz="4" w:space="0"/>
              <w:right w:val="single" w:color="auto" w:sz="4" w:space="0"/>
            </w:tcBorders>
            <w:noWrap w:val="0"/>
            <w:vAlign w:val="center"/>
          </w:tcPr>
          <w:p w14:paraId="34911BD8">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工作年限</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6D4A528">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职称</w:t>
            </w:r>
          </w:p>
        </w:tc>
        <w:tc>
          <w:tcPr>
            <w:tcW w:w="803" w:type="dxa"/>
            <w:tcBorders>
              <w:top w:val="single" w:color="auto" w:sz="4" w:space="0"/>
              <w:left w:val="single" w:color="auto" w:sz="4" w:space="0"/>
              <w:bottom w:val="single" w:color="auto" w:sz="4" w:space="0"/>
              <w:right w:val="single" w:color="auto" w:sz="4" w:space="0"/>
            </w:tcBorders>
            <w:noWrap w:val="0"/>
            <w:vAlign w:val="center"/>
          </w:tcPr>
          <w:p w14:paraId="665976C4">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学历</w:t>
            </w:r>
          </w:p>
        </w:tc>
        <w:tc>
          <w:tcPr>
            <w:tcW w:w="1191" w:type="dxa"/>
            <w:tcBorders>
              <w:top w:val="single" w:color="auto" w:sz="4" w:space="0"/>
              <w:left w:val="single" w:color="auto" w:sz="4" w:space="0"/>
              <w:bottom w:val="single" w:color="auto" w:sz="4" w:space="0"/>
              <w:right w:val="single" w:color="auto" w:sz="4" w:space="0"/>
            </w:tcBorders>
            <w:noWrap w:val="0"/>
            <w:vAlign w:val="center"/>
          </w:tcPr>
          <w:p w14:paraId="4980BDB3">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岗位证书（资格证书）及编号</w:t>
            </w:r>
          </w:p>
        </w:tc>
        <w:tc>
          <w:tcPr>
            <w:tcW w:w="1417" w:type="dxa"/>
            <w:tcBorders>
              <w:top w:val="single" w:color="auto" w:sz="4" w:space="0"/>
              <w:left w:val="single" w:color="auto" w:sz="4" w:space="0"/>
              <w:bottom w:val="single" w:color="auto" w:sz="4" w:space="0"/>
              <w:right w:val="single" w:color="auto" w:sz="4" w:space="0"/>
            </w:tcBorders>
            <w:noWrap w:val="0"/>
            <w:vAlign w:val="center"/>
          </w:tcPr>
          <w:p w14:paraId="28049F30">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岗位要求</w:t>
            </w:r>
          </w:p>
        </w:tc>
      </w:tr>
      <w:tr w14:paraId="245CC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350" w:type="dxa"/>
            <w:tcBorders>
              <w:top w:val="single" w:color="auto" w:sz="4" w:space="0"/>
              <w:left w:val="single" w:color="auto" w:sz="4" w:space="0"/>
              <w:bottom w:val="single" w:color="auto" w:sz="4" w:space="0"/>
              <w:right w:val="single" w:color="auto" w:sz="4" w:space="0"/>
            </w:tcBorders>
            <w:noWrap w:val="0"/>
            <w:vAlign w:val="center"/>
          </w:tcPr>
          <w:p w14:paraId="1E7AB3F5">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项目负责人</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532D674B">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center"/>
          </w:tcPr>
          <w:p w14:paraId="0F900273">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14:paraId="68EC9888">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21278A44">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794EE5A">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05710E14">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191" w:type="dxa"/>
            <w:tcBorders>
              <w:top w:val="single" w:color="auto" w:sz="4" w:space="0"/>
              <w:left w:val="single" w:color="auto" w:sz="4" w:space="0"/>
              <w:bottom w:val="single" w:color="auto" w:sz="4" w:space="0"/>
              <w:right w:val="single" w:color="auto" w:sz="4" w:space="0"/>
            </w:tcBorders>
            <w:noWrap w:val="0"/>
            <w:vAlign w:val="center"/>
          </w:tcPr>
          <w:p w14:paraId="5965AF73">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253D130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专职：□ </w:t>
            </w:r>
          </w:p>
          <w:p w14:paraId="304F0C54">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可兼任：□</w:t>
            </w:r>
          </w:p>
        </w:tc>
      </w:tr>
      <w:tr w14:paraId="5168D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50" w:type="dxa"/>
            <w:tcBorders>
              <w:top w:val="single" w:color="auto" w:sz="4" w:space="0"/>
              <w:left w:val="single" w:color="auto" w:sz="4" w:space="0"/>
              <w:bottom w:val="single" w:color="auto" w:sz="4" w:space="0"/>
              <w:right w:val="single" w:color="auto" w:sz="4" w:space="0"/>
            </w:tcBorders>
            <w:noWrap w:val="0"/>
            <w:vAlign w:val="center"/>
          </w:tcPr>
          <w:p w14:paraId="65191764">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技术负责人</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078ECDCE">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center"/>
          </w:tcPr>
          <w:p w14:paraId="173F745E">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14:paraId="1EE2B4F2">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49B5DD29">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906B84B">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2668074C">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191" w:type="dxa"/>
            <w:tcBorders>
              <w:top w:val="single" w:color="auto" w:sz="4" w:space="0"/>
              <w:left w:val="single" w:color="auto" w:sz="4" w:space="0"/>
              <w:bottom w:val="single" w:color="auto" w:sz="4" w:space="0"/>
              <w:right w:val="single" w:color="auto" w:sz="4" w:space="0"/>
            </w:tcBorders>
            <w:noWrap w:val="0"/>
            <w:vAlign w:val="center"/>
          </w:tcPr>
          <w:p w14:paraId="66D70441">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5C16F30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专职：□ </w:t>
            </w:r>
          </w:p>
          <w:p w14:paraId="7F39C7F3">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可兼任：□</w:t>
            </w:r>
          </w:p>
        </w:tc>
      </w:tr>
      <w:tr w14:paraId="5EC10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350" w:type="dxa"/>
            <w:tcBorders>
              <w:top w:val="single" w:color="auto" w:sz="4" w:space="0"/>
              <w:left w:val="single" w:color="auto" w:sz="4" w:space="0"/>
              <w:bottom w:val="single" w:color="auto" w:sz="4" w:space="0"/>
              <w:right w:val="single" w:color="auto" w:sz="4" w:space="0"/>
            </w:tcBorders>
            <w:noWrap w:val="0"/>
            <w:vAlign w:val="center"/>
          </w:tcPr>
          <w:p w14:paraId="6B93E6F6">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施工员</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66FD1A9F">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center"/>
          </w:tcPr>
          <w:p w14:paraId="7D9E8E5B">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14:paraId="0C82ACA4">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692D7975">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4358210">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7105F69B">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191" w:type="dxa"/>
            <w:tcBorders>
              <w:top w:val="single" w:color="auto" w:sz="4" w:space="0"/>
              <w:left w:val="single" w:color="auto" w:sz="4" w:space="0"/>
              <w:bottom w:val="single" w:color="auto" w:sz="4" w:space="0"/>
              <w:right w:val="single" w:color="auto" w:sz="4" w:space="0"/>
            </w:tcBorders>
            <w:noWrap w:val="0"/>
            <w:vAlign w:val="center"/>
          </w:tcPr>
          <w:p w14:paraId="29052BB6">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60A365B4">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专职：□ </w:t>
            </w:r>
          </w:p>
          <w:p w14:paraId="5E90611A">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可兼任：□</w:t>
            </w:r>
          </w:p>
        </w:tc>
      </w:tr>
      <w:tr w14:paraId="38AE6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350" w:type="dxa"/>
            <w:tcBorders>
              <w:top w:val="single" w:color="auto" w:sz="4" w:space="0"/>
              <w:left w:val="single" w:color="auto" w:sz="4" w:space="0"/>
              <w:bottom w:val="single" w:color="auto" w:sz="4" w:space="0"/>
              <w:right w:val="single" w:color="auto" w:sz="4" w:space="0"/>
            </w:tcBorders>
            <w:noWrap w:val="0"/>
            <w:vAlign w:val="center"/>
          </w:tcPr>
          <w:p w14:paraId="5DCC2CCB">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安全员</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5021434B">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center"/>
          </w:tcPr>
          <w:p w14:paraId="1E8AED2F">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14:paraId="1FA3080B">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6BC657A8">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D9CA88F">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21F73C65">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191" w:type="dxa"/>
            <w:tcBorders>
              <w:top w:val="single" w:color="auto" w:sz="4" w:space="0"/>
              <w:left w:val="single" w:color="auto" w:sz="4" w:space="0"/>
              <w:bottom w:val="single" w:color="auto" w:sz="4" w:space="0"/>
              <w:right w:val="single" w:color="auto" w:sz="4" w:space="0"/>
            </w:tcBorders>
            <w:noWrap w:val="0"/>
            <w:vAlign w:val="center"/>
          </w:tcPr>
          <w:p w14:paraId="3A2C75FC">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30FC775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专职：□ </w:t>
            </w:r>
          </w:p>
          <w:p w14:paraId="782C769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可兼任：□</w:t>
            </w:r>
          </w:p>
        </w:tc>
      </w:tr>
      <w:tr w14:paraId="20162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350" w:type="dxa"/>
            <w:tcBorders>
              <w:top w:val="single" w:color="auto" w:sz="4" w:space="0"/>
              <w:left w:val="single" w:color="auto" w:sz="4" w:space="0"/>
              <w:bottom w:val="single" w:color="auto" w:sz="4" w:space="0"/>
              <w:right w:val="single" w:color="auto" w:sz="4" w:space="0"/>
            </w:tcBorders>
            <w:noWrap w:val="0"/>
            <w:vAlign w:val="center"/>
          </w:tcPr>
          <w:p w14:paraId="55FCBA79">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质量员</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6E61EDCD">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center"/>
          </w:tcPr>
          <w:p w14:paraId="1ED4829C">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14:paraId="74A1915E">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4EE4417F">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374CBEA">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156994A4">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191" w:type="dxa"/>
            <w:tcBorders>
              <w:top w:val="single" w:color="auto" w:sz="4" w:space="0"/>
              <w:left w:val="single" w:color="auto" w:sz="4" w:space="0"/>
              <w:bottom w:val="single" w:color="auto" w:sz="4" w:space="0"/>
              <w:right w:val="single" w:color="auto" w:sz="4" w:space="0"/>
            </w:tcBorders>
            <w:noWrap w:val="0"/>
            <w:vAlign w:val="center"/>
          </w:tcPr>
          <w:p w14:paraId="4A19FD1B">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35C67EC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专职：□ </w:t>
            </w:r>
          </w:p>
          <w:p w14:paraId="2ED492D1">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可兼任：□</w:t>
            </w:r>
          </w:p>
        </w:tc>
      </w:tr>
      <w:tr w14:paraId="19A6A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350" w:type="dxa"/>
            <w:tcBorders>
              <w:top w:val="single" w:color="auto" w:sz="4" w:space="0"/>
              <w:left w:val="single" w:color="auto" w:sz="4" w:space="0"/>
              <w:bottom w:val="single" w:color="auto" w:sz="4" w:space="0"/>
              <w:right w:val="single" w:color="auto" w:sz="4" w:space="0"/>
            </w:tcBorders>
            <w:noWrap w:val="0"/>
            <w:vAlign w:val="center"/>
          </w:tcPr>
          <w:p w14:paraId="42C07C61">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标准员</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62E1B279">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center"/>
          </w:tcPr>
          <w:p w14:paraId="0200023B">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14:paraId="617CEECF">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57DC4C0A">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B317541">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63588D57">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191" w:type="dxa"/>
            <w:tcBorders>
              <w:top w:val="single" w:color="auto" w:sz="4" w:space="0"/>
              <w:left w:val="single" w:color="auto" w:sz="4" w:space="0"/>
              <w:bottom w:val="single" w:color="auto" w:sz="4" w:space="0"/>
              <w:right w:val="single" w:color="auto" w:sz="4" w:space="0"/>
            </w:tcBorders>
            <w:noWrap w:val="0"/>
            <w:vAlign w:val="center"/>
          </w:tcPr>
          <w:p w14:paraId="211EA3D0">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2138852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专职：□ </w:t>
            </w:r>
          </w:p>
          <w:p w14:paraId="48C38B49">
            <w:pPr>
              <w:keepNext w:val="0"/>
              <w:keepLines w:val="0"/>
              <w:suppressLineNumbers w:val="0"/>
              <w:autoSpaceDE w:val="0"/>
              <w:autoSpaceDN w:val="0"/>
              <w:adjustRightInd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可兼任：□</w:t>
            </w:r>
          </w:p>
        </w:tc>
      </w:tr>
      <w:tr w14:paraId="3CE4F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350" w:type="dxa"/>
            <w:tcBorders>
              <w:top w:val="single" w:color="auto" w:sz="4" w:space="0"/>
              <w:left w:val="single" w:color="auto" w:sz="4" w:space="0"/>
              <w:bottom w:val="single" w:color="auto" w:sz="4" w:space="0"/>
              <w:right w:val="single" w:color="auto" w:sz="4" w:space="0"/>
            </w:tcBorders>
            <w:noWrap w:val="0"/>
            <w:vAlign w:val="center"/>
          </w:tcPr>
          <w:p w14:paraId="6792CBCE">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材料员</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353CC6B2">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center"/>
          </w:tcPr>
          <w:p w14:paraId="28E7707D">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14:paraId="66A1CAC9">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4C8B9838">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D374230">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3BBBCBA2">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191" w:type="dxa"/>
            <w:tcBorders>
              <w:top w:val="single" w:color="auto" w:sz="4" w:space="0"/>
              <w:left w:val="single" w:color="auto" w:sz="4" w:space="0"/>
              <w:bottom w:val="single" w:color="auto" w:sz="4" w:space="0"/>
              <w:right w:val="single" w:color="auto" w:sz="4" w:space="0"/>
            </w:tcBorders>
            <w:noWrap w:val="0"/>
            <w:vAlign w:val="center"/>
          </w:tcPr>
          <w:p w14:paraId="10CE3F7D">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031CBA9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专职：□ </w:t>
            </w:r>
          </w:p>
          <w:p w14:paraId="588A094D">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可兼任：□</w:t>
            </w:r>
          </w:p>
        </w:tc>
      </w:tr>
      <w:tr w14:paraId="3CAD6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350" w:type="dxa"/>
            <w:tcBorders>
              <w:top w:val="single" w:color="auto" w:sz="4" w:space="0"/>
              <w:left w:val="single" w:color="auto" w:sz="4" w:space="0"/>
              <w:bottom w:val="single" w:color="auto" w:sz="4" w:space="0"/>
              <w:right w:val="single" w:color="auto" w:sz="4" w:space="0"/>
            </w:tcBorders>
            <w:noWrap w:val="0"/>
            <w:vAlign w:val="center"/>
          </w:tcPr>
          <w:p w14:paraId="4962334F">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机械员</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54B32AD4">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center"/>
          </w:tcPr>
          <w:p w14:paraId="2EDD7824">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14:paraId="02729BE0">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4CCD9023">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1F4292E">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302FEF89">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191" w:type="dxa"/>
            <w:tcBorders>
              <w:top w:val="single" w:color="auto" w:sz="4" w:space="0"/>
              <w:left w:val="single" w:color="auto" w:sz="4" w:space="0"/>
              <w:bottom w:val="single" w:color="auto" w:sz="4" w:space="0"/>
              <w:right w:val="single" w:color="auto" w:sz="4" w:space="0"/>
            </w:tcBorders>
            <w:noWrap w:val="0"/>
            <w:vAlign w:val="center"/>
          </w:tcPr>
          <w:p w14:paraId="26544F72">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55F0851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专职：□ </w:t>
            </w:r>
          </w:p>
          <w:p w14:paraId="5A5270E5">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可兼任：□</w:t>
            </w:r>
          </w:p>
        </w:tc>
      </w:tr>
      <w:tr w14:paraId="68ACC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350" w:type="dxa"/>
            <w:tcBorders>
              <w:top w:val="single" w:color="auto" w:sz="4" w:space="0"/>
              <w:left w:val="single" w:color="auto" w:sz="4" w:space="0"/>
              <w:bottom w:val="single" w:color="auto" w:sz="4" w:space="0"/>
              <w:right w:val="single" w:color="auto" w:sz="4" w:space="0"/>
            </w:tcBorders>
            <w:noWrap w:val="0"/>
            <w:vAlign w:val="center"/>
          </w:tcPr>
          <w:p w14:paraId="6D81657D">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劳务员</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74FEBC33">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center"/>
          </w:tcPr>
          <w:p w14:paraId="380B93AA">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14:paraId="229B86E4">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3571C756">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D2A124D">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7CC88D4C">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191" w:type="dxa"/>
            <w:tcBorders>
              <w:top w:val="single" w:color="auto" w:sz="4" w:space="0"/>
              <w:left w:val="single" w:color="auto" w:sz="4" w:space="0"/>
              <w:bottom w:val="single" w:color="auto" w:sz="4" w:space="0"/>
              <w:right w:val="single" w:color="auto" w:sz="4" w:space="0"/>
            </w:tcBorders>
            <w:noWrap w:val="0"/>
            <w:vAlign w:val="center"/>
          </w:tcPr>
          <w:p w14:paraId="65809157">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0C64970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专职：□ </w:t>
            </w:r>
          </w:p>
          <w:p w14:paraId="4E4E8175">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可兼任：□</w:t>
            </w:r>
          </w:p>
        </w:tc>
      </w:tr>
      <w:tr w14:paraId="691D5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1350" w:type="dxa"/>
            <w:tcBorders>
              <w:top w:val="single" w:color="auto" w:sz="4" w:space="0"/>
              <w:left w:val="single" w:color="auto" w:sz="4" w:space="0"/>
              <w:bottom w:val="single" w:color="auto" w:sz="4" w:space="0"/>
              <w:right w:val="single" w:color="auto" w:sz="4" w:space="0"/>
            </w:tcBorders>
            <w:noWrap w:val="0"/>
            <w:vAlign w:val="center"/>
          </w:tcPr>
          <w:p w14:paraId="55BF8953">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资料员</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200489C5">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center"/>
          </w:tcPr>
          <w:p w14:paraId="0CF36D3C">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010" w:type="dxa"/>
            <w:tcBorders>
              <w:top w:val="single" w:color="auto" w:sz="4" w:space="0"/>
              <w:left w:val="single" w:color="auto" w:sz="4" w:space="0"/>
              <w:bottom w:val="single" w:color="auto" w:sz="4" w:space="0"/>
              <w:right w:val="single" w:color="auto" w:sz="4" w:space="0"/>
            </w:tcBorders>
            <w:noWrap w:val="0"/>
            <w:vAlign w:val="center"/>
          </w:tcPr>
          <w:p w14:paraId="38BB1240">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135" w:type="dxa"/>
            <w:tcBorders>
              <w:top w:val="single" w:color="auto" w:sz="4" w:space="0"/>
              <w:left w:val="single" w:color="auto" w:sz="4" w:space="0"/>
              <w:bottom w:val="single" w:color="auto" w:sz="4" w:space="0"/>
              <w:right w:val="single" w:color="auto" w:sz="4" w:space="0"/>
            </w:tcBorders>
            <w:noWrap w:val="0"/>
            <w:vAlign w:val="center"/>
          </w:tcPr>
          <w:p w14:paraId="34A540F7">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B74BF90">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803" w:type="dxa"/>
            <w:tcBorders>
              <w:top w:val="single" w:color="auto" w:sz="4" w:space="0"/>
              <w:left w:val="single" w:color="auto" w:sz="4" w:space="0"/>
              <w:bottom w:val="single" w:color="auto" w:sz="4" w:space="0"/>
              <w:right w:val="single" w:color="auto" w:sz="4" w:space="0"/>
            </w:tcBorders>
            <w:noWrap w:val="0"/>
            <w:vAlign w:val="center"/>
          </w:tcPr>
          <w:p w14:paraId="51357C36">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191" w:type="dxa"/>
            <w:tcBorders>
              <w:top w:val="single" w:color="auto" w:sz="4" w:space="0"/>
              <w:left w:val="single" w:color="auto" w:sz="4" w:space="0"/>
              <w:bottom w:val="single" w:color="auto" w:sz="4" w:space="0"/>
              <w:right w:val="single" w:color="auto" w:sz="4" w:space="0"/>
            </w:tcBorders>
            <w:noWrap w:val="0"/>
            <w:vAlign w:val="center"/>
          </w:tcPr>
          <w:p w14:paraId="5AEA9D2C">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5B1A457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专职：□</w:t>
            </w:r>
          </w:p>
          <w:p w14:paraId="37191EFF">
            <w:pPr>
              <w:keepNext w:val="0"/>
              <w:keepLines w:val="0"/>
              <w:suppressLineNumbers w:val="0"/>
              <w:autoSpaceDE w:val="0"/>
              <w:autoSpaceDN w:val="0"/>
              <w:adjustRightIn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可兼任：□</w:t>
            </w:r>
          </w:p>
        </w:tc>
      </w:tr>
    </w:tbl>
    <w:p w14:paraId="7D4D50C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.表中“岗位要求”一栏，“专职”“可兼任”由</w:t>
      </w:r>
      <w:r>
        <w:rPr>
          <w:rFonts w:hint="eastAsia" w:ascii="宋体" w:hAnsi="宋体" w:cs="宋体"/>
          <w:color w:val="auto"/>
          <w:szCs w:val="21"/>
          <w:highlight w:val="none"/>
          <w:lang w:eastAsia="zh-CN"/>
        </w:rPr>
        <w:t>供应商</w:t>
      </w:r>
      <w:r>
        <w:rPr>
          <w:rFonts w:hint="eastAsia" w:ascii="宋体" w:hAnsi="宋体" w:eastAsia="宋体" w:cs="宋体"/>
          <w:color w:val="auto"/>
          <w:szCs w:val="21"/>
          <w:highlight w:val="none"/>
        </w:rPr>
        <w:t>在“□”内打“√”；</w:t>
      </w:r>
    </w:p>
    <w:p w14:paraId="2A152D58">
      <w:pPr>
        <w:spacing w:line="360" w:lineRule="auto"/>
        <w:ind w:left="210" w:leftChars="100" w:firstLine="210" w:firstLineChars="100"/>
        <w:jc w:val="both"/>
        <w:rPr>
          <w:rFonts w:hint="eastAsia" w:ascii="宋体" w:hAnsi="宋体" w:eastAsia="宋体" w:cs="宋体"/>
          <w:color w:val="auto"/>
          <w:sz w:val="20"/>
          <w:szCs w:val="20"/>
          <w:highlight w:val="none"/>
        </w:rPr>
      </w:pP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人员须附身份证、学历证、资格证书（如有）、劳动合同或社保证明，否则不予认可</w:t>
      </w:r>
      <w:r>
        <w:rPr>
          <w:rFonts w:hint="eastAsia" w:ascii="宋体" w:hAnsi="宋体" w:eastAsia="宋体" w:cs="宋体"/>
          <w:color w:val="auto"/>
          <w:szCs w:val="21"/>
          <w:highlight w:val="none"/>
        </w:rPr>
        <w:t>。</w:t>
      </w:r>
    </w:p>
    <w:p w14:paraId="13C135D8">
      <w:pPr>
        <w:rPr>
          <w:rFonts w:hint="eastAsia" w:ascii="宋体" w:hAnsi="宋体" w:cs="宋体"/>
          <w:color w:val="auto"/>
          <w:szCs w:val="21"/>
          <w:highlight w:val="none"/>
          <w:lang w:val="en-US" w:eastAsia="zh-CN"/>
        </w:rPr>
      </w:pPr>
    </w:p>
    <w:p w14:paraId="45064F5D">
      <w:pPr>
        <w:tabs>
          <w:tab w:val="left" w:pos="-108"/>
          <w:tab w:val="left" w:pos="840"/>
        </w:tabs>
        <w:spacing w:afterLines="50"/>
        <w:ind w:left="425"/>
        <w:jc w:val="center"/>
        <w:rPr>
          <w:rFonts w:hint="eastAsia" w:ascii="宋体" w:hAnsi="宋体" w:eastAsia="宋体" w:cs="宋体"/>
          <w:b/>
          <w:bCs/>
          <w:color w:val="auto"/>
          <w:kern w:val="0"/>
          <w:sz w:val="32"/>
          <w:szCs w:val="32"/>
          <w:highlight w:val="none"/>
          <w:lang w:val="en-US" w:eastAsia="zh-CN" w:bidi="ar-SA"/>
        </w:rPr>
      </w:pPr>
      <w:r>
        <w:rPr>
          <w:rFonts w:hint="eastAsia" w:ascii="宋体" w:hAnsi="宋体" w:cs="宋体"/>
          <w:color w:val="auto"/>
          <w:szCs w:val="21"/>
          <w:highlight w:val="none"/>
          <w:lang w:val="en-US" w:eastAsia="zh-CN"/>
        </w:rPr>
        <w:br w:type="page"/>
      </w:r>
      <w:r>
        <w:rPr>
          <w:rFonts w:hint="eastAsia" w:ascii="宋体" w:hAnsi="宋体" w:eastAsia="宋体" w:cs="宋体"/>
          <w:b/>
          <w:bCs/>
          <w:color w:val="auto"/>
          <w:kern w:val="0"/>
          <w:sz w:val="32"/>
          <w:szCs w:val="32"/>
          <w:highlight w:val="none"/>
          <w:lang w:val="en-US" w:eastAsia="zh-CN" w:bidi="ar-SA"/>
        </w:rPr>
        <w:t>4.1项目经理简历表</w:t>
      </w:r>
    </w:p>
    <w:p w14:paraId="405AE99F">
      <w:pPr>
        <w:spacing w:line="420" w:lineRule="exact"/>
        <w:ind w:firstLine="525" w:firstLineChars="250"/>
        <w:rPr>
          <w:rFonts w:asciiTheme="minorEastAsia" w:hAnsiTheme="minorEastAsia" w:eastAsiaTheme="minorEastAsia" w:cstheme="minorEastAsia"/>
          <w:color w:val="auto"/>
          <w:szCs w:val="21"/>
          <w:highlight w:val="none"/>
        </w:rPr>
      </w:pPr>
      <w:r>
        <w:rPr>
          <w:rFonts w:hint="eastAsia" w:ascii="宋体" w:hAnsi="宋体" w:eastAsia="宋体" w:cs="宋体"/>
          <w:color w:val="auto"/>
          <w:sz w:val="21"/>
          <w:szCs w:val="21"/>
          <w:highlight w:val="none"/>
        </w:rPr>
        <w:t>项目经理应附身份证、学历证、注册资格证书、安全生产考核合格证书、社保证明等复印件及未担任其他在建设工程项目项目经理的承诺书，管理过的项目业绩须附应附成交通知书或合同协议书及工程竣工验收证书或工程竣工备案表的复印件。类似项目限于以项目经理身份参与的项目</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b/>
          <w:bCs/>
          <w:color w:val="auto"/>
          <w:szCs w:val="21"/>
          <w:highlight w:val="none"/>
        </w:rPr>
        <w:t>所提供的业绩证明不能指向项目负责人的视为无效</w:t>
      </w:r>
      <w:r>
        <w:rPr>
          <w:rFonts w:hint="eastAsia" w:asciiTheme="minorEastAsia" w:hAnsiTheme="minorEastAsia" w:eastAsiaTheme="minorEastAsia" w:cstheme="minorEastAsia"/>
          <w:color w:val="auto"/>
          <w:szCs w:val="21"/>
          <w:highlight w:val="none"/>
        </w:rPr>
        <w:t>）。</w:t>
      </w:r>
    </w:p>
    <w:tbl>
      <w:tblPr>
        <w:tblStyle w:val="27"/>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7"/>
        <w:gridCol w:w="1039"/>
        <w:gridCol w:w="1138"/>
        <w:gridCol w:w="1283"/>
        <w:gridCol w:w="1850"/>
        <w:gridCol w:w="3353"/>
      </w:tblGrid>
      <w:tr w14:paraId="2FD67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097" w:type="dxa"/>
            <w:vAlign w:val="center"/>
          </w:tcPr>
          <w:p w14:paraId="2529F2E4">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姓  名</w:t>
            </w:r>
          </w:p>
        </w:tc>
        <w:tc>
          <w:tcPr>
            <w:tcW w:w="1039" w:type="dxa"/>
            <w:vAlign w:val="center"/>
          </w:tcPr>
          <w:p w14:paraId="4D5B0CAF">
            <w:pPr>
              <w:jc w:val="center"/>
              <w:rPr>
                <w:rFonts w:asciiTheme="minorEastAsia" w:hAnsiTheme="minorEastAsia" w:eastAsiaTheme="minorEastAsia" w:cstheme="minorEastAsia"/>
                <w:color w:val="auto"/>
                <w:szCs w:val="21"/>
                <w:highlight w:val="none"/>
              </w:rPr>
            </w:pPr>
          </w:p>
        </w:tc>
        <w:tc>
          <w:tcPr>
            <w:tcW w:w="1138" w:type="dxa"/>
            <w:vAlign w:val="center"/>
          </w:tcPr>
          <w:p w14:paraId="5093716E">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年  龄</w:t>
            </w:r>
          </w:p>
        </w:tc>
        <w:tc>
          <w:tcPr>
            <w:tcW w:w="1283" w:type="dxa"/>
            <w:vAlign w:val="center"/>
          </w:tcPr>
          <w:p w14:paraId="44261514">
            <w:pPr>
              <w:jc w:val="center"/>
              <w:rPr>
                <w:rFonts w:asciiTheme="minorEastAsia" w:hAnsiTheme="minorEastAsia" w:eastAsiaTheme="minorEastAsia" w:cstheme="minorEastAsia"/>
                <w:color w:val="auto"/>
                <w:szCs w:val="21"/>
                <w:highlight w:val="none"/>
              </w:rPr>
            </w:pPr>
          </w:p>
        </w:tc>
        <w:tc>
          <w:tcPr>
            <w:tcW w:w="1850" w:type="dxa"/>
            <w:vAlign w:val="center"/>
          </w:tcPr>
          <w:p w14:paraId="59230127">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学历</w:t>
            </w:r>
          </w:p>
        </w:tc>
        <w:tc>
          <w:tcPr>
            <w:tcW w:w="3353" w:type="dxa"/>
            <w:vAlign w:val="center"/>
          </w:tcPr>
          <w:p w14:paraId="741539E1">
            <w:pPr>
              <w:jc w:val="center"/>
              <w:rPr>
                <w:rFonts w:asciiTheme="minorEastAsia" w:hAnsiTheme="minorEastAsia" w:eastAsiaTheme="minorEastAsia" w:cstheme="minorEastAsia"/>
                <w:color w:val="auto"/>
                <w:szCs w:val="21"/>
                <w:highlight w:val="none"/>
              </w:rPr>
            </w:pPr>
          </w:p>
        </w:tc>
      </w:tr>
      <w:tr w14:paraId="714D8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097" w:type="dxa"/>
            <w:vAlign w:val="center"/>
          </w:tcPr>
          <w:p w14:paraId="50B0A8AA">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职  称</w:t>
            </w:r>
          </w:p>
        </w:tc>
        <w:tc>
          <w:tcPr>
            <w:tcW w:w="1039" w:type="dxa"/>
            <w:vAlign w:val="center"/>
          </w:tcPr>
          <w:p w14:paraId="3E82785F">
            <w:pPr>
              <w:jc w:val="center"/>
              <w:rPr>
                <w:rFonts w:asciiTheme="minorEastAsia" w:hAnsiTheme="minorEastAsia" w:eastAsiaTheme="minorEastAsia" w:cstheme="minorEastAsia"/>
                <w:color w:val="auto"/>
                <w:szCs w:val="21"/>
                <w:highlight w:val="none"/>
              </w:rPr>
            </w:pPr>
          </w:p>
        </w:tc>
        <w:tc>
          <w:tcPr>
            <w:tcW w:w="1138" w:type="dxa"/>
            <w:vAlign w:val="center"/>
          </w:tcPr>
          <w:p w14:paraId="56D94460">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职  务</w:t>
            </w:r>
          </w:p>
        </w:tc>
        <w:tc>
          <w:tcPr>
            <w:tcW w:w="1283" w:type="dxa"/>
            <w:vAlign w:val="center"/>
          </w:tcPr>
          <w:p w14:paraId="141AB5EE">
            <w:pPr>
              <w:jc w:val="center"/>
              <w:rPr>
                <w:rFonts w:asciiTheme="minorEastAsia" w:hAnsiTheme="minorEastAsia" w:eastAsiaTheme="minorEastAsia" w:cstheme="minorEastAsia"/>
                <w:color w:val="auto"/>
                <w:szCs w:val="21"/>
                <w:highlight w:val="none"/>
              </w:rPr>
            </w:pPr>
          </w:p>
        </w:tc>
        <w:tc>
          <w:tcPr>
            <w:tcW w:w="1850" w:type="dxa"/>
            <w:vAlign w:val="center"/>
          </w:tcPr>
          <w:p w14:paraId="5359D3AA">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拟在本工程任职</w:t>
            </w:r>
          </w:p>
        </w:tc>
        <w:tc>
          <w:tcPr>
            <w:tcW w:w="3353" w:type="dxa"/>
            <w:vAlign w:val="center"/>
          </w:tcPr>
          <w:p w14:paraId="45ACCAF5">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项目经理</w:t>
            </w:r>
          </w:p>
        </w:tc>
      </w:tr>
      <w:tr w14:paraId="3DDE0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3274" w:type="dxa"/>
            <w:gridSpan w:val="3"/>
            <w:vAlign w:val="center"/>
          </w:tcPr>
          <w:p w14:paraId="54719275">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注册建造师执业资格等级</w:t>
            </w:r>
          </w:p>
        </w:tc>
        <w:tc>
          <w:tcPr>
            <w:tcW w:w="1283" w:type="dxa"/>
            <w:vAlign w:val="center"/>
          </w:tcPr>
          <w:p w14:paraId="2DB5F799">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级</w:t>
            </w:r>
          </w:p>
        </w:tc>
        <w:tc>
          <w:tcPr>
            <w:tcW w:w="1850" w:type="dxa"/>
            <w:vAlign w:val="center"/>
          </w:tcPr>
          <w:p w14:paraId="4C38C67D">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建造师专业</w:t>
            </w:r>
          </w:p>
        </w:tc>
        <w:tc>
          <w:tcPr>
            <w:tcW w:w="3353" w:type="dxa"/>
            <w:vAlign w:val="center"/>
          </w:tcPr>
          <w:p w14:paraId="18650C3E">
            <w:pPr>
              <w:jc w:val="center"/>
              <w:rPr>
                <w:rFonts w:asciiTheme="minorEastAsia" w:hAnsiTheme="minorEastAsia" w:eastAsiaTheme="minorEastAsia" w:cstheme="minorEastAsia"/>
                <w:color w:val="auto"/>
                <w:szCs w:val="21"/>
                <w:highlight w:val="none"/>
              </w:rPr>
            </w:pPr>
          </w:p>
        </w:tc>
      </w:tr>
      <w:tr w14:paraId="7E517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3274" w:type="dxa"/>
            <w:gridSpan w:val="3"/>
            <w:vAlign w:val="center"/>
          </w:tcPr>
          <w:p w14:paraId="4B428D62">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安全生产考核合格证书</w:t>
            </w:r>
          </w:p>
        </w:tc>
        <w:tc>
          <w:tcPr>
            <w:tcW w:w="6486" w:type="dxa"/>
            <w:gridSpan w:val="3"/>
            <w:vAlign w:val="center"/>
          </w:tcPr>
          <w:p w14:paraId="1F0100D0">
            <w:pPr>
              <w:jc w:val="center"/>
              <w:rPr>
                <w:rFonts w:asciiTheme="minorEastAsia" w:hAnsiTheme="minorEastAsia" w:eastAsiaTheme="minorEastAsia" w:cstheme="minorEastAsia"/>
                <w:color w:val="auto"/>
                <w:szCs w:val="21"/>
                <w:highlight w:val="none"/>
              </w:rPr>
            </w:pPr>
          </w:p>
        </w:tc>
      </w:tr>
      <w:tr w14:paraId="06150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exact"/>
        </w:trPr>
        <w:tc>
          <w:tcPr>
            <w:tcW w:w="1097" w:type="dxa"/>
            <w:vAlign w:val="center"/>
          </w:tcPr>
          <w:p w14:paraId="65A11B40">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毕业学校</w:t>
            </w:r>
          </w:p>
        </w:tc>
        <w:tc>
          <w:tcPr>
            <w:tcW w:w="8663" w:type="dxa"/>
            <w:gridSpan w:val="5"/>
            <w:vAlign w:val="center"/>
          </w:tcPr>
          <w:p w14:paraId="3F1F6151">
            <w:pPr>
              <w:ind w:firstLine="840" w:firstLineChars="4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年毕业于                  学校            专业</w:t>
            </w:r>
          </w:p>
        </w:tc>
      </w:tr>
      <w:tr w14:paraId="00595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9760" w:type="dxa"/>
            <w:gridSpan w:val="6"/>
            <w:vAlign w:val="center"/>
          </w:tcPr>
          <w:p w14:paraId="3F904DFF">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主要工作经历</w:t>
            </w:r>
          </w:p>
        </w:tc>
      </w:tr>
      <w:tr w14:paraId="6A5FA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097" w:type="dxa"/>
            <w:vAlign w:val="center"/>
          </w:tcPr>
          <w:p w14:paraId="41463900">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时  间</w:t>
            </w:r>
          </w:p>
        </w:tc>
        <w:tc>
          <w:tcPr>
            <w:tcW w:w="3460" w:type="dxa"/>
            <w:gridSpan w:val="3"/>
            <w:vAlign w:val="center"/>
          </w:tcPr>
          <w:p w14:paraId="4665B444">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参加过的类似项目名称</w:t>
            </w:r>
          </w:p>
        </w:tc>
        <w:tc>
          <w:tcPr>
            <w:tcW w:w="1850" w:type="dxa"/>
            <w:vAlign w:val="center"/>
          </w:tcPr>
          <w:p w14:paraId="50EB3D90">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工程概况说明</w:t>
            </w:r>
          </w:p>
        </w:tc>
        <w:tc>
          <w:tcPr>
            <w:tcW w:w="3353" w:type="dxa"/>
            <w:vAlign w:val="center"/>
          </w:tcPr>
          <w:p w14:paraId="6770D11B">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发包人及联系电话</w:t>
            </w:r>
          </w:p>
        </w:tc>
      </w:tr>
      <w:tr w14:paraId="086FA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1097" w:type="dxa"/>
            <w:vAlign w:val="center"/>
          </w:tcPr>
          <w:p w14:paraId="0887A24D">
            <w:pPr>
              <w:jc w:val="center"/>
              <w:rPr>
                <w:rFonts w:asciiTheme="minorEastAsia" w:hAnsiTheme="minorEastAsia" w:eastAsiaTheme="minorEastAsia" w:cstheme="minorEastAsia"/>
                <w:color w:val="auto"/>
                <w:szCs w:val="21"/>
                <w:highlight w:val="none"/>
              </w:rPr>
            </w:pPr>
          </w:p>
        </w:tc>
        <w:tc>
          <w:tcPr>
            <w:tcW w:w="1039" w:type="dxa"/>
            <w:vAlign w:val="center"/>
          </w:tcPr>
          <w:p w14:paraId="6A9CD128">
            <w:pPr>
              <w:jc w:val="center"/>
              <w:rPr>
                <w:rFonts w:asciiTheme="minorEastAsia" w:hAnsiTheme="minorEastAsia" w:eastAsiaTheme="minorEastAsia" w:cstheme="minorEastAsia"/>
                <w:color w:val="auto"/>
                <w:szCs w:val="21"/>
                <w:highlight w:val="none"/>
              </w:rPr>
            </w:pPr>
          </w:p>
        </w:tc>
        <w:tc>
          <w:tcPr>
            <w:tcW w:w="1138" w:type="dxa"/>
            <w:vAlign w:val="center"/>
          </w:tcPr>
          <w:p w14:paraId="3F0549D4">
            <w:pPr>
              <w:jc w:val="center"/>
              <w:rPr>
                <w:rFonts w:asciiTheme="minorEastAsia" w:hAnsiTheme="minorEastAsia" w:eastAsiaTheme="minorEastAsia" w:cstheme="minorEastAsia"/>
                <w:color w:val="auto"/>
                <w:szCs w:val="21"/>
                <w:highlight w:val="none"/>
              </w:rPr>
            </w:pPr>
          </w:p>
        </w:tc>
        <w:tc>
          <w:tcPr>
            <w:tcW w:w="1283" w:type="dxa"/>
            <w:vAlign w:val="center"/>
          </w:tcPr>
          <w:p w14:paraId="788CA4F8">
            <w:pPr>
              <w:jc w:val="center"/>
              <w:rPr>
                <w:rFonts w:asciiTheme="minorEastAsia" w:hAnsiTheme="minorEastAsia" w:eastAsiaTheme="minorEastAsia" w:cstheme="minorEastAsia"/>
                <w:color w:val="auto"/>
                <w:szCs w:val="21"/>
                <w:highlight w:val="none"/>
              </w:rPr>
            </w:pPr>
          </w:p>
        </w:tc>
        <w:tc>
          <w:tcPr>
            <w:tcW w:w="1850" w:type="dxa"/>
            <w:vAlign w:val="center"/>
          </w:tcPr>
          <w:p w14:paraId="31C817C5">
            <w:pPr>
              <w:jc w:val="center"/>
              <w:rPr>
                <w:rFonts w:asciiTheme="minorEastAsia" w:hAnsiTheme="minorEastAsia" w:eastAsiaTheme="minorEastAsia" w:cstheme="minorEastAsia"/>
                <w:color w:val="auto"/>
                <w:szCs w:val="21"/>
                <w:highlight w:val="none"/>
              </w:rPr>
            </w:pPr>
          </w:p>
        </w:tc>
        <w:tc>
          <w:tcPr>
            <w:tcW w:w="3353" w:type="dxa"/>
            <w:vAlign w:val="center"/>
          </w:tcPr>
          <w:p w14:paraId="385ED358">
            <w:pPr>
              <w:jc w:val="center"/>
              <w:rPr>
                <w:rFonts w:asciiTheme="minorEastAsia" w:hAnsiTheme="minorEastAsia" w:eastAsiaTheme="minorEastAsia" w:cstheme="minorEastAsia"/>
                <w:color w:val="auto"/>
                <w:szCs w:val="21"/>
                <w:highlight w:val="none"/>
              </w:rPr>
            </w:pPr>
          </w:p>
        </w:tc>
      </w:tr>
      <w:tr w14:paraId="55E64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1097" w:type="dxa"/>
            <w:vAlign w:val="center"/>
          </w:tcPr>
          <w:p w14:paraId="678A4BF7">
            <w:pPr>
              <w:jc w:val="center"/>
              <w:rPr>
                <w:rFonts w:asciiTheme="minorEastAsia" w:hAnsiTheme="minorEastAsia" w:eastAsiaTheme="minorEastAsia" w:cstheme="minorEastAsia"/>
                <w:color w:val="auto"/>
                <w:szCs w:val="21"/>
                <w:highlight w:val="none"/>
              </w:rPr>
            </w:pPr>
          </w:p>
        </w:tc>
        <w:tc>
          <w:tcPr>
            <w:tcW w:w="1039" w:type="dxa"/>
            <w:vAlign w:val="center"/>
          </w:tcPr>
          <w:p w14:paraId="79163C1B">
            <w:pPr>
              <w:jc w:val="center"/>
              <w:rPr>
                <w:rFonts w:asciiTheme="minorEastAsia" w:hAnsiTheme="minorEastAsia" w:eastAsiaTheme="minorEastAsia" w:cstheme="minorEastAsia"/>
                <w:color w:val="auto"/>
                <w:szCs w:val="21"/>
                <w:highlight w:val="none"/>
              </w:rPr>
            </w:pPr>
          </w:p>
        </w:tc>
        <w:tc>
          <w:tcPr>
            <w:tcW w:w="1138" w:type="dxa"/>
            <w:vAlign w:val="center"/>
          </w:tcPr>
          <w:p w14:paraId="7C91ABFB">
            <w:pPr>
              <w:jc w:val="center"/>
              <w:rPr>
                <w:rFonts w:asciiTheme="minorEastAsia" w:hAnsiTheme="minorEastAsia" w:eastAsiaTheme="minorEastAsia" w:cstheme="minorEastAsia"/>
                <w:color w:val="auto"/>
                <w:szCs w:val="21"/>
                <w:highlight w:val="none"/>
              </w:rPr>
            </w:pPr>
          </w:p>
        </w:tc>
        <w:tc>
          <w:tcPr>
            <w:tcW w:w="1283" w:type="dxa"/>
            <w:vAlign w:val="center"/>
          </w:tcPr>
          <w:p w14:paraId="0EAAD439">
            <w:pPr>
              <w:jc w:val="center"/>
              <w:rPr>
                <w:rFonts w:asciiTheme="minorEastAsia" w:hAnsiTheme="minorEastAsia" w:eastAsiaTheme="minorEastAsia" w:cstheme="minorEastAsia"/>
                <w:color w:val="auto"/>
                <w:szCs w:val="21"/>
                <w:highlight w:val="none"/>
              </w:rPr>
            </w:pPr>
          </w:p>
        </w:tc>
        <w:tc>
          <w:tcPr>
            <w:tcW w:w="1850" w:type="dxa"/>
            <w:vAlign w:val="center"/>
          </w:tcPr>
          <w:p w14:paraId="6CC381E3">
            <w:pPr>
              <w:jc w:val="center"/>
              <w:rPr>
                <w:rFonts w:asciiTheme="minorEastAsia" w:hAnsiTheme="minorEastAsia" w:eastAsiaTheme="minorEastAsia" w:cstheme="minorEastAsia"/>
                <w:color w:val="auto"/>
                <w:szCs w:val="21"/>
                <w:highlight w:val="none"/>
              </w:rPr>
            </w:pPr>
          </w:p>
        </w:tc>
        <w:tc>
          <w:tcPr>
            <w:tcW w:w="3353" w:type="dxa"/>
            <w:vAlign w:val="center"/>
          </w:tcPr>
          <w:p w14:paraId="31D8ABE6">
            <w:pPr>
              <w:jc w:val="center"/>
              <w:rPr>
                <w:rFonts w:asciiTheme="minorEastAsia" w:hAnsiTheme="minorEastAsia" w:eastAsiaTheme="minorEastAsia" w:cstheme="minorEastAsia"/>
                <w:color w:val="auto"/>
                <w:szCs w:val="21"/>
                <w:highlight w:val="none"/>
              </w:rPr>
            </w:pPr>
          </w:p>
        </w:tc>
      </w:tr>
      <w:tr w14:paraId="4F3DF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trPr>
        <w:tc>
          <w:tcPr>
            <w:tcW w:w="1097" w:type="dxa"/>
            <w:vAlign w:val="center"/>
          </w:tcPr>
          <w:p w14:paraId="56D06B28">
            <w:pPr>
              <w:jc w:val="center"/>
              <w:rPr>
                <w:rFonts w:asciiTheme="minorEastAsia" w:hAnsiTheme="minorEastAsia" w:eastAsiaTheme="minorEastAsia" w:cstheme="minorEastAsia"/>
                <w:color w:val="auto"/>
                <w:szCs w:val="21"/>
                <w:highlight w:val="none"/>
              </w:rPr>
            </w:pPr>
          </w:p>
        </w:tc>
        <w:tc>
          <w:tcPr>
            <w:tcW w:w="1039" w:type="dxa"/>
            <w:vAlign w:val="center"/>
          </w:tcPr>
          <w:p w14:paraId="3BB3AC98">
            <w:pPr>
              <w:jc w:val="center"/>
              <w:rPr>
                <w:rFonts w:asciiTheme="minorEastAsia" w:hAnsiTheme="minorEastAsia" w:eastAsiaTheme="minorEastAsia" w:cstheme="minorEastAsia"/>
                <w:color w:val="auto"/>
                <w:szCs w:val="21"/>
                <w:highlight w:val="none"/>
              </w:rPr>
            </w:pPr>
          </w:p>
        </w:tc>
        <w:tc>
          <w:tcPr>
            <w:tcW w:w="1138" w:type="dxa"/>
            <w:vAlign w:val="center"/>
          </w:tcPr>
          <w:p w14:paraId="67040ACB">
            <w:pPr>
              <w:jc w:val="center"/>
              <w:rPr>
                <w:rFonts w:asciiTheme="minorEastAsia" w:hAnsiTheme="minorEastAsia" w:eastAsiaTheme="minorEastAsia" w:cstheme="minorEastAsia"/>
                <w:color w:val="auto"/>
                <w:szCs w:val="21"/>
                <w:highlight w:val="none"/>
              </w:rPr>
            </w:pPr>
          </w:p>
        </w:tc>
        <w:tc>
          <w:tcPr>
            <w:tcW w:w="1283" w:type="dxa"/>
            <w:vAlign w:val="center"/>
          </w:tcPr>
          <w:p w14:paraId="06367351">
            <w:pPr>
              <w:jc w:val="center"/>
              <w:rPr>
                <w:rFonts w:asciiTheme="minorEastAsia" w:hAnsiTheme="minorEastAsia" w:eastAsiaTheme="minorEastAsia" w:cstheme="minorEastAsia"/>
                <w:color w:val="auto"/>
                <w:szCs w:val="21"/>
                <w:highlight w:val="none"/>
              </w:rPr>
            </w:pPr>
          </w:p>
        </w:tc>
        <w:tc>
          <w:tcPr>
            <w:tcW w:w="1850" w:type="dxa"/>
            <w:vAlign w:val="center"/>
          </w:tcPr>
          <w:p w14:paraId="73D0D9BC">
            <w:pPr>
              <w:jc w:val="center"/>
              <w:rPr>
                <w:rFonts w:asciiTheme="minorEastAsia" w:hAnsiTheme="minorEastAsia" w:eastAsiaTheme="minorEastAsia" w:cstheme="minorEastAsia"/>
                <w:color w:val="auto"/>
                <w:szCs w:val="21"/>
                <w:highlight w:val="none"/>
              </w:rPr>
            </w:pPr>
          </w:p>
        </w:tc>
        <w:tc>
          <w:tcPr>
            <w:tcW w:w="3353" w:type="dxa"/>
            <w:vAlign w:val="center"/>
          </w:tcPr>
          <w:p w14:paraId="2D6C2084">
            <w:pPr>
              <w:jc w:val="center"/>
              <w:rPr>
                <w:rFonts w:asciiTheme="minorEastAsia" w:hAnsiTheme="minorEastAsia" w:eastAsiaTheme="minorEastAsia" w:cstheme="minorEastAsia"/>
                <w:color w:val="auto"/>
                <w:szCs w:val="21"/>
                <w:highlight w:val="none"/>
              </w:rPr>
            </w:pPr>
          </w:p>
        </w:tc>
      </w:tr>
    </w:tbl>
    <w:p w14:paraId="7F5472D4">
      <w:pPr>
        <w:ind w:left="102"/>
        <w:jc w:val="left"/>
        <w:rPr>
          <w:rStyle w:val="38"/>
          <w:rFonts w:asciiTheme="minorEastAsia" w:hAnsiTheme="minorEastAsia" w:eastAsiaTheme="minorEastAsia" w:cstheme="minorEastAsia"/>
          <w:b/>
          <w:bCs/>
          <w:color w:val="auto"/>
          <w:sz w:val="21"/>
          <w:szCs w:val="21"/>
          <w:highlight w:val="none"/>
        </w:rPr>
      </w:pPr>
      <w:r>
        <w:rPr>
          <w:rStyle w:val="38"/>
          <w:rFonts w:hint="eastAsia" w:asciiTheme="minorEastAsia" w:hAnsiTheme="minorEastAsia" w:eastAsiaTheme="minorEastAsia" w:cstheme="minorEastAsia"/>
          <w:b/>
          <w:bCs/>
          <w:color w:val="auto"/>
          <w:sz w:val="21"/>
          <w:szCs w:val="21"/>
          <w:highlight w:val="none"/>
        </w:rPr>
        <w:t>注：本项目人员电子注册证书如要求个人手写签名的，应在个人签名处再次手写本人签名，未手写签名或与签名图像笔迹不一致的，该电子证书无效。</w:t>
      </w:r>
    </w:p>
    <w:p w14:paraId="7FF67456">
      <w:pPr>
        <w:pStyle w:val="55"/>
        <w:numPr>
          <w:ilvl w:val="1"/>
          <w:numId w:val="0"/>
        </w:numPr>
        <w:spacing w:line="360" w:lineRule="auto"/>
        <w:jc w:val="both"/>
        <w:rPr>
          <w:rFonts w:hint="eastAsia" w:ascii="宋体" w:hAnsi="宋体" w:eastAsia="宋体" w:cs="宋体"/>
          <w:b/>
          <w:bCs/>
          <w:color w:val="auto"/>
          <w:sz w:val="32"/>
          <w:szCs w:val="32"/>
          <w:highlight w:val="none"/>
          <w:lang w:val="en-US" w:eastAsia="zh-CN"/>
        </w:rPr>
      </w:pPr>
    </w:p>
    <w:p w14:paraId="2B970BA7">
      <w:pPr>
        <w:pStyle w:val="55"/>
        <w:numPr>
          <w:ilvl w:val="1"/>
          <w:numId w:val="0"/>
        </w:numPr>
        <w:spacing w:line="360" w:lineRule="auto"/>
        <w:jc w:val="both"/>
        <w:rPr>
          <w:rFonts w:hint="eastAsia" w:ascii="宋体" w:hAnsi="宋体" w:eastAsia="宋体" w:cs="宋体"/>
          <w:b/>
          <w:bCs/>
          <w:color w:val="auto"/>
          <w:sz w:val="32"/>
          <w:szCs w:val="32"/>
          <w:highlight w:val="none"/>
          <w:lang w:val="en-US" w:eastAsia="zh-CN"/>
        </w:rPr>
      </w:pPr>
    </w:p>
    <w:p w14:paraId="55B6179B">
      <w:pPr>
        <w:pStyle w:val="55"/>
        <w:numPr>
          <w:ilvl w:val="1"/>
          <w:numId w:val="0"/>
        </w:numPr>
        <w:spacing w:before="0" w:line="240" w:lineRule="auto"/>
        <w:jc w:val="center"/>
        <w:rPr>
          <w:rFonts w:hint="eastAsia" w:ascii="宋体" w:hAnsi="宋体" w:eastAsia="宋体" w:cs="宋体"/>
          <w:b/>
          <w:bCs/>
          <w:color w:val="auto"/>
          <w:sz w:val="32"/>
          <w:szCs w:val="32"/>
          <w:highlight w:val="none"/>
          <w:lang w:val="en-US" w:eastAsia="zh-CN"/>
        </w:rPr>
      </w:pPr>
    </w:p>
    <w:p w14:paraId="7AA3EA66">
      <w:pPr>
        <w:pStyle w:val="55"/>
        <w:numPr>
          <w:ilvl w:val="1"/>
          <w:numId w:val="0"/>
        </w:numPr>
        <w:spacing w:before="0" w:line="240" w:lineRule="auto"/>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5、工期承诺和保证措施</w:t>
      </w:r>
    </w:p>
    <w:p w14:paraId="49270B69">
      <w:pPr>
        <w:pStyle w:val="55"/>
        <w:numPr>
          <w:ilvl w:val="1"/>
          <w:numId w:val="0"/>
        </w:numPr>
        <w:spacing w:line="360" w:lineRule="auto"/>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（格式自拟）</w:t>
      </w:r>
    </w:p>
    <w:p w14:paraId="7986A7B5">
      <w:pPr>
        <w:rPr>
          <w:rFonts w:hint="default"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en-US" w:eastAsia="zh-CN"/>
        </w:rPr>
        <w:br w:type="page"/>
      </w:r>
    </w:p>
    <w:p w14:paraId="4F5452FC">
      <w:pPr>
        <w:pStyle w:val="55"/>
        <w:numPr>
          <w:ilvl w:val="1"/>
          <w:numId w:val="0"/>
        </w:numPr>
        <w:spacing w:line="360" w:lineRule="auto"/>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6、施工进度计划</w:t>
      </w:r>
    </w:p>
    <w:p w14:paraId="003CB61D">
      <w:pPr>
        <w:pStyle w:val="55"/>
        <w:numPr>
          <w:ilvl w:val="1"/>
          <w:numId w:val="0"/>
        </w:numPr>
        <w:spacing w:line="360" w:lineRule="auto"/>
        <w:jc w:val="center"/>
        <w:rPr>
          <w:rFonts w:hint="eastAsia"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（格式自拟）</w:t>
      </w:r>
    </w:p>
    <w:p w14:paraId="3C6713A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应递交施工进度网络图或施工进度表，说明按</w:t>
      </w:r>
      <w:r>
        <w:rPr>
          <w:rFonts w:hint="eastAsia" w:ascii="宋体" w:hAnsi="宋体" w:eastAsia="宋体" w:cs="宋体"/>
          <w:color w:val="auto"/>
          <w:szCs w:val="21"/>
          <w:highlight w:val="none"/>
          <w:lang w:eastAsia="zh-CN"/>
        </w:rPr>
        <w:t>竞争性磋商文件</w:t>
      </w:r>
      <w:r>
        <w:rPr>
          <w:rFonts w:hint="eastAsia" w:ascii="宋体" w:hAnsi="宋体" w:eastAsia="宋体" w:cs="宋体"/>
          <w:color w:val="auto"/>
          <w:szCs w:val="21"/>
          <w:highlight w:val="none"/>
        </w:rPr>
        <w:t>要求的计划工期进行施工的各个关键日期。</w:t>
      </w:r>
    </w:p>
    <w:p w14:paraId="75AF2E8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2.施工进度表可采用网络图（或横道图）表示。</w:t>
      </w:r>
    </w:p>
    <w:p w14:paraId="25FAA3BF">
      <w:pPr>
        <w:rPr>
          <w:rFonts w:hint="eastAsia" w:ascii="宋体" w:hAnsi="宋体" w:cs="宋体"/>
          <w:color w:val="auto"/>
          <w:szCs w:val="21"/>
          <w:highlight w:val="none"/>
          <w:lang w:val="en-US" w:eastAsia="zh-CN"/>
        </w:rPr>
      </w:pPr>
    </w:p>
    <w:p w14:paraId="0DE13B11">
      <w:pPr>
        <w:rPr>
          <w:rFonts w:hint="default"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en-US" w:eastAsia="zh-CN"/>
        </w:rPr>
        <w:br w:type="page"/>
      </w:r>
    </w:p>
    <w:p w14:paraId="17642624">
      <w:pPr>
        <w:pStyle w:val="55"/>
        <w:numPr>
          <w:ilvl w:val="1"/>
          <w:numId w:val="0"/>
        </w:numPr>
        <w:spacing w:line="360" w:lineRule="auto"/>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7、劳动力安排及保证措施</w:t>
      </w:r>
    </w:p>
    <w:p w14:paraId="4B32CBFD">
      <w:pPr>
        <w:pStyle w:val="55"/>
        <w:numPr>
          <w:ilvl w:val="1"/>
          <w:numId w:val="0"/>
        </w:numPr>
        <w:spacing w:line="360" w:lineRule="auto"/>
        <w:jc w:val="center"/>
        <w:rPr>
          <w:rFonts w:hint="eastAsia"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（格式自拟）</w:t>
      </w:r>
    </w:p>
    <w:p w14:paraId="6A75668F">
      <w:pPr>
        <w:spacing w:line="360" w:lineRule="auto"/>
        <w:ind w:right="20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单位：人</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9"/>
        <w:gridCol w:w="1420"/>
        <w:gridCol w:w="1159"/>
        <w:gridCol w:w="1159"/>
        <w:gridCol w:w="1159"/>
        <w:gridCol w:w="1159"/>
        <w:gridCol w:w="1160"/>
        <w:gridCol w:w="1173"/>
      </w:tblGrid>
      <w:tr w14:paraId="3408F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pct"/>
            <w:noWrap w:val="0"/>
            <w:vAlign w:val="center"/>
          </w:tcPr>
          <w:p w14:paraId="7215A4F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工种</w:t>
            </w:r>
          </w:p>
        </w:tc>
        <w:tc>
          <w:tcPr>
            <w:tcW w:w="4515" w:type="pct"/>
            <w:gridSpan w:val="7"/>
            <w:noWrap w:val="0"/>
            <w:vAlign w:val="center"/>
          </w:tcPr>
          <w:p w14:paraId="5C54E74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按工程施工阶段投入劳动力情况</w:t>
            </w:r>
          </w:p>
        </w:tc>
      </w:tr>
      <w:tr w14:paraId="2217A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pct"/>
            <w:noWrap w:val="0"/>
            <w:vAlign w:val="center"/>
          </w:tcPr>
          <w:p w14:paraId="536F74E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center"/>
          </w:tcPr>
          <w:p w14:paraId="24371C6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center"/>
          </w:tcPr>
          <w:p w14:paraId="312EF99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center"/>
          </w:tcPr>
          <w:p w14:paraId="2CB9DC0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center"/>
          </w:tcPr>
          <w:p w14:paraId="0BD58BC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center"/>
          </w:tcPr>
          <w:p w14:paraId="4987FF8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center"/>
          </w:tcPr>
          <w:p w14:paraId="19F2FB2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9" w:type="pct"/>
            <w:noWrap w:val="0"/>
            <w:vAlign w:val="center"/>
          </w:tcPr>
          <w:p w14:paraId="150FEE8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76B42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pct"/>
            <w:noWrap w:val="0"/>
            <w:vAlign w:val="center"/>
          </w:tcPr>
          <w:p w14:paraId="34FC2FF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center"/>
          </w:tcPr>
          <w:p w14:paraId="3E65F11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center"/>
          </w:tcPr>
          <w:p w14:paraId="3CC0A87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center"/>
          </w:tcPr>
          <w:p w14:paraId="0B883E4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center"/>
          </w:tcPr>
          <w:p w14:paraId="1733666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center"/>
          </w:tcPr>
          <w:p w14:paraId="382CFFA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center"/>
          </w:tcPr>
          <w:p w14:paraId="169DE4E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9" w:type="pct"/>
            <w:noWrap w:val="0"/>
            <w:vAlign w:val="center"/>
          </w:tcPr>
          <w:p w14:paraId="00A5D2A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3FFDE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pct"/>
            <w:noWrap w:val="0"/>
            <w:vAlign w:val="top"/>
          </w:tcPr>
          <w:p w14:paraId="32DE05E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0176C4F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900238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409BECF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67B2E2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0E8094F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93DC1A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9" w:type="pct"/>
            <w:noWrap w:val="0"/>
            <w:vAlign w:val="top"/>
          </w:tcPr>
          <w:p w14:paraId="66890AA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4498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pct"/>
            <w:noWrap w:val="0"/>
            <w:vAlign w:val="top"/>
          </w:tcPr>
          <w:p w14:paraId="3E16D29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5FE3F84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79B6ED6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1D31BF9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6F687A9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032585C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47165F2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9" w:type="pct"/>
            <w:noWrap w:val="0"/>
            <w:vAlign w:val="top"/>
          </w:tcPr>
          <w:p w14:paraId="6DAE81C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14FC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pct"/>
            <w:noWrap w:val="0"/>
            <w:vAlign w:val="top"/>
          </w:tcPr>
          <w:p w14:paraId="5E8E833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221B573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4075D01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01271A3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68DCC80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C3654A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6DF41B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9" w:type="pct"/>
            <w:noWrap w:val="0"/>
            <w:vAlign w:val="top"/>
          </w:tcPr>
          <w:p w14:paraId="7EDC033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5021E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pct"/>
            <w:noWrap w:val="0"/>
            <w:vAlign w:val="top"/>
          </w:tcPr>
          <w:p w14:paraId="0997E1E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107789C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6C3209A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09899FF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6CDED04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1987F11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1F0E6D2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9" w:type="pct"/>
            <w:noWrap w:val="0"/>
            <w:vAlign w:val="top"/>
          </w:tcPr>
          <w:p w14:paraId="259607A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63E43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pct"/>
            <w:noWrap w:val="0"/>
            <w:vAlign w:val="top"/>
          </w:tcPr>
          <w:p w14:paraId="486821B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248AF8F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6CB099A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072DD8B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52E88C6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4388BA6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29E7DC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9" w:type="pct"/>
            <w:noWrap w:val="0"/>
            <w:vAlign w:val="top"/>
          </w:tcPr>
          <w:p w14:paraId="7EEA642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2A1B5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pct"/>
            <w:noWrap w:val="0"/>
            <w:vAlign w:val="top"/>
          </w:tcPr>
          <w:p w14:paraId="714F701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4B682E8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D9B980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D0F025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7C60AFE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1BC0F2F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1D3ADA4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9" w:type="pct"/>
            <w:noWrap w:val="0"/>
            <w:vAlign w:val="top"/>
          </w:tcPr>
          <w:p w14:paraId="6B1B3FF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26981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pct"/>
            <w:noWrap w:val="0"/>
            <w:vAlign w:val="top"/>
          </w:tcPr>
          <w:p w14:paraId="115E417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04FBE54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5E17F95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5A28D46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440DCC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6CD3E3C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5A2587D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9" w:type="pct"/>
            <w:noWrap w:val="0"/>
            <w:vAlign w:val="top"/>
          </w:tcPr>
          <w:p w14:paraId="3E350DB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4BD3B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pct"/>
            <w:noWrap w:val="0"/>
            <w:vAlign w:val="top"/>
          </w:tcPr>
          <w:p w14:paraId="06FF61B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16D3A60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310A4D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D50420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29B3A6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780DF9C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5A5CB18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9" w:type="pct"/>
            <w:noWrap w:val="0"/>
            <w:vAlign w:val="top"/>
          </w:tcPr>
          <w:p w14:paraId="1C91A61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08015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pct"/>
            <w:noWrap w:val="0"/>
            <w:vAlign w:val="top"/>
          </w:tcPr>
          <w:p w14:paraId="014F929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4D912F1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494D9AF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48C6E5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3BAEF4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78DFC01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19AC68A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9" w:type="pct"/>
            <w:noWrap w:val="0"/>
            <w:vAlign w:val="top"/>
          </w:tcPr>
          <w:p w14:paraId="30A7EDD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72F71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pct"/>
            <w:noWrap w:val="0"/>
            <w:vAlign w:val="top"/>
          </w:tcPr>
          <w:p w14:paraId="2CD5CCD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175487D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12C145A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029147B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4094D62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C37A5C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496D347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9" w:type="pct"/>
            <w:noWrap w:val="0"/>
            <w:vAlign w:val="top"/>
          </w:tcPr>
          <w:p w14:paraId="1FEA0B7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5E8B6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pct"/>
            <w:noWrap w:val="0"/>
            <w:vAlign w:val="top"/>
          </w:tcPr>
          <w:p w14:paraId="6424059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2C98799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55688ED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413E860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B0CC6C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10B0FB8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735F86F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9" w:type="pct"/>
            <w:noWrap w:val="0"/>
            <w:vAlign w:val="top"/>
          </w:tcPr>
          <w:p w14:paraId="5F25770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4E822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pct"/>
            <w:noWrap w:val="0"/>
            <w:vAlign w:val="top"/>
          </w:tcPr>
          <w:p w14:paraId="4B11E28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3B46652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4AE2922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19FBA9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0D1AF4F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95BC03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DF9851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9" w:type="pct"/>
            <w:noWrap w:val="0"/>
            <w:vAlign w:val="top"/>
          </w:tcPr>
          <w:p w14:paraId="7EE8EE8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17089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pct"/>
            <w:noWrap w:val="0"/>
            <w:vAlign w:val="top"/>
          </w:tcPr>
          <w:p w14:paraId="6C3F9BD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21E795F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4F1223B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6957FBC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118FA66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0B8A7C2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77722B1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9" w:type="pct"/>
            <w:noWrap w:val="0"/>
            <w:vAlign w:val="top"/>
          </w:tcPr>
          <w:p w14:paraId="7D361CE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7E3E8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pct"/>
            <w:noWrap w:val="0"/>
            <w:vAlign w:val="top"/>
          </w:tcPr>
          <w:p w14:paraId="0785E5D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7950D67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0E73041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964813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6918C4E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46E3E52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527EFD4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9" w:type="pct"/>
            <w:noWrap w:val="0"/>
            <w:vAlign w:val="top"/>
          </w:tcPr>
          <w:p w14:paraId="5CD3CEB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39EF6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pct"/>
            <w:noWrap w:val="0"/>
            <w:vAlign w:val="top"/>
          </w:tcPr>
          <w:p w14:paraId="5DEFD32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64DC76A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6A68AC0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65BFFCC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5B93BDE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6D3035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8083B7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9" w:type="pct"/>
            <w:noWrap w:val="0"/>
            <w:vAlign w:val="top"/>
          </w:tcPr>
          <w:p w14:paraId="0875763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6CF2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pct"/>
            <w:noWrap w:val="0"/>
            <w:vAlign w:val="top"/>
          </w:tcPr>
          <w:p w14:paraId="5EAFE2C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72B2367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6C56D62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0973AB2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2074C9D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07C1A09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CE472D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9" w:type="pct"/>
            <w:noWrap w:val="0"/>
            <w:vAlign w:val="top"/>
          </w:tcPr>
          <w:p w14:paraId="487283D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r w14:paraId="7B37A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 w:type="pct"/>
            <w:noWrap w:val="0"/>
            <w:vAlign w:val="top"/>
          </w:tcPr>
          <w:p w14:paraId="67E9F51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764" w:type="pct"/>
            <w:noWrap w:val="0"/>
            <w:vAlign w:val="top"/>
          </w:tcPr>
          <w:p w14:paraId="0D2D58F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74C6EDC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44CDD63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3FA3F06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7703996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4" w:type="pct"/>
            <w:noWrap w:val="0"/>
            <w:vAlign w:val="top"/>
          </w:tcPr>
          <w:p w14:paraId="6C79DA8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c>
          <w:tcPr>
            <w:tcW w:w="629" w:type="pct"/>
            <w:noWrap w:val="0"/>
            <w:vAlign w:val="top"/>
          </w:tcPr>
          <w:p w14:paraId="643627F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p>
        </w:tc>
      </w:tr>
    </w:tbl>
    <w:p w14:paraId="162392C4">
      <w:pPr>
        <w:rPr>
          <w:rFonts w:hint="default"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en-US" w:eastAsia="zh-CN"/>
        </w:rPr>
        <w:br w:type="page"/>
      </w:r>
    </w:p>
    <w:p w14:paraId="4E87C77C">
      <w:pPr>
        <w:pStyle w:val="55"/>
        <w:numPr>
          <w:ilvl w:val="1"/>
          <w:numId w:val="0"/>
        </w:numPr>
        <w:spacing w:line="360" w:lineRule="auto"/>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8、施工机械投入</w:t>
      </w:r>
    </w:p>
    <w:p w14:paraId="5C05AB07">
      <w:pPr>
        <w:pStyle w:val="55"/>
        <w:numPr>
          <w:ilvl w:val="1"/>
          <w:numId w:val="0"/>
        </w:numPr>
        <w:spacing w:line="360" w:lineRule="auto"/>
        <w:jc w:val="center"/>
        <w:rPr>
          <w:rFonts w:hint="eastAsia"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（格式自拟）</w:t>
      </w:r>
    </w:p>
    <w:p w14:paraId="6E90B5F9">
      <w:pPr>
        <w:rPr>
          <w:rFonts w:hint="default"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en-US" w:eastAsia="zh-CN"/>
        </w:rPr>
        <w:br w:type="page"/>
      </w:r>
    </w:p>
    <w:p w14:paraId="226E46CA">
      <w:pPr>
        <w:pStyle w:val="55"/>
        <w:numPr>
          <w:ilvl w:val="1"/>
          <w:numId w:val="0"/>
        </w:numPr>
        <w:spacing w:line="360" w:lineRule="auto"/>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9、施工主要工序</w:t>
      </w:r>
    </w:p>
    <w:p w14:paraId="6BE84E33">
      <w:pPr>
        <w:pStyle w:val="55"/>
        <w:numPr>
          <w:ilvl w:val="1"/>
          <w:numId w:val="0"/>
        </w:numPr>
        <w:spacing w:line="360" w:lineRule="auto"/>
        <w:jc w:val="center"/>
        <w:rPr>
          <w:rFonts w:hint="eastAsia"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（格式自拟）</w:t>
      </w:r>
    </w:p>
    <w:p w14:paraId="4483526D">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br w:type="page"/>
      </w:r>
    </w:p>
    <w:p w14:paraId="4E59E4CA">
      <w:pPr>
        <w:kinsoku/>
        <w:wordWrap w:val="0"/>
        <w:overflowPunct/>
        <w:topLinePunct w:val="0"/>
        <w:bidi w:val="0"/>
        <w:adjustRightInd w:val="0"/>
        <w:snapToGrid w:val="0"/>
        <w:spacing w:beforeAutospacing="0" w:after="0" w:afterAutospacing="0" w:line="360" w:lineRule="auto"/>
        <w:ind w:left="0" w:leftChars="0" w:right="0"/>
        <w:jc w:val="center"/>
        <w:rPr>
          <w:rFonts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10、</w:t>
      </w:r>
      <w:r>
        <w:rPr>
          <w:rFonts w:hint="eastAsia" w:ascii="宋体" w:hAnsi="宋体" w:cs="宋体"/>
          <w:b/>
          <w:bCs/>
          <w:color w:val="auto"/>
          <w:sz w:val="32"/>
          <w:szCs w:val="32"/>
          <w:highlight w:val="none"/>
        </w:rPr>
        <w:t>节能、环境标志产品</w:t>
      </w:r>
    </w:p>
    <w:p w14:paraId="62857808">
      <w:pPr>
        <w:pStyle w:val="15"/>
        <w:kinsoku/>
        <w:wordWrap w:val="0"/>
        <w:overflowPunct/>
        <w:topLinePunct w:val="0"/>
        <w:bidi w:val="0"/>
        <w:adjustRightInd w:val="0"/>
        <w:snapToGrid w:val="0"/>
        <w:spacing w:beforeAutospacing="0" w:after="0" w:afterAutospacing="0" w:line="360" w:lineRule="auto"/>
        <w:ind w:left="0" w:leftChars="0" w:right="0"/>
        <w:rPr>
          <w:rFonts w:hAnsi="宋体" w:cs="宋体"/>
          <w:b/>
          <w:color w:val="auto"/>
          <w:szCs w:val="21"/>
          <w:highlight w:val="none"/>
        </w:rPr>
      </w:pPr>
      <w:r>
        <w:rPr>
          <w:rFonts w:hint="eastAsia" w:hAnsi="宋体" w:cs="宋体"/>
          <w:b/>
          <w:color w:val="auto"/>
          <w:szCs w:val="21"/>
          <w:highlight w:val="none"/>
        </w:rPr>
        <w:t>项目名称：</w:t>
      </w:r>
    </w:p>
    <w:p w14:paraId="3E339DCA">
      <w:pPr>
        <w:pStyle w:val="15"/>
        <w:kinsoku/>
        <w:wordWrap w:val="0"/>
        <w:overflowPunct/>
        <w:topLinePunct w:val="0"/>
        <w:bidi w:val="0"/>
        <w:adjustRightInd w:val="0"/>
        <w:snapToGrid w:val="0"/>
        <w:spacing w:beforeAutospacing="0" w:after="0" w:afterAutospacing="0" w:line="360" w:lineRule="auto"/>
        <w:ind w:left="0" w:leftChars="0" w:right="0"/>
        <w:rPr>
          <w:rFonts w:hAnsi="宋体" w:cs="宋体"/>
          <w:b/>
          <w:color w:val="auto"/>
          <w:szCs w:val="21"/>
          <w:highlight w:val="none"/>
        </w:rPr>
      </w:pPr>
      <w:r>
        <w:rPr>
          <w:rFonts w:hint="eastAsia" w:hAnsi="宋体" w:cs="宋体"/>
          <w:b/>
          <w:color w:val="auto"/>
          <w:szCs w:val="21"/>
          <w:highlight w:val="none"/>
        </w:rPr>
        <w:t>项目编号：</w:t>
      </w:r>
    </w:p>
    <w:tbl>
      <w:tblPr>
        <w:tblStyle w:val="27"/>
        <w:tblW w:w="88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1848"/>
        <w:gridCol w:w="1575"/>
        <w:gridCol w:w="1575"/>
        <w:gridCol w:w="1568"/>
        <w:gridCol w:w="1568"/>
      </w:tblGrid>
      <w:tr w14:paraId="7E7B7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68" w:type="dxa"/>
            <w:vAlign w:val="center"/>
          </w:tcPr>
          <w:p w14:paraId="26B6512D">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jc w:val="center"/>
              <w:rPr>
                <w:rFonts w:hint="default" w:ascii="宋体" w:hAnsi="宋体" w:cs="宋体"/>
                <w:b/>
                <w:color w:val="auto"/>
                <w:szCs w:val="21"/>
                <w:highlight w:val="none"/>
              </w:rPr>
            </w:pPr>
            <w:r>
              <w:rPr>
                <w:rFonts w:hint="eastAsia" w:ascii="宋体" w:hAnsi="宋体" w:cs="宋体"/>
                <w:b/>
                <w:color w:val="auto"/>
                <w:szCs w:val="21"/>
                <w:highlight w:val="none"/>
              </w:rPr>
              <w:t>序号</w:t>
            </w:r>
          </w:p>
        </w:tc>
        <w:tc>
          <w:tcPr>
            <w:tcW w:w="1848" w:type="dxa"/>
            <w:vAlign w:val="center"/>
          </w:tcPr>
          <w:p w14:paraId="40F2E8EB">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jc w:val="center"/>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val="en-US" w:eastAsia="zh-CN" w:bidi="ar"/>
              </w:rPr>
              <w:t>工程名称</w:t>
            </w:r>
          </w:p>
        </w:tc>
        <w:tc>
          <w:tcPr>
            <w:tcW w:w="1575" w:type="dxa"/>
            <w:vAlign w:val="center"/>
          </w:tcPr>
          <w:p w14:paraId="1B4E6089">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项目编码</w:t>
            </w:r>
          </w:p>
        </w:tc>
        <w:tc>
          <w:tcPr>
            <w:tcW w:w="1575" w:type="dxa"/>
            <w:vAlign w:val="center"/>
          </w:tcPr>
          <w:p w14:paraId="52E5FD0E">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jc w:val="center"/>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项目名称/材料名称</w:t>
            </w:r>
          </w:p>
        </w:tc>
        <w:tc>
          <w:tcPr>
            <w:tcW w:w="1568" w:type="dxa"/>
            <w:vAlign w:val="center"/>
          </w:tcPr>
          <w:p w14:paraId="0B057F8B">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jc w:val="center"/>
              <w:rPr>
                <w:rFonts w:hint="default" w:ascii="宋体" w:hAnsi="宋体" w:cs="宋体"/>
                <w:b/>
                <w:color w:val="auto"/>
                <w:szCs w:val="21"/>
                <w:highlight w:val="none"/>
              </w:rPr>
            </w:pPr>
            <w:r>
              <w:rPr>
                <w:rFonts w:hint="eastAsia" w:ascii="宋体" w:hAnsi="宋体" w:cs="宋体"/>
                <w:b/>
                <w:color w:val="auto"/>
                <w:szCs w:val="21"/>
                <w:highlight w:val="none"/>
              </w:rPr>
              <w:t>是否属于</w:t>
            </w:r>
          </w:p>
          <w:p w14:paraId="403DEFDC">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jc w:val="center"/>
              <w:rPr>
                <w:rFonts w:hint="default" w:ascii="宋体" w:hAnsi="宋体" w:cs="宋体"/>
                <w:b/>
                <w:color w:val="auto"/>
                <w:szCs w:val="21"/>
                <w:highlight w:val="none"/>
              </w:rPr>
            </w:pPr>
            <w:r>
              <w:rPr>
                <w:rFonts w:hint="eastAsia" w:ascii="宋体" w:hAnsi="宋体" w:cs="宋体"/>
                <w:b/>
                <w:color w:val="auto"/>
                <w:szCs w:val="21"/>
                <w:highlight w:val="none"/>
              </w:rPr>
              <w:t>节能产品</w:t>
            </w:r>
          </w:p>
        </w:tc>
        <w:tc>
          <w:tcPr>
            <w:tcW w:w="1568" w:type="dxa"/>
            <w:vAlign w:val="center"/>
          </w:tcPr>
          <w:p w14:paraId="02CDE8EF">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jc w:val="center"/>
              <w:rPr>
                <w:rFonts w:hint="default" w:ascii="宋体" w:hAnsi="宋体" w:cs="宋体"/>
                <w:b/>
                <w:color w:val="auto"/>
                <w:szCs w:val="21"/>
                <w:highlight w:val="none"/>
              </w:rPr>
            </w:pPr>
            <w:r>
              <w:rPr>
                <w:rFonts w:hint="eastAsia" w:ascii="宋体" w:hAnsi="宋体" w:cs="宋体"/>
                <w:b/>
                <w:color w:val="auto"/>
                <w:szCs w:val="21"/>
                <w:highlight w:val="none"/>
              </w:rPr>
              <w:t>是否属于</w:t>
            </w:r>
          </w:p>
          <w:p w14:paraId="594C0E6C">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jc w:val="center"/>
              <w:rPr>
                <w:rFonts w:hint="default" w:ascii="宋体" w:hAnsi="宋体" w:cs="宋体"/>
                <w:b/>
                <w:color w:val="auto"/>
                <w:szCs w:val="21"/>
                <w:highlight w:val="none"/>
              </w:rPr>
            </w:pPr>
            <w:r>
              <w:rPr>
                <w:rFonts w:hint="eastAsia" w:ascii="宋体" w:hAnsi="宋体" w:cs="宋体"/>
                <w:b/>
                <w:color w:val="auto"/>
                <w:szCs w:val="21"/>
                <w:highlight w:val="none"/>
              </w:rPr>
              <w:t>环境标志产品</w:t>
            </w:r>
          </w:p>
        </w:tc>
      </w:tr>
      <w:tr w14:paraId="31BA4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tcPr>
          <w:p w14:paraId="4CFDFB48">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rPr>
                <w:rFonts w:hint="default" w:ascii="宋体" w:hAnsi="宋体" w:cs="宋体"/>
                <w:bCs/>
                <w:color w:val="auto"/>
                <w:szCs w:val="21"/>
                <w:highlight w:val="none"/>
              </w:rPr>
            </w:pPr>
          </w:p>
        </w:tc>
        <w:tc>
          <w:tcPr>
            <w:tcW w:w="1848" w:type="dxa"/>
          </w:tcPr>
          <w:p w14:paraId="34998A72">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rPr>
                <w:rFonts w:hint="default" w:ascii="宋体" w:hAnsi="宋体" w:cs="宋体"/>
                <w:bCs/>
                <w:color w:val="auto"/>
                <w:szCs w:val="21"/>
                <w:highlight w:val="none"/>
              </w:rPr>
            </w:pPr>
          </w:p>
        </w:tc>
        <w:tc>
          <w:tcPr>
            <w:tcW w:w="1575" w:type="dxa"/>
          </w:tcPr>
          <w:p w14:paraId="4A8B5551">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rPr>
                <w:rFonts w:hint="default" w:ascii="宋体" w:hAnsi="宋体" w:cs="宋体"/>
                <w:bCs/>
                <w:color w:val="auto"/>
                <w:szCs w:val="21"/>
                <w:highlight w:val="none"/>
              </w:rPr>
            </w:pPr>
          </w:p>
        </w:tc>
        <w:tc>
          <w:tcPr>
            <w:tcW w:w="1575" w:type="dxa"/>
          </w:tcPr>
          <w:p w14:paraId="3A466612">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rPr>
                <w:rFonts w:hint="default" w:ascii="宋体" w:hAnsi="宋体" w:cs="宋体"/>
                <w:bCs/>
                <w:color w:val="auto"/>
                <w:szCs w:val="21"/>
                <w:highlight w:val="none"/>
              </w:rPr>
            </w:pPr>
          </w:p>
        </w:tc>
        <w:tc>
          <w:tcPr>
            <w:tcW w:w="1568" w:type="dxa"/>
          </w:tcPr>
          <w:p w14:paraId="0F6DB998">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rPr>
                <w:rFonts w:hint="default" w:ascii="宋体" w:hAnsi="宋体" w:cs="宋体"/>
                <w:bCs/>
                <w:color w:val="auto"/>
                <w:szCs w:val="21"/>
                <w:highlight w:val="none"/>
              </w:rPr>
            </w:pPr>
          </w:p>
        </w:tc>
        <w:tc>
          <w:tcPr>
            <w:tcW w:w="1568" w:type="dxa"/>
          </w:tcPr>
          <w:p w14:paraId="5D877212">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rPr>
                <w:rFonts w:hint="default" w:ascii="宋体" w:hAnsi="宋体" w:cs="宋体"/>
                <w:bCs/>
                <w:color w:val="auto"/>
                <w:szCs w:val="21"/>
                <w:highlight w:val="none"/>
              </w:rPr>
            </w:pPr>
          </w:p>
        </w:tc>
      </w:tr>
      <w:tr w14:paraId="0399B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tcPr>
          <w:p w14:paraId="5BF01886">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rPr>
                <w:rFonts w:hint="default" w:ascii="宋体" w:hAnsi="宋体" w:cs="宋体"/>
                <w:bCs/>
                <w:color w:val="auto"/>
                <w:szCs w:val="21"/>
                <w:highlight w:val="none"/>
              </w:rPr>
            </w:pPr>
          </w:p>
        </w:tc>
        <w:tc>
          <w:tcPr>
            <w:tcW w:w="1848" w:type="dxa"/>
          </w:tcPr>
          <w:p w14:paraId="05BD8C20">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rPr>
                <w:rFonts w:hint="default" w:ascii="宋体" w:hAnsi="宋体" w:cs="宋体"/>
                <w:bCs/>
                <w:color w:val="auto"/>
                <w:szCs w:val="21"/>
                <w:highlight w:val="none"/>
              </w:rPr>
            </w:pPr>
          </w:p>
        </w:tc>
        <w:tc>
          <w:tcPr>
            <w:tcW w:w="1575" w:type="dxa"/>
          </w:tcPr>
          <w:p w14:paraId="77C43696">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rPr>
                <w:rFonts w:hint="default" w:ascii="宋体" w:hAnsi="宋体" w:cs="宋体"/>
                <w:bCs/>
                <w:color w:val="auto"/>
                <w:szCs w:val="21"/>
                <w:highlight w:val="none"/>
              </w:rPr>
            </w:pPr>
          </w:p>
        </w:tc>
        <w:tc>
          <w:tcPr>
            <w:tcW w:w="1575" w:type="dxa"/>
          </w:tcPr>
          <w:p w14:paraId="78294EB7">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rPr>
                <w:rFonts w:hint="default" w:ascii="宋体" w:hAnsi="宋体" w:cs="宋体"/>
                <w:bCs/>
                <w:color w:val="auto"/>
                <w:szCs w:val="21"/>
                <w:highlight w:val="none"/>
              </w:rPr>
            </w:pPr>
          </w:p>
        </w:tc>
        <w:tc>
          <w:tcPr>
            <w:tcW w:w="1568" w:type="dxa"/>
          </w:tcPr>
          <w:p w14:paraId="1BCBA79E">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rPr>
                <w:rFonts w:hint="default" w:ascii="宋体" w:hAnsi="宋体" w:cs="宋体"/>
                <w:bCs/>
                <w:color w:val="auto"/>
                <w:szCs w:val="21"/>
                <w:highlight w:val="none"/>
              </w:rPr>
            </w:pPr>
          </w:p>
        </w:tc>
        <w:tc>
          <w:tcPr>
            <w:tcW w:w="1568" w:type="dxa"/>
          </w:tcPr>
          <w:p w14:paraId="5D93A181">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rPr>
                <w:rFonts w:hint="default" w:ascii="宋体" w:hAnsi="宋体" w:cs="宋体"/>
                <w:bCs/>
                <w:color w:val="auto"/>
                <w:szCs w:val="21"/>
                <w:highlight w:val="none"/>
              </w:rPr>
            </w:pPr>
          </w:p>
        </w:tc>
      </w:tr>
      <w:tr w14:paraId="3E94D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tcPr>
          <w:p w14:paraId="16B467E2">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rPr>
                <w:rFonts w:hint="default" w:ascii="宋体" w:hAnsi="宋体" w:cs="宋体"/>
                <w:bCs/>
                <w:color w:val="auto"/>
                <w:szCs w:val="21"/>
                <w:highlight w:val="none"/>
              </w:rPr>
            </w:pPr>
          </w:p>
        </w:tc>
        <w:tc>
          <w:tcPr>
            <w:tcW w:w="1848" w:type="dxa"/>
          </w:tcPr>
          <w:p w14:paraId="1A49BC42">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rPr>
                <w:rFonts w:hint="default" w:ascii="宋体" w:hAnsi="宋体" w:cs="宋体"/>
                <w:bCs/>
                <w:color w:val="auto"/>
                <w:szCs w:val="21"/>
                <w:highlight w:val="none"/>
              </w:rPr>
            </w:pPr>
          </w:p>
        </w:tc>
        <w:tc>
          <w:tcPr>
            <w:tcW w:w="1575" w:type="dxa"/>
          </w:tcPr>
          <w:p w14:paraId="42054DC0">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rPr>
                <w:rFonts w:hint="default" w:ascii="宋体" w:hAnsi="宋体" w:cs="宋体"/>
                <w:bCs/>
                <w:color w:val="auto"/>
                <w:szCs w:val="21"/>
                <w:highlight w:val="none"/>
              </w:rPr>
            </w:pPr>
          </w:p>
        </w:tc>
        <w:tc>
          <w:tcPr>
            <w:tcW w:w="1575" w:type="dxa"/>
          </w:tcPr>
          <w:p w14:paraId="3BA9E050">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rPr>
                <w:rFonts w:hint="default" w:ascii="宋体" w:hAnsi="宋体" w:cs="宋体"/>
                <w:bCs/>
                <w:color w:val="auto"/>
                <w:szCs w:val="21"/>
                <w:highlight w:val="none"/>
              </w:rPr>
            </w:pPr>
          </w:p>
        </w:tc>
        <w:tc>
          <w:tcPr>
            <w:tcW w:w="1568" w:type="dxa"/>
          </w:tcPr>
          <w:p w14:paraId="0393B16B">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rPr>
                <w:rFonts w:hint="default" w:ascii="宋体" w:hAnsi="宋体" w:cs="宋体"/>
                <w:bCs/>
                <w:color w:val="auto"/>
                <w:szCs w:val="21"/>
                <w:highlight w:val="none"/>
              </w:rPr>
            </w:pPr>
          </w:p>
        </w:tc>
        <w:tc>
          <w:tcPr>
            <w:tcW w:w="1568" w:type="dxa"/>
          </w:tcPr>
          <w:p w14:paraId="534D9F38">
            <w:pPr>
              <w:keepNext w:val="0"/>
              <w:keepLines w:val="0"/>
              <w:suppressLineNumbers w:val="0"/>
              <w:kinsoku/>
              <w:wordWrap w:val="0"/>
              <w:overflowPunct/>
              <w:topLinePunct w:val="0"/>
              <w:bidi w:val="0"/>
              <w:adjustRightInd w:val="0"/>
              <w:snapToGrid w:val="0"/>
              <w:spacing w:before="0" w:beforeAutospacing="0" w:after="0" w:afterAutospacing="0" w:line="360" w:lineRule="auto"/>
              <w:ind w:left="0" w:leftChars="0" w:right="0"/>
              <w:rPr>
                <w:rFonts w:hint="default" w:ascii="宋体" w:hAnsi="宋体" w:cs="宋体"/>
                <w:bCs/>
                <w:color w:val="auto"/>
                <w:szCs w:val="21"/>
                <w:highlight w:val="none"/>
              </w:rPr>
            </w:pPr>
          </w:p>
        </w:tc>
      </w:tr>
    </w:tbl>
    <w:p w14:paraId="11F26247">
      <w:pPr>
        <w:kinsoku/>
        <w:wordWrap w:val="0"/>
        <w:overflowPunct/>
        <w:topLinePunct w:val="0"/>
        <w:bidi w:val="0"/>
        <w:adjustRightInd w:val="0"/>
        <w:snapToGrid w:val="0"/>
        <w:spacing w:beforeAutospacing="0" w:after="0" w:afterAutospacing="0" w:line="360" w:lineRule="auto"/>
        <w:ind w:left="0" w:leftChars="0" w:right="0" w:firstLine="2" w:firstLineChars="1"/>
        <w:rPr>
          <w:rFonts w:ascii="宋体" w:hAnsi="宋体" w:cs="宋体"/>
          <w:color w:val="auto"/>
          <w:szCs w:val="21"/>
          <w:highlight w:val="none"/>
        </w:rPr>
      </w:pPr>
      <w:bookmarkStart w:id="927" w:name="_Toc29851"/>
      <w:r>
        <w:rPr>
          <w:rFonts w:hint="eastAsia" w:ascii="宋体" w:hAnsi="宋体" w:cs="宋体"/>
          <w:color w:val="auto"/>
          <w:szCs w:val="21"/>
          <w:highlight w:val="none"/>
        </w:rPr>
        <w:t>注</w:t>
      </w:r>
      <w:bookmarkEnd w:id="927"/>
      <w:r>
        <w:rPr>
          <w:rFonts w:hint="eastAsia" w:ascii="宋体" w:hAnsi="宋体" w:cs="宋体"/>
          <w:color w:val="auto"/>
          <w:szCs w:val="21"/>
          <w:highlight w:val="none"/>
        </w:rPr>
        <w:t>：</w:t>
      </w:r>
    </w:p>
    <w:p w14:paraId="7A731865">
      <w:pPr>
        <w:kinsoku/>
        <w:wordWrap w:val="0"/>
        <w:overflowPunct/>
        <w:topLinePunct w:val="0"/>
        <w:bidi w:val="0"/>
        <w:adjustRightInd w:val="0"/>
        <w:snapToGrid w:val="0"/>
        <w:spacing w:beforeAutospacing="0" w:after="0" w:afterAutospacing="0" w:line="360" w:lineRule="auto"/>
        <w:ind w:left="0" w:leftChars="0" w:right="0" w:firstLine="2" w:firstLineChars="1"/>
        <w:rPr>
          <w:rFonts w:ascii="宋体" w:hAnsi="宋体" w:cs="宋体"/>
          <w:color w:val="auto"/>
          <w:szCs w:val="21"/>
          <w:highlight w:val="none"/>
        </w:rPr>
      </w:pPr>
      <w:bookmarkStart w:id="928" w:name="_Toc4700"/>
      <w:bookmarkStart w:id="929" w:name="_Toc1604"/>
      <w:r>
        <w:rPr>
          <w:rFonts w:hint="eastAsia" w:ascii="宋体" w:hAnsi="宋体" w:cs="宋体"/>
          <w:color w:val="auto"/>
          <w:szCs w:val="21"/>
          <w:highlight w:val="none"/>
        </w:rPr>
        <w:t>1.产品属于《节能产品政府采购品目清单》中以“★”标注的政府强制采购产品，</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须在</w:t>
      </w:r>
      <w:r>
        <w:rPr>
          <w:rFonts w:hint="eastAsia" w:ascii="宋体" w:hAnsi="宋体" w:cs="宋体"/>
          <w:color w:val="auto"/>
          <w:szCs w:val="21"/>
          <w:highlight w:val="none"/>
          <w:lang w:eastAsia="zh-CN"/>
        </w:rPr>
        <w:t>响应文件</w:t>
      </w:r>
      <w:r>
        <w:rPr>
          <w:rFonts w:hint="eastAsia" w:ascii="宋体" w:hAnsi="宋体" w:cs="宋体"/>
          <w:color w:val="auto"/>
          <w:szCs w:val="21"/>
          <w:highlight w:val="none"/>
        </w:rPr>
        <w:t>中提供产品经国家确定的参与实施政府采购节能产品认证机构出具的、处于有效期之内的节能产品认证证书，若</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在</w:t>
      </w:r>
      <w:r>
        <w:rPr>
          <w:rFonts w:hint="eastAsia" w:ascii="宋体" w:hAnsi="宋体" w:cs="宋体"/>
          <w:color w:val="auto"/>
          <w:szCs w:val="21"/>
          <w:highlight w:val="none"/>
          <w:lang w:eastAsia="zh-CN"/>
        </w:rPr>
        <w:t>响应文件</w:t>
      </w:r>
      <w:r>
        <w:rPr>
          <w:rFonts w:hint="eastAsia" w:ascii="宋体" w:hAnsi="宋体" w:cs="宋体"/>
          <w:color w:val="auto"/>
          <w:szCs w:val="21"/>
          <w:highlight w:val="none"/>
        </w:rPr>
        <w:t>中未提供或未按要求提供产品经国家确定的参与实施政府采购节能产品认证机构出具的、处于有效期之内的节能产品认证证书，其</w:t>
      </w:r>
      <w:r>
        <w:rPr>
          <w:rFonts w:hint="eastAsia" w:ascii="宋体" w:hAnsi="宋体" w:cs="宋体"/>
          <w:color w:val="auto"/>
          <w:szCs w:val="21"/>
          <w:highlight w:val="none"/>
          <w:lang w:eastAsia="zh-CN"/>
        </w:rPr>
        <w:t>响应文件</w:t>
      </w:r>
      <w:r>
        <w:rPr>
          <w:rFonts w:hint="eastAsia" w:ascii="宋体" w:hAnsi="宋体" w:cs="宋体"/>
          <w:color w:val="auto"/>
          <w:szCs w:val="21"/>
          <w:highlight w:val="none"/>
        </w:rPr>
        <w:t>按无效处理</w:t>
      </w:r>
      <w:bookmarkEnd w:id="928"/>
      <w:r>
        <w:rPr>
          <w:rFonts w:hint="eastAsia" w:ascii="宋体" w:hAnsi="宋体" w:cs="宋体"/>
          <w:color w:val="auto"/>
          <w:szCs w:val="21"/>
          <w:highlight w:val="none"/>
        </w:rPr>
        <w:t>。</w:t>
      </w:r>
    </w:p>
    <w:p w14:paraId="17E86C1E">
      <w:pPr>
        <w:kinsoku/>
        <w:wordWrap w:val="0"/>
        <w:overflowPunct/>
        <w:topLinePunct w:val="0"/>
        <w:bidi w:val="0"/>
        <w:adjustRightInd w:val="0"/>
        <w:snapToGrid w:val="0"/>
        <w:spacing w:beforeAutospacing="0" w:after="0" w:afterAutospacing="0" w:line="360" w:lineRule="auto"/>
        <w:ind w:left="0" w:leftChars="0" w:right="0" w:firstLine="2" w:firstLineChars="1"/>
        <w:rPr>
          <w:rFonts w:ascii="宋体" w:hAnsi="宋体" w:cs="宋体"/>
          <w:color w:val="auto"/>
          <w:szCs w:val="21"/>
          <w:highlight w:val="none"/>
        </w:rPr>
      </w:pPr>
      <w:bookmarkStart w:id="930" w:name="_Toc22205"/>
      <w:r>
        <w:rPr>
          <w:rFonts w:hint="eastAsia" w:ascii="宋体" w:hAnsi="宋体" w:cs="宋体"/>
          <w:color w:val="auto"/>
          <w:szCs w:val="21"/>
          <w:highlight w:val="none"/>
        </w:rPr>
        <w:t>2.产品属于《节能产品政府采购品目清单》中非政府强制采购产品，</w:t>
      </w:r>
      <w:r>
        <w:rPr>
          <w:rFonts w:hint="eastAsia" w:ascii="宋体" w:hAnsi="宋体" w:cs="宋体"/>
          <w:color w:val="auto"/>
          <w:szCs w:val="21"/>
          <w:highlight w:val="none"/>
          <w:lang w:val="en-US" w:eastAsia="zh-CN"/>
        </w:rPr>
        <w:t>供应商</w:t>
      </w:r>
      <w:r>
        <w:rPr>
          <w:rFonts w:hint="eastAsia" w:ascii="宋体" w:hAnsi="宋体" w:cs="宋体"/>
          <w:color w:val="auto"/>
          <w:szCs w:val="21"/>
          <w:highlight w:val="none"/>
        </w:rPr>
        <w:t>需在</w:t>
      </w:r>
      <w:r>
        <w:rPr>
          <w:rFonts w:hint="eastAsia" w:ascii="宋体" w:hAnsi="宋体" w:cs="宋体"/>
          <w:color w:val="auto"/>
          <w:szCs w:val="21"/>
          <w:highlight w:val="none"/>
          <w:lang w:eastAsia="zh-CN"/>
        </w:rPr>
        <w:t>响应文件</w:t>
      </w:r>
      <w:r>
        <w:rPr>
          <w:rFonts w:hint="eastAsia" w:ascii="宋体" w:hAnsi="宋体" w:cs="宋体"/>
          <w:color w:val="auto"/>
          <w:szCs w:val="21"/>
          <w:highlight w:val="none"/>
        </w:rPr>
        <w:t>中提供产品经国家确定的参与实施政府采购节能产品认证机构出具的、处于有效期之内的节能产品认证证书</w:t>
      </w:r>
      <w:bookmarkEnd w:id="930"/>
      <w:r>
        <w:rPr>
          <w:rFonts w:hint="eastAsia" w:ascii="宋体" w:hAnsi="宋体" w:cs="宋体"/>
          <w:color w:val="auto"/>
          <w:szCs w:val="21"/>
          <w:highlight w:val="none"/>
        </w:rPr>
        <w:t>。</w:t>
      </w:r>
    </w:p>
    <w:p w14:paraId="3568D8B6">
      <w:pPr>
        <w:kinsoku/>
        <w:wordWrap w:val="0"/>
        <w:overflowPunct/>
        <w:topLinePunct w:val="0"/>
        <w:bidi w:val="0"/>
        <w:adjustRightInd w:val="0"/>
        <w:snapToGrid w:val="0"/>
        <w:spacing w:beforeAutospacing="0" w:after="0" w:afterAutospacing="0" w:line="360" w:lineRule="auto"/>
        <w:ind w:left="0" w:leftChars="0" w:right="0" w:firstLine="2" w:firstLineChars="1"/>
        <w:rPr>
          <w:rFonts w:hint="eastAsia" w:ascii="宋体" w:hAnsi="宋体" w:cs="宋体"/>
          <w:color w:val="auto"/>
          <w:szCs w:val="21"/>
          <w:highlight w:val="none"/>
        </w:rPr>
      </w:pPr>
      <w:bookmarkStart w:id="931" w:name="_Toc23959"/>
      <w:r>
        <w:rPr>
          <w:rFonts w:hint="eastAsia" w:ascii="宋体" w:hAnsi="宋体" w:cs="宋体"/>
          <w:color w:val="auto"/>
          <w:szCs w:val="21"/>
          <w:highlight w:val="none"/>
        </w:rPr>
        <w:t>3.产品属于《环境标志产品政府采购品目清单》中环境标志产品，</w:t>
      </w:r>
      <w:r>
        <w:rPr>
          <w:rFonts w:hint="eastAsia" w:ascii="宋体" w:hAnsi="宋体" w:cs="宋体"/>
          <w:color w:val="auto"/>
          <w:szCs w:val="21"/>
          <w:highlight w:val="none"/>
          <w:lang w:val="en-US" w:eastAsia="zh-CN"/>
        </w:rPr>
        <w:t>供应商</w:t>
      </w:r>
      <w:r>
        <w:rPr>
          <w:rFonts w:hint="eastAsia" w:ascii="宋体" w:hAnsi="宋体" w:cs="宋体"/>
          <w:color w:val="auto"/>
          <w:szCs w:val="21"/>
          <w:highlight w:val="none"/>
        </w:rPr>
        <w:t>需在</w:t>
      </w:r>
      <w:r>
        <w:rPr>
          <w:rFonts w:hint="eastAsia" w:ascii="宋体" w:hAnsi="宋体" w:cs="宋体"/>
          <w:color w:val="auto"/>
          <w:szCs w:val="21"/>
          <w:highlight w:val="none"/>
          <w:lang w:eastAsia="zh-CN"/>
        </w:rPr>
        <w:t>响应文件</w:t>
      </w:r>
      <w:r>
        <w:rPr>
          <w:rFonts w:hint="eastAsia" w:ascii="宋体" w:hAnsi="宋体" w:cs="宋体"/>
          <w:color w:val="auto"/>
          <w:szCs w:val="21"/>
          <w:highlight w:val="none"/>
        </w:rPr>
        <w:t>中提供产品经国家确定的参与实施政府采购环境标志产品认证机构出具的、处于有效期之内的环境标志产品认证证书</w:t>
      </w:r>
      <w:bookmarkEnd w:id="931"/>
      <w:r>
        <w:rPr>
          <w:rFonts w:hint="eastAsia" w:ascii="宋体" w:hAnsi="宋体" w:cs="宋体"/>
          <w:color w:val="auto"/>
          <w:szCs w:val="21"/>
          <w:highlight w:val="none"/>
        </w:rPr>
        <w:t>。</w:t>
      </w:r>
    </w:p>
    <w:p w14:paraId="5837462D">
      <w:pPr>
        <w:kinsoku/>
        <w:wordWrap w:val="0"/>
        <w:overflowPunct/>
        <w:topLinePunct w:val="0"/>
        <w:bidi w:val="0"/>
        <w:adjustRightInd w:val="0"/>
        <w:snapToGrid w:val="0"/>
        <w:spacing w:beforeAutospacing="0" w:after="0" w:afterAutospacing="0" w:line="360" w:lineRule="auto"/>
        <w:ind w:left="0" w:leftChars="0" w:right="0" w:firstLine="2" w:firstLineChars="1"/>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4.</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可根据实际情况拓展本表。</w:t>
      </w:r>
      <w:bookmarkEnd w:id="929"/>
    </w:p>
    <w:p w14:paraId="32BAE4B3">
      <w:pPr>
        <w:rPr>
          <w:rFonts w:hint="default"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en-US" w:eastAsia="zh-CN"/>
        </w:rPr>
        <w:br w:type="page"/>
      </w:r>
    </w:p>
    <w:p w14:paraId="6E1F9FF7">
      <w:pPr>
        <w:pStyle w:val="55"/>
        <w:numPr>
          <w:ilvl w:val="1"/>
          <w:numId w:val="0"/>
        </w:numPr>
        <w:spacing w:line="360" w:lineRule="auto"/>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11、施工总平面图</w:t>
      </w:r>
    </w:p>
    <w:p w14:paraId="1BE51DC3">
      <w:pPr>
        <w:pStyle w:val="55"/>
        <w:numPr>
          <w:ilvl w:val="1"/>
          <w:numId w:val="0"/>
        </w:numPr>
        <w:spacing w:line="360" w:lineRule="auto"/>
        <w:jc w:val="center"/>
        <w:rPr>
          <w:rFonts w:hint="eastAsia"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（格式自拟）</w:t>
      </w:r>
    </w:p>
    <w:p w14:paraId="243B622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应递交一份施工总平面图，绘出现场临时设施布置图表并附文字说明，说明临时设施、加工车间、现场办公、设备及仓储、供电、供水、卫生、生活、道路、消防等设施的情况和布置。</w:t>
      </w:r>
    </w:p>
    <w:p w14:paraId="7C69F02F">
      <w:pPr>
        <w:spacing w:line="360" w:lineRule="auto"/>
        <w:rPr>
          <w:rFonts w:hint="eastAsia" w:ascii="宋体" w:hAnsi="宋体" w:eastAsia="宋体" w:cs="宋体"/>
          <w:color w:val="auto"/>
          <w:sz w:val="20"/>
          <w:szCs w:val="20"/>
          <w:highlight w:val="none"/>
        </w:rPr>
      </w:pPr>
    </w:p>
    <w:p w14:paraId="744B2310">
      <w:pPr>
        <w:spacing w:line="360" w:lineRule="auto"/>
        <w:rPr>
          <w:rFonts w:hint="default" w:ascii="宋体" w:hAnsi="宋体" w:eastAsia="宋体" w:cs="宋体"/>
          <w:b/>
          <w:bCs/>
          <w:color w:val="auto"/>
          <w:sz w:val="21"/>
          <w:szCs w:val="21"/>
          <w:highlight w:val="none"/>
          <w:lang w:val="en-US" w:eastAsia="zh-CN"/>
        </w:rPr>
      </w:pPr>
      <w:bookmarkStart w:id="932" w:name="_Toc152045800"/>
      <w:bookmarkStart w:id="933" w:name="_Toc144974868"/>
      <w:bookmarkStart w:id="934" w:name="_Toc179632820"/>
      <w:bookmarkStart w:id="935" w:name="_Toc152042589"/>
      <w:r>
        <w:rPr>
          <w:rFonts w:hint="eastAsia" w:ascii="宋体" w:hAnsi="宋体" w:eastAsia="宋体" w:cs="宋体"/>
          <w:color w:val="auto"/>
          <w:highlight w:val="none"/>
        </w:rPr>
        <w:br w:type="page"/>
      </w:r>
      <w:bookmarkEnd w:id="932"/>
      <w:bookmarkEnd w:id="933"/>
      <w:bookmarkEnd w:id="934"/>
      <w:bookmarkEnd w:id="935"/>
      <w:bookmarkStart w:id="936" w:name="_Toc179632822"/>
      <w:bookmarkStart w:id="937" w:name="_Toc152045802"/>
      <w:bookmarkStart w:id="938" w:name="_Toc152042591"/>
      <w:bookmarkStart w:id="939" w:name="_Toc144974870"/>
    </w:p>
    <w:p w14:paraId="188ACF30">
      <w:pPr>
        <w:pStyle w:val="55"/>
        <w:numPr>
          <w:ilvl w:val="1"/>
          <w:numId w:val="0"/>
        </w:numPr>
        <w:spacing w:line="360" w:lineRule="auto"/>
        <w:ind w:left="3330" w:leftChars="0"/>
        <w:jc w:val="both"/>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12、临时用地表</w:t>
      </w:r>
    </w:p>
    <w:p w14:paraId="552F0E69">
      <w:pPr>
        <w:pStyle w:val="55"/>
        <w:numPr>
          <w:ilvl w:val="1"/>
          <w:numId w:val="0"/>
        </w:numPr>
        <w:spacing w:line="360" w:lineRule="auto"/>
        <w:jc w:val="center"/>
        <w:rPr>
          <w:rFonts w:hint="eastAsia"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（格式自拟）</w:t>
      </w:r>
    </w:p>
    <w:bookmarkEnd w:id="936"/>
    <w:bookmarkEnd w:id="937"/>
    <w:bookmarkEnd w:id="938"/>
    <w:bookmarkEnd w:id="939"/>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1"/>
        <w:gridCol w:w="2321"/>
        <w:gridCol w:w="2323"/>
        <w:gridCol w:w="2323"/>
      </w:tblGrid>
      <w:tr w14:paraId="7D631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top"/>
          </w:tcPr>
          <w:p w14:paraId="118751B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用 途</w:t>
            </w:r>
            <w:r>
              <w:rPr>
                <w:rFonts w:hint="eastAsia" w:ascii="宋体" w:hAnsi="宋体" w:eastAsia="宋体" w:cs="宋体"/>
                <w:color w:val="auto"/>
                <w:szCs w:val="21"/>
                <w:highlight w:val="none"/>
              </w:rPr>
              <w:cr/>
            </w:r>
          </w:p>
        </w:tc>
        <w:tc>
          <w:tcPr>
            <w:tcW w:w="1249" w:type="pct"/>
            <w:noWrap w:val="0"/>
            <w:vAlign w:val="top"/>
          </w:tcPr>
          <w:p w14:paraId="760DBD9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面 积（平方米）</w:t>
            </w:r>
          </w:p>
        </w:tc>
        <w:tc>
          <w:tcPr>
            <w:tcW w:w="1250" w:type="pct"/>
            <w:noWrap w:val="0"/>
            <w:vAlign w:val="top"/>
          </w:tcPr>
          <w:p w14:paraId="7B2F02ED">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位 置</w:t>
            </w:r>
          </w:p>
        </w:tc>
        <w:tc>
          <w:tcPr>
            <w:tcW w:w="1250" w:type="pct"/>
            <w:noWrap w:val="0"/>
            <w:vAlign w:val="top"/>
          </w:tcPr>
          <w:p w14:paraId="1831CC3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需用时间</w:t>
            </w:r>
          </w:p>
        </w:tc>
      </w:tr>
      <w:tr w14:paraId="5B2E0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top"/>
          </w:tcPr>
          <w:p w14:paraId="653E0F3A">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49" w:type="pct"/>
            <w:noWrap w:val="0"/>
            <w:vAlign w:val="top"/>
          </w:tcPr>
          <w:p w14:paraId="26545D8A">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62980B59">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329A2CEB">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3D4F8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top"/>
          </w:tcPr>
          <w:p w14:paraId="4FB5673D">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49" w:type="pct"/>
            <w:noWrap w:val="0"/>
            <w:vAlign w:val="top"/>
          </w:tcPr>
          <w:p w14:paraId="2D402AE3">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1C575676">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76FDAFD7">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7DCFB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top"/>
          </w:tcPr>
          <w:p w14:paraId="61995583">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49" w:type="pct"/>
            <w:noWrap w:val="0"/>
            <w:vAlign w:val="top"/>
          </w:tcPr>
          <w:p w14:paraId="07B0B718">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21FB8B90">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1EDCAA4D">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5C48B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top"/>
          </w:tcPr>
          <w:p w14:paraId="6C3C2254">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49" w:type="pct"/>
            <w:noWrap w:val="0"/>
            <w:vAlign w:val="top"/>
          </w:tcPr>
          <w:p w14:paraId="25ECFABD">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09E007A9">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429DEA26">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73AA5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top"/>
          </w:tcPr>
          <w:p w14:paraId="7776B703">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49" w:type="pct"/>
            <w:noWrap w:val="0"/>
            <w:vAlign w:val="top"/>
          </w:tcPr>
          <w:p w14:paraId="0CB30B73">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6F69F458">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1A9F7491">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54893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top"/>
          </w:tcPr>
          <w:p w14:paraId="35AB0544">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49" w:type="pct"/>
            <w:noWrap w:val="0"/>
            <w:vAlign w:val="top"/>
          </w:tcPr>
          <w:p w14:paraId="7658E6BF">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4E7B503F">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79DE99C7">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144C0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top"/>
          </w:tcPr>
          <w:p w14:paraId="398E86C8">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49" w:type="pct"/>
            <w:noWrap w:val="0"/>
            <w:vAlign w:val="top"/>
          </w:tcPr>
          <w:p w14:paraId="6A18D29B">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42BECBF1">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6B86C399">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1A392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top"/>
          </w:tcPr>
          <w:p w14:paraId="10938BDA">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49" w:type="pct"/>
            <w:noWrap w:val="0"/>
            <w:vAlign w:val="top"/>
          </w:tcPr>
          <w:p w14:paraId="2A18F6DB">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48CDD564">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0A311DCB">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1089A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top"/>
          </w:tcPr>
          <w:p w14:paraId="4AAAC0AF">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49" w:type="pct"/>
            <w:noWrap w:val="0"/>
            <w:vAlign w:val="top"/>
          </w:tcPr>
          <w:p w14:paraId="6DAFA11A">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31FF386C">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516A68B4">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22CB2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top"/>
          </w:tcPr>
          <w:p w14:paraId="1A8CBAF0">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49" w:type="pct"/>
            <w:noWrap w:val="0"/>
            <w:vAlign w:val="top"/>
          </w:tcPr>
          <w:p w14:paraId="5C1A26AD">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2124A687">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6070C02C">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614E1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top"/>
          </w:tcPr>
          <w:p w14:paraId="6DBF703D">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49" w:type="pct"/>
            <w:noWrap w:val="0"/>
            <w:vAlign w:val="top"/>
          </w:tcPr>
          <w:p w14:paraId="4286AEB0">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6FE6E96C">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7563366E">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078DD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top"/>
          </w:tcPr>
          <w:p w14:paraId="321FF536">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49" w:type="pct"/>
            <w:noWrap w:val="0"/>
            <w:vAlign w:val="top"/>
          </w:tcPr>
          <w:p w14:paraId="27D62981">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3EE07001">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38AF7104">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2ACDE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top"/>
          </w:tcPr>
          <w:p w14:paraId="6A1B32DB">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49" w:type="pct"/>
            <w:noWrap w:val="0"/>
            <w:vAlign w:val="top"/>
          </w:tcPr>
          <w:p w14:paraId="5608F67E">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1287C52E">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2780EB31">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38164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top"/>
          </w:tcPr>
          <w:p w14:paraId="1AE6E3AC">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49" w:type="pct"/>
            <w:noWrap w:val="0"/>
            <w:vAlign w:val="top"/>
          </w:tcPr>
          <w:p w14:paraId="79893CC0">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56805263">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01DDFD3A">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23708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top"/>
          </w:tcPr>
          <w:p w14:paraId="71F49154">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49" w:type="pct"/>
            <w:noWrap w:val="0"/>
            <w:vAlign w:val="top"/>
          </w:tcPr>
          <w:p w14:paraId="029016E0">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7E68EA0D">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41DC4E15">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65763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top"/>
          </w:tcPr>
          <w:p w14:paraId="7812C1EE">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49" w:type="pct"/>
            <w:noWrap w:val="0"/>
            <w:vAlign w:val="top"/>
          </w:tcPr>
          <w:p w14:paraId="2D42A2B2">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3C4DA4A3">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60E4C6F5">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2BA41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top"/>
          </w:tcPr>
          <w:p w14:paraId="4CD6C66C">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49" w:type="pct"/>
            <w:noWrap w:val="0"/>
            <w:vAlign w:val="top"/>
          </w:tcPr>
          <w:p w14:paraId="5572DF8F">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12AE329A">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0C69525D">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4E53A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top"/>
          </w:tcPr>
          <w:p w14:paraId="525AF333">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49" w:type="pct"/>
            <w:noWrap w:val="0"/>
            <w:vAlign w:val="top"/>
          </w:tcPr>
          <w:p w14:paraId="50EBF11E">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2E043505">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0F99C694">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2E6B5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top"/>
          </w:tcPr>
          <w:p w14:paraId="2CD3C885">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49" w:type="pct"/>
            <w:noWrap w:val="0"/>
            <w:vAlign w:val="top"/>
          </w:tcPr>
          <w:p w14:paraId="18C2EF40">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22C2D9E8">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79F033DF">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5D3F4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top"/>
          </w:tcPr>
          <w:p w14:paraId="4F6D22A1">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49" w:type="pct"/>
            <w:noWrap w:val="0"/>
            <w:vAlign w:val="top"/>
          </w:tcPr>
          <w:p w14:paraId="27572F26">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13D2A893">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281CDFEA">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0D2EF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top"/>
          </w:tcPr>
          <w:p w14:paraId="4E61CE08">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49" w:type="pct"/>
            <w:noWrap w:val="0"/>
            <w:vAlign w:val="top"/>
          </w:tcPr>
          <w:p w14:paraId="3C69846A">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32E8474D">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32E5D04E">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r w14:paraId="47819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noWrap w:val="0"/>
            <w:vAlign w:val="top"/>
          </w:tcPr>
          <w:p w14:paraId="36DAB625">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49" w:type="pct"/>
            <w:noWrap w:val="0"/>
            <w:vAlign w:val="top"/>
          </w:tcPr>
          <w:p w14:paraId="20FE1AD1">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34E9E04E">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c>
          <w:tcPr>
            <w:tcW w:w="1250" w:type="pct"/>
            <w:noWrap w:val="0"/>
            <w:vAlign w:val="top"/>
          </w:tcPr>
          <w:p w14:paraId="5B847129">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rPr>
            </w:pPr>
          </w:p>
        </w:tc>
      </w:tr>
    </w:tbl>
    <w:p w14:paraId="32A4F60D">
      <w:pPr>
        <w:spacing w:line="360" w:lineRule="auto"/>
        <w:rPr>
          <w:rFonts w:hint="eastAsia" w:ascii="宋体" w:hAnsi="宋体" w:eastAsia="宋体" w:cs="宋体"/>
          <w:color w:val="auto"/>
          <w:highlight w:val="none"/>
          <w:lang w:val="en-US" w:eastAsia="zh-CN"/>
        </w:rPr>
      </w:pPr>
      <w:bookmarkStart w:id="940" w:name="_Toc144974871"/>
      <w:bookmarkStart w:id="941" w:name="_Toc179632823"/>
      <w:bookmarkStart w:id="942" w:name="_Toc152042592"/>
      <w:bookmarkStart w:id="943" w:name="_Toc152045803"/>
      <w:r>
        <w:rPr>
          <w:rFonts w:hint="eastAsia" w:ascii="宋体" w:hAnsi="宋体" w:eastAsia="宋体" w:cs="宋体"/>
          <w:color w:val="auto"/>
          <w:highlight w:val="none"/>
          <w:lang w:val="en-US" w:eastAsia="zh-CN"/>
        </w:rPr>
        <w:br w:type="page"/>
      </w:r>
    </w:p>
    <w:bookmarkEnd w:id="940"/>
    <w:bookmarkEnd w:id="941"/>
    <w:bookmarkEnd w:id="942"/>
    <w:bookmarkEnd w:id="943"/>
    <w:p w14:paraId="48168884">
      <w:pPr>
        <w:pStyle w:val="55"/>
        <w:keepNext/>
        <w:keepLines/>
        <w:pageBreakBefore w:val="0"/>
        <w:widowControl w:val="0"/>
        <w:numPr>
          <w:ilvl w:val="1"/>
          <w:numId w:val="0"/>
        </w:numPr>
        <w:kinsoku/>
        <w:wordWrap/>
        <w:overflowPunct/>
        <w:topLinePunct w:val="0"/>
        <w:autoSpaceDE/>
        <w:autoSpaceDN/>
        <w:bidi w:val="0"/>
        <w:spacing w:before="0" w:beforeLines="0" w:after="0" w:afterLines="0" w:line="360" w:lineRule="auto"/>
        <w:ind w:left="3330" w:leftChars="0"/>
        <w:jc w:val="both"/>
        <w:textAlignment w:val="auto"/>
        <w:rPr>
          <w:rFonts w:hint="eastAsia" w:ascii="宋体" w:hAnsi="宋体" w:eastAsia="宋体" w:cs="宋体"/>
          <w:b/>
          <w:bCs/>
          <w:color w:val="auto"/>
          <w:highlight w:val="none"/>
          <w:lang w:val="en-US" w:eastAsia="zh-CN"/>
        </w:rPr>
      </w:pPr>
      <w:bookmarkStart w:id="944" w:name="_Toc7828"/>
      <w:bookmarkStart w:id="945" w:name="_Toc144974878"/>
      <w:bookmarkStart w:id="946" w:name="_Toc179632830"/>
      <w:bookmarkStart w:id="947" w:name="_Toc152045810"/>
      <w:bookmarkStart w:id="948" w:name="_Toc152042599"/>
      <w:r>
        <w:rPr>
          <w:rFonts w:hint="eastAsia" w:ascii="宋体" w:hAnsi="宋体" w:eastAsia="宋体" w:cs="宋体"/>
          <w:b/>
          <w:bCs/>
          <w:color w:val="auto"/>
          <w:sz w:val="32"/>
          <w:szCs w:val="32"/>
          <w:highlight w:val="none"/>
          <w:lang w:val="en-US" w:eastAsia="zh-CN"/>
        </w:rPr>
        <w:t>13、近年完成的类似项目情况表</w:t>
      </w:r>
      <w:bookmarkEnd w:id="944"/>
    </w:p>
    <w:bookmarkEnd w:id="945"/>
    <w:bookmarkEnd w:id="946"/>
    <w:bookmarkEnd w:id="947"/>
    <w:bookmarkEnd w:id="948"/>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72"/>
        <w:gridCol w:w="6816"/>
      </w:tblGrid>
      <w:tr w14:paraId="0CE25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331" w:type="pct"/>
            <w:noWrap w:val="0"/>
            <w:vAlign w:val="center"/>
          </w:tcPr>
          <w:p w14:paraId="7F4D4CD4">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p>
        </w:tc>
        <w:tc>
          <w:tcPr>
            <w:tcW w:w="3669" w:type="pct"/>
            <w:noWrap w:val="0"/>
            <w:vAlign w:val="top"/>
          </w:tcPr>
          <w:p w14:paraId="6BD5BCD5">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56B2C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331" w:type="pct"/>
            <w:noWrap w:val="0"/>
            <w:vAlign w:val="center"/>
          </w:tcPr>
          <w:p w14:paraId="2AB0ABD2">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项目所在地</w:t>
            </w:r>
          </w:p>
        </w:tc>
        <w:tc>
          <w:tcPr>
            <w:tcW w:w="3669" w:type="pct"/>
            <w:noWrap w:val="0"/>
            <w:vAlign w:val="top"/>
          </w:tcPr>
          <w:p w14:paraId="18F1A8E8">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6EC24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noWrap w:val="0"/>
            <w:vAlign w:val="center"/>
          </w:tcPr>
          <w:p w14:paraId="5D497A05">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发包人名称</w:t>
            </w:r>
          </w:p>
        </w:tc>
        <w:tc>
          <w:tcPr>
            <w:tcW w:w="3669" w:type="pct"/>
            <w:noWrap w:val="0"/>
            <w:vAlign w:val="top"/>
          </w:tcPr>
          <w:p w14:paraId="438E4280">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352BA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331" w:type="pct"/>
            <w:noWrap w:val="0"/>
            <w:vAlign w:val="center"/>
          </w:tcPr>
          <w:p w14:paraId="093F9D6F">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发包人地址</w:t>
            </w:r>
          </w:p>
        </w:tc>
        <w:tc>
          <w:tcPr>
            <w:tcW w:w="3669" w:type="pct"/>
            <w:noWrap w:val="0"/>
            <w:vAlign w:val="top"/>
          </w:tcPr>
          <w:p w14:paraId="74A590CC">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0FCA6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31" w:type="pct"/>
            <w:noWrap w:val="0"/>
            <w:vAlign w:val="center"/>
          </w:tcPr>
          <w:p w14:paraId="56F50CC1">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发包人电话</w:t>
            </w:r>
          </w:p>
        </w:tc>
        <w:tc>
          <w:tcPr>
            <w:tcW w:w="3669" w:type="pct"/>
            <w:noWrap w:val="0"/>
            <w:vAlign w:val="top"/>
          </w:tcPr>
          <w:p w14:paraId="55ED4F3D">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4582E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31" w:type="pct"/>
            <w:noWrap w:val="0"/>
            <w:vAlign w:val="center"/>
          </w:tcPr>
          <w:p w14:paraId="7E2D0909">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合同价格</w:t>
            </w:r>
          </w:p>
        </w:tc>
        <w:tc>
          <w:tcPr>
            <w:tcW w:w="3669" w:type="pct"/>
            <w:noWrap w:val="0"/>
            <w:vAlign w:val="top"/>
          </w:tcPr>
          <w:p w14:paraId="3258B133">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78918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noWrap w:val="0"/>
            <w:vAlign w:val="center"/>
          </w:tcPr>
          <w:p w14:paraId="74502799">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开工日期</w:t>
            </w:r>
          </w:p>
        </w:tc>
        <w:tc>
          <w:tcPr>
            <w:tcW w:w="3669" w:type="pct"/>
            <w:noWrap w:val="0"/>
            <w:vAlign w:val="top"/>
          </w:tcPr>
          <w:p w14:paraId="2E0199E1">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68743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1331" w:type="pct"/>
            <w:noWrap w:val="0"/>
            <w:vAlign w:val="center"/>
          </w:tcPr>
          <w:p w14:paraId="269E54E0">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highlight w:val="none"/>
              </w:rPr>
              <w:t>竣工</w:t>
            </w:r>
            <w:r>
              <w:rPr>
                <w:rFonts w:hint="eastAsia" w:ascii="宋体" w:hAnsi="宋体" w:eastAsia="宋体" w:cs="宋体"/>
                <w:color w:val="auto"/>
                <w:szCs w:val="21"/>
                <w:highlight w:val="none"/>
              </w:rPr>
              <w:t>日期</w:t>
            </w:r>
          </w:p>
        </w:tc>
        <w:tc>
          <w:tcPr>
            <w:tcW w:w="3669" w:type="pct"/>
            <w:noWrap w:val="0"/>
            <w:vAlign w:val="top"/>
          </w:tcPr>
          <w:p w14:paraId="1ECE0F7F">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00215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331" w:type="pct"/>
            <w:noWrap w:val="0"/>
            <w:vAlign w:val="center"/>
          </w:tcPr>
          <w:p w14:paraId="4A549A11">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承担的工作</w:t>
            </w:r>
          </w:p>
        </w:tc>
        <w:tc>
          <w:tcPr>
            <w:tcW w:w="3669" w:type="pct"/>
            <w:noWrap w:val="0"/>
            <w:vAlign w:val="top"/>
          </w:tcPr>
          <w:p w14:paraId="7934648F">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05914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331" w:type="pct"/>
            <w:noWrap w:val="0"/>
            <w:vAlign w:val="center"/>
          </w:tcPr>
          <w:p w14:paraId="0CFBD4D5">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工程质量</w:t>
            </w:r>
          </w:p>
        </w:tc>
        <w:tc>
          <w:tcPr>
            <w:tcW w:w="3669" w:type="pct"/>
            <w:noWrap w:val="0"/>
            <w:vAlign w:val="top"/>
          </w:tcPr>
          <w:p w14:paraId="5361904A">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7C945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1331" w:type="pct"/>
            <w:noWrap w:val="0"/>
            <w:vAlign w:val="center"/>
          </w:tcPr>
          <w:p w14:paraId="7A688497">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项目经理</w:t>
            </w:r>
          </w:p>
        </w:tc>
        <w:tc>
          <w:tcPr>
            <w:tcW w:w="3669" w:type="pct"/>
            <w:noWrap w:val="0"/>
            <w:vAlign w:val="top"/>
          </w:tcPr>
          <w:p w14:paraId="68ED8D7A">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769F2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331" w:type="pct"/>
            <w:noWrap w:val="0"/>
            <w:vAlign w:val="center"/>
          </w:tcPr>
          <w:p w14:paraId="5D09C97E">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技术负责人</w:t>
            </w:r>
          </w:p>
        </w:tc>
        <w:tc>
          <w:tcPr>
            <w:tcW w:w="3669" w:type="pct"/>
            <w:noWrap w:val="0"/>
            <w:vAlign w:val="top"/>
          </w:tcPr>
          <w:p w14:paraId="10B2A740">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36B3F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31" w:type="pct"/>
            <w:noWrap w:val="0"/>
            <w:vAlign w:val="center"/>
          </w:tcPr>
          <w:p w14:paraId="39002C25">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总监理工程师及电话</w:t>
            </w:r>
          </w:p>
        </w:tc>
        <w:tc>
          <w:tcPr>
            <w:tcW w:w="3669" w:type="pct"/>
            <w:noWrap w:val="0"/>
            <w:vAlign w:val="top"/>
          </w:tcPr>
          <w:p w14:paraId="454D776A">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20748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noWrap w:val="0"/>
            <w:vAlign w:val="center"/>
          </w:tcPr>
          <w:p w14:paraId="1BC2293B">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项目描述</w:t>
            </w:r>
          </w:p>
        </w:tc>
        <w:tc>
          <w:tcPr>
            <w:tcW w:w="3669" w:type="pct"/>
            <w:noWrap w:val="0"/>
            <w:vAlign w:val="top"/>
          </w:tcPr>
          <w:p w14:paraId="4F5F6B84">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p w14:paraId="10F16732">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p w14:paraId="499ACF85">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795CF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noWrap w:val="0"/>
            <w:vAlign w:val="center"/>
          </w:tcPr>
          <w:p w14:paraId="40EFCAC4">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c>
          <w:tcPr>
            <w:tcW w:w="3669" w:type="pct"/>
            <w:noWrap w:val="0"/>
            <w:vAlign w:val="top"/>
          </w:tcPr>
          <w:p w14:paraId="052FF93E">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bl>
    <w:p w14:paraId="104C59EA">
      <w:pPr>
        <w:spacing w:line="360" w:lineRule="auto"/>
        <w:jc w:val="both"/>
        <w:rPr>
          <w:rFonts w:hint="eastAsia" w:ascii="宋体" w:hAnsi="宋体" w:eastAsia="宋体" w:cs="宋体"/>
          <w:color w:val="auto"/>
          <w:sz w:val="21"/>
          <w:szCs w:val="21"/>
          <w:highlight w:val="none"/>
          <w:u w:val="none"/>
          <w:lang w:eastAsia="zh-CN"/>
        </w:rPr>
      </w:pPr>
      <w:r>
        <w:rPr>
          <w:rFonts w:hint="eastAsia" w:ascii="宋体" w:hAnsi="宋体"/>
          <w:color w:val="auto"/>
          <w:kern w:val="0"/>
          <w:sz w:val="21"/>
          <w:szCs w:val="21"/>
          <w:highlight w:val="none"/>
          <w:u w:val="none"/>
        </w:rPr>
        <w:t>业绩证明材料须</w:t>
      </w:r>
      <w:r>
        <w:rPr>
          <w:rFonts w:hint="eastAsia" w:ascii="宋体" w:hAnsi="宋体"/>
          <w:b/>
          <w:bCs/>
          <w:color w:val="auto"/>
          <w:kern w:val="0"/>
          <w:sz w:val="21"/>
          <w:szCs w:val="21"/>
          <w:highlight w:val="none"/>
          <w:u w:val="none"/>
        </w:rPr>
        <w:t>同时提供合同及竣工验收证明资料扫描件</w:t>
      </w:r>
      <w:r>
        <w:rPr>
          <w:rFonts w:hint="eastAsia" w:ascii="宋体" w:hAnsi="宋体"/>
          <w:color w:val="auto"/>
          <w:kern w:val="0"/>
          <w:sz w:val="21"/>
          <w:szCs w:val="21"/>
          <w:highlight w:val="none"/>
          <w:u w:val="none"/>
          <w:lang w:eastAsia="zh-CN"/>
        </w:rPr>
        <w:t>。</w:t>
      </w:r>
    </w:p>
    <w:p w14:paraId="6F87B108">
      <w:pPr>
        <w:spacing w:line="360" w:lineRule="auto"/>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color w:val="auto"/>
          <w:sz w:val="23"/>
          <w:szCs w:val="23"/>
          <w:highlight w:val="none"/>
        </w:rPr>
        <w:br w:type="page"/>
      </w:r>
      <w:bookmarkStart w:id="949" w:name="_Toc152045811"/>
      <w:bookmarkStart w:id="950" w:name="_Toc179632831"/>
      <w:bookmarkStart w:id="951" w:name="_Toc152042600"/>
      <w:bookmarkStart w:id="952" w:name="_Toc144974879"/>
    </w:p>
    <w:p w14:paraId="588138E8">
      <w:pPr>
        <w:pStyle w:val="55"/>
        <w:numPr>
          <w:ilvl w:val="1"/>
          <w:numId w:val="0"/>
        </w:numPr>
        <w:spacing w:line="360" w:lineRule="auto"/>
        <w:jc w:val="center"/>
        <w:rPr>
          <w:rFonts w:hint="eastAsia" w:ascii="宋体" w:hAnsi="宋体" w:eastAsia="宋体" w:cs="宋体"/>
          <w:b/>
          <w:bCs/>
          <w:color w:val="auto"/>
          <w:highlight w:val="none"/>
          <w:lang w:val="en-US" w:eastAsia="zh-CN"/>
        </w:rPr>
      </w:pPr>
      <w:bookmarkStart w:id="953" w:name="_Toc10724"/>
      <w:r>
        <w:rPr>
          <w:rFonts w:hint="eastAsia" w:ascii="宋体" w:hAnsi="宋体" w:eastAsia="宋体" w:cs="宋体"/>
          <w:b/>
          <w:bCs/>
          <w:color w:val="auto"/>
          <w:sz w:val="32"/>
          <w:szCs w:val="32"/>
          <w:highlight w:val="none"/>
          <w:lang w:val="en-US" w:eastAsia="zh-CN"/>
        </w:rPr>
        <w:t>14、正在施工的和新承接的项目情况表</w:t>
      </w:r>
      <w:bookmarkEnd w:id="953"/>
    </w:p>
    <w:bookmarkEnd w:id="949"/>
    <w:bookmarkEnd w:id="950"/>
    <w:bookmarkEnd w:id="951"/>
    <w:bookmarkEnd w:id="952"/>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9"/>
        <w:gridCol w:w="6979"/>
      </w:tblGrid>
      <w:tr w14:paraId="7E065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243" w:type="pct"/>
            <w:noWrap w:val="0"/>
            <w:vAlign w:val="center"/>
          </w:tcPr>
          <w:p w14:paraId="03B018A2">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p>
        </w:tc>
        <w:tc>
          <w:tcPr>
            <w:tcW w:w="3757" w:type="pct"/>
            <w:noWrap w:val="0"/>
            <w:vAlign w:val="top"/>
          </w:tcPr>
          <w:p w14:paraId="02ACF4BF">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49DDC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243" w:type="pct"/>
            <w:noWrap w:val="0"/>
            <w:vAlign w:val="center"/>
          </w:tcPr>
          <w:p w14:paraId="04AEC661">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项目所在地</w:t>
            </w:r>
          </w:p>
        </w:tc>
        <w:tc>
          <w:tcPr>
            <w:tcW w:w="3757" w:type="pct"/>
            <w:noWrap w:val="0"/>
            <w:vAlign w:val="top"/>
          </w:tcPr>
          <w:p w14:paraId="6FEC0714">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31336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243" w:type="pct"/>
            <w:noWrap w:val="0"/>
            <w:vAlign w:val="center"/>
          </w:tcPr>
          <w:p w14:paraId="1359ED62">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发包人名称</w:t>
            </w:r>
          </w:p>
        </w:tc>
        <w:tc>
          <w:tcPr>
            <w:tcW w:w="3757" w:type="pct"/>
            <w:noWrap w:val="0"/>
            <w:vAlign w:val="top"/>
          </w:tcPr>
          <w:p w14:paraId="7C620994">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0EA15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243" w:type="pct"/>
            <w:noWrap w:val="0"/>
            <w:vAlign w:val="center"/>
          </w:tcPr>
          <w:p w14:paraId="5C7B84C6">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发包人地址</w:t>
            </w:r>
          </w:p>
        </w:tc>
        <w:tc>
          <w:tcPr>
            <w:tcW w:w="3757" w:type="pct"/>
            <w:noWrap w:val="0"/>
            <w:vAlign w:val="top"/>
          </w:tcPr>
          <w:p w14:paraId="22B02FF7">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79F12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243" w:type="pct"/>
            <w:noWrap w:val="0"/>
            <w:vAlign w:val="center"/>
          </w:tcPr>
          <w:p w14:paraId="784E961A">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发包人电话</w:t>
            </w:r>
          </w:p>
        </w:tc>
        <w:tc>
          <w:tcPr>
            <w:tcW w:w="3757" w:type="pct"/>
            <w:noWrap w:val="0"/>
            <w:vAlign w:val="top"/>
          </w:tcPr>
          <w:p w14:paraId="78EDAF5E">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1B5ED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243" w:type="pct"/>
            <w:noWrap w:val="0"/>
            <w:vAlign w:val="center"/>
          </w:tcPr>
          <w:p w14:paraId="4A77DA8A">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签约合同价</w:t>
            </w:r>
          </w:p>
        </w:tc>
        <w:tc>
          <w:tcPr>
            <w:tcW w:w="3757" w:type="pct"/>
            <w:noWrap w:val="0"/>
            <w:vAlign w:val="top"/>
          </w:tcPr>
          <w:p w14:paraId="65AA5C72">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21DBF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43" w:type="pct"/>
            <w:noWrap w:val="0"/>
            <w:vAlign w:val="center"/>
          </w:tcPr>
          <w:p w14:paraId="547E0B59">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开工日期</w:t>
            </w:r>
          </w:p>
        </w:tc>
        <w:tc>
          <w:tcPr>
            <w:tcW w:w="3757" w:type="pct"/>
            <w:noWrap w:val="0"/>
            <w:vAlign w:val="top"/>
          </w:tcPr>
          <w:p w14:paraId="3D1403FE">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307D1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1243" w:type="pct"/>
            <w:noWrap w:val="0"/>
            <w:vAlign w:val="center"/>
          </w:tcPr>
          <w:p w14:paraId="55DE4925">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计划</w:t>
            </w:r>
            <w:r>
              <w:rPr>
                <w:rFonts w:hint="eastAsia" w:ascii="宋体" w:hAnsi="宋体" w:eastAsia="宋体" w:cs="宋体"/>
                <w:color w:val="auto"/>
                <w:highlight w:val="none"/>
              </w:rPr>
              <w:t>竣工</w:t>
            </w:r>
            <w:r>
              <w:rPr>
                <w:rFonts w:hint="eastAsia" w:ascii="宋体" w:hAnsi="宋体" w:eastAsia="宋体" w:cs="宋体"/>
                <w:color w:val="auto"/>
                <w:szCs w:val="21"/>
                <w:highlight w:val="none"/>
              </w:rPr>
              <w:t>日期</w:t>
            </w:r>
          </w:p>
        </w:tc>
        <w:tc>
          <w:tcPr>
            <w:tcW w:w="3757" w:type="pct"/>
            <w:noWrap w:val="0"/>
            <w:vAlign w:val="top"/>
          </w:tcPr>
          <w:p w14:paraId="58DD9603">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5B004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243" w:type="pct"/>
            <w:noWrap w:val="0"/>
            <w:vAlign w:val="center"/>
          </w:tcPr>
          <w:p w14:paraId="67F66650">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承担的工作</w:t>
            </w:r>
          </w:p>
        </w:tc>
        <w:tc>
          <w:tcPr>
            <w:tcW w:w="3757" w:type="pct"/>
            <w:noWrap w:val="0"/>
            <w:vAlign w:val="top"/>
          </w:tcPr>
          <w:p w14:paraId="6473DBD4">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26DD2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243" w:type="pct"/>
            <w:noWrap w:val="0"/>
            <w:vAlign w:val="center"/>
          </w:tcPr>
          <w:p w14:paraId="3C054C46">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工程质量</w:t>
            </w:r>
          </w:p>
        </w:tc>
        <w:tc>
          <w:tcPr>
            <w:tcW w:w="3757" w:type="pct"/>
            <w:noWrap w:val="0"/>
            <w:vAlign w:val="top"/>
          </w:tcPr>
          <w:p w14:paraId="0F6CB28E">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3BBB9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1243" w:type="pct"/>
            <w:noWrap w:val="0"/>
            <w:vAlign w:val="center"/>
          </w:tcPr>
          <w:p w14:paraId="6D3612A6">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项目经理</w:t>
            </w:r>
          </w:p>
        </w:tc>
        <w:tc>
          <w:tcPr>
            <w:tcW w:w="3757" w:type="pct"/>
            <w:noWrap w:val="0"/>
            <w:vAlign w:val="top"/>
          </w:tcPr>
          <w:p w14:paraId="125395EB">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1DF5A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243" w:type="pct"/>
            <w:noWrap w:val="0"/>
            <w:vAlign w:val="center"/>
          </w:tcPr>
          <w:p w14:paraId="5DC72BC8">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技术负责人</w:t>
            </w:r>
          </w:p>
        </w:tc>
        <w:tc>
          <w:tcPr>
            <w:tcW w:w="3757" w:type="pct"/>
            <w:noWrap w:val="0"/>
            <w:vAlign w:val="top"/>
          </w:tcPr>
          <w:p w14:paraId="078009E7">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67103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1243" w:type="pct"/>
            <w:noWrap w:val="0"/>
            <w:vAlign w:val="center"/>
          </w:tcPr>
          <w:p w14:paraId="65013C37">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总监理工程师及电话</w:t>
            </w:r>
          </w:p>
        </w:tc>
        <w:tc>
          <w:tcPr>
            <w:tcW w:w="3757" w:type="pct"/>
            <w:noWrap w:val="0"/>
            <w:vAlign w:val="top"/>
          </w:tcPr>
          <w:p w14:paraId="447BC7FF">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35A1C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1243" w:type="pct"/>
            <w:noWrap w:val="0"/>
            <w:vAlign w:val="center"/>
          </w:tcPr>
          <w:p w14:paraId="3BAEF5FD">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项目描述</w:t>
            </w:r>
          </w:p>
        </w:tc>
        <w:tc>
          <w:tcPr>
            <w:tcW w:w="3757" w:type="pct"/>
            <w:noWrap w:val="0"/>
            <w:vAlign w:val="top"/>
          </w:tcPr>
          <w:p w14:paraId="06330DB4">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p w14:paraId="44689FDB">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p w14:paraId="1F437DA7">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p w14:paraId="2255CD8D">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p w14:paraId="71443D8B">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p w14:paraId="1E529EE4">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p w14:paraId="286493D4">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r w14:paraId="0BB5A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1243" w:type="pct"/>
            <w:noWrap w:val="0"/>
            <w:vAlign w:val="center"/>
          </w:tcPr>
          <w:p w14:paraId="6E18DB8D">
            <w:pPr>
              <w:keepNext w:val="0"/>
              <w:keepLines w:val="0"/>
              <w:suppressLineNumbers w:val="0"/>
              <w:topLinePunct/>
              <w:spacing w:before="0" w:beforeAutospacing="0" w:after="0" w:afterAutospacing="0" w:line="360" w:lineRule="auto"/>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c>
          <w:tcPr>
            <w:tcW w:w="3757" w:type="pct"/>
            <w:noWrap w:val="0"/>
            <w:vAlign w:val="top"/>
          </w:tcPr>
          <w:p w14:paraId="6006F81A">
            <w:pPr>
              <w:keepNext w:val="0"/>
              <w:keepLines w:val="0"/>
              <w:suppressLineNumbers w:val="0"/>
              <w:topLinePunct/>
              <w:spacing w:before="0" w:beforeAutospacing="0" w:after="0" w:afterAutospacing="0" w:line="360" w:lineRule="auto"/>
              <w:ind w:left="0" w:right="0"/>
              <w:rPr>
                <w:rFonts w:hint="eastAsia" w:ascii="宋体" w:hAnsi="宋体" w:eastAsia="宋体" w:cs="宋体"/>
                <w:color w:val="auto"/>
                <w:szCs w:val="21"/>
                <w:highlight w:val="none"/>
              </w:rPr>
            </w:pPr>
          </w:p>
        </w:tc>
      </w:tr>
    </w:tbl>
    <w:p w14:paraId="2D132442">
      <w:pPr>
        <w:spacing w:line="360" w:lineRule="auto"/>
        <w:jc w:val="both"/>
        <w:rPr>
          <w:rFonts w:hint="eastAsia" w:ascii="宋体" w:hAnsi="宋体" w:eastAsia="宋体" w:cs="宋体"/>
          <w:color w:val="auto"/>
          <w:sz w:val="20"/>
          <w:szCs w:val="20"/>
          <w:highlight w:val="none"/>
        </w:rPr>
      </w:pPr>
      <w:r>
        <w:rPr>
          <w:rFonts w:hint="eastAsia" w:ascii="宋体" w:hAnsi="宋体"/>
          <w:color w:val="auto"/>
          <w:kern w:val="0"/>
          <w:sz w:val="21"/>
          <w:szCs w:val="21"/>
          <w:highlight w:val="none"/>
          <w:u w:val="none"/>
        </w:rPr>
        <w:t>业绩证明材料须提供</w:t>
      </w:r>
      <w:r>
        <w:rPr>
          <w:rFonts w:hint="eastAsia" w:ascii="宋体" w:hAnsi="宋体"/>
          <w:b/>
          <w:bCs/>
          <w:color w:val="auto"/>
          <w:kern w:val="0"/>
          <w:sz w:val="21"/>
          <w:szCs w:val="21"/>
          <w:highlight w:val="none"/>
          <w:u w:val="none"/>
          <w:lang w:val="en-US" w:eastAsia="zh-CN"/>
        </w:rPr>
        <w:t>中标通知书或</w:t>
      </w:r>
      <w:r>
        <w:rPr>
          <w:rFonts w:hint="eastAsia" w:ascii="宋体" w:hAnsi="宋体"/>
          <w:b/>
          <w:bCs/>
          <w:color w:val="auto"/>
          <w:kern w:val="0"/>
          <w:sz w:val="21"/>
          <w:szCs w:val="21"/>
          <w:highlight w:val="none"/>
          <w:u w:val="none"/>
        </w:rPr>
        <w:t>合同</w:t>
      </w:r>
      <w:r>
        <w:rPr>
          <w:rFonts w:hint="eastAsia" w:ascii="宋体" w:hAnsi="宋体"/>
          <w:b/>
          <w:bCs/>
          <w:color w:val="auto"/>
          <w:kern w:val="0"/>
          <w:sz w:val="21"/>
          <w:szCs w:val="21"/>
          <w:highlight w:val="none"/>
          <w:u w:val="none"/>
          <w:lang w:val="en-US" w:eastAsia="zh-CN"/>
        </w:rPr>
        <w:t>扫描件</w:t>
      </w:r>
      <w:r>
        <w:rPr>
          <w:rFonts w:hint="eastAsia" w:ascii="宋体" w:hAnsi="宋体"/>
          <w:color w:val="auto"/>
          <w:kern w:val="0"/>
          <w:sz w:val="21"/>
          <w:szCs w:val="21"/>
          <w:highlight w:val="none"/>
          <w:u w:val="none"/>
          <w:lang w:eastAsia="zh-CN"/>
        </w:rPr>
        <w:t>。</w:t>
      </w:r>
    </w:p>
    <w:p w14:paraId="0E9816A9">
      <w:pPr>
        <w:spacing w:line="360" w:lineRule="auto"/>
        <w:jc w:val="center"/>
        <w:rPr>
          <w:rFonts w:asciiTheme="minorEastAsia" w:hAnsiTheme="minorEastAsia" w:eastAsiaTheme="minorEastAsia" w:cstheme="minorEastAsia"/>
          <w:color w:val="auto"/>
          <w:sz w:val="24"/>
          <w:szCs w:val="24"/>
          <w:highlight w:val="none"/>
        </w:rPr>
      </w:pPr>
    </w:p>
    <w:p w14:paraId="70B235BE">
      <w:pPr>
        <w:spacing w:line="360" w:lineRule="auto"/>
        <w:rPr>
          <w:rFonts w:asciiTheme="minorEastAsia" w:hAnsiTheme="minorEastAsia" w:eastAsiaTheme="minorEastAsia" w:cstheme="minorEastAsia"/>
          <w:color w:val="auto"/>
          <w:sz w:val="24"/>
          <w:szCs w:val="24"/>
          <w:highlight w:val="none"/>
        </w:rPr>
      </w:pPr>
    </w:p>
    <w:p w14:paraId="67C5E77D">
      <w:pPr>
        <w:rPr>
          <w:rStyle w:val="38"/>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Cs w:val="21"/>
          <w:highlight w:val="none"/>
        </w:rPr>
        <w:br w:type="page"/>
      </w:r>
    </w:p>
    <w:p w14:paraId="56CA4A49">
      <w:pPr>
        <w:rPr>
          <w:rStyle w:val="38"/>
          <w:rFonts w:asciiTheme="minorEastAsia" w:hAnsiTheme="minorEastAsia" w:eastAsiaTheme="minorEastAsia" w:cstheme="minorEastAsia"/>
          <w:b/>
          <w:bCs/>
          <w:color w:val="auto"/>
          <w:sz w:val="21"/>
          <w:szCs w:val="21"/>
          <w:highlight w:val="none"/>
        </w:rPr>
      </w:pPr>
    </w:p>
    <w:p w14:paraId="09CF47FA">
      <w:pPr>
        <w:pStyle w:val="2"/>
        <w:keepLines w:val="0"/>
        <w:numPr>
          <w:ilvl w:val="0"/>
          <w:numId w:val="0"/>
        </w:numPr>
        <w:tabs>
          <w:tab w:val="left" w:pos="3690"/>
          <w:tab w:val="clear" w:pos="1200"/>
        </w:tabs>
        <w:spacing w:before="120" w:after="0" w:line="360" w:lineRule="auto"/>
        <w:jc w:val="center"/>
        <w:rPr>
          <w:rFonts w:asciiTheme="minorEastAsia" w:hAnsiTheme="minorEastAsia" w:eastAsiaTheme="minorEastAsia" w:cstheme="minorEastAsia"/>
          <w:color w:val="auto"/>
          <w:szCs w:val="32"/>
          <w:highlight w:val="none"/>
        </w:rPr>
      </w:pPr>
      <w:bookmarkStart w:id="954" w:name="_Toc4839"/>
      <w:r>
        <w:rPr>
          <w:rFonts w:hint="eastAsia" w:asciiTheme="minorEastAsia" w:hAnsiTheme="minorEastAsia" w:eastAsiaTheme="minorEastAsia" w:cstheme="minorEastAsia"/>
          <w:color w:val="auto"/>
          <w:szCs w:val="32"/>
          <w:highlight w:val="none"/>
          <w:lang w:val="en-US" w:eastAsia="zh-CN"/>
        </w:rPr>
        <w:t>四</w:t>
      </w:r>
      <w:r>
        <w:rPr>
          <w:rFonts w:hint="eastAsia" w:asciiTheme="minorEastAsia" w:hAnsiTheme="minorEastAsia" w:eastAsiaTheme="minorEastAsia" w:cstheme="minorEastAsia"/>
          <w:color w:val="auto"/>
          <w:szCs w:val="32"/>
          <w:highlight w:val="none"/>
        </w:rPr>
        <w:t>、构成响应文件的其它资料</w:t>
      </w:r>
      <w:bookmarkEnd w:id="954"/>
    </w:p>
    <w:p w14:paraId="13FDC16F">
      <w:pPr>
        <w:jc w:val="center"/>
        <w:rPr>
          <w:rStyle w:val="38"/>
          <w:rFonts w:asciiTheme="minorEastAsia" w:hAnsiTheme="minorEastAsia" w:eastAsiaTheme="minorEastAsia" w:cstheme="minorEastAsia"/>
          <w:b/>
          <w:bCs/>
          <w:color w:val="auto"/>
          <w:sz w:val="24"/>
          <w:szCs w:val="24"/>
          <w:highlight w:val="none"/>
        </w:rPr>
      </w:pPr>
      <w:r>
        <w:rPr>
          <w:rStyle w:val="38"/>
          <w:rFonts w:hint="eastAsia" w:asciiTheme="minorEastAsia" w:hAnsiTheme="minorEastAsia" w:eastAsiaTheme="minorEastAsia" w:cstheme="minorEastAsia"/>
          <w:b/>
          <w:bCs/>
          <w:color w:val="auto"/>
          <w:sz w:val="24"/>
          <w:szCs w:val="24"/>
          <w:highlight w:val="none"/>
        </w:rPr>
        <w:t>1、竞争性磋商文件要求提交的其他资料</w:t>
      </w:r>
    </w:p>
    <w:p w14:paraId="1C19EA5D">
      <w:pPr>
        <w:spacing w:line="5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竞争性磋商文件中要求提供的其他资料（格式自拟）。</w:t>
      </w:r>
    </w:p>
    <w:p w14:paraId="5E5AC46F">
      <w:pPr>
        <w:wordWrap w:val="0"/>
        <w:spacing w:line="360" w:lineRule="auto"/>
        <w:jc w:val="center"/>
        <w:rPr>
          <w:rFonts w:asciiTheme="minorEastAsia" w:hAnsiTheme="minorEastAsia" w:eastAsiaTheme="minorEastAsia" w:cstheme="minorEastAsia"/>
          <w:b/>
          <w:bCs/>
          <w:color w:val="auto"/>
          <w:sz w:val="24"/>
          <w:szCs w:val="24"/>
          <w:highlight w:val="none"/>
        </w:rPr>
      </w:pPr>
    </w:p>
    <w:p w14:paraId="581D341B">
      <w:pPr>
        <w:wordWrap w:val="0"/>
        <w:spacing w:line="360" w:lineRule="auto"/>
        <w:jc w:val="center"/>
        <w:rPr>
          <w:rFonts w:asciiTheme="minorEastAsia" w:hAnsiTheme="minorEastAsia" w:eastAsiaTheme="minorEastAsia" w:cstheme="minorEastAsia"/>
          <w:b/>
          <w:bCs/>
          <w:color w:val="auto"/>
          <w:sz w:val="24"/>
          <w:szCs w:val="24"/>
          <w:highlight w:val="none"/>
        </w:rPr>
      </w:pPr>
    </w:p>
    <w:p w14:paraId="205021B9">
      <w:pPr>
        <w:jc w:val="center"/>
        <w:rPr>
          <w:rStyle w:val="38"/>
          <w:rFonts w:asciiTheme="minorEastAsia" w:hAnsiTheme="minorEastAsia" w:eastAsiaTheme="minorEastAsia" w:cstheme="minorEastAsia"/>
          <w:b/>
          <w:bCs/>
          <w:color w:val="auto"/>
          <w:sz w:val="24"/>
          <w:szCs w:val="24"/>
          <w:highlight w:val="none"/>
        </w:rPr>
      </w:pPr>
      <w:r>
        <w:rPr>
          <w:rStyle w:val="38"/>
          <w:rFonts w:hint="eastAsia" w:asciiTheme="minorEastAsia" w:hAnsiTheme="minorEastAsia" w:eastAsiaTheme="minorEastAsia" w:cstheme="minorEastAsia"/>
          <w:b/>
          <w:bCs/>
          <w:color w:val="auto"/>
          <w:sz w:val="24"/>
          <w:szCs w:val="24"/>
          <w:highlight w:val="none"/>
        </w:rPr>
        <w:t>2、供应商认为需要提交的其他资料</w:t>
      </w:r>
    </w:p>
    <w:p w14:paraId="658C6109">
      <w:pPr>
        <w:rPr>
          <w:rFonts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24"/>
          <w:szCs w:val="24"/>
          <w:highlight w:val="none"/>
        </w:rPr>
        <w:t>供应商认为有利于获得本项目中标资格的其他材料或说明（格式自拟）</w:t>
      </w:r>
      <w:r>
        <w:rPr>
          <w:rFonts w:hint="eastAsia" w:asciiTheme="minorEastAsia" w:hAnsiTheme="minorEastAsia" w:eastAsiaTheme="minorEastAsia" w:cstheme="minorEastAsia"/>
          <w:color w:val="auto"/>
          <w:sz w:val="24"/>
          <w:szCs w:val="24"/>
          <w:highlight w:val="none"/>
          <w:lang w:eastAsia="zh-CN"/>
        </w:rPr>
        <w:t>。</w:t>
      </w:r>
    </w:p>
    <w:p w14:paraId="708AB69B">
      <w:pPr>
        <w:pStyle w:val="3"/>
        <w:numPr>
          <w:ilvl w:val="0"/>
          <w:numId w:val="0"/>
        </w:numPr>
        <w:jc w:val="center"/>
        <w:rPr>
          <w:rFonts w:hint="eastAsia" w:asciiTheme="minorEastAsia" w:hAnsiTheme="minorEastAsia" w:eastAsiaTheme="minorEastAsia" w:cstheme="minorEastAsia"/>
          <w:color w:val="auto"/>
          <w:sz w:val="36"/>
          <w:szCs w:val="36"/>
          <w:highlight w:val="none"/>
        </w:rPr>
        <w:sectPr>
          <w:pgSz w:w="11906" w:h="16838"/>
          <w:pgMar w:top="1417" w:right="1417" w:bottom="1417" w:left="1417" w:header="850" w:footer="850" w:gutter="0"/>
          <w:pgNumType w:fmt="numberInDash"/>
          <w:cols w:space="0" w:num="1"/>
          <w:rtlGutter w:val="0"/>
          <w:docGrid w:type="lines" w:linePitch="312" w:charSpace="0"/>
        </w:sectPr>
      </w:pPr>
      <w:bookmarkStart w:id="955" w:name="_Toc7890"/>
    </w:p>
    <w:p w14:paraId="7FF76BF3">
      <w:pPr>
        <w:pStyle w:val="3"/>
        <w:numPr>
          <w:ilvl w:val="0"/>
          <w:numId w:val="0"/>
        </w:numPr>
        <w:jc w:val="center"/>
        <w:rPr>
          <w:rFonts w:asciiTheme="minorEastAsia" w:hAnsiTheme="minorEastAsia" w:eastAsiaTheme="minorEastAsia" w:cstheme="minorEastAsia"/>
          <w:color w:val="auto"/>
          <w:sz w:val="36"/>
          <w:szCs w:val="36"/>
          <w:highlight w:val="none"/>
        </w:rPr>
      </w:pPr>
      <w:bookmarkStart w:id="956" w:name="_Toc2210"/>
      <w:r>
        <w:rPr>
          <w:rFonts w:hint="eastAsia" w:asciiTheme="minorEastAsia" w:hAnsiTheme="minorEastAsia" w:eastAsiaTheme="minorEastAsia" w:cstheme="minorEastAsia"/>
          <w:color w:val="auto"/>
          <w:sz w:val="36"/>
          <w:szCs w:val="36"/>
          <w:highlight w:val="none"/>
        </w:rPr>
        <w:t>第五章 采购需求</w:t>
      </w:r>
      <w:bookmarkEnd w:id="955"/>
      <w:bookmarkEnd w:id="956"/>
    </w:p>
    <w:p w14:paraId="6C9A25D2">
      <w:pPr>
        <w:pStyle w:val="4"/>
        <w:numPr>
          <w:ilvl w:val="0"/>
          <w:numId w:val="0"/>
        </w:numPr>
        <w:tabs>
          <w:tab w:val="left" w:pos="1665"/>
          <w:tab w:val="clear" w:pos="3690"/>
        </w:tabs>
        <w:spacing w:before="0" w:after="0" w:line="360" w:lineRule="auto"/>
        <w:rPr>
          <w:rFonts w:asciiTheme="minorEastAsia" w:hAnsiTheme="minorEastAsia" w:eastAsiaTheme="minorEastAsia" w:cstheme="minorEastAsia"/>
          <w:color w:val="auto"/>
          <w:sz w:val="24"/>
          <w:szCs w:val="24"/>
          <w:highlight w:val="none"/>
        </w:rPr>
      </w:pPr>
      <w:bookmarkStart w:id="957" w:name="_Toc26746"/>
      <w:r>
        <w:rPr>
          <w:rFonts w:hint="eastAsia" w:asciiTheme="minorEastAsia" w:hAnsiTheme="minorEastAsia" w:eastAsiaTheme="minorEastAsia" w:cstheme="minorEastAsia"/>
          <w:color w:val="auto"/>
          <w:sz w:val="24"/>
          <w:szCs w:val="24"/>
          <w:highlight w:val="none"/>
        </w:rPr>
        <w:t>一、项目基本情况</w:t>
      </w:r>
      <w:bookmarkEnd w:id="957"/>
    </w:p>
    <w:p w14:paraId="29F17EDD">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1.项目编号：</w:t>
      </w:r>
      <w:r>
        <w:rPr>
          <w:rFonts w:hint="eastAsia" w:asciiTheme="minorEastAsia" w:hAnsiTheme="minorEastAsia" w:eastAsiaTheme="minorEastAsia" w:cstheme="minorEastAsia"/>
          <w:color w:val="auto"/>
          <w:sz w:val="24"/>
          <w:szCs w:val="24"/>
          <w:highlight w:val="none"/>
          <w:lang w:eastAsia="zh-CN"/>
        </w:rPr>
        <w:t xml:space="preserve"> BSZC2026-C2-01124-YNWX-0064</w:t>
      </w:r>
      <w:r>
        <w:rPr>
          <w:rFonts w:hint="eastAsia" w:asciiTheme="minorEastAsia" w:hAnsiTheme="minorEastAsia" w:eastAsiaTheme="minorEastAsia" w:cstheme="minorEastAsia"/>
          <w:color w:val="auto"/>
          <w:sz w:val="24"/>
          <w:szCs w:val="24"/>
          <w:highlight w:val="none"/>
        </w:rPr>
        <w:t>。</w:t>
      </w:r>
    </w:p>
    <w:p w14:paraId="3BE8C03F">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2.项目名称：</w:t>
      </w:r>
      <w:r>
        <w:rPr>
          <w:rFonts w:hint="eastAsia" w:asciiTheme="minorEastAsia" w:hAnsiTheme="minorEastAsia" w:eastAsiaTheme="minorEastAsia" w:cstheme="minorEastAsia"/>
          <w:color w:val="auto"/>
          <w:sz w:val="24"/>
          <w:szCs w:val="24"/>
          <w:highlight w:val="none"/>
          <w:lang w:eastAsia="zh-CN"/>
        </w:rPr>
        <w:t>2026年保山市腾冲市团田乡弄玲村农村公益事业建设财政奖补项目(普惠)</w:t>
      </w:r>
      <w:r>
        <w:rPr>
          <w:rFonts w:hint="eastAsia" w:asciiTheme="minorEastAsia" w:hAnsiTheme="minorEastAsia" w:eastAsiaTheme="minorEastAsia" w:cstheme="minorEastAsia"/>
          <w:color w:val="auto"/>
          <w:sz w:val="24"/>
          <w:szCs w:val="24"/>
          <w:highlight w:val="none"/>
        </w:rPr>
        <w:t>。</w:t>
      </w:r>
    </w:p>
    <w:p w14:paraId="5940DE82">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3.采购方式：竞争性磋商。</w:t>
      </w:r>
    </w:p>
    <w:p w14:paraId="402C727F">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4.预算金额：</w:t>
      </w:r>
      <w:r>
        <w:rPr>
          <w:rFonts w:hint="eastAsia" w:asciiTheme="minorEastAsia" w:hAnsiTheme="minorEastAsia" w:eastAsiaTheme="minorEastAsia" w:cstheme="minorEastAsia"/>
          <w:color w:val="auto"/>
          <w:sz w:val="24"/>
          <w:szCs w:val="24"/>
          <w:highlight w:val="none"/>
          <w:lang w:val="en-US" w:eastAsia="zh-CN"/>
        </w:rPr>
        <w:t>820000.00</w:t>
      </w:r>
      <w:r>
        <w:rPr>
          <w:rFonts w:hint="eastAsia" w:asciiTheme="minorEastAsia" w:hAnsiTheme="minorEastAsia" w:eastAsiaTheme="minorEastAsia" w:cstheme="minorEastAsia"/>
          <w:color w:val="auto"/>
          <w:sz w:val="24"/>
          <w:szCs w:val="24"/>
          <w:highlight w:val="none"/>
        </w:rPr>
        <w:t>元。</w:t>
      </w:r>
    </w:p>
    <w:p w14:paraId="71A6D4C0">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5.最高限价：</w:t>
      </w:r>
      <w:r>
        <w:rPr>
          <w:rFonts w:hint="eastAsia" w:asciiTheme="minorEastAsia" w:hAnsiTheme="minorEastAsia" w:eastAsiaTheme="minorEastAsia" w:cstheme="minorEastAsia"/>
          <w:color w:val="auto"/>
          <w:sz w:val="24"/>
          <w:szCs w:val="24"/>
          <w:highlight w:val="none"/>
          <w:lang w:eastAsia="zh-CN"/>
        </w:rPr>
        <w:t>819385.59</w:t>
      </w:r>
      <w:r>
        <w:rPr>
          <w:rFonts w:hint="eastAsia" w:asciiTheme="minorEastAsia" w:hAnsiTheme="minorEastAsia" w:eastAsiaTheme="minorEastAsia" w:cstheme="minorEastAsia"/>
          <w:color w:val="auto"/>
          <w:sz w:val="24"/>
          <w:szCs w:val="24"/>
          <w:highlight w:val="none"/>
        </w:rPr>
        <w:t>元。</w:t>
      </w:r>
    </w:p>
    <w:p w14:paraId="53ECEC71">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6.采购需求：</w:t>
      </w:r>
      <w:r>
        <w:rPr>
          <w:rFonts w:hint="eastAsia" w:asciiTheme="minorEastAsia" w:hAnsiTheme="minorEastAsia" w:eastAsiaTheme="minorEastAsia" w:cstheme="minorEastAsia"/>
          <w:color w:val="auto"/>
          <w:sz w:val="24"/>
          <w:szCs w:val="24"/>
          <w:highlight w:val="none"/>
          <w:lang w:eastAsia="zh-CN"/>
        </w:rPr>
        <w:t>2026年保山市腾冲市团田乡弄玲村农村公益事业建设财政奖补项目(普惠)，</w:t>
      </w:r>
      <w:r>
        <w:rPr>
          <w:rFonts w:hint="eastAsia" w:asciiTheme="minorEastAsia" w:hAnsiTheme="minorEastAsia" w:eastAsiaTheme="minorEastAsia" w:cstheme="minorEastAsia"/>
          <w:color w:val="auto"/>
          <w:sz w:val="24"/>
          <w:szCs w:val="24"/>
          <w:highlight w:val="none"/>
        </w:rPr>
        <w:t>具体内容</w:t>
      </w:r>
      <w:r>
        <w:rPr>
          <w:rFonts w:hint="eastAsia" w:asciiTheme="minorEastAsia" w:hAnsiTheme="minorEastAsia" w:eastAsiaTheme="minorEastAsia" w:cstheme="minorEastAsia"/>
          <w:color w:val="auto"/>
          <w:sz w:val="24"/>
          <w:szCs w:val="24"/>
          <w:highlight w:val="none"/>
          <w:lang w:val="en-US" w:eastAsia="zh-CN"/>
        </w:rPr>
        <w:t>以</w:t>
      </w:r>
      <w:r>
        <w:rPr>
          <w:rFonts w:hint="eastAsia" w:asciiTheme="minorEastAsia" w:hAnsiTheme="minorEastAsia" w:eastAsiaTheme="minorEastAsia" w:cstheme="minorEastAsia"/>
          <w:color w:val="auto"/>
          <w:sz w:val="24"/>
          <w:szCs w:val="24"/>
          <w:highlight w:val="none"/>
        </w:rPr>
        <w:t>工程量清单及图纸文件</w:t>
      </w:r>
      <w:r>
        <w:rPr>
          <w:rFonts w:hint="eastAsia" w:asciiTheme="minorEastAsia" w:hAnsiTheme="minorEastAsia" w:eastAsiaTheme="minorEastAsia" w:cstheme="minorEastAsia"/>
          <w:color w:val="auto"/>
          <w:sz w:val="24"/>
          <w:szCs w:val="24"/>
          <w:highlight w:val="none"/>
          <w:lang w:val="en-US" w:eastAsia="zh-CN"/>
        </w:rPr>
        <w:t>为准</w:t>
      </w:r>
      <w:r>
        <w:rPr>
          <w:rFonts w:hint="eastAsia" w:asciiTheme="minorEastAsia" w:hAnsiTheme="minorEastAsia" w:eastAsiaTheme="minorEastAsia" w:cstheme="minorEastAsia"/>
          <w:color w:val="auto"/>
          <w:sz w:val="24"/>
          <w:szCs w:val="24"/>
          <w:highlight w:val="none"/>
        </w:rPr>
        <w:t>。</w:t>
      </w:r>
    </w:p>
    <w:p w14:paraId="78148958">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7.质量要求：符合国家、行业及云南省相关规范、标准的要求，一次性验收合格。</w:t>
      </w:r>
    </w:p>
    <w:p w14:paraId="6A908D43">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8.合同履行期限：</w:t>
      </w:r>
      <w:r>
        <w:rPr>
          <w:rFonts w:hint="eastAsia" w:asciiTheme="minorEastAsia" w:hAnsiTheme="minorEastAsia" w:eastAsiaTheme="minorEastAsia" w:cstheme="minorEastAsia"/>
          <w:color w:val="auto"/>
          <w:sz w:val="24"/>
          <w:szCs w:val="24"/>
          <w:highlight w:val="none"/>
          <w:lang w:val="en-US" w:eastAsia="zh-CN"/>
        </w:rPr>
        <w:t>合同签订后90个日历天内完成</w:t>
      </w:r>
      <w:r>
        <w:rPr>
          <w:rFonts w:hint="eastAsia" w:asciiTheme="minorEastAsia" w:hAnsiTheme="minorEastAsia" w:eastAsiaTheme="minorEastAsia" w:cstheme="minorEastAsia"/>
          <w:color w:val="auto"/>
          <w:sz w:val="24"/>
          <w:szCs w:val="24"/>
          <w:highlight w:val="none"/>
        </w:rPr>
        <w:t>。</w:t>
      </w:r>
    </w:p>
    <w:p w14:paraId="486568CB">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9.工程地点：</w:t>
      </w:r>
      <w:r>
        <w:rPr>
          <w:rFonts w:hint="eastAsia" w:asciiTheme="minorEastAsia" w:hAnsiTheme="minorEastAsia" w:eastAsiaTheme="minorEastAsia" w:cstheme="minorEastAsia"/>
          <w:color w:val="auto"/>
          <w:sz w:val="24"/>
          <w:szCs w:val="24"/>
          <w:highlight w:val="none"/>
          <w:lang w:val="en-US" w:eastAsia="zh-CN"/>
        </w:rPr>
        <w:t>腾冲市</w:t>
      </w:r>
      <w:r>
        <w:rPr>
          <w:rFonts w:hint="eastAsia" w:asciiTheme="minorEastAsia" w:hAnsiTheme="minorEastAsia" w:eastAsiaTheme="minorEastAsia" w:cstheme="minorEastAsia"/>
          <w:color w:val="auto"/>
          <w:sz w:val="24"/>
          <w:szCs w:val="24"/>
          <w:highlight w:val="none"/>
        </w:rPr>
        <w:t>（采购人指定地点）。</w:t>
      </w:r>
    </w:p>
    <w:p w14:paraId="3688D627">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10.资格审查方式：资格后审。</w:t>
      </w:r>
    </w:p>
    <w:p w14:paraId="467D176A">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11.本项目不接受联合体参与磋商。</w:t>
      </w:r>
    </w:p>
    <w:p w14:paraId="27B3314D">
      <w:pPr>
        <w:pStyle w:val="4"/>
        <w:numPr>
          <w:ilvl w:val="0"/>
          <w:numId w:val="0"/>
        </w:numPr>
        <w:tabs>
          <w:tab w:val="left" w:pos="1665"/>
          <w:tab w:val="clear" w:pos="3690"/>
        </w:tabs>
        <w:spacing w:before="0" w:after="0" w:line="360" w:lineRule="auto"/>
        <w:rPr>
          <w:rFonts w:hint="default" w:asciiTheme="minorEastAsia" w:hAnsiTheme="minorEastAsia" w:eastAsiaTheme="minorEastAsia" w:cstheme="minorEastAsia"/>
          <w:color w:val="auto"/>
          <w:sz w:val="24"/>
          <w:szCs w:val="24"/>
          <w:highlight w:val="none"/>
          <w:lang w:val="en-US" w:eastAsia="zh-CN"/>
        </w:rPr>
      </w:pPr>
      <w:bookmarkStart w:id="958" w:name="_Toc26749"/>
      <w:r>
        <w:rPr>
          <w:rFonts w:hint="eastAsia" w:asciiTheme="minorEastAsia" w:hAnsiTheme="minorEastAsia" w:eastAsiaTheme="minorEastAsia" w:cstheme="minorEastAsia"/>
          <w:color w:val="auto"/>
          <w:sz w:val="24"/>
          <w:szCs w:val="24"/>
          <w:highlight w:val="none"/>
          <w:lang w:val="en-US" w:eastAsia="zh-CN"/>
        </w:rPr>
        <w:t>二、其他商务要求</w:t>
      </w:r>
      <w:bookmarkEnd w:id="958"/>
    </w:p>
    <w:p w14:paraId="73AB173A">
      <w:pPr>
        <w:widowControl/>
        <w:kinsoku w:val="0"/>
        <w:autoSpaceDE w:val="0"/>
        <w:autoSpaceDN w:val="0"/>
        <w:adjustRightInd w:val="0"/>
        <w:snapToGrid w:val="0"/>
        <w:spacing w:line="500" w:lineRule="exact"/>
        <w:ind w:firstLine="480" w:firstLineChars="200"/>
        <w:jc w:val="left"/>
        <w:textAlignment w:val="baseline"/>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sz w:val="24"/>
          <w:szCs w:val="24"/>
          <w:highlight w:val="none"/>
          <w:lang w:val="en-US" w:eastAsia="zh-CN"/>
        </w:rPr>
        <w:t>1.</w:t>
      </w:r>
      <w:r>
        <w:rPr>
          <w:rFonts w:hint="default" w:asciiTheme="minorEastAsia" w:hAnsiTheme="minorEastAsia" w:eastAsiaTheme="minorEastAsia" w:cstheme="minorEastAsia"/>
          <w:snapToGrid w:val="0"/>
          <w:color w:val="auto"/>
          <w:kern w:val="0"/>
          <w:sz w:val="24"/>
          <w:szCs w:val="24"/>
          <w:highlight w:val="none"/>
          <w:lang w:val="en-US" w:eastAsia="zh-CN"/>
        </w:rPr>
        <w:t>质量及售后服务要求：质保期符合国家及云南省相关规范要求。</w:t>
      </w:r>
    </w:p>
    <w:p w14:paraId="0B87F294">
      <w:pPr>
        <w:widowControl/>
        <w:kinsoku w:val="0"/>
        <w:autoSpaceDE w:val="0"/>
        <w:autoSpaceDN w:val="0"/>
        <w:adjustRightInd w:val="0"/>
        <w:snapToGrid w:val="0"/>
        <w:spacing w:line="500" w:lineRule="exact"/>
        <w:ind w:firstLine="480" w:firstLineChars="200"/>
        <w:jc w:val="left"/>
        <w:textAlignment w:val="baseline"/>
        <w:rPr>
          <w:rFonts w:hint="default" w:asciiTheme="minorEastAsia" w:hAnsiTheme="minorEastAsia" w:eastAsiaTheme="minorEastAsia" w:cstheme="minorEastAsia"/>
          <w:snapToGrid w:val="0"/>
          <w:color w:val="auto"/>
          <w:kern w:val="0"/>
          <w:sz w:val="24"/>
          <w:szCs w:val="24"/>
          <w:highlight w:val="none"/>
          <w:lang w:val="en-US"/>
        </w:rPr>
      </w:pPr>
      <w:r>
        <w:rPr>
          <w:rFonts w:hint="eastAsia" w:asciiTheme="minorEastAsia" w:hAnsiTheme="minorEastAsia" w:eastAsiaTheme="minorEastAsia" w:cstheme="minorEastAsia"/>
          <w:snapToGrid w:val="0"/>
          <w:color w:val="auto"/>
          <w:kern w:val="0"/>
          <w:sz w:val="24"/>
          <w:szCs w:val="24"/>
          <w:highlight w:val="none"/>
          <w:lang w:val="en-US" w:eastAsia="zh-CN"/>
        </w:rPr>
        <w:t>2.</w:t>
      </w:r>
      <w:r>
        <w:rPr>
          <w:rFonts w:hint="default" w:asciiTheme="minorEastAsia" w:hAnsiTheme="minorEastAsia" w:eastAsiaTheme="minorEastAsia" w:cstheme="minorEastAsia"/>
          <w:snapToGrid w:val="0"/>
          <w:color w:val="auto"/>
          <w:kern w:val="0"/>
          <w:sz w:val="24"/>
          <w:szCs w:val="24"/>
          <w:highlight w:val="none"/>
          <w:lang w:val="en-US" w:eastAsia="zh-CN"/>
        </w:rPr>
        <w:t>验收要求：一次性验收合格</w:t>
      </w:r>
      <w:r>
        <w:rPr>
          <w:rFonts w:hint="eastAsia" w:asciiTheme="minorEastAsia" w:hAnsiTheme="minorEastAsia" w:eastAsiaTheme="minorEastAsia" w:cstheme="minorEastAsia"/>
          <w:snapToGrid w:val="0"/>
          <w:color w:val="auto"/>
          <w:kern w:val="0"/>
          <w:sz w:val="24"/>
          <w:szCs w:val="24"/>
          <w:highlight w:val="none"/>
          <w:lang w:val="en-US" w:eastAsia="zh-CN"/>
        </w:rPr>
        <w:t>。</w:t>
      </w:r>
    </w:p>
    <w:p w14:paraId="30D3B556">
      <w:pPr>
        <w:widowControl/>
        <w:kinsoku w:val="0"/>
        <w:autoSpaceDE w:val="0"/>
        <w:autoSpaceDN w:val="0"/>
        <w:adjustRightInd w:val="0"/>
        <w:snapToGrid w:val="0"/>
        <w:spacing w:line="500" w:lineRule="exact"/>
        <w:ind w:firstLine="480" w:firstLineChars="200"/>
        <w:jc w:val="left"/>
        <w:textAlignment w:val="baseline"/>
        <w:rPr>
          <w:rFonts w:hint="eastAsia" w:asciiTheme="minorEastAsia" w:hAnsiTheme="minorEastAsia" w:eastAsiaTheme="minorEastAsia" w:cstheme="minorEastAsia"/>
          <w:snapToGrid w:val="0"/>
          <w:color w:val="auto"/>
          <w:kern w:val="0"/>
          <w:sz w:val="24"/>
          <w:szCs w:val="24"/>
          <w:highlight w:val="none"/>
          <w:lang w:val="en-US" w:eastAsia="zh-CN"/>
        </w:rPr>
      </w:pPr>
      <w:r>
        <w:rPr>
          <w:rFonts w:hint="eastAsia" w:asciiTheme="minorEastAsia" w:hAnsiTheme="minorEastAsia" w:eastAsiaTheme="minorEastAsia" w:cstheme="minorEastAsia"/>
          <w:snapToGrid w:val="0"/>
          <w:color w:val="auto"/>
          <w:kern w:val="0"/>
          <w:sz w:val="24"/>
          <w:szCs w:val="24"/>
          <w:highlight w:val="none"/>
          <w:lang w:val="en-US" w:eastAsia="zh-CN"/>
        </w:rPr>
        <w:t>3.</w:t>
      </w:r>
      <w:r>
        <w:rPr>
          <w:rFonts w:hint="default" w:asciiTheme="minorEastAsia" w:hAnsiTheme="minorEastAsia" w:eastAsiaTheme="minorEastAsia" w:cstheme="minorEastAsia"/>
          <w:snapToGrid w:val="0"/>
          <w:color w:val="auto"/>
          <w:kern w:val="0"/>
          <w:sz w:val="24"/>
          <w:szCs w:val="24"/>
          <w:highlight w:val="none"/>
          <w:lang w:val="en-US" w:eastAsia="zh-CN"/>
        </w:rPr>
        <w:t>财务要求</w:t>
      </w:r>
      <w:r>
        <w:rPr>
          <w:rFonts w:hint="eastAsia" w:asciiTheme="minorEastAsia" w:hAnsiTheme="minorEastAsia" w:eastAsiaTheme="minorEastAsia" w:cstheme="minorEastAsia"/>
          <w:snapToGrid w:val="0"/>
          <w:color w:val="auto"/>
          <w:kern w:val="0"/>
          <w:sz w:val="24"/>
          <w:szCs w:val="24"/>
          <w:highlight w:val="none"/>
          <w:lang w:val="en-US" w:eastAsia="zh-CN"/>
        </w:rPr>
        <w:t>：</w:t>
      </w:r>
      <w:r>
        <w:rPr>
          <w:rFonts w:hint="default" w:asciiTheme="minorEastAsia" w:hAnsiTheme="minorEastAsia" w:eastAsiaTheme="minorEastAsia" w:cstheme="minorEastAsia"/>
          <w:snapToGrid w:val="0"/>
          <w:color w:val="auto"/>
          <w:kern w:val="0"/>
          <w:sz w:val="24"/>
          <w:szCs w:val="24"/>
          <w:highlight w:val="none"/>
          <w:lang w:val="en-US" w:eastAsia="zh-CN"/>
        </w:rPr>
        <w:t>定价方式：□固定总价  ☑固定单价 □其</w:t>
      </w:r>
      <w:r>
        <w:rPr>
          <w:rFonts w:hint="eastAsia" w:asciiTheme="minorEastAsia" w:hAnsiTheme="minorEastAsia" w:eastAsiaTheme="minorEastAsia" w:cstheme="minorEastAsia"/>
          <w:snapToGrid w:val="0"/>
          <w:color w:val="auto"/>
          <w:kern w:val="0"/>
          <w:sz w:val="24"/>
          <w:szCs w:val="24"/>
          <w:highlight w:val="none"/>
          <w:lang w:val="en-US" w:eastAsia="zh-CN"/>
        </w:rPr>
        <w:t>它</w:t>
      </w:r>
    </w:p>
    <w:p w14:paraId="50543A0D">
      <w:pPr>
        <w:widowControl/>
        <w:kinsoku w:val="0"/>
        <w:autoSpaceDE w:val="0"/>
        <w:autoSpaceDN w:val="0"/>
        <w:adjustRightInd w:val="0"/>
        <w:snapToGrid w:val="0"/>
        <w:spacing w:line="500" w:lineRule="exact"/>
        <w:ind w:firstLine="480" w:firstLineChars="200"/>
        <w:jc w:val="left"/>
        <w:textAlignment w:val="baseline"/>
        <w:rPr>
          <w:rFonts w:hint="default" w:asciiTheme="minorEastAsia" w:hAnsiTheme="minorEastAsia" w:eastAsiaTheme="minorEastAsia" w:cstheme="minorEastAsia"/>
          <w:snapToGrid w:val="0"/>
          <w:color w:val="auto"/>
          <w:kern w:val="0"/>
          <w:sz w:val="24"/>
          <w:szCs w:val="24"/>
          <w:highlight w:val="none"/>
          <w:lang w:val="en-US"/>
        </w:rPr>
      </w:pPr>
      <w:r>
        <w:rPr>
          <w:rFonts w:hint="eastAsia" w:asciiTheme="minorEastAsia" w:hAnsiTheme="minorEastAsia" w:eastAsiaTheme="minorEastAsia" w:cstheme="minorEastAsia"/>
          <w:snapToGrid w:val="0"/>
          <w:color w:val="auto"/>
          <w:kern w:val="0"/>
          <w:sz w:val="24"/>
          <w:szCs w:val="24"/>
          <w:highlight w:val="none"/>
          <w:lang w:val="en-US" w:eastAsia="zh-CN"/>
        </w:rPr>
        <w:t>4.</w:t>
      </w:r>
      <w:r>
        <w:rPr>
          <w:rFonts w:hint="default" w:asciiTheme="minorEastAsia" w:hAnsiTheme="minorEastAsia" w:eastAsiaTheme="minorEastAsia" w:cstheme="minorEastAsia"/>
          <w:snapToGrid w:val="0"/>
          <w:color w:val="auto"/>
          <w:kern w:val="0"/>
          <w:sz w:val="24"/>
          <w:szCs w:val="24"/>
          <w:highlight w:val="none"/>
          <w:lang w:val="en-US" w:eastAsia="zh-CN"/>
        </w:rPr>
        <w:t>付款条件（进度和方式）：</w:t>
      </w:r>
      <w:r>
        <w:rPr>
          <w:rFonts w:hint="eastAsia" w:asciiTheme="minorEastAsia" w:hAnsiTheme="minorEastAsia" w:eastAsiaTheme="minorEastAsia" w:cstheme="minorEastAsia"/>
          <w:snapToGrid w:val="0"/>
          <w:color w:val="auto"/>
          <w:kern w:val="0"/>
          <w:sz w:val="24"/>
          <w:szCs w:val="24"/>
          <w:highlight w:val="none"/>
          <w:lang w:val="en-US" w:eastAsia="zh-CN"/>
        </w:rPr>
        <w:t>双方合同约定</w:t>
      </w:r>
    </w:p>
    <w:p w14:paraId="79AD9881">
      <w:pPr>
        <w:widowControl/>
        <w:kinsoku w:val="0"/>
        <w:autoSpaceDE w:val="0"/>
        <w:autoSpaceDN w:val="0"/>
        <w:adjustRightInd w:val="0"/>
        <w:snapToGrid w:val="0"/>
        <w:spacing w:line="500" w:lineRule="exact"/>
        <w:ind w:firstLine="480" w:firstLineChars="200"/>
        <w:jc w:val="left"/>
        <w:textAlignment w:val="baseline"/>
        <w:rPr>
          <w:rFonts w:hint="default" w:asciiTheme="minorEastAsia" w:hAnsiTheme="minorEastAsia" w:eastAsiaTheme="minorEastAsia" w:cstheme="minorEastAsia"/>
          <w:snapToGrid w:val="0"/>
          <w:color w:val="auto"/>
          <w:kern w:val="0"/>
          <w:sz w:val="24"/>
          <w:szCs w:val="24"/>
          <w:highlight w:val="none"/>
          <w:lang w:val="en-US"/>
        </w:rPr>
      </w:pPr>
      <w:r>
        <w:rPr>
          <w:rFonts w:hint="eastAsia" w:asciiTheme="minorEastAsia" w:hAnsiTheme="minorEastAsia" w:eastAsiaTheme="minorEastAsia" w:cstheme="minorEastAsia"/>
          <w:snapToGrid w:val="0"/>
          <w:color w:val="auto"/>
          <w:kern w:val="0"/>
          <w:sz w:val="24"/>
          <w:szCs w:val="24"/>
          <w:highlight w:val="none"/>
          <w:lang w:val="en-US" w:eastAsia="zh-CN"/>
        </w:rPr>
        <w:t>（1）</w:t>
      </w:r>
      <w:r>
        <w:rPr>
          <w:rFonts w:hint="default" w:asciiTheme="minorEastAsia" w:hAnsiTheme="minorEastAsia" w:eastAsiaTheme="minorEastAsia" w:cstheme="minorEastAsia"/>
          <w:snapToGrid w:val="0"/>
          <w:color w:val="auto"/>
          <w:kern w:val="0"/>
          <w:sz w:val="24"/>
          <w:szCs w:val="24"/>
          <w:highlight w:val="none"/>
          <w:lang w:val="en-US" w:eastAsia="zh-CN"/>
        </w:rPr>
        <w:t>履约保证金：</w:t>
      </w:r>
      <w:r>
        <w:rPr>
          <w:rFonts w:hint="eastAsia" w:asciiTheme="minorEastAsia" w:hAnsiTheme="minorEastAsia" w:eastAsiaTheme="minorEastAsia" w:cstheme="minorEastAsia"/>
          <w:snapToGrid w:val="0"/>
          <w:color w:val="auto"/>
          <w:kern w:val="0"/>
          <w:sz w:val="24"/>
          <w:szCs w:val="24"/>
          <w:highlight w:val="none"/>
          <w:lang w:val="en-US" w:eastAsia="zh-CN"/>
        </w:rPr>
        <w:t>双方合同约定。</w:t>
      </w:r>
    </w:p>
    <w:p w14:paraId="0FFBAF06">
      <w:pPr>
        <w:widowControl/>
        <w:kinsoku w:val="0"/>
        <w:autoSpaceDE w:val="0"/>
        <w:autoSpaceDN w:val="0"/>
        <w:adjustRightInd w:val="0"/>
        <w:snapToGrid w:val="0"/>
        <w:spacing w:line="500" w:lineRule="exact"/>
        <w:ind w:firstLine="480" w:firstLineChars="200"/>
        <w:jc w:val="left"/>
        <w:textAlignment w:val="baseline"/>
        <w:rPr>
          <w:rFonts w:hint="default" w:asciiTheme="minorEastAsia" w:hAnsiTheme="minorEastAsia" w:eastAsiaTheme="minorEastAsia" w:cstheme="minorEastAsia"/>
          <w:snapToGrid w:val="0"/>
          <w:color w:val="auto"/>
          <w:kern w:val="0"/>
          <w:sz w:val="24"/>
          <w:szCs w:val="24"/>
          <w:highlight w:val="none"/>
          <w:lang w:val="en-US" w:eastAsia="zh-CN"/>
        </w:rPr>
      </w:pPr>
      <w:r>
        <w:rPr>
          <w:rFonts w:hint="eastAsia" w:asciiTheme="minorEastAsia" w:hAnsiTheme="minorEastAsia" w:eastAsiaTheme="minorEastAsia" w:cstheme="minorEastAsia"/>
          <w:snapToGrid w:val="0"/>
          <w:color w:val="auto"/>
          <w:kern w:val="0"/>
          <w:sz w:val="24"/>
          <w:szCs w:val="24"/>
          <w:highlight w:val="none"/>
          <w:lang w:val="en-US" w:eastAsia="zh-CN"/>
        </w:rPr>
        <w:t>（2）</w:t>
      </w:r>
      <w:r>
        <w:rPr>
          <w:rFonts w:hint="default" w:asciiTheme="minorEastAsia" w:hAnsiTheme="minorEastAsia" w:eastAsiaTheme="minorEastAsia" w:cstheme="minorEastAsia"/>
          <w:snapToGrid w:val="0"/>
          <w:color w:val="auto"/>
          <w:kern w:val="0"/>
          <w:sz w:val="24"/>
          <w:szCs w:val="24"/>
          <w:highlight w:val="none"/>
          <w:lang w:val="en-US" w:eastAsia="zh-CN"/>
        </w:rPr>
        <w:t>质量保证金：</w:t>
      </w:r>
      <w:r>
        <w:rPr>
          <w:rFonts w:hint="eastAsia" w:asciiTheme="minorEastAsia" w:hAnsiTheme="minorEastAsia" w:eastAsiaTheme="minorEastAsia" w:cstheme="minorEastAsia"/>
          <w:snapToGrid w:val="0"/>
          <w:color w:val="auto"/>
          <w:kern w:val="0"/>
          <w:sz w:val="24"/>
          <w:szCs w:val="24"/>
          <w:highlight w:val="none"/>
          <w:lang w:val="en-US" w:eastAsia="zh-CN"/>
        </w:rPr>
        <w:t>双方合同约定</w:t>
      </w:r>
      <w:r>
        <w:rPr>
          <w:rFonts w:hint="default" w:asciiTheme="minorEastAsia" w:hAnsiTheme="minorEastAsia" w:eastAsiaTheme="minorEastAsia" w:cstheme="minorEastAsia"/>
          <w:snapToGrid w:val="0"/>
          <w:color w:val="auto"/>
          <w:kern w:val="0"/>
          <w:sz w:val="24"/>
          <w:szCs w:val="24"/>
          <w:highlight w:val="none"/>
          <w:lang w:val="en-US" w:eastAsia="zh-CN"/>
        </w:rPr>
        <w:t>。</w:t>
      </w:r>
    </w:p>
    <w:p w14:paraId="35B3A269">
      <w:pPr>
        <w:pStyle w:val="4"/>
        <w:numPr>
          <w:ilvl w:val="0"/>
          <w:numId w:val="0"/>
        </w:numPr>
        <w:tabs>
          <w:tab w:val="left" w:pos="1665"/>
          <w:tab w:val="clear" w:pos="3690"/>
        </w:tabs>
        <w:spacing w:before="0" w:after="0" w:line="360" w:lineRule="auto"/>
        <w:rPr>
          <w:rFonts w:hint="default" w:asciiTheme="minorEastAsia" w:hAnsiTheme="minorEastAsia" w:eastAsiaTheme="minorEastAsia" w:cstheme="minorEastAsia"/>
          <w:color w:val="auto"/>
          <w:sz w:val="24"/>
          <w:szCs w:val="24"/>
          <w:highlight w:val="none"/>
          <w:lang w:val="en-US" w:eastAsia="zh-CN"/>
        </w:rPr>
      </w:pPr>
      <w:bookmarkStart w:id="959" w:name="_Toc19459"/>
      <w:r>
        <w:rPr>
          <w:rFonts w:hint="eastAsia" w:asciiTheme="minorEastAsia" w:hAnsiTheme="minorEastAsia" w:eastAsiaTheme="minorEastAsia" w:cstheme="minorEastAsia"/>
          <w:color w:val="auto"/>
          <w:sz w:val="24"/>
          <w:szCs w:val="24"/>
          <w:highlight w:val="none"/>
          <w:lang w:val="en-US" w:eastAsia="zh-CN"/>
        </w:rPr>
        <w:t>三、工程量清单及图纸文件</w:t>
      </w:r>
      <w:bookmarkEnd w:id="959"/>
    </w:p>
    <w:p w14:paraId="4A530CF7">
      <w:pPr>
        <w:widowControl/>
        <w:kinsoku w:val="0"/>
        <w:autoSpaceDE w:val="0"/>
        <w:autoSpaceDN w:val="0"/>
        <w:adjustRightInd w:val="0"/>
        <w:snapToGrid w:val="0"/>
        <w:spacing w:line="500" w:lineRule="exact"/>
        <w:ind w:firstLine="480" w:firstLineChars="200"/>
        <w:jc w:val="left"/>
        <w:textAlignment w:val="baseline"/>
        <w:rPr>
          <w:rFonts w:hint="eastAsia" w:asciiTheme="minorEastAsia" w:hAnsiTheme="minorEastAsia" w:eastAsiaTheme="minorEastAsia" w:cstheme="minorEastAsia"/>
          <w:snapToGrid w:val="0"/>
          <w:color w:val="auto"/>
          <w:kern w:val="0"/>
          <w:sz w:val="24"/>
          <w:szCs w:val="24"/>
          <w:highlight w:val="none"/>
        </w:rPr>
      </w:pPr>
      <w:r>
        <w:rPr>
          <w:rFonts w:hint="eastAsia" w:asciiTheme="minorEastAsia" w:hAnsiTheme="minorEastAsia" w:eastAsiaTheme="minorEastAsia" w:cstheme="minorEastAsia"/>
          <w:snapToGrid w:val="0"/>
          <w:color w:val="auto"/>
          <w:kern w:val="0"/>
          <w:sz w:val="24"/>
          <w:szCs w:val="24"/>
          <w:highlight w:val="none"/>
          <w:lang w:val="en-US" w:eastAsia="zh-CN"/>
        </w:rPr>
        <w:t>1.本次采购内容</w:t>
      </w:r>
      <w:r>
        <w:rPr>
          <w:rFonts w:hint="eastAsia" w:asciiTheme="minorEastAsia" w:hAnsiTheme="minorEastAsia" w:eastAsiaTheme="minorEastAsia" w:cstheme="minorEastAsia"/>
          <w:snapToGrid w:val="0"/>
          <w:color w:val="auto"/>
          <w:kern w:val="0"/>
          <w:sz w:val="24"/>
          <w:szCs w:val="24"/>
          <w:highlight w:val="none"/>
        </w:rPr>
        <w:t>具体内容和要求详见工程量清单及图纸文件，其余未尽事宜按照国家和云南省相关法律法规执行。</w:t>
      </w:r>
    </w:p>
    <w:p w14:paraId="1D52424F">
      <w:pPr>
        <w:widowControl/>
        <w:kinsoku w:val="0"/>
        <w:autoSpaceDE w:val="0"/>
        <w:autoSpaceDN w:val="0"/>
        <w:adjustRightInd w:val="0"/>
        <w:snapToGrid w:val="0"/>
        <w:spacing w:line="500" w:lineRule="exact"/>
        <w:ind w:firstLine="480" w:firstLineChars="200"/>
        <w:jc w:val="left"/>
        <w:textAlignment w:val="baseline"/>
        <w:rPr>
          <w:rFonts w:hint="default" w:asciiTheme="minorEastAsia" w:hAnsiTheme="minorEastAsia" w:eastAsiaTheme="minorEastAsia" w:cstheme="minorEastAsia"/>
          <w:snapToGrid w:val="0"/>
          <w:color w:val="auto"/>
          <w:kern w:val="0"/>
          <w:sz w:val="24"/>
          <w:szCs w:val="24"/>
          <w:highlight w:val="none"/>
          <w:lang w:val="en-US" w:eastAsia="zh-CN"/>
        </w:rPr>
      </w:pPr>
      <w:r>
        <w:rPr>
          <w:rFonts w:hint="eastAsia" w:asciiTheme="minorEastAsia" w:hAnsiTheme="minorEastAsia" w:eastAsiaTheme="minorEastAsia" w:cstheme="minorEastAsia"/>
          <w:snapToGrid w:val="0"/>
          <w:color w:val="auto"/>
          <w:kern w:val="0"/>
          <w:sz w:val="24"/>
          <w:szCs w:val="24"/>
          <w:highlight w:val="none"/>
          <w:lang w:val="en-US" w:eastAsia="zh-CN"/>
        </w:rPr>
        <w:t>2.</w:t>
      </w:r>
      <w:r>
        <w:rPr>
          <w:rFonts w:hint="eastAsia" w:asciiTheme="minorEastAsia" w:hAnsiTheme="minorEastAsia" w:eastAsiaTheme="minorEastAsia" w:cstheme="minorEastAsia"/>
          <w:snapToGrid w:val="0"/>
          <w:color w:val="auto"/>
          <w:kern w:val="0"/>
          <w:sz w:val="24"/>
          <w:szCs w:val="24"/>
          <w:highlight w:val="none"/>
        </w:rPr>
        <w:t>工程量清单及图纸文件</w:t>
      </w:r>
      <w:r>
        <w:rPr>
          <w:rFonts w:hint="eastAsia" w:asciiTheme="minorEastAsia" w:hAnsiTheme="minorEastAsia" w:eastAsiaTheme="minorEastAsia" w:cstheme="minorEastAsia"/>
          <w:snapToGrid w:val="0"/>
          <w:color w:val="auto"/>
          <w:kern w:val="0"/>
          <w:sz w:val="24"/>
          <w:szCs w:val="24"/>
          <w:highlight w:val="none"/>
          <w:lang w:val="en-US" w:eastAsia="zh-CN"/>
        </w:rPr>
        <w:t>另册提供。</w:t>
      </w:r>
    </w:p>
    <w:p w14:paraId="78278E24">
      <w:pPr>
        <w:widowControl/>
        <w:kinsoku w:val="0"/>
        <w:autoSpaceDE w:val="0"/>
        <w:autoSpaceDN w:val="0"/>
        <w:adjustRightInd w:val="0"/>
        <w:snapToGrid w:val="0"/>
        <w:spacing w:line="500" w:lineRule="exact"/>
        <w:ind w:firstLine="480" w:firstLineChars="200"/>
        <w:jc w:val="left"/>
        <w:textAlignment w:val="baseline"/>
        <w:rPr>
          <w:rFonts w:hint="eastAsia" w:asciiTheme="minorEastAsia" w:hAnsiTheme="minorEastAsia" w:eastAsiaTheme="minorEastAsia" w:cstheme="minorEastAsia"/>
          <w:snapToGrid w:val="0"/>
          <w:color w:val="auto"/>
          <w:kern w:val="0"/>
          <w:sz w:val="24"/>
          <w:szCs w:val="24"/>
          <w:highlight w:val="none"/>
        </w:rPr>
      </w:pPr>
    </w:p>
    <w:p w14:paraId="350B2807">
      <w:pPr>
        <w:pStyle w:val="3"/>
        <w:numPr>
          <w:ilvl w:val="0"/>
          <w:numId w:val="0"/>
        </w:numPr>
        <w:tabs>
          <w:tab w:val="clear" w:pos="1665"/>
        </w:tabs>
        <w:spacing w:line="400" w:lineRule="exact"/>
        <w:jc w:val="center"/>
        <w:rPr>
          <w:rFonts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br w:type="page"/>
      </w:r>
      <w:bookmarkStart w:id="960" w:name="_Toc28721"/>
      <w:bookmarkStart w:id="961" w:name="_Toc4444"/>
      <w:bookmarkStart w:id="962" w:name="_Toc26753"/>
      <w:r>
        <w:rPr>
          <w:rFonts w:hint="eastAsia" w:asciiTheme="minorEastAsia" w:hAnsiTheme="minorEastAsia" w:eastAsiaTheme="minorEastAsia" w:cstheme="minorEastAsia"/>
          <w:color w:val="auto"/>
          <w:sz w:val="32"/>
          <w:highlight w:val="none"/>
        </w:rPr>
        <w:t>第六章 磋商程序和方法（综合评分法）</w:t>
      </w:r>
      <w:bookmarkEnd w:id="960"/>
      <w:bookmarkEnd w:id="961"/>
      <w:bookmarkEnd w:id="962"/>
    </w:p>
    <w:p w14:paraId="7C4816A1">
      <w:pPr>
        <w:pStyle w:val="4"/>
        <w:numPr>
          <w:ilvl w:val="0"/>
          <w:numId w:val="0"/>
        </w:numPr>
        <w:tabs>
          <w:tab w:val="clear" w:pos="3690"/>
        </w:tabs>
        <w:spacing w:before="0" w:after="0" w:line="440" w:lineRule="exact"/>
        <w:jc w:val="center"/>
        <w:rPr>
          <w:rFonts w:asciiTheme="minorEastAsia" w:hAnsiTheme="minorEastAsia" w:eastAsiaTheme="minorEastAsia" w:cstheme="minorEastAsia"/>
          <w:color w:val="auto"/>
          <w:sz w:val="28"/>
          <w:szCs w:val="28"/>
          <w:highlight w:val="none"/>
        </w:rPr>
      </w:pPr>
      <w:bookmarkStart w:id="963" w:name="_Toc27413"/>
      <w:bookmarkStart w:id="964" w:name="_Toc19093"/>
      <w:r>
        <w:rPr>
          <w:rFonts w:hint="eastAsia" w:asciiTheme="minorEastAsia" w:hAnsiTheme="minorEastAsia" w:eastAsiaTheme="minorEastAsia" w:cstheme="minorEastAsia"/>
          <w:color w:val="auto"/>
          <w:sz w:val="28"/>
          <w:szCs w:val="28"/>
          <w:highlight w:val="none"/>
        </w:rPr>
        <w:t>磋商程序和方法前附表</w:t>
      </w:r>
      <w:bookmarkEnd w:id="963"/>
      <w:bookmarkEnd w:id="964"/>
    </w:p>
    <w:tbl>
      <w:tblPr>
        <w:tblStyle w:val="27"/>
        <w:tblW w:w="10354"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23" w:type="dxa"/>
          <w:bottom w:w="0" w:type="dxa"/>
          <w:right w:w="23" w:type="dxa"/>
        </w:tblCellMar>
      </w:tblPr>
      <w:tblGrid>
        <w:gridCol w:w="741"/>
        <w:gridCol w:w="1035"/>
        <w:gridCol w:w="1405"/>
        <w:gridCol w:w="7173"/>
      </w:tblGrid>
      <w:tr w14:paraId="1BBEBBF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trHeight w:val="567" w:hRule="atLeast"/>
          <w:jc w:val="center"/>
        </w:trPr>
        <w:tc>
          <w:tcPr>
            <w:tcW w:w="1776" w:type="dxa"/>
            <w:gridSpan w:val="2"/>
            <w:tcBorders>
              <w:tl2br w:val="nil"/>
              <w:tr2bl w:val="nil"/>
            </w:tcBorders>
            <w:vAlign w:val="center"/>
          </w:tcPr>
          <w:p w14:paraId="081B18AD">
            <w:pPr>
              <w:spacing w:line="320" w:lineRule="exact"/>
              <w:jc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条款号</w:t>
            </w:r>
          </w:p>
        </w:tc>
        <w:tc>
          <w:tcPr>
            <w:tcW w:w="1405" w:type="dxa"/>
            <w:tcBorders>
              <w:tl2br w:val="nil"/>
              <w:tr2bl w:val="nil"/>
            </w:tcBorders>
            <w:vAlign w:val="center"/>
          </w:tcPr>
          <w:p w14:paraId="5B036CD1">
            <w:pPr>
              <w:spacing w:line="320" w:lineRule="exact"/>
              <w:jc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评 审 因 素</w:t>
            </w:r>
          </w:p>
        </w:tc>
        <w:tc>
          <w:tcPr>
            <w:tcW w:w="7173" w:type="dxa"/>
            <w:tcBorders>
              <w:tl2br w:val="nil"/>
              <w:tr2bl w:val="nil"/>
            </w:tcBorders>
            <w:vAlign w:val="center"/>
          </w:tcPr>
          <w:p w14:paraId="7FCF209A">
            <w:pPr>
              <w:spacing w:line="320" w:lineRule="exact"/>
              <w:jc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评 审 标 准</w:t>
            </w:r>
          </w:p>
        </w:tc>
      </w:tr>
      <w:tr w14:paraId="1D3F92E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741" w:type="dxa"/>
            <w:tcBorders>
              <w:tl2br w:val="nil"/>
              <w:tr2bl w:val="nil"/>
            </w:tcBorders>
            <w:vAlign w:val="center"/>
          </w:tcPr>
          <w:p w14:paraId="1F188EF9">
            <w:pPr>
              <w:spacing w:line="320" w:lineRule="exact"/>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2.1.1</w:t>
            </w:r>
          </w:p>
        </w:tc>
        <w:tc>
          <w:tcPr>
            <w:tcW w:w="1035" w:type="dxa"/>
            <w:tcBorders>
              <w:tl2br w:val="nil"/>
              <w:tr2bl w:val="nil"/>
            </w:tcBorders>
            <w:vAlign w:val="center"/>
          </w:tcPr>
          <w:p w14:paraId="3BF23A12">
            <w:pPr>
              <w:spacing w:line="320"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资格评审</w:t>
            </w:r>
          </w:p>
          <w:p w14:paraId="70D28D42">
            <w:pPr>
              <w:spacing w:line="320"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标准</w:t>
            </w:r>
          </w:p>
        </w:tc>
        <w:tc>
          <w:tcPr>
            <w:tcW w:w="1405" w:type="dxa"/>
            <w:tcBorders>
              <w:tl2br w:val="nil"/>
              <w:tr2bl w:val="nil"/>
            </w:tcBorders>
            <w:vAlign w:val="center"/>
          </w:tcPr>
          <w:p w14:paraId="3B286343">
            <w:pPr>
              <w:spacing w:before="100" w:beforeAutospacing="1" w:after="100" w:afterAutospacing="1"/>
              <w:jc w:val="center"/>
              <w:rPr>
                <w:rFonts w:asciiTheme="minorEastAsia" w:hAnsiTheme="minorEastAsia" w:eastAsiaTheme="minorEastAsia" w:cstheme="minorEastAsia"/>
                <w:color w:val="auto"/>
                <w:szCs w:val="21"/>
                <w:highlight w:val="none"/>
              </w:rPr>
            </w:pPr>
            <w:r>
              <w:rPr>
                <w:color w:val="auto"/>
                <w:szCs w:val="21"/>
                <w:highlight w:val="none"/>
              </w:rPr>
              <w:t>资格条件</w:t>
            </w:r>
          </w:p>
        </w:tc>
        <w:tc>
          <w:tcPr>
            <w:tcW w:w="7173" w:type="dxa"/>
            <w:tcBorders>
              <w:tl2br w:val="nil"/>
              <w:tr2bl w:val="nil"/>
            </w:tcBorders>
            <w:vAlign w:val="center"/>
          </w:tcPr>
          <w:p w14:paraId="779129D4">
            <w:pPr>
              <w:spacing w:before="100" w:beforeAutospacing="1" w:after="100" w:afterAutospacing="1"/>
              <w:jc w:val="left"/>
              <w:rPr>
                <w:rFonts w:hint="eastAsia" w:eastAsia="宋体" w:asciiTheme="minorEastAsia" w:hAnsiTheme="minorEastAsia" w:cstheme="minorEastAsia"/>
                <w:color w:val="auto"/>
                <w:szCs w:val="21"/>
                <w:highlight w:val="none"/>
                <w:lang w:eastAsia="zh-CN"/>
              </w:rPr>
            </w:pPr>
            <w:r>
              <w:rPr>
                <w:color w:val="auto"/>
                <w:szCs w:val="21"/>
                <w:highlight w:val="none"/>
              </w:rPr>
              <w:t>符合第二章“供应商须知”第4项规定</w:t>
            </w:r>
            <w:r>
              <w:rPr>
                <w:rFonts w:hint="eastAsia"/>
                <w:color w:val="auto"/>
                <w:szCs w:val="21"/>
                <w:highlight w:val="none"/>
                <w:lang w:eastAsia="zh-CN"/>
              </w:rPr>
              <w:t>。</w:t>
            </w:r>
          </w:p>
        </w:tc>
      </w:tr>
      <w:tr w14:paraId="074B417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741" w:type="dxa"/>
            <w:vMerge w:val="restart"/>
            <w:tcBorders>
              <w:tl2br w:val="nil"/>
              <w:tr2bl w:val="nil"/>
            </w:tcBorders>
            <w:vAlign w:val="center"/>
          </w:tcPr>
          <w:p w14:paraId="0DB7EA31">
            <w:pPr>
              <w:spacing w:line="320"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2.1.2</w:t>
            </w:r>
          </w:p>
        </w:tc>
        <w:tc>
          <w:tcPr>
            <w:tcW w:w="1035" w:type="dxa"/>
            <w:vMerge w:val="restart"/>
            <w:tcBorders>
              <w:tl2br w:val="nil"/>
              <w:tr2bl w:val="nil"/>
            </w:tcBorders>
            <w:vAlign w:val="center"/>
          </w:tcPr>
          <w:p w14:paraId="48421E38">
            <w:pPr>
              <w:spacing w:line="320"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符合</w:t>
            </w:r>
          </w:p>
          <w:p w14:paraId="15E52254">
            <w:pPr>
              <w:spacing w:line="320"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性评</w:t>
            </w:r>
          </w:p>
          <w:p w14:paraId="44A39F52">
            <w:pPr>
              <w:spacing w:line="320"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审标</w:t>
            </w:r>
          </w:p>
          <w:p w14:paraId="0449F287">
            <w:pPr>
              <w:spacing w:line="320"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准</w:t>
            </w:r>
          </w:p>
        </w:tc>
        <w:tc>
          <w:tcPr>
            <w:tcW w:w="1405" w:type="dxa"/>
            <w:tcBorders>
              <w:tl2br w:val="nil"/>
              <w:tr2bl w:val="nil"/>
            </w:tcBorders>
            <w:vAlign w:val="center"/>
          </w:tcPr>
          <w:p w14:paraId="0493E3D7">
            <w:pPr>
              <w:spacing w:line="320"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供应商名称</w:t>
            </w:r>
          </w:p>
        </w:tc>
        <w:tc>
          <w:tcPr>
            <w:tcW w:w="7173" w:type="dxa"/>
            <w:tcBorders>
              <w:tl2br w:val="nil"/>
              <w:tr2bl w:val="nil"/>
            </w:tcBorders>
            <w:vAlign w:val="center"/>
          </w:tcPr>
          <w:p w14:paraId="78CD22E3">
            <w:pPr>
              <w:spacing w:line="32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与营业执照或事业单位法人证书或其他类似的法定证明文件一致。</w:t>
            </w:r>
          </w:p>
        </w:tc>
      </w:tr>
      <w:tr w14:paraId="25F49A1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741" w:type="dxa"/>
            <w:vMerge w:val="continue"/>
            <w:tcBorders>
              <w:tl2br w:val="nil"/>
              <w:tr2bl w:val="nil"/>
            </w:tcBorders>
            <w:vAlign w:val="center"/>
          </w:tcPr>
          <w:p w14:paraId="1A9DFD06">
            <w:pPr>
              <w:spacing w:line="320" w:lineRule="exact"/>
              <w:jc w:val="center"/>
              <w:rPr>
                <w:rFonts w:hint="eastAsia" w:asciiTheme="minorEastAsia" w:hAnsiTheme="minorEastAsia" w:eastAsiaTheme="minorEastAsia" w:cstheme="minorEastAsia"/>
                <w:color w:val="auto"/>
                <w:szCs w:val="21"/>
                <w:highlight w:val="none"/>
              </w:rPr>
            </w:pPr>
          </w:p>
        </w:tc>
        <w:tc>
          <w:tcPr>
            <w:tcW w:w="1035" w:type="dxa"/>
            <w:vMerge w:val="continue"/>
            <w:tcBorders>
              <w:tl2br w:val="nil"/>
              <w:tr2bl w:val="nil"/>
            </w:tcBorders>
            <w:vAlign w:val="center"/>
          </w:tcPr>
          <w:p w14:paraId="0DC5E07D">
            <w:pPr>
              <w:spacing w:line="320" w:lineRule="exact"/>
              <w:jc w:val="center"/>
              <w:rPr>
                <w:rFonts w:hint="eastAsia" w:asciiTheme="minorEastAsia" w:hAnsiTheme="minorEastAsia" w:eastAsiaTheme="minorEastAsia" w:cstheme="minorEastAsia"/>
                <w:color w:val="auto"/>
                <w:szCs w:val="21"/>
                <w:highlight w:val="none"/>
              </w:rPr>
            </w:pPr>
          </w:p>
        </w:tc>
        <w:tc>
          <w:tcPr>
            <w:tcW w:w="1405" w:type="dxa"/>
            <w:tcBorders>
              <w:tl2br w:val="nil"/>
              <w:tr2bl w:val="nil"/>
            </w:tcBorders>
            <w:vAlign w:val="center"/>
          </w:tcPr>
          <w:p w14:paraId="14E75232">
            <w:pPr>
              <w:spacing w:line="32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磋商保证金</w:t>
            </w:r>
          </w:p>
        </w:tc>
        <w:tc>
          <w:tcPr>
            <w:tcW w:w="7173" w:type="dxa"/>
            <w:tcBorders>
              <w:tl2br w:val="nil"/>
              <w:tr2bl w:val="nil"/>
            </w:tcBorders>
            <w:vAlign w:val="center"/>
          </w:tcPr>
          <w:p w14:paraId="02D840C3">
            <w:pPr>
              <w:spacing w:line="32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按竞争性磋商文件第二章“磋商申请人须知”规定提交保证金；磋商保证金有效期与磋商文件有效期保持一致。</w:t>
            </w:r>
          </w:p>
        </w:tc>
      </w:tr>
      <w:tr w14:paraId="17A28E7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741" w:type="dxa"/>
            <w:vMerge w:val="continue"/>
            <w:tcBorders>
              <w:tl2br w:val="nil"/>
              <w:tr2bl w:val="nil"/>
            </w:tcBorders>
            <w:vAlign w:val="center"/>
          </w:tcPr>
          <w:p w14:paraId="12BB40EA">
            <w:pPr>
              <w:spacing w:line="320" w:lineRule="exact"/>
              <w:rPr>
                <w:rFonts w:asciiTheme="minorEastAsia" w:hAnsiTheme="minorEastAsia" w:eastAsiaTheme="minorEastAsia" w:cstheme="minorEastAsia"/>
                <w:color w:val="auto"/>
                <w:highlight w:val="none"/>
              </w:rPr>
            </w:pPr>
          </w:p>
        </w:tc>
        <w:tc>
          <w:tcPr>
            <w:tcW w:w="1035" w:type="dxa"/>
            <w:vMerge w:val="continue"/>
            <w:tcBorders>
              <w:tl2br w:val="nil"/>
              <w:tr2bl w:val="nil"/>
            </w:tcBorders>
            <w:vAlign w:val="center"/>
          </w:tcPr>
          <w:p w14:paraId="79D594FA">
            <w:pPr>
              <w:spacing w:line="320" w:lineRule="exact"/>
              <w:rPr>
                <w:rFonts w:asciiTheme="minorEastAsia" w:hAnsiTheme="minorEastAsia" w:eastAsiaTheme="minorEastAsia" w:cstheme="minorEastAsia"/>
                <w:color w:val="auto"/>
                <w:highlight w:val="none"/>
              </w:rPr>
            </w:pPr>
          </w:p>
        </w:tc>
        <w:tc>
          <w:tcPr>
            <w:tcW w:w="1405" w:type="dxa"/>
            <w:tcBorders>
              <w:tl2br w:val="nil"/>
              <w:tr2bl w:val="nil"/>
            </w:tcBorders>
            <w:vAlign w:val="center"/>
          </w:tcPr>
          <w:p w14:paraId="79D24FDA">
            <w:pPr>
              <w:spacing w:line="320"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磋商申请函</w:t>
            </w:r>
          </w:p>
        </w:tc>
        <w:tc>
          <w:tcPr>
            <w:tcW w:w="7173" w:type="dxa"/>
            <w:tcBorders>
              <w:tl2br w:val="nil"/>
              <w:tr2bl w:val="nil"/>
            </w:tcBorders>
            <w:vAlign w:val="center"/>
          </w:tcPr>
          <w:p w14:paraId="4149E9D8">
            <w:pPr>
              <w:spacing w:line="32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有法定代表人或其委托代理人电子签章，</w:t>
            </w:r>
            <w:r>
              <w:rPr>
                <w:rFonts w:hint="eastAsia"/>
                <w:color w:val="auto"/>
                <w:highlight w:val="none"/>
              </w:rPr>
              <w:t>并加盖单位</w:t>
            </w:r>
            <w:r>
              <w:rPr>
                <w:rFonts w:hint="eastAsia"/>
                <w:color w:val="auto"/>
                <w:kern w:val="0"/>
                <w:highlight w:val="none"/>
              </w:rPr>
              <w:t>电子签章</w:t>
            </w:r>
            <w:r>
              <w:rPr>
                <w:rFonts w:hint="eastAsia" w:asciiTheme="minorEastAsia" w:hAnsiTheme="minorEastAsia" w:eastAsiaTheme="minorEastAsia" w:cstheme="minorEastAsia"/>
                <w:color w:val="auto"/>
                <w:szCs w:val="21"/>
                <w:highlight w:val="none"/>
              </w:rPr>
              <w:t>；符合竞争性磋商文件</w:t>
            </w:r>
            <w:r>
              <w:rPr>
                <w:rFonts w:hint="eastAsia" w:asciiTheme="minorEastAsia" w:hAnsiTheme="minorEastAsia" w:eastAsiaTheme="minorEastAsia" w:cstheme="minorEastAsia"/>
                <w:color w:val="auto"/>
                <w:szCs w:val="21"/>
                <w:highlight w:val="none"/>
                <w:lang w:val="en-US" w:eastAsia="zh-CN"/>
              </w:rPr>
              <w:t>规</w:t>
            </w:r>
            <w:r>
              <w:rPr>
                <w:rFonts w:hint="eastAsia" w:asciiTheme="minorEastAsia" w:hAnsiTheme="minorEastAsia" w:eastAsiaTheme="minorEastAsia" w:cstheme="minorEastAsia"/>
                <w:color w:val="auto"/>
                <w:szCs w:val="21"/>
                <w:highlight w:val="none"/>
              </w:rPr>
              <w:t>定格式及内容；响应文件正本中磋商申请函为原件。</w:t>
            </w:r>
          </w:p>
        </w:tc>
      </w:tr>
      <w:tr w14:paraId="75AB820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741" w:type="dxa"/>
            <w:vMerge w:val="continue"/>
            <w:tcBorders>
              <w:tl2br w:val="nil"/>
              <w:tr2bl w:val="nil"/>
            </w:tcBorders>
            <w:vAlign w:val="center"/>
          </w:tcPr>
          <w:p w14:paraId="185562EC">
            <w:pPr>
              <w:spacing w:line="320" w:lineRule="exact"/>
              <w:rPr>
                <w:rFonts w:asciiTheme="minorEastAsia" w:hAnsiTheme="minorEastAsia" w:eastAsiaTheme="minorEastAsia" w:cstheme="minorEastAsia"/>
                <w:color w:val="auto"/>
                <w:highlight w:val="none"/>
              </w:rPr>
            </w:pPr>
          </w:p>
        </w:tc>
        <w:tc>
          <w:tcPr>
            <w:tcW w:w="1035" w:type="dxa"/>
            <w:vMerge w:val="continue"/>
            <w:tcBorders>
              <w:tl2br w:val="nil"/>
              <w:tr2bl w:val="nil"/>
            </w:tcBorders>
            <w:vAlign w:val="center"/>
          </w:tcPr>
          <w:p w14:paraId="4788900B">
            <w:pPr>
              <w:spacing w:line="320" w:lineRule="exact"/>
              <w:rPr>
                <w:rFonts w:asciiTheme="minorEastAsia" w:hAnsiTheme="minorEastAsia" w:eastAsiaTheme="minorEastAsia" w:cstheme="minorEastAsia"/>
                <w:color w:val="auto"/>
                <w:highlight w:val="none"/>
              </w:rPr>
            </w:pPr>
          </w:p>
        </w:tc>
        <w:tc>
          <w:tcPr>
            <w:tcW w:w="1405" w:type="dxa"/>
            <w:tcBorders>
              <w:tl2br w:val="nil"/>
              <w:tr2bl w:val="nil"/>
            </w:tcBorders>
            <w:vAlign w:val="center"/>
          </w:tcPr>
          <w:p w14:paraId="2F0A57C2">
            <w:pPr>
              <w:spacing w:line="320"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法定代表人资格证明书</w:t>
            </w:r>
          </w:p>
        </w:tc>
        <w:tc>
          <w:tcPr>
            <w:tcW w:w="7173" w:type="dxa"/>
            <w:tcBorders>
              <w:tl2br w:val="nil"/>
              <w:tr2bl w:val="nil"/>
            </w:tcBorders>
            <w:vAlign w:val="center"/>
          </w:tcPr>
          <w:p w14:paraId="75ED0903">
            <w:pPr>
              <w:spacing w:line="32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符合竞争性磋商文件给定格式及内容,，</w:t>
            </w:r>
            <w:r>
              <w:rPr>
                <w:rFonts w:hint="eastAsia"/>
                <w:color w:val="auto"/>
                <w:highlight w:val="none"/>
              </w:rPr>
              <w:t>并加盖单位</w:t>
            </w:r>
            <w:r>
              <w:rPr>
                <w:rFonts w:hint="eastAsia"/>
                <w:color w:val="auto"/>
                <w:kern w:val="0"/>
                <w:highlight w:val="none"/>
              </w:rPr>
              <w:t>电子签章</w:t>
            </w:r>
            <w:r>
              <w:rPr>
                <w:rFonts w:hint="eastAsia" w:asciiTheme="minorEastAsia" w:hAnsiTheme="minorEastAsia" w:eastAsiaTheme="minorEastAsia" w:cstheme="minorEastAsia"/>
                <w:color w:val="auto"/>
                <w:szCs w:val="21"/>
                <w:highlight w:val="none"/>
              </w:rPr>
              <w:t>。</w:t>
            </w:r>
          </w:p>
        </w:tc>
      </w:tr>
      <w:tr w14:paraId="5D15A74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741" w:type="dxa"/>
            <w:vMerge w:val="continue"/>
            <w:tcBorders>
              <w:tl2br w:val="nil"/>
              <w:tr2bl w:val="nil"/>
            </w:tcBorders>
            <w:vAlign w:val="center"/>
          </w:tcPr>
          <w:p w14:paraId="1DDC147E">
            <w:pPr>
              <w:spacing w:line="320" w:lineRule="exact"/>
              <w:rPr>
                <w:rFonts w:asciiTheme="minorEastAsia" w:hAnsiTheme="minorEastAsia" w:eastAsiaTheme="minorEastAsia" w:cstheme="minorEastAsia"/>
                <w:color w:val="auto"/>
                <w:highlight w:val="none"/>
              </w:rPr>
            </w:pPr>
          </w:p>
        </w:tc>
        <w:tc>
          <w:tcPr>
            <w:tcW w:w="1035" w:type="dxa"/>
            <w:vMerge w:val="continue"/>
            <w:tcBorders>
              <w:tl2br w:val="nil"/>
              <w:tr2bl w:val="nil"/>
            </w:tcBorders>
            <w:vAlign w:val="center"/>
          </w:tcPr>
          <w:p w14:paraId="4B311A51">
            <w:pPr>
              <w:spacing w:line="320" w:lineRule="exact"/>
              <w:rPr>
                <w:rFonts w:asciiTheme="minorEastAsia" w:hAnsiTheme="minorEastAsia" w:eastAsiaTheme="minorEastAsia" w:cstheme="minorEastAsia"/>
                <w:color w:val="auto"/>
                <w:highlight w:val="none"/>
              </w:rPr>
            </w:pPr>
          </w:p>
        </w:tc>
        <w:tc>
          <w:tcPr>
            <w:tcW w:w="1405" w:type="dxa"/>
            <w:vMerge w:val="restart"/>
            <w:tcBorders>
              <w:tl2br w:val="nil"/>
              <w:tr2bl w:val="nil"/>
            </w:tcBorders>
            <w:vAlign w:val="center"/>
          </w:tcPr>
          <w:p w14:paraId="5A8AE8BB">
            <w:pPr>
              <w:spacing w:line="320"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法定代表人授权委托书</w:t>
            </w:r>
          </w:p>
        </w:tc>
        <w:tc>
          <w:tcPr>
            <w:tcW w:w="7173" w:type="dxa"/>
            <w:tcBorders>
              <w:tl2br w:val="nil"/>
              <w:tr2bl w:val="nil"/>
            </w:tcBorders>
            <w:vAlign w:val="center"/>
          </w:tcPr>
          <w:p w14:paraId="70326BD2">
            <w:pPr>
              <w:spacing w:line="32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有法定代表人或其委托代理人的电子签章，，</w:t>
            </w:r>
            <w:r>
              <w:rPr>
                <w:rFonts w:hint="eastAsia"/>
                <w:color w:val="auto"/>
                <w:highlight w:val="none"/>
              </w:rPr>
              <w:t>并加盖单位</w:t>
            </w:r>
            <w:r>
              <w:rPr>
                <w:rFonts w:hint="eastAsia"/>
                <w:color w:val="auto"/>
                <w:kern w:val="0"/>
                <w:highlight w:val="none"/>
              </w:rPr>
              <w:t>电子签章</w:t>
            </w:r>
            <w:r>
              <w:rPr>
                <w:rFonts w:hint="eastAsia" w:asciiTheme="minorEastAsia" w:hAnsiTheme="minorEastAsia" w:eastAsiaTheme="minorEastAsia" w:cstheme="minorEastAsia"/>
                <w:color w:val="auto"/>
                <w:szCs w:val="21"/>
                <w:highlight w:val="none"/>
              </w:rPr>
              <w:t>；符合竞争性磋商文件给定格式及内容。</w:t>
            </w:r>
          </w:p>
        </w:tc>
      </w:tr>
      <w:tr w14:paraId="73A75AB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741" w:type="dxa"/>
            <w:vMerge w:val="continue"/>
            <w:tcBorders>
              <w:tl2br w:val="nil"/>
              <w:tr2bl w:val="nil"/>
            </w:tcBorders>
            <w:vAlign w:val="center"/>
          </w:tcPr>
          <w:p w14:paraId="3F6BFC40">
            <w:pPr>
              <w:spacing w:line="320" w:lineRule="exact"/>
              <w:rPr>
                <w:rFonts w:asciiTheme="minorEastAsia" w:hAnsiTheme="minorEastAsia" w:eastAsiaTheme="minorEastAsia" w:cstheme="minorEastAsia"/>
                <w:color w:val="auto"/>
                <w:highlight w:val="none"/>
              </w:rPr>
            </w:pPr>
          </w:p>
        </w:tc>
        <w:tc>
          <w:tcPr>
            <w:tcW w:w="1035" w:type="dxa"/>
            <w:vMerge w:val="continue"/>
            <w:tcBorders>
              <w:tl2br w:val="nil"/>
              <w:tr2bl w:val="nil"/>
            </w:tcBorders>
            <w:vAlign w:val="center"/>
          </w:tcPr>
          <w:p w14:paraId="5E7D278F">
            <w:pPr>
              <w:spacing w:line="320" w:lineRule="exact"/>
              <w:rPr>
                <w:rFonts w:asciiTheme="minorEastAsia" w:hAnsiTheme="minorEastAsia" w:eastAsiaTheme="minorEastAsia" w:cstheme="minorEastAsia"/>
                <w:color w:val="auto"/>
                <w:highlight w:val="none"/>
              </w:rPr>
            </w:pPr>
          </w:p>
        </w:tc>
        <w:tc>
          <w:tcPr>
            <w:tcW w:w="1405" w:type="dxa"/>
            <w:vMerge w:val="continue"/>
            <w:tcBorders>
              <w:tl2br w:val="nil"/>
              <w:tr2bl w:val="nil"/>
            </w:tcBorders>
            <w:vAlign w:val="center"/>
          </w:tcPr>
          <w:p w14:paraId="2792D0D7">
            <w:pPr>
              <w:spacing w:line="320" w:lineRule="exact"/>
              <w:rPr>
                <w:rFonts w:asciiTheme="minorEastAsia" w:hAnsiTheme="minorEastAsia" w:eastAsiaTheme="minorEastAsia" w:cstheme="minorEastAsia"/>
                <w:color w:val="auto"/>
                <w:highlight w:val="none"/>
              </w:rPr>
            </w:pPr>
          </w:p>
        </w:tc>
        <w:tc>
          <w:tcPr>
            <w:tcW w:w="7173" w:type="dxa"/>
            <w:tcBorders>
              <w:tl2br w:val="nil"/>
              <w:tr2bl w:val="nil"/>
            </w:tcBorders>
            <w:vAlign w:val="center"/>
          </w:tcPr>
          <w:p w14:paraId="265A5510">
            <w:pPr>
              <w:spacing w:line="32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注：响应文件（包括评审过程中的澄清、说明或者补正）由法定代表人签署的，不审查该项。</w:t>
            </w:r>
          </w:p>
        </w:tc>
      </w:tr>
      <w:tr w14:paraId="22DD7FF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741" w:type="dxa"/>
            <w:vMerge w:val="continue"/>
            <w:tcBorders>
              <w:tl2br w:val="nil"/>
              <w:tr2bl w:val="nil"/>
            </w:tcBorders>
            <w:vAlign w:val="center"/>
          </w:tcPr>
          <w:p w14:paraId="1588698A">
            <w:pPr>
              <w:spacing w:line="320" w:lineRule="exact"/>
              <w:rPr>
                <w:rFonts w:asciiTheme="minorEastAsia" w:hAnsiTheme="minorEastAsia" w:eastAsiaTheme="minorEastAsia" w:cstheme="minorEastAsia"/>
                <w:color w:val="auto"/>
                <w:highlight w:val="none"/>
              </w:rPr>
            </w:pPr>
          </w:p>
        </w:tc>
        <w:tc>
          <w:tcPr>
            <w:tcW w:w="1035" w:type="dxa"/>
            <w:vMerge w:val="continue"/>
            <w:tcBorders>
              <w:tl2br w:val="nil"/>
              <w:tr2bl w:val="nil"/>
            </w:tcBorders>
            <w:vAlign w:val="center"/>
          </w:tcPr>
          <w:p w14:paraId="3B0CD751">
            <w:pPr>
              <w:spacing w:line="320" w:lineRule="exact"/>
              <w:rPr>
                <w:rFonts w:asciiTheme="minorEastAsia" w:hAnsiTheme="minorEastAsia" w:eastAsiaTheme="minorEastAsia" w:cstheme="minorEastAsia"/>
                <w:color w:val="auto"/>
                <w:highlight w:val="none"/>
              </w:rPr>
            </w:pPr>
          </w:p>
        </w:tc>
        <w:tc>
          <w:tcPr>
            <w:tcW w:w="1405" w:type="dxa"/>
            <w:tcBorders>
              <w:tl2br w:val="nil"/>
              <w:tr2bl w:val="nil"/>
            </w:tcBorders>
            <w:vAlign w:val="center"/>
          </w:tcPr>
          <w:p w14:paraId="03E81D20">
            <w:pPr>
              <w:pStyle w:val="39"/>
              <w:spacing w:line="320" w:lineRule="exact"/>
              <w:jc w:val="center"/>
              <w:rPr>
                <w:rFonts w:asciiTheme="minorEastAsia" w:hAnsiTheme="minorEastAsia" w:eastAsiaTheme="minorEastAsia" w:cstheme="minorEastAsia"/>
                <w:color w:val="auto"/>
                <w:sz w:val="21"/>
                <w:szCs w:val="21"/>
                <w:highlight w:val="none"/>
                <w:lang w:bidi="ar-SA"/>
              </w:rPr>
            </w:pPr>
            <w:r>
              <w:rPr>
                <w:rFonts w:hint="eastAsia" w:asciiTheme="minorEastAsia" w:hAnsiTheme="minorEastAsia" w:eastAsiaTheme="minorEastAsia" w:cstheme="minorEastAsia"/>
                <w:color w:val="auto"/>
                <w:sz w:val="21"/>
                <w:szCs w:val="21"/>
                <w:highlight w:val="none"/>
                <w:lang w:bidi="ar-SA"/>
              </w:rPr>
              <w:t>响应文件签署、盖章</w:t>
            </w:r>
          </w:p>
        </w:tc>
        <w:tc>
          <w:tcPr>
            <w:tcW w:w="7173" w:type="dxa"/>
            <w:tcBorders>
              <w:tl2br w:val="nil"/>
              <w:tr2bl w:val="nil"/>
            </w:tcBorders>
            <w:vAlign w:val="center"/>
          </w:tcPr>
          <w:p w14:paraId="03784288">
            <w:pPr>
              <w:pStyle w:val="39"/>
              <w:spacing w:line="320" w:lineRule="exact"/>
              <w:rPr>
                <w:rFonts w:asciiTheme="minorEastAsia" w:hAnsiTheme="minorEastAsia" w:eastAsiaTheme="minorEastAsia" w:cstheme="minorEastAsia"/>
                <w:color w:val="auto"/>
                <w:sz w:val="21"/>
                <w:szCs w:val="21"/>
                <w:highlight w:val="none"/>
                <w:lang w:bidi="ar-SA"/>
              </w:rPr>
            </w:pPr>
            <w:r>
              <w:rPr>
                <w:rFonts w:hint="eastAsia" w:asciiTheme="minorEastAsia" w:hAnsiTheme="minorEastAsia" w:eastAsiaTheme="minorEastAsia" w:cstheme="minorEastAsia"/>
                <w:color w:val="auto"/>
                <w:sz w:val="21"/>
                <w:szCs w:val="21"/>
                <w:highlight w:val="none"/>
                <w:lang w:bidi="ar-SA"/>
              </w:rPr>
              <w:t>响应文件按竞争性磋商文件要求签署、盖章的。</w:t>
            </w:r>
          </w:p>
        </w:tc>
      </w:tr>
      <w:tr w14:paraId="044FB2F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741" w:type="dxa"/>
            <w:vMerge w:val="continue"/>
            <w:tcBorders>
              <w:tl2br w:val="nil"/>
              <w:tr2bl w:val="nil"/>
            </w:tcBorders>
            <w:vAlign w:val="center"/>
          </w:tcPr>
          <w:p w14:paraId="26982A36">
            <w:pPr>
              <w:spacing w:line="320" w:lineRule="exact"/>
              <w:rPr>
                <w:rFonts w:asciiTheme="minorEastAsia" w:hAnsiTheme="minorEastAsia" w:eastAsiaTheme="minorEastAsia" w:cstheme="minorEastAsia"/>
                <w:color w:val="auto"/>
                <w:highlight w:val="none"/>
              </w:rPr>
            </w:pPr>
          </w:p>
        </w:tc>
        <w:tc>
          <w:tcPr>
            <w:tcW w:w="1035" w:type="dxa"/>
            <w:vMerge w:val="continue"/>
            <w:tcBorders>
              <w:tl2br w:val="nil"/>
              <w:tr2bl w:val="nil"/>
            </w:tcBorders>
            <w:vAlign w:val="center"/>
          </w:tcPr>
          <w:p w14:paraId="68738B44">
            <w:pPr>
              <w:spacing w:line="320" w:lineRule="exact"/>
              <w:rPr>
                <w:rFonts w:asciiTheme="minorEastAsia" w:hAnsiTheme="minorEastAsia" w:eastAsiaTheme="minorEastAsia" w:cstheme="minorEastAsia"/>
                <w:color w:val="auto"/>
                <w:highlight w:val="none"/>
              </w:rPr>
            </w:pPr>
          </w:p>
        </w:tc>
        <w:tc>
          <w:tcPr>
            <w:tcW w:w="1405" w:type="dxa"/>
            <w:tcBorders>
              <w:tl2br w:val="nil"/>
              <w:tr2bl w:val="nil"/>
            </w:tcBorders>
            <w:vAlign w:val="center"/>
          </w:tcPr>
          <w:p w14:paraId="240CA2E0">
            <w:pPr>
              <w:pStyle w:val="39"/>
              <w:spacing w:line="320" w:lineRule="exact"/>
              <w:jc w:val="center"/>
              <w:rPr>
                <w:rFonts w:asciiTheme="minorEastAsia" w:hAnsiTheme="minorEastAsia" w:eastAsiaTheme="minorEastAsia" w:cstheme="minorEastAsia"/>
                <w:color w:val="auto"/>
                <w:sz w:val="21"/>
                <w:szCs w:val="21"/>
                <w:highlight w:val="none"/>
                <w:lang w:bidi="ar-SA"/>
              </w:rPr>
            </w:pPr>
            <w:r>
              <w:rPr>
                <w:rFonts w:hint="eastAsia" w:asciiTheme="minorEastAsia" w:hAnsiTheme="minorEastAsia" w:eastAsiaTheme="minorEastAsia" w:cstheme="minorEastAsia"/>
                <w:color w:val="auto"/>
                <w:kern w:val="2"/>
                <w:sz w:val="21"/>
                <w:szCs w:val="21"/>
                <w:highlight w:val="none"/>
                <w:lang w:bidi="ar-SA"/>
              </w:rPr>
              <w:t>响应文件编制</w:t>
            </w:r>
          </w:p>
        </w:tc>
        <w:tc>
          <w:tcPr>
            <w:tcW w:w="7173" w:type="dxa"/>
            <w:tcBorders>
              <w:tl2br w:val="nil"/>
              <w:tr2bl w:val="nil"/>
            </w:tcBorders>
            <w:vAlign w:val="center"/>
          </w:tcPr>
          <w:p w14:paraId="22F33E1B">
            <w:pPr>
              <w:pStyle w:val="39"/>
              <w:spacing w:line="320" w:lineRule="exact"/>
              <w:rPr>
                <w:rFonts w:asciiTheme="minorEastAsia" w:hAnsiTheme="minorEastAsia" w:eastAsiaTheme="minorEastAsia" w:cstheme="minorEastAsia"/>
                <w:color w:val="auto"/>
                <w:sz w:val="21"/>
                <w:szCs w:val="21"/>
                <w:highlight w:val="none"/>
                <w:lang w:bidi="ar-SA"/>
              </w:rPr>
            </w:pPr>
            <w:r>
              <w:rPr>
                <w:rFonts w:hint="eastAsia" w:asciiTheme="minorEastAsia" w:hAnsiTheme="minorEastAsia" w:eastAsiaTheme="minorEastAsia" w:cstheme="minorEastAsia"/>
                <w:color w:val="auto"/>
                <w:sz w:val="21"/>
                <w:szCs w:val="21"/>
                <w:highlight w:val="none"/>
                <w:lang w:bidi="ar-SA"/>
              </w:rPr>
              <w:t>符合竞争性磋商文件格式及资料提供的要求。</w:t>
            </w:r>
          </w:p>
        </w:tc>
      </w:tr>
      <w:tr w14:paraId="5A725EC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741" w:type="dxa"/>
            <w:vMerge w:val="continue"/>
            <w:tcBorders>
              <w:tl2br w:val="nil"/>
              <w:tr2bl w:val="nil"/>
            </w:tcBorders>
            <w:vAlign w:val="center"/>
          </w:tcPr>
          <w:p w14:paraId="1BE86049">
            <w:pPr>
              <w:spacing w:line="320" w:lineRule="exact"/>
              <w:rPr>
                <w:rFonts w:asciiTheme="minorEastAsia" w:hAnsiTheme="minorEastAsia" w:eastAsiaTheme="minorEastAsia" w:cstheme="minorEastAsia"/>
                <w:color w:val="auto"/>
                <w:highlight w:val="none"/>
              </w:rPr>
            </w:pPr>
          </w:p>
        </w:tc>
        <w:tc>
          <w:tcPr>
            <w:tcW w:w="1035" w:type="dxa"/>
            <w:vMerge w:val="continue"/>
            <w:tcBorders>
              <w:tl2br w:val="nil"/>
              <w:tr2bl w:val="nil"/>
            </w:tcBorders>
            <w:vAlign w:val="center"/>
          </w:tcPr>
          <w:p w14:paraId="7673D451">
            <w:pPr>
              <w:spacing w:line="320" w:lineRule="exact"/>
              <w:rPr>
                <w:rFonts w:asciiTheme="minorEastAsia" w:hAnsiTheme="minorEastAsia" w:eastAsiaTheme="minorEastAsia" w:cstheme="minorEastAsia"/>
                <w:color w:val="auto"/>
                <w:highlight w:val="none"/>
              </w:rPr>
            </w:pPr>
          </w:p>
        </w:tc>
        <w:tc>
          <w:tcPr>
            <w:tcW w:w="1405" w:type="dxa"/>
            <w:tcBorders>
              <w:tl2br w:val="nil"/>
              <w:tr2bl w:val="nil"/>
            </w:tcBorders>
            <w:vAlign w:val="center"/>
          </w:tcPr>
          <w:p w14:paraId="5748E3C8">
            <w:pPr>
              <w:spacing w:line="320"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磋商有效期</w:t>
            </w:r>
          </w:p>
        </w:tc>
        <w:tc>
          <w:tcPr>
            <w:tcW w:w="7173" w:type="dxa"/>
            <w:tcBorders>
              <w:tl2br w:val="nil"/>
              <w:tr2bl w:val="nil"/>
            </w:tcBorders>
            <w:vAlign w:val="center"/>
          </w:tcPr>
          <w:p w14:paraId="716A9528">
            <w:pPr>
              <w:spacing w:line="32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符合第二章“供应商须知”第11.1项规定。</w:t>
            </w:r>
          </w:p>
        </w:tc>
      </w:tr>
      <w:tr w14:paraId="53DAA10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741" w:type="dxa"/>
            <w:vMerge w:val="continue"/>
            <w:tcBorders>
              <w:tl2br w:val="nil"/>
              <w:tr2bl w:val="nil"/>
            </w:tcBorders>
            <w:vAlign w:val="center"/>
          </w:tcPr>
          <w:p w14:paraId="2849C802">
            <w:pPr>
              <w:spacing w:line="320" w:lineRule="exact"/>
              <w:rPr>
                <w:rFonts w:asciiTheme="minorEastAsia" w:hAnsiTheme="minorEastAsia" w:eastAsiaTheme="minorEastAsia" w:cstheme="minorEastAsia"/>
                <w:color w:val="auto"/>
                <w:highlight w:val="none"/>
              </w:rPr>
            </w:pPr>
          </w:p>
        </w:tc>
        <w:tc>
          <w:tcPr>
            <w:tcW w:w="1035" w:type="dxa"/>
            <w:vMerge w:val="continue"/>
            <w:tcBorders>
              <w:tl2br w:val="nil"/>
              <w:tr2bl w:val="nil"/>
            </w:tcBorders>
            <w:vAlign w:val="center"/>
          </w:tcPr>
          <w:p w14:paraId="2D9126AD">
            <w:pPr>
              <w:spacing w:line="320" w:lineRule="exact"/>
              <w:rPr>
                <w:rFonts w:asciiTheme="minorEastAsia" w:hAnsiTheme="minorEastAsia" w:eastAsiaTheme="minorEastAsia" w:cstheme="minorEastAsia"/>
                <w:color w:val="auto"/>
                <w:highlight w:val="none"/>
              </w:rPr>
            </w:pPr>
          </w:p>
        </w:tc>
        <w:tc>
          <w:tcPr>
            <w:tcW w:w="1405" w:type="dxa"/>
            <w:tcBorders>
              <w:tl2br w:val="nil"/>
              <w:tr2bl w:val="nil"/>
            </w:tcBorders>
            <w:vAlign w:val="center"/>
          </w:tcPr>
          <w:p w14:paraId="4B58B80A">
            <w:pPr>
              <w:spacing w:line="320"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磋商报价</w:t>
            </w:r>
          </w:p>
        </w:tc>
        <w:tc>
          <w:tcPr>
            <w:tcW w:w="7173" w:type="dxa"/>
            <w:tcBorders>
              <w:tl2br w:val="nil"/>
              <w:tr2bl w:val="nil"/>
            </w:tcBorders>
            <w:vAlign w:val="center"/>
          </w:tcPr>
          <w:p w14:paraId="29CA96B5">
            <w:pPr>
              <w:spacing w:line="32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磋商报价完整且报价不高于最高限价。</w:t>
            </w:r>
          </w:p>
        </w:tc>
      </w:tr>
      <w:tr w14:paraId="7C63451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741" w:type="dxa"/>
            <w:vMerge w:val="continue"/>
            <w:tcBorders>
              <w:tl2br w:val="nil"/>
              <w:tr2bl w:val="nil"/>
            </w:tcBorders>
            <w:vAlign w:val="center"/>
          </w:tcPr>
          <w:p w14:paraId="0D2E01FE">
            <w:pPr>
              <w:spacing w:line="320" w:lineRule="exact"/>
              <w:rPr>
                <w:rFonts w:asciiTheme="minorEastAsia" w:hAnsiTheme="minorEastAsia" w:eastAsiaTheme="minorEastAsia" w:cstheme="minorEastAsia"/>
                <w:color w:val="auto"/>
                <w:highlight w:val="none"/>
              </w:rPr>
            </w:pPr>
          </w:p>
        </w:tc>
        <w:tc>
          <w:tcPr>
            <w:tcW w:w="1035" w:type="dxa"/>
            <w:vMerge w:val="continue"/>
            <w:tcBorders>
              <w:tl2br w:val="nil"/>
              <w:tr2bl w:val="nil"/>
            </w:tcBorders>
            <w:vAlign w:val="center"/>
          </w:tcPr>
          <w:p w14:paraId="4CCD455C">
            <w:pPr>
              <w:spacing w:line="320" w:lineRule="exact"/>
              <w:rPr>
                <w:rFonts w:asciiTheme="minorEastAsia" w:hAnsiTheme="minorEastAsia" w:eastAsiaTheme="minorEastAsia" w:cstheme="minorEastAsia"/>
                <w:color w:val="auto"/>
                <w:highlight w:val="none"/>
              </w:rPr>
            </w:pPr>
          </w:p>
        </w:tc>
        <w:tc>
          <w:tcPr>
            <w:tcW w:w="1405" w:type="dxa"/>
            <w:tcBorders>
              <w:tl2br w:val="nil"/>
              <w:tr2bl w:val="nil"/>
            </w:tcBorders>
            <w:shd w:val="clear" w:color="auto" w:fill="auto"/>
            <w:vAlign w:val="center"/>
          </w:tcPr>
          <w:p w14:paraId="781CC6E9">
            <w:pPr>
              <w:spacing w:line="320"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已标价工程量清单</w:t>
            </w:r>
          </w:p>
        </w:tc>
        <w:tc>
          <w:tcPr>
            <w:tcW w:w="7173" w:type="dxa"/>
            <w:tcBorders>
              <w:tl2br w:val="nil"/>
              <w:tr2bl w:val="nil"/>
            </w:tcBorders>
            <w:vAlign w:val="center"/>
          </w:tcPr>
          <w:p w14:paraId="6CC8767E">
            <w:pPr>
              <w:spacing w:line="32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（1）供应商报价小于等于公布的招标控制价中的任何一项。</w:t>
            </w:r>
          </w:p>
          <w:p w14:paraId="7448472E">
            <w:pPr>
              <w:spacing w:line="32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（2）与采购人提供的工程量清单中项目编码、项目名称、项目特征、计量单位和工程量完全一致。</w:t>
            </w:r>
          </w:p>
          <w:p w14:paraId="75C0F5B3">
            <w:pPr>
              <w:spacing w:line="32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（3）安全文明施工费、规费和税金应按照国家或省级、行业建设主管部门的规定计价和计算，其计价和计算费率、税率在投标时不得调整。</w:t>
            </w:r>
          </w:p>
          <w:p w14:paraId="02F8ED0E">
            <w:pPr>
              <w:spacing w:line="32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（4）工程量清单中设有暂估价、暂列金的，供应商报价按照采购人规定的金额计入报价，不得更改。</w:t>
            </w:r>
          </w:p>
          <w:p w14:paraId="712D198B">
            <w:pPr>
              <w:spacing w:line="32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（5）供应商工程量清单报价</w:t>
            </w:r>
            <w:r>
              <w:rPr>
                <w:rFonts w:hint="eastAsia" w:asciiTheme="minorEastAsia" w:hAnsiTheme="minorEastAsia" w:eastAsiaTheme="minorEastAsia" w:cstheme="minorEastAsia"/>
                <w:color w:val="auto"/>
                <w:szCs w:val="21"/>
                <w:highlight w:val="none"/>
                <w:lang w:val="en-US" w:eastAsia="zh-CN"/>
              </w:rPr>
              <w:t>不</w:t>
            </w:r>
            <w:r>
              <w:rPr>
                <w:rFonts w:hint="eastAsia" w:asciiTheme="minorEastAsia" w:hAnsiTheme="minorEastAsia" w:eastAsiaTheme="minorEastAsia" w:cstheme="minorEastAsia"/>
                <w:color w:val="auto"/>
                <w:szCs w:val="21"/>
                <w:highlight w:val="none"/>
              </w:rPr>
              <w:t>存在有重大漏项、缺项，且在投标书中没有明确的阐述和承诺。</w:t>
            </w:r>
          </w:p>
        </w:tc>
      </w:tr>
      <w:tr w14:paraId="6122ED5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741" w:type="dxa"/>
            <w:vMerge w:val="continue"/>
            <w:tcBorders>
              <w:tl2br w:val="nil"/>
              <w:tr2bl w:val="nil"/>
            </w:tcBorders>
            <w:vAlign w:val="center"/>
          </w:tcPr>
          <w:p w14:paraId="4B530935">
            <w:pPr>
              <w:spacing w:line="320" w:lineRule="exact"/>
              <w:rPr>
                <w:rFonts w:asciiTheme="minorEastAsia" w:hAnsiTheme="minorEastAsia" w:eastAsiaTheme="minorEastAsia" w:cstheme="minorEastAsia"/>
                <w:color w:val="auto"/>
                <w:highlight w:val="none"/>
              </w:rPr>
            </w:pPr>
          </w:p>
        </w:tc>
        <w:tc>
          <w:tcPr>
            <w:tcW w:w="1035" w:type="dxa"/>
            <w:vMerge w:val="continue"/>
            <w:tcBorders>
              <w:tl2br w:val="nil"/>
              <w:tr2bl w:val="nil"/>
            </w:tcBorders>
            <w:vAlign w:val="center"/>
          </w:tcPr>
          <w:p w14:paraId="260DC28F">
            <w:pPr>
              <w:spacing w:line="320" w:lineRule="exact"/>
              <w:rPr>
                <w:rFonts w:asciiTheme="minorEastAsia" w:hAnsiTheme="minorEastAsia" w:eastAsiaTheme="minorEastAsia" w:cstheme="minorEastAsia"/>
                <w:color w:val="auto"/>
                <w:highlight w:val="none"/>
              </w:rPr>
            </w:pPr>
          </w:p>
        </w:tc>
        <w:tc>
          <w:tcPr>
            <w:tcW w:w="1405" w:type="dxa"/>
            <w:tcBorders>
              <w:tl2br w:val="nil"/>
              <w:tr2bl w:val="nil"/>
            </w:tcBorders>
            <w:vAlign w:val="center"/>
          </w:tcPr>
          <w:p w14:paraId="0D52A06A">
            <w:pPr>
              <w:spacing w:line="320"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其他实质性要求</w:t>
            </w:r>
          </w:p>
        </w:tc>
        <w:tc>
          <w:tcPr>
            <w:tcW w:w="7173" w:type="dxa"/>
            <w:tcBorders>
              <w:tl2br w:val="nil"/>
              <w:tr2bl w:val="nil"/>
            </w:tcBorders>
            <w:vAlign w:val="center"/>
          </w:tcPr>
          <w:p w14:paraId="0F494F44">
            <w:pPr>
              <w:spacing w:line="32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（1）实质性响应竞争性磋商文件中★号条款；</w:t>
            </w:r>
          </w:p>
          <w:p w14:paraId="540110BA">
            <w:pPr>
              <w:spacing w:line="32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（2）响应文件未含有采购人不能接受的附加条件；</w:t>
            </w:r>
          </w:p>
          <w:p w14:paraId="6242A9C1">
            <w:pPr>
              <w:spacing w:line="32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（3）无法律、法规和竞争性磋商文件规定的其他无效情形。</w:t>
            </w:r>
          </w:p>
        </w:tc>
      </w:tr>
      <w:tr w14:paraId="40131B5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1741" w:hRule="atLeast"/>
          <w:jc w:val="center"/>
        </w:trPr>
        <w:tc>
          <w:tcPr>
            <w:tcW w:w="741" w:type="dxa"/>
            <w:vMerge w:val="continue"/>
            <w:tcBorders>
              <w:tl2br w:val="nil"/>
              <w:tr2bl w:val="nil"/>
            </w:tcBorders>
            <w:vAlign w:val="center"/>
          </w:tcPr>
          <w:p w14:paraId="0F1D6AC4">
            <w:pPr>
              <w:spacing w:line="320" w:lineRule="exact"/>
              <w:rPr>
                <w:rFonts w:asciiTheme="minorEastAsia" w:hAnsiTheme="minorEastAsia" w:eastAsiaTheme="minorEastAsia" w:cstheme="minorEastAsia"/>
                <w:color w:val="auto"/>
                <w:highlight w:val="none"/>
              </w:rPr>
            </w:pPr>
          </w:p>
        </w:tc>
        <w:tc>
          <w:tcPr>
            <w:tcW w:w="1035" w:type="dxa"/>
            <w:vMerge w:val="continue"/>
            <w:tcBorders>
              <w:tl2br w:val="nil"/>
              <w:tr2bl w:val="nil"/>
            </w:tcBorders>
            <w:vAlign w:val="center"/>
          </w:tcPr>
          <w:p w14:paraId="7DBD59F1">
            <w:pPr>
              <w:spacing w:line="320" w:lineRule="exact"/>
              <w:rPr>
                <w:rFonts w:asciiTheme="minorEastAsia" w:hAnsiTheme="minorEastAsia" w:eastAsiaTheme="minorEastAsia" w:cstheme="minorEastAsia"/>
                <w:color w:val="auto"/>
                <w:highlight w:val="none"/>
              </w:rPr>
            </w:pPr>
          </w:p>
        </w:tc>
        <w:tc>
          <w:tcPr>
            <w:tcW w:w="1405" w:type="dxa"/>
            <w:tcBorders>
              <w:tl2br w:val="nil"/>
              <w:tr2bl w:val="nil"/>
            </w:tcBorders>
            <w:vAlign w:val="center"/>
          </w:tcPr>
          <w:p w14:paraId="25D9ED9E">
            <w:pPr>
              <w:spacing w:line="320"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无串通响应情形</w:t>
            </w:r>
          </w:p>
        </w:tc>
        <w:tc>
          <w:tcPr>
            <w:tcW w:w="7173" w:type="dxa"/>
            <w:tcBorders>
              <w:tl2br w:val="nil"/>
              <w:tr2bl w:val="nil"/>
            </w:tcBorders>
            <w:vAlign w:val="center"/>
          </w:tcPr>
          <w:p w14:paraId="0DD50C33">
            <w:pPr>
              <w:spacing w:line="32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不同供应商的响应文件由同一单位或者个人编制；</w:t>
            </w:r>
          </w:p>
          <w:p w14:paraId="1EA7EE03">
            <w:pPr>
              <w:spacing w:line="32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不同供应商委托同一单位或者个人办理磋商响应事宜；</w:t>
            </w:r>
          </w:p>
          <w:p w14:paraId="42056B99">
            <w:pPr>
              <w:spacing w:line="32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不同供应商的响应文件载明的项目管理成员或者联系人员为同一人；</w:t>
            </w:r>
          </w:p>
          <w:p w14:paraId="1797FB6F">
            <w:pPr>
              <w:spacing w:line="32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不同供应商的响应文件异常一致或者磋商报价呈规律性差异；</w:t>
            </w:r>
          </w:p>
          <w:p w14:paraId="5A717043">
            <w:pPr>
              <w:spacing w:line="32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不同供应商的响应文件相互混装；</w:t>
            </w:r>
          </w:p>
          <w:p w14:paraId="20B17F5D">
            <w:pPr>
              <w:spacing w:line="32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不同供应商的磋商保证金从同一单位或者个人的账户转出。</w:t>
            </w:r>
          </w:p>
        </w:tc>
      </w:tr>
    </w:tbl>
    <w:p w14:paraId="76B8847F">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tbl>
      <w:tblPr>
        <w:tblStyle w:val="27"/>
        <w:tblW w:w="9653"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23" w:type="dxa"/>
          <w:bottom w:w="0" w:type="dxa"/>
          <w:right w:w="23" w:type="dxa"/>
        </w:tblCellMar>
      </w:tblPr>
      <w:tblGrid>
        <w:gridCol w:w="730"/>
        <w:gridCol w:w="699"/>
        <w:gridCol w:w="1560"/>
        <w:gridCol w:w="6664"/>
      </w:tblGrid>
      <w:tr w14:paraId="354FACF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trHeight w:val="567" w:hRule="atLeast"/>
          <w:tblHeader/>
          <w:jc w:val="center"/>
        </w:trPr>
        <w:tc>
          <w:tcPr>
            <w:tcW w:w="1429" w:type="dxa"/>
            <w:gridSpan w:val="2"/>
            <w:tcBorders>
              <w:tl2br w:val="nil"/>
              <w:tr2bl w:val="nil"/>
            </w:tcBorders>
            <w:vAlign w:val="center"/>
          </w:tcPr>
          <w:p w14:paraId="75F58B6F">
            <w:pPr>
              <w:spacing w:line="360"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条款号</w:t>
            </w:r>
          </w:p>
        </w:tc>
        <w:tc>
          <w:tcPr>
            <w:tcW w:w="1560" w:type="dxa"/>
            <w:tcBorders>
              <w:tl2br w:val="nil"/>
              <w:tr2bl w:val="nil"/>
            </w:tcBorders>
            <w:vAlign w:val="center"/>
          </w:tcPr>
          <w:p w14:paraId="307060FC">
            <w:pPr>
              <w:spacing w:line="360"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条款内容</w:t>
            </w:r>
          </w:p>
        </w:tc>
        <w:tc>
          <w:tcPr>
            <w:tcW w:w="6664" w:type="dxa"/>
            <w:tcBorders>
              <w:tl2br w:val="nil"/>
              <w:tr2bl w:val="nil"/>
            </w:tcBorders>
            <w:vAlign w:val="center"/>
          </w:tcPr>
          <w:p w14:paraId="1CB608F1">
            <w:pPr>
              <w:spacing w:line="360"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编列内容</w:t>
            </w:r>
          </w:p>
        </w:tc>
      </w:tr>
      <w:tr w14:paraId="084E50A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1429" w:type="dxa"/>
            <w:gridSpan w:val="2"/>
            <w:vMerge w:val="restart"/>
            <w:tcBorders>
              <w:tl2br w:val="nil"/>
              <w:tr2bl w:val="nil"/>
            </w:tcBorders>
            <w:vAlign w:val="center"/>
          </w:tcPr>
          <w:p w14:paraId="42404B0E">
            <w:pPr>
              <w:spacing w:line="360"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2.2.1</w:t>
            </w:r>
          </w:p>
        </w:tc>
        <w:tc>
          <w:tcPr>
            <w:tcW w:w="1560" w:type="dxa"/>
            <w:vMerge w:val="restart"/>
            <w:tcBorders>
              <w:tl2br w:val="nil"/>
              <w:tr2bl w:val="nil"/>
            </w:tcBorders>
            <w:vAlign w:val="center"/>
          </w:tcPr>
          <w:p w14:paraId="1EC596B3">
            <w:pPr>
              <w:spacing w:line="360"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分值构成</w:t>
            </w:r>
          </w:p>
          <w:p w14:paraId="1DC99C8E">
            <w:pPr>
              <w:spacing w:line="360"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（满分100分）</w:t>
            </w:r>
          </w:p>
        </w:tc>
        <w:tc>
          <w:tcPr>
            <w:tcW w:w="6664" w:type="dxa"/>
            <w:tcBorders>
              <w:tl2br w:val="nil"/>
              <w:tr2bl w:val="nil"/>
            </w:tcBorders>
            <w:vAlign w:val="center"/>
          </w:tcPr>
          <w:p w14:paraId="49328C22">
            <w:pPr>
              <w:spacing w:line="3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供应商的评标总得分＝F1＋F2；</w:t>
            </w:r>
          </w:p>
          <w:p w14:paraId="5EB4D966">
            <w:pPr>
              <w:spacing w:line="3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其中：F1、F2分别为磋商报价、技术部分2项评分因素的汇总得分。</w:t>
            </w:r>
          </w:p>
        </w:tc>
      </w:tr>
      <w:tr w14:paraId="26808F3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cantSplit/>
          <w:trHeight w:val="567" w:hRule="atLeast"/>
          <w:jc w:val="center"/>
        </w:trPr>
        <w:tc>
          <w:tcPr>
            <w:tcW w:w="1429" w:type="dxa"/>
            <w:gridSpan w:val="2"/>
            <w:vMerge w:val="continue"/>
            <w:tcBorders>
              <w:tl2br w:val="nil"/>
              <w:tr2bl w:val="nil"/>
            </w:tcBorders>
            <w:vAlign w:val="center"/>
          </w:tcPr>
          <w:p w14:paraId="73874EC1">
            <w:pPr>
              <w:spacing w:line="360" w:lineRule="exact"/>
              <w:rPr>
                <w:rFonts w:asciiTheme="minorEastAsia" w:hAnsiTheme="minorEastAsia" w:eastAsiaTheme="minorEastAsia" w:cstheme="minorEastAsia"/>
                <w:color w:val="auto"/>
                <w:highlight w:val="none"/>
              </w:rPr>
            </w:pPr>
          </w:p>
        </w:tc>
        <w:tc>
          <w:tcPr>
            <w:tcW w:w="1560" w:type="dxa"/>
            <w:vMerge w:val="continue"/>
            <w:tcBorders>
              <w:tl2br w:val="nil"/>
              <w:tr2bl w:val="nil"/>
            </w:tcBorders>
            <w:vAlign w:val="center"/>
          </w:tcPr>
          <w:p w14:paraId="0DFACDD2">
            <w:pPr>
              <w:spacing w:line="360" w:lineRule="exact"/>
              <w:rPr>
                <w:rFonts w:asciiTheme="minorEastAsia" w:hAnsiTheme="minorEastAsia" w:eastAsiaTheme="minorEastAsia" w:cstheme="minorEastAsia"/>
                <w:color w:val="auto"/>
                <w:highlight w:val="none"/>
              </w:rPr>
            </w:pPr>
          </w:p>
        </w:tc>
        <w:tc>
          <w:tcPr>
            <w:tcW w:w="6664" w:type="dxa"/>
            <w:tcBorders>
              <w:tl2br w:val="nil"/>
              <w:tr2bl w:val="nil"/>
            </w:tcBorders>
            <w:vAlign w:val="center"/>
          </w:tcPr>
          <w:p w14:paraId="34FB596C">
            <w:pPr>
              <w:spacing w:line="360" w:lineRule="exact"/>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磋商报价部分F1：</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rPr>
              <w:t>0</w:t>
            </w:r>
            <w:r>
              <w:rPr>
                <w:rFonts w:asciiTheme="minorEastAsia" w:hAnsiTheme="minorEastAsia" w:eastAsiaTheme="minorEastAsia" w:cstheme="minorEastAsia"/>
                <w:color w:val="auto"/>
                <w:szCs w:val="21"/>
                <w:highlight w:val="none"/>
              </w:rPr>
              <w:t>分；</w:t>
            </w:r>
          </w:p>
          <w:p w14:paraId="5676E287">
            <w:pPr>
              <w:spacing w:line="360" w:lineRule="exact"/>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技术部分F2：</w:t>
            </w:r>
            <w:r>
              <w:rPr>
                <w:rFonts w:hint="eastAsia" w:asciiTheme="minorEastAsia" w:hAnsiTheme="minorEastAsia" w:eastAsiaTheme="minorEastAsia" w:cstheme="minorEastAsia"/>
                <w:color w:val="auto"/>
                <w:szCs w:val="21"/>
                <w:highlight w:val="none"/>
                <w:lang w:val="en-US" w:eastAsia="zh-CN"/>
              </w:rPr>
              <w:t>7</w:t>
            </w:r>
            <w:r>
              <w:rPr>
                <w:rFonts w:hint="eastAsia" w:asciiTheme="minorEastAsia" w:hAnsiTheme="minorEastAsia" w:eastAsiaTheme="minorEastAsia" w:cstheme="minorEastAsia"/>
                <w:color w:val="auto"/>
                <w:szCs w:val="21"/>
                <w:highlight w:val="none"/>
              </w:rPr>
              <w:t>0</w:t>
            </w:r>
            <w:r>
              <w:rPr>
                <w:rFonts w:asciiTheme="minorEastAsia" w:hAnsiTheme="minorEastAsia" w:eastAsiaTheme="minorEastAsia" w:cstheme="minorEastAsia"/>
                <w:color w:val="auto"/>
                <w:szCs w:val="21"/>
                <w:highlight w:val="none"/>
              </w:rPr>
              <w:t>分</w:t>
            </w:r>
            <w:r>
              <w:rPr>
                <w:rFonts w:hint="eastAsia" w:asciiTheme="minorEastAsia" w:hAnsiTheme="minorEastAsia" w:eastAsiaTheme="minorEastAsia" w:cstheme="minorEastAsia"/>
                <w:color w:val="auto"/>
                <w:szCs w:val="21"/>
                <w:highlight w:val="none"/>
              </w:rPr>
              <w:t>。</w:t>
            </w:r>
          </w:p>
        </w:tc>
      </w:tr>
      <w:tr w14:paraId="649A8D0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trHeight w:val="567" w:hRule="atLeast"/>
          <w:jc w:val="center"/>
        </w:trPr>
        <w:tc>
          <w:tcPr>
            <w:tcW w:w="1429" w:type="dxa"/>
            <w:gridSpan w:val="2"/>
            <w:tcBorders>
              <w:tl2br w:val="nil"/>
              <w:tr2bl w:val="nil"/>
            </w:tcBorders>
            <w:vAlign w:val="center"/>
          </w:tcPr>
          <w:p w14:paraId="5C409977">
            <w:pPr>
              <w:spacing w:line="360" w:lineRule="exact"/>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2.2.2</w:t>
            </w:r>
          </w:p>
        </w:tc>
        <w:tc>
          <w:tcPr>
            <w:tcW w:w="1560" w:type="dxa"/>
            <w:tcBorders>
              <w:tl2br w:val="nil"/>
              <w:tr2bl w:val="nil"/>
            </w:tcBorders>
            <w:vAlign w:val="center"/>
          </w:tcPr>
          <w:p w14:paraId="08A3ED81">
            <w:pPr>
              <w:spacing w:line="360"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kern w:val="0"/>
                <w:szCs w:val="21"/>
                <w:highlight w:val="none"/>
              </w:rPr>
              <w:t>磋商基准价计算方法</w:t>
            </w:r>
          </w:p>
        </w:tc>
        <w:tc>
          <w:tcPr>
            <w:tcW w:w="6664" w:type="dxa"/>
            <w:tcBorders>
              <w:tl2br w:val="nil"/>
              <w:tr2bl w:val="nil"/>
            </w:tcBorders>
            <w:vAlign w:val="center"/>
          </w:tcPr>
          <w:p w14:paraId="422A40EC">
            <w:pPr>
              <w:spacing w:line="3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满足竞争性磋商文件要求</w:t>
            </w:r>
            <w:r>
              <w:rPr>
                <w:rFonts w:hint="eastAsia" w:ascii="宋体" w:hAnsi="宋体" w:eastAsia="宋体" w:cs="宋体"/>
                <w:color w:val="auto"/>
                <w:kern w:val="2"/>
                <w:sz w:val="21"/>
                <w:szCs w:val="21"/>
                <w:highlight w:val="none"/>
                <w:lang w:val="en-US" w:eastAsia="zh-CN" w:bidi="ar-SA"/>
              </w:rPr>
              <w:t>通过初步评审的最低有效投标总报价</w:t>
            </w:r>
            <w:r>
              <w:rPr>
                <w:rFonts w:hint="eastAsia" w:asciiTheme="minorEastAsia" w:hAnsiTheme="minorEastAsia" w:eastAsiaTheme="minorEastAsia" w:cstheme="minorEastAsia"/>
                <w:color w:val="auto"/>
                <w:szCs w:val="21"/>
                <w:highlight w:val="none"/>
              </w:rPr>
              <w:t>为磋商基准价。</w:t>
            </w:r>
          </w:p>
        </w:tc>
      </w:tr>
      <w:tr w14:paraId="097D8AB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trHeight w:val="567" w:hRule="atLeast"/>
          <w:jc w:val="center"/>
        </w:trPr>
        <w:tc>
          <w:tcPr>
            <w:tcW w:w="730" w:type="dxa"/>
            <w:tcBorders>
              <w:tl2br w:val="nil"/>
              <w:tr2bl w:val="nil"/>
            </w:tcBorders>
            <w:vAlign w:val="center"/>
          </w:tcPr>
          <w:p w14:paraId="14966B07">
            <w:pPr>
              <w:spacing w:line="360" w:lineRule="exact"/>
              <w:jc w:val="cente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2.2.3（1）</w:t>
            </w:r>
          </w:p>
        </w:tc>
        <w:tc>
          <w:tcPr>
            <w:tcW w:w="699" w:type="dxa"/>
            <w:tcBorders>
              <w:tl2br w:val="nil"/>
              <w:tr2bl w:val="nil"/>
            </w:tcBorders>
            <w:vAlign w:val="center"/>
          </w:tcPr>
          <w:p w14:paraId="52477E1A">
            <w:pPr>
              <w:spacing w:line="360" w:lineRule="exact"/>
              <w:jc w:val="cente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磋商报价F1</w:t>
            </w:r>
          </w:p>
          <w:p w14:paraId="1219A787">
            <w:pPr>
              <w:spacing w:line="360" w:lineRule="exact"/>
              <w:jc w:val="cente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评分标准</w:t>
            </w:r>
          </w:p>
        </w:tc>
        <w:tc>
          <w:tcPr>
            <w:tcW w:w="1560" w:type="dxa"/>
            <w:tcBorders>
              <w:tl2br w:val="nil"/>
              <w:tr2bl w:val="nil"/>
            </w:tcBorders>
            <w:vAlign w:val="center"/>
          </w:tcPr>
          <w:p w14:paraId="32D3B13A">
            <w:pPr>
              <w:spacing w:line="360" w:lineRule="exact"/>
              <w:jc w:val="cente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磋商报价</w:t>
            </w:r>
          </w:p>
          <w:p w14:paraId="050EC57E">
            <w:pPr>
              <w:spacing w:line="360" w:lineRule="exact"/>
              <w:jc w:val="center"/>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b/>
                <w:bCs/>
                <w:color w:val="auto"/>
                <w:szCs w:val="21"/>
                <w:highlight w:val="none"/>
              </w:rPr>
              <w:t>（满分</w:t>
            </w:r>
            <w:r>
              <w:rPr>
                <w:rFonts w:hint="eastAsia" w:asciiTheme="minorEastAsia" w:hAnsiTheme="minorEastAsia" w:eastAsiaTheme="minorEastAsia" w:cstheme="minorEastAsia"/>
                <w:b/>
                <w:bCs/>
                <w:color w:val="auto"/>
                <w:szCs w:val="21"/>
                <w:highlight w:val="none"/>
                <w:lang w:val="en-US" w:eastAsia="zh-CN"/>
              </w:rPr>
              <w:t>3</w:t>
            </w:r>
            <w:r>
              <w:rPr>
                <w:rFonts w:hint="eastAsia" w:asciiTheme="minorEastAsia" w:hAnsiTheme="minorEastAsia" w:eastAsiaTheme="minorEastAsia" w:cstheme="minorEastAsia"/>
                <w:b/>
                <w:bCs/>
                <w:color w:val="auto"/>
                <w:szCs w:val="21"/>
                <w:highlight w:val="none"/>
              </w:rPr>
              <w:t>0分）</w:t>
            </w:r>
          </w:p>
        </w:tc>
        <w:tc>
          <w:tcPr>
            <w:tcW w:w="6664" w:type="dxa"/>
            <w:tcBorders>
              <w:tl2br w:val="nil"/>
              <w:tr2bl w:val="nil"/>
            </w:tcBorders>
            <w:vAlign w:val="center"/>
          </w:tcPr>
          <w:p w14:paraId="2011D549">
            <w:pPr>
              <w:spacing w:line="3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满足竞争性磋商文件要求</w:t>
            </w:r>
            <w:r>
              <w:rPr>
                <w:rFonts w:hint="eastAsia" w:ascii="宋体" w:hAnsi="宋体" w:eastAsia="宋体" w:cs="宋体"/>
                <w:color w:val="auto"/>
                <w:kern w:val="2"/>
                <w:sz w:val="21"/>
                <w:szCs w:val="21"/>
                <w:highlight w:val="none"/>
                <w:lang w:val="en-US" w:eastAsia="zh-CN" w:bidi="ar-SA"/>
              </w:rPr>
              <w:t>通过初步评审的最低有效投标总报价</w:t>
            </w:r>
            <w:r>
              <w:rPr>
                <w:rFonts w:hint="eastAsia" w:asciiTheme="minorEastAsia" w:hAnsiTheme="minorEastAsia" w:eastAsiaTheme="minorEastAsia" w:cstheme="minorEastAsia"/>
                <w:color w:val="auto"/>
                <w:szCs w:val="21"/>
                <w:highlight w:val="none"/>
              </w:rPr>
              <w:t>为磋商基准价，其价格分为满分。其他供应商的价格分统一按照下列公式计算：</w:t>
            </w:r>
          </w:p>
          <w:p w14:paraId="76EFEC55">
            <w:pPr>
              <w:spacing w:line="3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磋商报价得分=</w:t>
            </w:r>
            <w:r>
              <w:rPr>
                <w:rFonts w:hint="eastAsia" w:ascii="宋体" w:hAnsi="宋体" w:eastAsia="宋体" w:cs="宋体"/>
                <w:b/>
                <w:bCs/>
                <w:color w:val="auto"/>
                <w:kern w:val="2"/>
                <w:sz w:val="21"/>
                <w:szCs w:val="21"/>
                <w:highlight w:val="none"/>
                <w:lang w:val="en-US" w:eastAsia="zh-CN" w:bidi="ar-SA"/>
              </w:rPr>
              <w:t>（评标基准价/该供应商的投标总报价）×30</w:t>
            </w:r>
            <w:r>
              <w:rPr>
                <w:rFonts w:hint="eastAsia" w:asciiTheme="minorEastAsia" w:hAnsiTheme="minorEastAsia" w:eastAsiaTheme="minorEastAsia" w:cstheme="minorEastAsia"/>
                <w:color w:val="auto"/>
                <w:szCs w:val="21"/>
                <w:highlight w:val="none"/>
              </w:rPr>
              <w:t>。</w:t>
            </w:r>
          </w:p>
          <w:p w14:paraId="59061534">
            <w:pPr>
              <w:spacing w:line="360" w:lineRule="exact"/>
              <w:rPr>
                <w:rFonts w:asciiTheme="minorEastAsia" w:hAnsiTheme="minorEastAsia" w:eastAsiaTheme="minorEastAsia" w:cstheme="minorEastAsia"/>
                <w:color w:val="auto"/>
                <w:kern w:val="0"/>
                <w:szCs w:val="21"/>
                <w:highlight w:val="none"/>
              </w:rPr>
            </w:pPr>
          </w:p>
          <w:p w14:paraId="5AAE801F">
            <w:pPr>
              <w:spacing w:line="360" w:lineRule="exact"/>
              <w:rPr>
                <w:rFonts w:asciiTheme="minorEastAsia" w:hAnsiTheme="minorEastAsia" w:eastAsiaTheme="minorEastAsia" w:cstheme="minorEastAsia"/>
                <w:color w:val="auto"/>
                <w:kern w:val="0"/>
                <w:szCs w:val="21"/>
                <w:highlight w:val="none"/>
              </w:rPr>
            </w:pPr>
          </w:p>
        </w:tc>
      </w:tr>
      <w:tr w14:paraId="210D0D7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trHeight w:val="567" w:hRule="atLeast"/>
          <w:jc w:val="center"/>
        </w:trPr>
        <w:tc>
          <w:tcPr>
            <w:tcW w:w="730" w:type="dxa"/>
            <w:vMerge w:val="restart"/>
            <w:tcBorders>
              <w:tl2br w:val="nil"/>
              <w:tr2bl w:val="nil"/>
            </w:tcBorders>
            <w:vAlign w:val="center"/>
          </w:tcPr>
          <w:p w14:paraId="0D257978">
            <w:pPr>
              <w:spacing w:line="360" w:lineRule="exact"/>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2.2.3（2）</w:t>
            </w:r>
          </w:p>
        </w:tc>
        <w:tc>
          <w:tcPr>
            <w:tcW w:w="699" w:type="dxa"/>
            <w:vMerge w:val="restart"/>
            <w:tcBorders>
              <w:tl2br w:val="nil"/>
              <w:tr2bl w:val="nil"/>
            </w:tcBorders>
            <w:vAlign w:val="center"/>
          </w:tcPr>
          <w:p w14:paraId="431B3769">
            <w:pPr>
              <w:spacing w:line="360" w:lineRule="exact"/>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技术部分F2评分标准</w:t>
            </w:r>
          </w:p>
        </w:tc>
        <w:tc>
          <w:tcPr>
            <w:tcW w:w="1560" w:type="dxa"/>
            <w:vMerge w:val="restart"/>
            <w:tcBorders>
              <w:tl2br w:val="nil"/>
              <w:tr2bl w:val="nil"/>
            </w:tcBorders>
            <w:vAlign w:val="center"/>
          </w:tcPr>
          <w:p w14:paraId="7B52889C">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rightChars="0"/>
              <w:jc w:val="center"/>
              <w:textAlignment w:val="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bCs/>
                <w:color w:val="auto"/>
                <w:szCs w:val="21"/>
                <w:highlight w:val="none"/>
              </w:rPr>
              <w:t>技术部分评分F2（满分</w:t>
            </w:r>
            <w:r>
              <w:rPr>
                <w:rFonts w:hint="eastAsia" w:asciiTheme="minorEastAsia" w:hAnsiTheme="minorEastAsia" w:eastAsiaTheme="minorEastAsia" w:cstheme="minorEastAsia"/>
                <w:b/>
                <w:bCs/>
                <w:color w:val="auto"/>
                <w:szCs w:val="21"/>
                <w:highlight w:val="none"/>
                <w:lang w:val="en-US" w:eastAsia="zh-CN"/>
              </w:rPr>
              <w:t>70</w:t>
            </w:r>
            <w:r>
              <w:rPr>
                <w:rFonts w:hint="eastAsia" w:asciiTheme="minorEastAsia" w:hAnsiTheme="minorEastAsia" w:eastAsiaTheme="minorEastAsia" w:cstheme="minorEastAsia"/>
                <w:b/>
                <w:bCs/>
                <w:color w:val="auto"/>
                <w:szCs w:val="21"/>
                <w:highlight w:val="none"/>
              </w:rPr>
              <w:t>分）</w:t>
            </w:r>
          </w:p>
        </w:tc>
        <w:tc>
          <w:tcPr>
            <w:tcW w:w="6664" w:type="dxa"/>
            <w:tcBorders>
              <w:tl2br w:val="nil"/>
              <w:tr2bl w:val="nil"/>
            </w:tcBorders>
            <w:vAlign w:val="center"/>
          </w:tcPr>
          <w:p w14:paraId="61827EE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w:t>
            </w:r>
            <w:r>
              <w:rPr>
                <w:rFonts w:hint="eastAsia" w:ascii="宋体" w:hAnsi="宋体" w:cs="宋体"/>
                <w:b/>
                <w:color w:val="auto"/>
                <w:sz w:val="21"/>
                <w:szCs w:val="21"/>
                <w:highlight w:val="none"/>
                <w:lang w:val="en-US" w:eastAsia="zh-CN"/>
              </w:rPr>
              <w:t>1</w:t>
            </w:r>
            <w:r>
              <w:rPr>
                <w:rFonts w:hint="eastAsia" w:ascii="宋体" w:hAnsi="宋体" w:eastAsia="宋体" w:cs="宋体"/>
                <w:b/>
                <w:color w:val="auto"/>
                <w:sz w:val="21"/>
                <w:szCs w:val="21"/>
                <w:highlight w:val="none"/>
                <w:lang w:val="en-US" w:eastAsia="zh-CN"/>
              </w:rPr>
              <w:t>）施工技术方案评审评分</w:t>
            </w:r>
            <w:r>
              <w:rPr>
                <w:rFonts w:hint="eastAsia" w:ascii="宋体" w:hAnsi="宋体" w:eastAsia="宋体" w:cs="宋体"/>
                <w:b/>
                <w:color w:val="auto"/>
                <w:sz w:val="21"/>
                <w:szCs w:val="21"/>
                <w:highlight w:val="none"/>
              </w:rPr>
              <w:t>（满分</w:t>
            </w:r>
            <w:r>
              <w:rPr>
                <w:rFonts w:hint="eastAsia" w:ascii="宋体" w:hAnsi="宋体" w:cs="宋体"/>
                <w:b/>
                <w:color w:val="auto"/>
                <w:sz w:val="21"/>
                <w:szCs w:val="21"/>
                <w:highlight w:val="none"/>
                <w:lang w:val="en-US" w:eastAsia="zh-CN"/>
              </w:rPr>
              <w:t>20</w:t>
            </w:r>
            <w:r>
              <w:rPr>
                <w:rFonts w:hint="eastAsia" w:ascii="宋体" w:hAnsi="宋体" w:eastAsia="宋体" w:cs="宋体"/>
                <w:b/>
                <w:color w:val="auto"/>
                <w:sz w:val="21"/>
                <w:szCs w:val="21"/>
                <w:highlight w:val="none"/>
              </w:rPr>
              <w:t>分）</w:t>
            </w:r>
          </w:p>
          <w:p w14:paraId="6529EF3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textAlignment w:val="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①施工技术方案评审评分（满分</w:t>
            </w:r>
            <w:r>
              <w:rPr>
                <w:rFonts w:hint="eastAsia" w:ascii="宋体" w:hAnsi="宋体" w:cs="宋体"/>
                <w:b/>
                <w:bCs w:val="0"/>
                <w:color w:val="auto"/>
                <w:sz w:val="21"/>
                <w:szCs w:val="21"/>
                <w:highlight w:val="none"/>
                <w:lang w:val="en-US" w:eastAsia="zh-CN"/>
              </w:rPr>
              <w:t>10</w:t>
            </w:r>
            <w:r>
              <w:rPr>
                <w:rFonts w:hint="eastAsia" w:ascii="宋体" w:hAnsi="宋体" w:eastAsia="宋体" w:cs="宋体"/>
                <w:b/>
                <w:bCs w:val="0"/>
                <w:color w:val="auto"/>
                <w:sz w:val="21"/>
                <w:szCs w:val="21"/>
                <w:highlight w:val="none"/>
                <w:lang w:val="en-US" w:eastAsia="zh-CN"/>
              </w:rPr>
              <w:t>分）</w:t>
            </w:r>
          </w:p>
          <w:p w14:paraId="211A1C9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第一个档次（</w:t>
            </w:r>
            <w:r>
              <w:rPr>
                <w:rFonts w:hint="eastAsia" w:ascii="宋体" w:hAnsi="宋体" w:cs="宋体"/>
                <w:b w:val="0"/>
                <w:bCs/>
                <w:color w:val="auto"/>
                <w:sz w:val="21"/>
                <w:szCs w:val="21"/>
                <w:highlight w:val="none"/>
                <w:lang w:val="en-US" w:eastAsia="zh-CN"/>
              </w:rPr>
              <w:t>10</w:t>
            </w:r>
            <w:r>
              <w:rPr>
                <w:rFonts w:hint="eastAsia" w:ascii="宋体" w:hAnsi="宋体" w:eastAsia="宋体" w:cs="宋体"/>
                <w:b w:val="0"/>
                <w:bCs/>
                <w:color w:val="auto"/>
                <w:sz w:val="21"/>
                <w:szCs w:val="21"/>
                <w:highlight w:val="none"/>
                <w:lang w:val="en-US" w:eastAsia="zh-CN"/>
              </w:rPr>
              <w:t>分）：施工技术方案各阶段流程安排合理，完全满足采购人需求，工艺流程及措施内容详细合理，投资管控内容详细完整，对施工具有指导性的；</w:t>
            </w:r>
          </w:p>
          <w:p w14:paraId="7285149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第二个档次（</w:t>
            </w:r>
            <w:r>
              <w:rPr>
                <w:rFonts w:hint="eastAsia" w:ascii="宋体" w:hAnsi="宋体" w:cs="宋体"/>
                <w:b w:val="0"/>
                <w:bCs/>
                <w:color w:val="auto"/>
                <w:sz w:val="21"/>
                <w:szCs w:val="21"/>
                <w:highlight w:val="none"/>
                <w:lang w:val="en-US" w:eastAsia="zh-CN"/>
              </w:rPr>
              <w:t>8</w:t>
            </w:r>
            <w:r>
              <w:rPr>
                <w:rFonts w:hint="eastAsia" w:ascii="宋体" w:hAnsi="宋体" w:eastAsia="宋体" w:cs="宋体"/>
                <w:b w:val="0"/>
                <w:bCs/>
                <w:color w:val="auto"/>
                <w:sz w:val="21"/>
                <w:szCs w:val="21"/>
                <w:highlight w:val="none"/>
                <w:lang w:val="en-US" w:eastAsia="zh-CN"/>
              </w:rPr>
              <w:t>分）：施工技术方案各阶段流程安排合理，满足工艺流程及措施内容详细，投资管控内容完整的；</w:t>
            </w:r>
          </w:p>
          <w:p w14:paraId="19CE23A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第三个档次（</w:t>
            </w:r>
            <w:r>
              <w:rPr>
                <w:rFonts w:hint="eastAsia" w:ascii="宋体" w:hAnsi="宋体" w:cs="宋体"/>
                <w:b w:val="0"/>
                <w:bCs/>
                <w:color w:val="auto"/>
                <w:sz w:val="21"/>
                <w:szCs w:val="21"/>
                <w:highlight w:val="none"/>
                <w:lang w:val="en-US" w:eastAsia="zh-CN"/>
              </w:rPr>
              <w:t>6</w:t>
            </w:r>
            <w:r>
              <w:rPr>
                <w:rFonts w:hint="eastAsia" w:ascii="宋体" w:hAnsi="宋体" w:eastAsia="宋体" w:cs="宋体"/>
                <w:b w:val="0"/>
                <w:bCs/>
                <w:color w:val="auto"/>
                <w:sz w:val="21"/>
                <w:szCs w:val="21"/>
                <w:highlight w:val="none"/>
                <w:lang w:val="en-US" w:eastAsia="zh-CN"/>
              </w:rPr>
              <w:t>分）：施工技术方案各阶段流程安排基本合理，基本满足采购人需求，工艺流程及措施内容详细；</w:t>
            </w:r>
          </w:p>
          <w:p w14:paraId="64674BA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第四个档次（</w:t>
            </w:r>
            <w:r>
              <w:rPr>
                <w:rFonts w:hint="eastAsia" w:ascii="宋体" w:hAnsi="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lang w:val="en-US" w:eastAsia="zh-CN"/>
              </w:rPr>
              <w:t>分）：施工技术方案各阶段流程安排少部分满足采购人需求，工艺流程及措施内容有一定欠缺的；</w:t>
            </w:r>
          </w:p>
          <w:p w14:paraId="75E0F0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textAlignment w:val="auto"/>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第五个档次（</w:t>
            </w:r>
            <w:r>
              <w:rPr>
                <w:rFonts w:hint="eastAsia" w:ascii="宋体" w:hAnsi="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val="en-US" w:eastAsia="zh-CN"/>
              </w:rPr>
              <w:t>分）：施工技术方案各阶段流程安排不合理，不能满足采购人需求，工艺流程及措施内容有缺漏的</w:t>
            </w:r>
            <w:r>
              <w:rPr>
                <w:rFonts w:hint="eastAsia" w:ascii="宋体" w:hAnsi="宋体" w:cs="宋体"/>
                <w:b w:val="0"/>
                <w:bCs/>
                <w:color w:val="auto"/>
                <w:sz w:val="21"/>
                <w:szCs w:val="21"/>
                <w:highlight w:val="none"/>
                <w:lang w:val="en-US" w:eastAsia="zh-CN"/>
              </w:rPr>
              <w:t>；</w:t>
            </w:r>
          </w:p>
          <w:p w14:paraId="007C025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第六个档次（0分）：供应商未提供施工技术方案的。</w:t>
            </w:r>
          </w:p>
          <w:p w14:paraId="2461C66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textAlignment w:val="auto"/>
              <w:rPr>
                <w:rFonts w:hint="eastAsia"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②</w:t>
            </w:r>
            <w:r>
              <w:rPr>
                <w:rFonts w:hint="eastAsia" w:ascii="宋体" w:hAnsi="宋体" w:eastAsia="宋体" w:cs="宋体"/>
                <w:b/>
                <w:bCs w:val="0"/>
                <w:color w:val="auto"/>
                <w:sz w:val="21"/>
                <w:szCs w:val="21"/>
                <w:highlight w:val="none"/>
                <w:lang w:val="en-US" w:eastAsia="zh-CN"/>
              </w:rPr>
              <w:t>施工现场组织流程规划</w:t>
            </w:r>
            <w:r>
              <w:rPr>
                <w:rFonts w:hint="eastAsia" w:ascii="宋体" w:hAnsi="宋体" w:cs="宋体"/>
                <w:b/>
                <w:bCs w:val="0"/>
                <w:color w:val="auto"/>
                <w:sz w:val="21"/>
                <w:szCs w:val="21"/>
                <w:highlight w:val="none"/>
                <w:lang w:val="en-US" w:eastAsia="zh-CN"/>
              </w:rPr>
              <w:t>评审评分</w:t>
            </w:r>
            <w:r>
              <w:rPr>
                <w:rFonts w:hint="eastAsia" w:ascii="宋体" w:hAnsi="宋体" w:eastAsia="宋体" w:cs="宋体"/>
                <w:b/>
                <w:bCs w:val="0"/>
                <w:color w:val="auto"/>
                <w:sz w:val="21"/>
                <w:szCs w:val="21"/>
                <w:highlight w:val="none"/>
                <w:lang w:val="en-US" w:eastAsia="zh-CN"/>
              </w:rPr>
              <w:t>（满分</w:t>
            </w:r>
            <w:r>
              <w:rPr>
                <w:rFonts w:hint="eastAsia" w:ascii="宋体" w:hAnsi="宋体" w:cs="宋体"/>
                <w:b/>
                <w:bCs w:val="0"/>
                <w:color w:val="auto"/>
                <w:sz w:val="21"/>
                <w:szCs w:val="21"/>
                <w:highlight w:val="none"/>
                <w:lang w:val="en-US" w:eastAsia="zh-CN"/>
              </w:rPr>
              <w:t>10</w:t>
            </w:r>
            <w:r>
              <w:rPr>
                <w:rFonts w:hint="eastAsia" w:ascii="宋体" w:hAnsi="宋体" w:eastAsia="宋体" w:cs="宋体"/>
                <w:b/>
                <w:bCs w:val="0"/>
                <w:color w:val="auto"/>
                <w:sz w:val="21"/>
                <w:szCs w:val="21"/>
                <w:highlight w:val="none"/>
                <w:lang w:val="en-US" w:eastAsia="zh-CN"/>
              </w:rPr>
              <w:t>分）</w:t>
            </w:r>
          </w:p>
          <w:p w14:paraId="5EE7F67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第一个档次（</w:t>
            </w:r>
            <w:r>
              <w:rPr>
                <w:rFonts w:hint="eastAsia" w:ascii="宋体" w:hAnsi="宋体" w:cs="宋体"/>
                <w:b w:val="0"/>
                <w:bCs/>
                <w:color w:val="auto"/>
                <w:sz w:val="21"/>
                <w:szCs w:val="21"/>
                <w:highlight w:val="none"/>
                <w:lang w:val="en-US" w:eastAsia="zh-CN"/>
              </w:rPr>
              <w:t>10</w:t>
            </w:r>
            <w:r>
              <w:rPr>
                <w:rFonts w:hint="eastAsia" w:ascii="宋体" w:hAnsi="宋体" w:eastAsia="宋体" w:cs="宋体"/>
                <w:b w:val="0"/>
                <w:bCs/>
                <w:color w:val="auto"/>
                <w:sz w:val="21"/>
                <w:szCs w:val="21"/>
                <w:highlight w:val="none"/>
                <w:lang w:val="en-US" w:eastAsia="zh-CN"/>
              </w:rPr>
              <w:t>分）：施工现场组织流程规划内容完善有详细的规划流程图或描述内容的；</w:t>
            </w:r>
          </w:p>
          <w:p w14:paraId="63643AC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第二个档次（</w:t>
            </w:r>
            <w:r>
              <w:rPr>
                <w:rFonts w:hint="eastAsia" w:ascii="宋体" w:hAnsi="宋体" w:cs="宋体"/>
                <w:b w:val="0"/>
                <w:bCs/>
                <w:color w:val="auto"/>
                <w:sz w:val="21"/>
                <w:szCs w:val="21"/>
                <w:highlight w:val="none"/>
                <w:lang w:val="en-US" w:eastAsia="zh-CN"/>
              </w:rPr>
              <w:t>8</w:t>
            </w:r>
            <w:r>
              <w:rPr>
                <w:rFonts w:hint="eastAsia" w:ascii="宋体" w:hAnsi="宋体" w:eastAsia="宋体" w:cs="宋体"/>
                <w:b w:val="0"/>
                <w:bCs/>
                <w:color w:val="auto"/>
                <w:sz w:val="21"/>
                <w:szCs w:val="21"/>
                <w:highlight w:val="none"/>
                <w:lang w:val="en-US" w:eastAsia="zh-CN"/>
              </w:rPr>
              <w:t>分）：施工现场组织流程规划内容基本完善有规划流程图或描述内容的；</w:t>
            </w:r>
          </w:p>
          <w:p w14:paraId="5A75B5E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第三个档次（</w:t>
            </w:r>
            <w:r>
              <w:rPr>
                <w:rFonts w:hint="eastAsia" w:ascii="宋体" w:hAnsi="宋体" w:cs="宋体"/>
                <w:b w:val="0"/>
                <w:bCs/>
                <w:color w:val="auto"/>
                <w:sz w:val="21"/>
                <w:szCs w:val="21"/>
                <w:highlight w:val="none"/>
                <w:lang w:val="en-US" w:eastAsia="zh-CN"/>
              </w:rPr>
              <w:t>6</w:t>
            </w:r>
            <w:r>
              <w:rPr>
                <w:rFonts w:hint="eastAsia" w:ascii="宋体" w:hAnsi="宋体" w:eastAsia="宋体" w:cs="宋体"/>
                <w:b w:val="0"/>
                <w:bCs/>
                <w:color w:val="auto"/>
                <w:sz w:val="21"/>
                <w:szCs w:val="21"/>
                <w:highlight w:val="none"/>
                <w:lang w:val="en-US" w:eastAsia="zh-CN"/>
              </w:rPr>
              <w:t>分）：施工现场组织流程规划内容基本完善有描述内容的；</w:t>
            </w:r>
          </w:p>
          <w:p w14:paraId="08E11CD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第四个档次（</w:t>
            </w:r>
            <w:r>
              <w:rPr>
                <w:rFonts w:hint="eastAsia" w:ascii="宋体" w:hAnsi="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lang w:val="en-US" w:eastAsia="zh-CN"/>
              </w:rPr>
              <w:t>分）：施工现场组织流程规划内容有一定缺陷的；</w:t>
            </w:r>
          </w:p>
          <w:p w14:paraId="17BC112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textAlignment w:val="auto"/>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第五个档次（</w:t>
            </w:r>
            <w:r>
              <w:rPr>
                <w:rFonts w:hint="eastAsia" w:ascii="宋体" w:hAnsi="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val="en-US" w:eastAsia="zh-CN"/>
              </w:rPr>
              <w:t>分）：施工现场组织流程规划内容有明显缺陷及遗漏的</w:t>
            </w:r>
            <w:r>
              <w:rPr>
                <w:rFonts w:hint="eastAsia" w:ascii="宋体" w:hAnsi="宋体" w:cs="宋体"/>
                <w:b w:val="0"/>
                <w:bCs/>
                <w:color w:val="auto"/>
                <w:sz w:val="21"/>
                <w:szCs w:val="21"/>
                <w:highlight w:val="none"/>
                <w:lang w:val="en-US" w:eastAsia="zh-CN"/>
              </w:rPr>
              <w:t>；</w:t>
            </w:r>
          </w:p>
          <w:p w14:paraId="5C071E1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jc w:val="left"/>
              <w:textAlignment w:val="auto"/>
              <w:rPr>
                <w:rFonts w:asciiTheme="minorEastAsia" w:hAnsiTheme="minorEastAsia" w:eastAsiaTheme="minorEastAsia" w:cstheme="minorEastAsia"/>
                <w:color w:val="auto"/>
                <w:szCs w:val="21"/>
                <w:highlight w:val="none"/>
              </w:rPr>
            </w:pPr>
            <w:r>
              <w:rPr>
                <w:rFonts w:hint="eastAsia" w:ascii="宋体" w:hAnsi="宋体" w:eastAsia="宋体" w:cs="宋体"/>
                <w:b w:val="0"/>
                <w:bCs/>
                <w:color w:val="auto"/>
                <w:sz w:val="21"/>
                <w:szCs w:val="21"/>
                <w:highlight w:val="none"/>
                <w:lang w:val="en-US" w:eastAsia="zh-CN"/>
              </w:rPr>
              <w:t>第六个档次（0分）：供应商未提供施工现场组织流程规划的。</w:t>
            </w:r>
          </w:p>
        </w:tc>
      </w:tr>
      <w:tr w14:paraId="7BD867F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trHeight w:val="567" w:hRule="atLeast"/>
          <w:jc w:val="center"/>
        </w:trPr>
        <w:tc>
          <w:tcPr>
            <w:tcW w:w="730" w:type="dxa"/>
            <w:vMerge w:val="continue"/>
            <w:tcBorders>
              <w:tl2br w:val="nil"/>
              <w:tr2bl w:val="nil"/>
            </w:tcBorders>
            <w:vAlign w:val="center"/>
          </w:tcPr>
          <w:p w14:paraId="33620BEE">
            <w:pPr>
              <w:spacing w:line="360" w:lineRule="exact"/>
              <w:rPr>
                <w:rFonts w:asciiTheme="minorEastAsia" w:hAnsiTheme="minorEastAsia" w:eastAsiaTheme="minorEastAsia" w:cstheme="minorEastAsia"/>
                <w:b/>
                <w:color w:val="auto"/>
                <w:szCs w:val="21"/>
                <w:highlight w:val="none"/>
              </w:rPr>
            </w:pPr>
          </w:p>
        </w:tc>
        <w:tc>
          <w:tcPr>
            <w:tcW w:w="699" w:type="dxa"/>
            <w:vMerge w:val="continue"/>
            <w:tcBorders>
              <w:tl2br w:val="nil"/>
              <w:tr2bl w:val="nil"/>
            </w:tcBorders>
            <w:vAlign w:val="center"/>
          </w:tcPr>
          <w:p w14:paraId="40AC2E2D">
            <w:pPr>
              <w:spacing w:line="360" w:lineRule="exact"/>
              <w:jc w:val="center"/>
              <w:rPr>
                <w:rFonts w:asciiTheme="minorEastAsia" w:hAnsiTheme="minorEastAsia" w:eastAsiaTheme="minorEastAsia" w:cstheme="minorEastAsia"/>
                <w:b/>
                <w:color w:val="auto"/>
                <w:szCs w:val="21"/>
                <w:highlight w:val="none"/>
              </w:rPr>
            </w:pPr>
          </w:p>
        </w:tc>
        <w:tc>
          <w:tcPr>
            <w:tcW w:w="1560" w:type="dxa"/>
            <w:vMerge w:val="continue"/>
            <w:tcBorders>
              <w:tl2br w:val="nil"/>
              <w:tr2bl w:val="nil"/>
            </w:tcBorders>
            <w:vAlign w:val="center"/>
          </w:tcPr>
          <w:p w14:paraId="2E019F2A">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rightChars="0"/>
              <w:jc w:val="center"/>
              <w:textAlignment w:val="auto"/>
              <w:rPr>
                <w:rFonts w:asciiTheme="minorEastAsia" w:hAnsiTheme="minorEastAsia" w:eastAsiaTheme="minorEastAsia" w:cstheme="minorEastAsia"/>
                <w:b/>
                <w:color w:val="auto"/>
                <w:szCs w:val="21"/>
                <w:highlight w:val="none"/>
              </w:rPr>
            </w:pPr>
          </w:p>
        </w:tc>
        <w:tc>
          <w:tcPr>
            <w:tcW w:w="6664" w:type="dxa"/>
            <w:tcBorders>
              <w:tl2br w:val="nil"/>
              <w:tr2bl w:val="nil"/>
            </w:tcBorders>
            <w:vAlign w:val="center"/>
          </w:tcPr>
          <w:p w14:paraId="6C523CB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w:t>
            </w:r>
            <w:r>
              <w:rPr>
                <w:rFonts w:hint="eastAsia" w:ascii="宋体" w:hAnsi="宋体" w:cs="宋体"/>
                <w:b/>
                <w:color w:val="auto"/>
                <w:sz w:val="21"/>
                <w:szCs w:val="21"/>
                <w:highlight w:val="none"/>
                <w:lang w:val="en-US" w:eastAsia="zh-CN"/>
              </w:rPr>
              <w:t>2</w:t>
            </w:r>
            <w:r>
              <w:rPr>
                <w:rFonts w:hint="eastAsia" w:ascii="宋体" w:hAnsi="宋体" w:eastAsia="宋体" w:cs="宋体"/>
                <w:b/>
                <w:color w:val="auto"/>
                <w:sz w:val="21"/>
                <w:szCs w:val="21"/>
                <w:highlight w:val="none"/>
                <w:lang w:val="en-US" w:eastAsia="zh-CN"/>
              </w:rPr>
              <w:t>）质量承诺及保证措施评审评分（满分</w:t>
            </w:r>
            <w:r>
              <w:rPr>
                <w:rFonts w:hint="eastAsia" w:ascii="宋体" w:hAnsi="宋体" w:cs="宋体"/>
                <w:b/>
                <w:color w:val="auto"/>
                <w:sz w:val="21"/>
                <w:szCs w:val="21"/>
                <w:highlight w:val="none"/>
                <w:lang w:val="en-US" w:eastAsia="zh-CN"/>
              </w:rPr>
              <w:t>5</w:t>
            </w:r>
            <w:r>
              <w:rPr>
                <w:rFonts w:hint="eastAsia" w:ascii="宋体" w:hAnsi="宋体" w:eastAsia="宋体" w:cs="宋体"/>
                <w:b/>
                <w:color w:val="auto"/>
                <w:sz w:val="21"/>
                <w:szCs w:val="21"/>
                <w:highlight w:val="none"/>
                <w:lang w:val="en-US" w:eastAsia="zh-CN"/>
              </w:rPr>
              <w:t>分）</w:t>
            </w:r>
          </w:p>
          <w:p w14:paraId="5D5D12A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第一个档次（</w:t>
            </w:r>
            <w:r>
              <w:rPr>
                <w:rFonts w:hint="eastAsia" w:ascii="宋体" w:hAnsi="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lang w:val="en-US" w:eastAsia="zh-CN"/>
              </w:rPr>
              <w:t>分）：质量承诺满足竞争性磋商文件且有具体的违约责任承诺，质量保证措施严格按竞争性磋商文件要求的施工技术规范、标准编制且针对性好的；</w:t>
            </w:r>
          </w:p>
          <w:p w14:paraId="182F64E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第二个档次（</w:t>
            </w:r>
            <w:r>
              <w:rPr>
                <w:rFonts w:hint="eastAsia" w:ascii="宋体" w:hAnsi="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lang w:val="en-US" w:eastAsia="zh-CN"/>
              </w:rPr>
              <w:t>分）：质量承诺满足竞争性磋商文件且有具体的违约责任承诺，质量保证措施达到竞争性磋商文件要求的施工技术规范、标准但针对性一般的；</w:t>
            </w:r>
          </w:p>
          <w:p w14:paraId="1817948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第三个档次（</w:t>
            </w:r>
            <w:r>
              <w:rPr>
                <w:rFonts w:hint="eastAsia" w:ascii="宋体" w:hAnsi="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lang w:val="en-US" w:eastAsia="zh-CN"/>
              </w:rPr>
              <w:t>分）：质量承诺满足竞争性磋商文件且有具体的违约责任承诺，质量保证措施基本达到竞争性磋商文件要求的施工技术规范、标准但明显缺乏针对性的；</w:t>
            </w:r>
          </w:p>
          <w:p w14:paraId="164381F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第四个档次（</w:t>
            </w:r>
            <w:r>
              <w:rPr>
                <w:rFonts w:hint="eastAsia" w:ascii="宋体" w:hAnsi="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val="en-US" w:eastAsia="zh-CN"/>
              </w:rPr>
              <w:t>分）：质量承诺满足竞争性磋商文件但违约责任承诺不具体，质量保证措施基本达到竞争性磋商文件要求的施工技术规范、标准但有重大缺陷或错漏的；</w:t>
            </w:r>
          </w:p>
          <w:p w14:paraId="355C83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第五个档次（</w:t>
            </w:r>
            <w:r>
              <w:rPr>
                <w:rFonts w:hint="eastAsia" w:ascii="宋体" w:hAnsi="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lang w:val="en-US" w:eastAsia="zh-CN"/>
              </w:rPr>
              <w:t>分）：质量承诺部分满足竞争性磋商文件，违约责任承诺不具体，质量保证措施不能达到竞争性磋商文件要求的施工技术规范、标准的；</w:t>
            </w:r>
          </w:p>
          <w:p w14:paraId="1CD1E75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0" w:firstLineChars="0"/>
              <w:jc w:val="left"/>
              <w:textAlignment w:val="auto"/>
              <w:rPr>
                <w:rFonts w:asciiTheme="minorEastAsia" w:hAnsiTheme="minorEastAsia" w:eastAsiaTheme="minorEastAsia" w:cstheme="minorEastAsia"/>
                <w:color w:val="auto"/>
                <w:szCs w:val="21"/>
                <w:highlight w:val="none"/>
              </w:rPr>
            </w:pPr>
            <w:r>
              <w:rPr>
                <w:rFonts w:hint="eastAsia" w:ascii="宋体" w:hAnsi="宋体" w:eastAsia="宋体" w:cs="宋体"/>
                <w:b w:val="0"/>
                <w:bCs/>
                <w:color w:val="auto"/>
                <w:sz w:val="21"/>
                <w:szCs w:val="21"/>
                <w:highlight w:val="none"/>
                <w:lang w:val="en-US" w:eastAsia="zh-CN"/>
              </w:rPr>
              <w:t>第六个档次（</w:t>
            </w:r>
            <w:r>
              <w:rPr>
                <w:rFonts w:hint="eastAsia" w:ascii="宋体" w:hAnsi="宋体" w:cs="宋体"/>
                <w:b w:val="0"/>
                <w:bCs/>
                <w:color w:val="auto"/>
                <w:sz w:val="21"/>
                <w:szCs w:val="21"/>
                <w:highlight w:val="none"/>
                <w:lang w:val="en-US" w:eastAsia="zh-CN"/>
              </w:rPr>
              <w:t>0</w:t>
            </w:r>
            <w:r>
              <w:rPr>
                <w:rFonts w:hint="eastAsia" w:ascii="宋体" w:hAnsi="宋体" w:eastAsia="宋体" w:cs="宋体"/>
                <w:b w:val="0"/>
                <w:bCs/>
                <w:color w:val="auto"/>
                <w:sz w:val="21"/>
                <w:szCs w:val="21"/>
                <w:highlight w:val="none"/>
                <w:lang w:val="en-US" w:eastAsia="zh-CN"/>
              </w:rPr>
              <w:t>分）：供应商未提供质量承诺及保证措施的</w:t>
            </w:r>
            <w:r>
              <w:rPr>
                <w:rFonts w:hint="eastAsia" w:ascii="宋体" w:hAnsi="宋体" w:cs="宋体"/>
                <w:b w:val="0"/>
                <w:bCs/>
                <w:color w:val="auto"/>
                <w:sz w:val="21"/>
                <w:szCs w:val="21"/>
                <w:highlight w:val="none"/>
                <w:lang w:val="en-US" w:eastAsia="zh-CN"/>
              </w:rPr>
              <w:t>。</w:t>
            </w:r>
          </w:p>
        </w:tc>
      </w:tr>
      <w:tr w14:paraId="4CDFF9E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trHeight w:val="567" w:hRule="atLeast"/>
          <w:jc w:val="center"/>
        </w:trPr>
        <w:tc>
          <w:tcPr>
            <w:tcW w:w="730" w:type="dxa"/>
            <w:vMerge w:val="continue"/>
            <w:tcBorders>
              <w:tl2br w:val="nil"/>
              <w:tr2bl w:val="nil"/>
            </w:tcBorders>
            <w:vAlign w:val="center"/>
          </w:tcPr>
          <w:p w14:paraId="3709DA74">
            <w:pPr>
              <w:spacing w:line="360" w:lineRule="exact"/>
              <w:rPr>
                <w:rFonts w:asciiTheme="minorEastAsia" w:hAnsiTheme="minorEastAsia" w:eastAsiaTheme="minorEastAsia" w:cstheme="minorEastAsia"/>
                <w:b/>
                <w:color w:val="auto"/>
                <w:szCs w:val="21"/>
                <w:highlight w:val="none"/>
              </w:rPr>
            </w:pPr>
          </w:p>
        </w:tc>
        <w:tc>
          <w:tcPr>
            <w:tcW w:w="699" w:type="dxa"/>
            <w:vMerge w:val="continue"/>
            <w:tcBorders>
              <w:tl2br w:val="nil"/>
              <w:tr2bl w:val="nil"/>
            </w:tcBorders>
            <w:vAlign w:val="center"/>
          </w:tcPr>
          <w:p w14:paraId="7B0B68D9">
            <w:pPr>
              <w:spacing w:line="360" w:lineRule="exact"/>
              <w:rPr>
                <w:rFonts w:asciiTheme="minorEastAsia" w:hAnsiTheme="minorEastAsia" w:eastAsiaTheme="minorEastAsia" w:cstheme="minorEastAsia"/>
                <w:b/>
                <w:color w:val="auto"/>
                <w:szCs w:val="21"/>
                <w:highlight w:val="none"/>
              </w:rPr>
            </w:pPr>
          </w:p>
        </w:tc>
        <w:tc>
          <w:tcPr>
            <w:tcW w:w="1560" w:type="dxa"/>
            <w:vMerge w:val="continue"/>
            <w:tcBorders>
              <w:tl2br w:val="nil"/>
              <w:tr2bl w:val="nil"/>
            </w:tcBorders>
            <w:shd w:val="clear" w:color="auto" w:fill="auto"/>
            <w:vAlign w:val="center"/>
          </w:tcPr>
          <w:p w14:paraId="7B0A393C">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rightChars="0"/>
              <w:jc w:val="center"/>
              <w:textAlignment w:val="auto"/>
              <w:rPr>
                <w:rFonts w:hint="eastAsia" w:ascii="宋体" w:hAnsi="宋体" w:eastAsia="宋体" w:cs="宋体"/>
                <w:kern w:val="0"/>
                <w:sz w:val="21"/>
                <w:szCs w:val="21"/>
                <w:highlight w:val="none"/>
                <w:lang w:val="en-US" w:eastAsia="zh-CN" w:bidi="ar-SA"/>
              </w:rPr>
            </w:pPr>
          </w:p>
        </w:tc>
        <w:tc>
          <w:tcPr>
            <w:tcW w:w="6664" w:type="dxa"/>
            <w:tcBorders>
              <w:tl2br w:val="nil"/>
              <w:tr2bl w:val="nil"/>
            </w:tcBorders>
            <w:shd w:val="clear" w:color="auto" w:fill="auto"/>
            <w:vAlign w:val="center"/>
          </w:tcPr>
          <w:p w14:paraId="203A74F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textAlignment w:val="auto"/>
              <w:rPr>
                <w:rFonts w:hint="eastAsia" w:ascii="宋体" w:hAnsi="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w:t>
            </w:r>
            <w:r>
              <w:rPr>
                <w:rFonts w:hint="eastAsia" w:ascii="宋体" w:hAnsi="宋体" w:cs="宋体"/>
                <w:b/>
                <w:color w:val="auto"/>
                <w:sz w:val="21"/>
                <w:szCs w:val="21"/>
                <w:highlight w:val="none"/>
                <w:lang w:val="en-US" w:eastAsia="zh-CN"/>
              </w:rPr>
              <w:t>3</w:t>
            </w:r>
            <w:r>
              <w:rPr>
                <w:rFonts w:hint="eastAsia" w:ascii="宋体" w:hAnsi="宋体" w:eastAsia="宋体" w:cs="宋体"/>
                <w:b/>
                <w:color w:val="auto"/>
                <w:sz w:val="21"/>
                <w:szCs w:val="21"/>
                <w:highlight w:val="none"/>
                <w:lang w:val="en-US" w:eastAsia="zh-CN"/>
              </w:rPr>
              <w:t>）</w:t>
            </w:r>
            <w:r>
              <w:rPr>
                <w:rFonts w:hint="eastAsia" w:ascii="宋体" w:hAnsi="宋体" w:cs="宋体"/>
                <w:b/>
                <w:color w:val="auto"/>
                <w:sz w:val="21"/>
                <w:szCs w:val="21"/>
                <w:highlight w:val="none"/>
                <w:lang w:val="en-US" w:eastAsia="zh-CN"/>
              </w:rPr>
              <w:t>安全文明施工保证措施评审评分（满分4分）</w:t>
            </w:r>
          </w:p>
          <w:p w14:paraId="76ACFC2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textAlignment w:val="auto"/>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第一个档次（4分）：响应文件中有具体、完整、可行的安全文明施工实施保证措施且合理、先进、针对性好，在磋商报价中有相对应的费用的，并符合国家、省、州（市）的有关规定的；</w:t>
            </w:r>
          </w:p>
          <w:p w14:paraId="1846409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textAlignment w:val="auto"/>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第二个档次（3分）：响应文件中有具体、完整、可行的安全文明施工实施保证措施且合理但针对性一般，在磋商报价中有相对应的费用的，并符合国家、省、州（市）的有关规定；</w:t>
            </w:r>
          </w:p>
          <w:p w14:paraId="22CA579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textAlignment w:val="auto"/>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第三个档次（2分）：响应文件中有基本具体、可行的安全文明施工实施保证措施且在磋商报价中有相对应的费用的，并符合国家、省、州（市）的有关规定；</w:t>
            </w:r>
          </w:p>
          <w:p w14:paraId="78D9CAD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textAlignment w:val="auto"/>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第四个档次（1分）：响应文件中有安全文明施工保证措施且在磋商报价中有相对应的费用，但措施内容一般的。</w:t>
            </w:r>
          </w:p>
          <w:p w14:paraId="5601F0A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0" w:firstLineChars="0"/>
              <w:jc w:val="left"/>
              <w:textAlignment w:val="auto"/>
              <w:rPr>
                <w:rFonts w:ascii="Times New Roman" w:hAnsi="Times New Roman" w:eastAsia="宋体" w:cs="Times New Roman"/>
                <w:kern w:val="2"/>
                <w:sz w:val="24"/>
                <w:highlight w:val="none"/>
                <w:lang w:val="en-US" w:eastAsia="zh-CN" w:bidi="ar-SA"/>
              </w:rPr>
            </w:pPr>
            <w:r>
              <w:rPr>
                <w:rFonts w:hint="eastAsia" w:ascii="宋体" w:hAnsi="宋体" w:cs="宋体"/>
                <w:b w:val="0"/>
                <w:bCs/>
                <w:color w:val="auto"/>
                <w:sz w:val="21"/>
                <w:szCs w:val="21"/>
                <w:highlight w:val="none"/>
                <w:lang w:val="en-US" w:eastAsia="zh-CN"/>
              </w:rPr>
              <w:t>第五个档次（0分）：</w:t>
            </w:r>
            <w:r>
              <w:rPr>
                <w:rFonts w:hint="eastAsia" w:ascii="宋体" w:hAnsi="宋体" w:eastAsia="宋体" w:cs="宋体"/>
                <w:b w:val="0"/>
                <w:bCs/>
                <w:color w:val="auto"/>
                <w:sz w:val="21"/>
                <w:szCs w:val="21"/>
                <w:highlight w:val="none"/>
                <w:lang w:val="en-US" w:eastAsia="zh-CN"/>
              </w:rPr>
              <w:t>供应商未提供</w:t>
            </w:r>
            <w:r>
              <w:rPr>
                <w:rFonts w:hint="eastAsia" w:ascii="宋体" w:hAnsi="宋体" w:cs="宋体"/>
                <w:b w:val="0"/>
                <w:bCs/>
                <w:color w:val="auto"/>
                <w:sz w:val="21"/>
                <w:szCs w:val="21"/>
                <w:highlight w:val="none"/>
                <w:lang w:val="en-US" w:eastAsia="zh-CN"/>
              </w:rPr>
              <w:t>安全文明施工保证措施的。</w:t>
            </w:r>
          </w:p>
        </w:tc>
      </w:tr>
      <w:tr w14:paraId="7440372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trHeight w:val="567" w:hRule="atLeast"/>
          <w:jc w:val="center"/>
        </w:trPr>
        <w:tc>
          <w:tcPr>
            <w:tcW w:w="730" w:type="dxa"/>
            <w:vMerge w:val="continue"/>
            <w:tcBorders>
              <w:tl2br w:val="nil"/>
              <w:tr2bl w:val="nil"/>
            </w:tcBorders>
            <w:vAlign w:val="center"/>
          </w:tcPr>
          <w:p w14:paraId="115534F8">
            <w:pPr>
              <w:spacing w:line="360" w:lineRule="exact"/>
              <w:rPr>
                <w:rFonts w:asciiTheme="minorEastAsia" w:hAnsiTheme="minorEastAsia" w:eastAsiaTheme="minorEastAsia" w:cstheme="minorEastAsia"/>
                <w:b/>
                <w:color w:val="auto"/>
                <w:szCs w:val="21"/>
                <w:highlight w:val="none"/>
              </w:rPr>
            </w:pPr>
          </w:p>
        </w:tc>
        <w:tc>
          <w:tcPr>
            <w:tcW w:w="699" w:type="dxa"/>
            <w:vMerge w:val="continue"/>
            <w:tcBorders>
              <w:tl2br w:val="nil"/>
              <w:tr2bl w:val="nil"/>
            </w:tcBorders>
            <w:vAlign w:val="center"/>
          </w:tcPr>
          <w:p w14:paraId="3E5AD741">
            <w:pPr>
              <w:spacing w:line="360" w:lineRule="exact"/>
              <w:rPr>
                <w:rFonts w:asciiTheme="minorEastAsia" w:hAnsiTheme="minorEastAsia" w:eastAsiaTheme="minorEastAsia" w:cstheme="minorEastAsia"/>
                <w:b/>
                <w:color w:val="auto"/>
                <w:szCs w:val="21"/>
                <w:highlight w:val="none"/>
              </w:rPr>
            </w:pPr>
          </w:p>
        </w:tc>
        <w:tc>
          <w:tcPr>
            <w:tcW w:w="1560" w:type="dxa"/>
            <w:vMerge w:val="continue"/>
            <w:tcBorders>
              <w:tl2br w:val="nil"/>
              <w:tr2bl w:val="nil"/>
            </w:tcBorders>
            <w:vAlign w:val="center"/>
          </w:tcPr>
          <w:p w14:paraId="14AE9310">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rightChars="0"/>
              <w:jc w:val="center"/>
              <w:textAlignment w:val="auto"/>
              <w:rPr>
                <w:rFonts w:asciiTheme="minorEastAsia" w:hAnsiTheme="minorEastAsia" w:eastAsiaTheme="minorEastAsia" w:cstheme="minorEastAsia"/>
                <w:b/>
                <w:color w:val="auto"/>
                <w:szCs w:val="21"/>
                <w:highlight w:val="none"/>
              </w:rPr>
            </w:pPr>
          </w:p>
        </w:tc>
        <w:tc>
          <w:tcPr>
            <w:tcW w:w="6664" w:type="dxa"/>
            <w:tcBorders>
              <w:tl2br w:val="nil"/>
              <w:tr2bl w:val="nil"/>
            </w:tcBorders>
            <w:vAlign w:val="center"/>
          </w:tcPr>
          <w:p w14:paraId="25C168A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cs="宋体"/>
                <w:b/>
                <w:color w:val="auto"/>
                <w:sz w:val="21"/>
                <w:szCs w:val="21"/>
                <w:highlight w:val="none"/>
                <w:lang w:val="en-US" w:eastAsia="zh-CN"/>
              </w:rPr>
              <w:t>4</w:t>
            </w:r>
            <w:r>
              <w:rPr>
                <w:rFonts w:hint="eastAsia" w:ascii="宋体" w:hAnsi="宋体" w:eastAsia="宋体" w:cs="宋体"/>
                <w:b/>
                <w:color w:val="auto"/>
                <w:sz w:val="21"/>
                <w:szCs w:val="21"/>
                <w:highlight w:val="none"/>
              </w:rPr>
              <w:t>）项目管理人员配置评审评分（满分</w:t>
            </w:r>
            <w:r>
              <w:rPr>
                <w:rFonts w:hint="eastAsia" w:ascii="宋体" w:hAnsi="宋体" w:cs="宋体"/>
                <w:b/>
                <w:color w:val="auto"/>
                <w:sz w:val="21"/>
                <w:szCs w:val="21"/>
                <w:highlight w:val="none"/>
                <w:lang w:val="en-US" w:eastAsia="zh-CN"/>
              </w:rPr>
              <w:t>5</w:t>
            </w:r>
            <w:r>
              <w:rPr>
                <w:rFonts w:hint="eastAsia" w:ascii="宋体" w:hAnsi="宋体" w:eastAsia="宋体" w:cs="宋体"/>
                <w:b/>
                <w:color w:val="auto"/>
                <w:sz w:val="21"/>
                <w:szCs w:val="21"/>
                <w:highlight w:val="none"/>
              </w:rPr>
              <w:t>分）</w:t>
            </w:r>
          </w:p>
          <w:p w14:paraId="22FDCFC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第一个档次（</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分）：拟派往本项目的项目负责人学历、职称、资格证书、工作经历等综合能力强，项目管理人员针对工程实际配置且合理，能满足工程管理需要且有针对性的；</w:t>
            </w:r>
          </w:p>
          <w:p w14:paraId="038A4CF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第二个档次（</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分）：拟派往本项目的项目负责人学历、职称、资格证书、工作经历等综合能力较强，项目管理人员配置合理，能满足工程管理需要，专业配置针对性较好的；</w:t>
            </w:r>
          </w:p>
          <w:p w14:paraId="61C62B4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第三个档次（</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分）：拟派往本项目的项目负责人学历、职称、资格证书、工作经历等综合能力一般，项目管理人员配置合理，能满足工程管理需要，专业配置针对性一般的；</w:t>
            </w:r>
          </w:p>
          <w:p w14:paraId="5F4C962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第四个档次（</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分）：拟派往本项目的项目负责人学历、职称、资格证书、工作经历等综合能力一般，项目管理人员配置基本合理，基本能满足工程管理需要，但专业配置没有针对性的；</w:t>
            </w:r>
          </w:p>
          <w:p w14:paraId="0E9592C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第五个档次（</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分）：拟派往本项目的项目负责人学历、职称、资格证书、工作经历等综合能力一般，但项目管理人员配置不合理，难以满足工程要求的；</w:t>
            </w:r>
          </w:p>
          <w:p w14:paraId="4FB185D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第</w:t>
            </w:r>
            <w:r>
              <w:rPr>
                <w:rFonts w:hint="eastAsia" w:ascii="宋体" w:hAnsi="宋体" w:eastAsia="宋体" w:cs="宋体"/>
                <w:color w:val="auto"/>
                <w:sz w:val="21"/>
                <w:szCs w:val="21"/>
                <w:highlight w:val="none"/>
                <w:lang w:val="en-US" w:eastAsia="zh-CN"/>
              </w:rPr>
              <w:t>六</w:t>
            </w:r>
            <w:r>
              <w:rPr>
                <w:rFonts w:hint="eastAsia" w:ascii="宋体" w:hAnsi="宋体" w:eastAsia="宋体" w:cs="宋体"/>
                <w:color w:val="auto"/>
                <w:sz w:val="21"/>
                <w:szCs w:val="21"/>
                <w:highlight w:val="none"/>
              </w:rPr>
              <w:t>个档次（</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未列明</w:t>
            </w:r>
            <w:r>
              <w:rPr>
                <w:rFonts w:hint="eastAsia" w:ascii="宋体" w:hAnsi="宋体" w:eastAsia="宋体" w:cs="宋体"/>
                <w:color w:val="auto"/>
                <w:sz w:val="21"/>
                <w:szCs w:val="21"/>
                <w:highlight w:val="none"/>
              </w:rPr>
              <w:t>拟派往本项目管理人员</w:t>
            </w:r>
            <w:r>
              <w:rPr>
                <w:rFonts w:hint="eastAsia" w:ascii="宋体" w:hAnsi="宋体" w:eastAsia="宋体" w:cs="宋体"/>
                <w:color w:val="auto"/>
                <w:sz w:val="21"/>
                <w:szCs w:val="21"/>
                <w:highlight w:val="none"/>
                <w:lang w:val="en-US" w:eastAsia="zh-CN"/>
              </w:rPr>
              <w:t>的。</w:t>
            </w:r>
          </w:p>
          <w:p w14:paraId="5406DD4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0" w:firstLineChars="0"/>
              <w:jc w:val="left"/>
              <w:textAlignment w:val="auto"/>
              <w:rPr>
                <w:rFonts w:asciiTheme="minorEastAsia" w:hAnsiTheme="minorEastAsia" w:eastAsiaTheme="minorEastAsia" w:cstheme="minorEastAsia"/>
                <w:color w:val="auto"/>
                <w:szCs w:val="21"/>
                <w:highlight w:val="none"/>
              </w:rPr>
            </w:pPr>
            <w:r>
              <w:rPr>
                <w:rFonts w:hint="eastAsia" w:ascii="宋体" w:hAnsi="宋体" w:eastAsia="宋体" w:cs="宋体"/>
                <w:color w:val="auto"/>
                <w:sz w:val="21"/>
                <w:szCs w:val="21"/>
                <w:highlight w:val="none"/>
              </w:rPr>
              <w:t>注：人员须附身份证、学历证、资格证书（如有）、</w:t>
            </w:r>
            <w:r>
              <w:rPr>
                <w:rFonts w:hint="eastAsia" w:ascii="宋体" w:hAnsi="宋体" w:cs="宋体"/>
                <w:color w:val="auto"/>
                <w:sz w:val="21"/>
                <w:szCs w:val="21"/>
                <w:highlight w:val="none"/>
                <w:lang w:val="en-US" w:eastAsia="zh-CN"/>
              </w:rPr>
              <w:t>劳动合同或</w:t>
            </w:r>
            <w:r>
              <w:rPr>
                <w:rFonts w:hint="eastAsia" w:ascii="宋体" w:hAnsi="宋体" w:eastAsia="宋体" w:cs="宋体"/>
                <w:color w:val="auto"/>
                <w:sz w:val="21"/>
                <w:szCs w:val="21"/>
                <w:highlight w:val="none"/>
              </w:rPr>
              <w:t>社保证明，否则不予认可。</w:t>
            </w:r>
          </w:p>
        </w:tc>
      </w:tr>
      <w:tr w14:paraId="2837660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trHeight w:val="567" w:hRule="atLeast"/>
          <w:jc w:val="center"/>
        </w:trPr>
        <w:tc>
          <w:tcPr>
            <w:tcW w:w="730" w:type="dxa"/>
            <w:vMerge w:val="continue"/>
            <w:tcBorders>
              <w:tl2br w:val="nil"/>
              <w:tr2bl w:val="nil"/>
            </w:tcBorders>
            <w:vAlign w:val="center"/>
          </w:tcPr>
          <w:p w14:paraId="0EC5ED74">
            <w:pPr>
              <w:spacing w:line="360" w:lineRule="exact"/>
              <w:rPr>
                <w:rFonts w:asciiTheme="minorEastAsia" w:hAnsiTheme="minorEastAsia" w:eastAsiaTheme="minorEastAsia" w:cstheme="minorEastAsia"/>
                <w:b/>
                <w:color w:val="auto"/>
                <w:szCs w:val="21"/>
                <w:highlight w:val="none"/>
              </w:rPr>
            </w:pPr>
          </w:p>
        </w:tc>
        <w:tc>
          <w:tcPr>
            <w:tcW w:w="699" w:type="dxa"/>
            <w:vMerge w:val="continue"/>
            <w:tcBorders>
              <w:tl2br w:val="nil"/>
              <w:tr2bl w:val="nil"/>
            </w:tcBorders>
            <w:vAlign w:val="center"/>
          </w:tcPr>
          <w:p w14:paraId="639D2013">
            <w:pPr>
              <w:spacing w:line="360" w:lineRule="exact"/>
              <w:rPr>
                <w:rFonts w:asciiTheme="minorEastAsia" w:hAnsiTheme="minorEastAsia" w:eastAsiaTheme="minorEastAsia" w:cstheme="minorEastAsia"/>
                <w:b/>
                <w:color w:val="auto"/>
                <w:szCs w:val="21"/>
                <w:highlight w:val="none"/>
              </w:rPr>
            </w:pPr>
          </w:p>
        </w:tc>
        <w:tc>
          <w:tcPr>
            <w:tcW w:w="1560" w:type="dxa"/>
            <w:vMerge w:val="continue"/>
            <w:tcBorders>
              <w:tl2br w:val="nil"/>
              <w:tr2bl w:val="nil"/>
            </w:tcBorders>
            <w:vAlign w:val="center"/>
          </w:tcPr>
          <w:p w14:paraId="6CC8B083">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rightChars="0"/>
              <w:jc w:val="center"/>
              <w:textAlignment w:val="auto"/>
              <w:rPr>
                <w:rFonts w:asciiTheme="minorEastAsia" w:hAnsiTheme="minorEastAsia" w:eastAsiaTheme="minorEastAsia" w:cstheme="minorEastAsia"/>
                <w:b/>
                <w:color w:val="auto"/>
                <w:szCs w:val="21"/>
                <w:highlight w:val="none"/>
              </w:rPr>
            </w:pPr>
          </w:p>
        </w:tc>
        <w:tc>
          <w:tcPr>
            <w:tcW w:w="6664" w:type="dxa"/>
            <w:tcBorders>
              <w:tl2br w:val="nil"/>
              <w:tr2bl w:val="nil"/>
            </w:tcBorders>
            <w:shd w:val="clear" w:color="auto" w:fill="auto"/>
            <w:vAlign w:val="center"/>
          </w:tcPr>
          <w:p w14:paraId="747AD7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w:t>
            </w:r>
            <w:r>
              <w:rPr>
                <w:rFonts w:hint="eastAsia" w:ascii="宋体" w:hAnsi="宋体" w:cs="宋体"/>
                <w:b/>
                <w:color w:val="auto"/>
                <w:sz w:val="21"/>
                <w:szCs w:val="21"/>
                <w:highlight w:val="none"/>
                <w:lang w:val="en-US" w:eastAsia="zh-CN"/>
              </w:rPr>
              <w:t>5</w:t>
            </w:r>
            <w:r>
              <w:rPr>
                <w:rFonts w:hint="eastAsia" w:ascii="宋体" w:hAnsi="宋体" w:eastAsia="宋体" w:cs="宋体"/>
                <w:b/>
                <w:color w:val="auto"/>
                <w:sz w:val="21"/>
                <w:szCs w:val="21"/>
                <w:highlight w:val="none"/>
                <w:lang w:val="en-US" w:eastAsia="zh-CN"/>
              </w:rPr>
              <w:t>）工期承诺和保证措施评审评分（满分5分）</w:t>
            </w:r>
          </w:p>
          <w:p w14:paraId="766B16B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第一个档次（5分）：工期承诺满足</w:t>
            </w:r>
            <w:r>
              <w:rPr>
                <w:rFonts w:hint="eastAsia" w:ascii="宋体" w:hAnsi="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要求，工期保证措施合理且有针对性，有具体的违约责任承诺的；</w:t>
            </w:r>
          </w:p>
          <w:p w14:paraId="6A1A6AA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第二个档次（4分）：工期承诺满足</w:t>
            </w:r>
            <w:r>
              <w:rPr>
                <w:rFonts w:hint="eastAsia" w:ascii="宋体" w:hAnsi="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要求，工期保证措施合理但针对性一般，有具体的违约责任承诺的；</w:t>
            </w:r>
          </w:p>
          <w:p w14:paraId="01F9B19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第三个档次（3分）：工期承诺满足</w:t>
            </w:r>
            <w:r>
              <w:rPr>
                <w:rFonts w:hint="eastAsia" w:ascii="宋体" w:hAnsi="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要求，工期保证措施基本合理，有具体的违约责任承诺的；</w:t>
            </w:r>
          </w:p>
          <w:p w14:paraId="2CDEAE2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w:t>
            </w:r>
            <w:r>
              <w:rPr>
                <w:rFonts w:hint="eastAsia" w:ascii="宋体" w:hAnsi="宋体" w:cs="宋体"/>
                <w:color w:val="auto"/>
                <w:sz w:val="21"/>
                <w:szCs w:val="21"/>
                <w:highlight w:val="none"/>
                <w:lang w:val="en-US" w:eastAsia="zh-CN"/>
              </w:rPr>
              <w:t>四</w:t>
            </w:r>
            <w:r>
              <w:rPr>
                <w:rFonts w:hint="eastAsia" w:ascii="宋体" w:hAnsi="宋体" w:eastAsia="宋体" w:cs="宋体"/>
                <w:color w:val="auto"/>
                <w:sz w:val="21"/>
                <w:szCs w:val="21"/>
                <w:highlight w:val="none"/>
              </w:rPr>
              <w:t>个档次（</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分）：工期承诺满足</w:t>
            </w:r>
            <w:r>
              <w:rPr>
                <w:rFonts w:hint="eastAsia" w:ascii="宋体" w:hAnsi="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要求，工期保证措施</w:t>
            </w:r>
            <w:r>
              <w:rPr>
                <w:rFonts w:hint="eastAsia" w:ascii="宋体" w:hAnsi="宋体" w:cs="宋体"/>
                <w:color w:val="auto"/>
                <w:sz w:val="21"/>
                <w:szCs w:val="21"/>
                <w:highlight w:val="none"/>
                <w:lang w:val="en-US" w:eastAsia="zh-CN"/>
              </w:rPr>
              <w:t>一般</w:t>
            </w:r>
            <w:r>
              <w:rPr>
                <w:rFonts w:hint="eastAsia" w:ascii="宋体" w:hAnsi="宋体" w:eastAsia="宋体" w:cs="宋体"/>
                <w:color w:val="auto"/>
                <w:sz w:val="21"/>
                <w:szCs w:val="21"/>
                <w:highlight w:val="none"/>
              </w:rPr>
              <w:t>，违约责任承诺不具体的；</w:t>
            </w:r>
          </w:p>
          <w:p w14:paraId="66E9588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w:t>
            </w:r>
            <w:r>
              <w:rPr>
                <w:rFonts w:hint="eastAsia" w:ascii="宋体" w:hAnsi="宋体" w:cs="宋体"/>
                <w:color w:val="auto"/>
                <w:sz w:val="21"/>
                <w:szCs w:val="21"/>
                <w:highlight w:val="none"/>
                <w:lang w:val="en-US" w:eastAsia="zh-CN"/>
              </w:rPr>
              <w:t>五</w:t>
            </w:r>
            <w:r>
              <w:rPr>
                <w:rFonts w:hint="eastAsia" w:ascii="宋体" w:hAnsi="宋体" w:eastAsia="宋体" w:cs="宋体"/>
                <w:color w:val="auto"/>
                <w:sz w:val="21"/>
                <w:szCs w:val="21"/>
                <w:highlight w:val="none"/>
              </w:rPr>
              <w:t>个档次（1分）：工期承诺满足</w:t>
            </w:r>
            <w:r>
              <w:rPr>
                <w:rFonts w:hint="eastAsia" w:ascii="宋体" w:hAnsi="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要求，但工期保证措施</w:t>
            </w:r>
            <w:r>
              <w:rPr>
                <w:rFonts w:hint="eastAsia" w:ascii="宋体" w:hAnsi="宋体" w:cs="宋体"/>
                <w:color w:val="auto"/>
                <w:sz w:val="21"/>
                <w:szCs w:val="21"/>
                <w:highlight w:val="none"/>
                <w:lang w:val="en-US" w:eastAsia="zh-CN"/>
              </w:rPr>
              <w:t>不具体</w:t>
            </w:r>
            <w:r>
              <w:rPr>
                <w:rFonts w:hint="eastAsia" w:ascii="宋体" w:hAnsi="宋体" w:eastAsia="宋体" w:cs="宋体"/>
                <w:color w:val="auto"/>
                <w:sz w:val="21"/>
                <w:szCs w:val="21"/>
                <w:highlight w:val="none"/>
              </w:rPr>
              <w:t>，违约责任承诺不具体的。</w:t>
            </w:r>
          </w:p>
          <w:p w14:paraId="74F2A4A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0" w:firstLineChars="0"/>
              <w:jc w:val="left"/>
              <w:textAlignment w:val="auto"/>
              <w:rPr>
                <w:color w:val="auto"/>
                <w:highlight w:val="none"/>
              </w:rPr>
            </w:pPr>
            <w:r>
              <w:rPr>
                <w:rFonts w:hint="eastAsia" w:ascii="宋体" w:hAnsi="宋体" w:eastAsia="宋体" w:cs="宋体"/>
                <w:color w:val="auto"/>
                <w:sz w:val="21"/>
                <w:szCs w:val="21"/>
                <w:highlight w:val="none"/>
              </w:rPr>
              <w:t>第</w:t>
            </w:r>
            <w:r>
              <w:rPr>
                <w:rFonts w:hint="eastAsia" w:ascii="宋体" w:hAnsi="宋体" w:cs="宋体"/>
                <w:color w:val="auto"/>
                <w:sz w:val="21"/>
                <w:szCs w:val="21"/>
                <w:highlight w:val="none"/>
                <w:lang w:val="en-US" w:eastAsia="zh-CN"/>
              </w:rPr>
              <w:t>六</w:t>
            </w:r>
            <w:r>
              <w:rPr>
                <w:rFonts w:hint="eastAsia" w:ascii="宋体" w:hAnsi="宋体" w:eastAsia="宋体" w:cs="宋体"/>
                <w:color w:val="auto"/>
                <w:sz w:val="21"/>
                <w:szCs w:val="21"/>
                <w:highlight w:val="none"/>
              </w:rPr>
              <w:t>个档次（</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分）：</w:t>
            </w:r>
            <w:r>
              <w:rPr>
                <w:rFonts w:hint="eastAsia" w:ascii="宋体" w:hAnsi="宋体" w:eastAsia="宋体" w:cs="宋体"/>
                <w:b w:val="0"/>
                <w:bCs/>
                <w:color w:val="auto"/>
                <w:sz w:val="21"/>
                <w:szCs w:val="21"/>
                <w:highlight w:val="none"/>
                <w:lang w:val="en-US" w:eastAsia="zh-CN"/>
              </w:rPr>
              <w:t>供应商未提供</w:t>
            </w:r>
            <w:r>
              <w:rPr>
                <w:rFonts w:hint="eastAsia" w:ascii="宋体" w:hAnsi="宋体" w:eastAsia="宋体" w:cs="宋体"/>
                <w:color w:val="auto"/>
                <w:sz w:val="21"/>
                <w:szCs w:val="21"/>
                <w:highlight w:val="none"/>
              </w:rPr>
              <w:t>工期承诺或工期承诺不满足</w:t>
            </w:r>
            <w:r>
              <w:rPr>
                <w:rFonts w:hint="eastAsia" w:ascii="宋体" w:hAnsi="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要求</w:t>
            </w:r>
            <w:r>
              <w:rPr>
                <w:rFonts w:hint="eastAsia" w:ascii="宋体" w:hAnsi="宋体" w:cs="宋体"/>
                <w:color w:val="auto"/>
                <w:sz w:val="21"/>
                <w:szCs w:val="21"/>
                <w:highlight w:val="none"/>
                <w:lang w:val="en-US" w:eastAsia="zh-CN"/>
              </w:rPr>
              <w:t>的</w:t>
            </w:r>
            <w:r>
              <w:rPr>
                <w:rFonts w:hint="eastAsia" w:ascii="宋体" w:hAnsi="宋体" w:eastAsia="宋体" w:cs="宋体"/>
                <w:color w:val="auto"/>
                <w:sz w:val="21"/>
                <w:szCs w:val="21"/>
                <w:highlight w:val="none"/>
              </w:rPr>
              <w:t>。</w:t>
            </w:r>
          </w:p>
        </w:tc>
      </w:tr>
      <w:tr w14:paraId="7B6E8E2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trHeight w:val="90" w:hRule="atLeast"/>
          <w:jc w:val="center"/>
        </w:trPr>
        <w:tc>
          <w:tcPr>
            <w:tcW w:w="730" w:type="dxa"/>
            <w:vMerge w:val="continue"/>
            <w:tcBorders>
              <w:tl2br w:val="nil"/>
              <w:tr2bl w:val="nil"/>
            </w:tcBorders>
            <w:vAlign w:val="center"/>
          </w:tcPr>
          <w:p w14:paraId="369227A1">
            <w:pPr>
              <w:spacing w:line="360" w:lineRule="exact"/>
              <w:rPr>
                <w:rFonts w:asciiTheme="minorEastAsia" w:hAnsiTheme="minorEastAsia" w:eastAsiaTheme="minorEastAsia" w:cstheme="minorEastAsia"/>
                <w:b/>
                <w:color w:val="auto"/>
                <w:szCs w:val="21"/>
                <w:highlight w:val="none"/>
              </w:rPr>
            </w:pPr>
          </w:p>
        </w:tc>
        <w:tc>
          <w:tcPr>
            <w:tcW w:w="699" w:type="dxa"/>
            <w:vMerge w:val="continue"/>
            <w:tcBorders>
              <w:tl2br w:val="nil"/>
              <w:tr2bl w:val="nil"/>
            </w:tcBorders>
            <w:vAlign w:val="center"/>
          </w:tcPr>
          <w:p w14:paraId="572D5235">
            <w:pPr>
              <w:spacing w:line="360" w:lineRule="exact"/>
              <w:rPr>
                <w:rFonts w:asciiTheme="minorEastAsia" w:hAnsiTheme="minorEastAsia" w:eastAsiaTheme="minorEastAsia" w:cstheme="minorEastAsia"/>
                <w:b/>
                <w:color w:val="auto"/>
                <w:szCs w:val="21"/>
                <w:highlight w:val="none"/>
              </w:rPr>
            </w:pPr>
          </w:p>
        </w:tc>
        <w:tc>
          <w:tcPr>
            <w:tcW w:w="1560" w:type="dxa"/>
            <w:vMerge w:val="continue"/>
            <w:tcBorders>
              <w:tl2br w:val="nil"/>
              <w:tr2bl w:val="nil"/>
            </w:tcBorders>
            <w:vAlign w:val="center"/>
          </w:tcPr>
          <w:p w14:paraId="6B4DCEB1">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rightChars="0"/>
              <w:jc w:val="center"/>
              <w:textAlignment w:val="auto"/>
              <w:rPr>
                <w:rFonts w:asciiTheme="minorEastAsia" w:hAnsiTheme="minorEastAsia" w:eastAsiaTheme="minorEastAsia" w:cstheme="minorEastAsia"/>
                <w:b/>
                <w:color w:val="auto"/>
                <w:szCs w:val="21"/>
                <w:highlight w:val="none"/>
              </w:rPr>
            </w:pPr>
          </w:p>
        </w:tc>
        <w:tc>
          <w:tcPr>
            <w:tcW w:w="6664" w:type="dxa"/>
            <w:tcBorders>
              <w:tl2br w:val="nil"/>
              <w:tr2bl w:val="nil"/>
            </w:tcBorders>
            <w:vAlign w:val="center"/>
          </w:tcPr>
          <w:p w14:paraId="6787DAF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w:t>
            </w:r>
            <w:r>
              <w:rPr>
                <w:rFonts w:hint="eastAsia" w:ascii="宋体" w:hAnsi="宋体" w:cs="宋体"/>
                <w:b/>
                <w:color w:val="auto"/>
                <w:sz w:val="21"/>
                <w:szCs w:val="21"/>
                <w:highlight w:val="none"/>
                <w:lang w:val="en-US" w:eastAsia="zh-CN"/>
              </w:rPr>
              <w:t>6</w:t>
            </w:r>
            <w:r>
              <w:rPr>
                <w:rFonts w:hint="eastAsia" w:ascii="宋体" w:hAnsi="宋体" w:eastAsia="宋体" w:cs="宋体"/>
                <w:b/>
                <w:color w:val="auto"/>
                <w:sz w:val="21"/>
                <w:szCs w:val="21"/>
                <w:highlight w:val="none"/>
              </w:rPr>
              <w:t>）施工进度计划评审评分（满分5分）</w:t>
            </w:r>
          </w:p>
          <w:p w14:paraId="6947F89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第一个档次（5分）：施工进度计划严格按工期安排，工序搭配逻辑关系和关键线路清晰、合理，并能指导施工且针对性好的；</w:t>
            </w:r>
          </w:p>
          <w:p w14:paraId="7A03BE4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第二个档次（4分）：施工进度计划按工期安排，工序搭配逻辑关系和关键线路合理，但针对性一般的；</w:t>
            </w:r>
          </w:p>
          <w:p w14:paraId="730F89B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第三个档次（3分）：施工进度计划符合工期要求，工序搭配逻辑关系和关键线路基本合理，但缺乏针对性的；</w:t>
            </w:r>
          </w:p>
          <w:p w14:paraId="27C5FCD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w:t>
            </w:r>
            <w:r>
              <w:rPr>
                <w:rFonts w:hint="eastAsia" w:ascii="宋体" w:hAnsi="宋体" w:eastAsia="宋体" w:cs="宋体"/>
                <w:color w:val="auto"/>
                <w:sz w:val="21"/>
                <w:szCs w:val="21"/>
                <w:highlight w:val="none"/>
                <w:lang w:val="en-US" w:eastAsia="zh-CN"/>
              </w:rPr>
              <w:t>四</w:t>
            </w:r>
            <w:r>
              <w:rPr>
                <w:rFonts w:hint="eastAsia" w:ascii="宋体" w:hAnsi="宋体" w:eastAsia="宋体" w:cs="宋体"/>
                <w:color w:val="auto"/>
                <w:sz w:val="21"/>
                <w:szCs w:val="21"/>
                <w:highlight w:val="none"/>
              </w:rPr>
              <w:t>个档次（</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分）：施工进度计划符合工期要求，工序搭配逻辑关系</w:t>
            </w:r>
            <w:r>
              <w:rPr>
                <w:rFonts w:hint="eastAsia" w:ascii="宋体" w:hAnsi="宋体" w:eastAsia="宋体" w:cs="宋体"/>
                <w:color w:val="auto"/>
                <w:sz w:val="21"/>
                <w:szCs w:val="21"/>
                <w:highlight w:val="none"/>
                <w:lang w:val="en-US" w:eastAsia="zh-CN"/>
              </w:rPr>
              <w:t>错误或</w:t>
            </w:r>
            <w:r>
              <w:rPr>
                <w:rFonts w:hint="eastAsia" w:ascii="宋体" w:hAnsi="宋体" w:eastAsia="宋体" w:cs="宋体"/>
                <w:color w:val="auto"/>
                <w:sz w:val="21"/>
                <w:szCs w:val="21"/>
                <w:highlight w:val="none"/>
              </w:rPr>
              <w:t>关键线路</w:t>
            </w:r>
            <w:r>
              <w:rPr>
                <w:rFonts w:hint="eastAsia" w:ascii="宋体" w:hAnsi="宋体" w:eastAsia="宋体" w:cs="宋体"/>
                <w:color w:val="auto"/>
                <w:sz w:val="21"/>
                <w:szCs w:val="21"/>
                <w:highlight w:val="none"/>
                <w:lang w:val="en-US" w:eastAsia="zh-CN"/>
              </w:rPr>
              <w:t>错误的</w:t>
            </w:r>
            <w:r>
              <w:rPr>
                <w:rFonts w:hint="eastAsia" w:ascii="宋体" w:hAnsi="宋体" w:eastAsia="宋体" w:cs="宋体"/>
                <w:color w:val="auto"/>
                <w:sz w:val="21"/>
                <w:szCs w:val="21"/>
                <w:highlight w:val="none"/>
              </w:rPr>
              <w:t>；</w:t>
            </w:r>
          </w:p>
          <w:p w14:paraId="1DEFCC0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个档次（</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分）：施工进度计划中工序搭配逻辑关系有错误，关键线路不明确有错误的；</w:t>
            </w:r>
          </w:p>
          <w:p w14:paraId="258D1B1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0" w:firstLineChars="0"/>
              <w:jc w:val="left"/>
              <w:textAlignment w:val="auto"/>
              <w:rPr>
                <w:rFonts w:asciiTheme="minorEastAsia" w:hAnsiTheme="minorEastAsia" w:eastAsiaTheme="minorEastAsia" w:cstheme="minorEastAsia"/>
                <w:color w:val="auto"/>
                <w:szCs w:val="21"/>
                <w:highlight w:val="none"/>
              </w:rPr>
            </w:pPr>
            <w:r>
              <w:rPr>
                <w:rFonts w:hint="eastAsia" w:ascii="宋体" w:hAnsi="宋体" w:eastAsia="宋体" w:cs="宋体"/>
                <w:color w:val="auto"/>
                <w:sz w:val="21"/>
                <w:szCs w:val="21"/>
                <w:highlight w:val="none"/>
              </w:rPr>
              <w:t>第</w:t>
            </w:r>
            <w:r>
              <w:rPr>
                <w:rFonts w:hint="eastAsia" w:ascii="宋体" w:hAnsi="宋体" w:eastAsia="宋体" w:cs="宋体"/>
                <w:color w:val="auto"/>
                <w:sz w:val="21"/>
                <w:szCs w:val="21"/>
                <w:highlight w:val="none"/>
                <w:lang w:val="en-US" w:eastAsia="zh-CN"/>
              </w:rPr>
              <w:t>六</w:t>
            </w:r>
            <w:r>
              <w:rPr>
                <w:rFonts w:hint="eastAsia" w:ascii="宋体" w:hAnsi="宋体" w:eastAsia="宋体" w:cs="宋体"/>
                <w:color w:val="auto"/>
                <w:sz w:val="21"/>
                <w:szCs w:val="21"/>
                <w:highlight w:val="none"/>
              </w:rPr>
              <w:t>个档次（</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分）：</w:t>
            </w:r>
            <w:r>
              <w:rPr>
                <w:rFonts w:hint="eastAsia" w:ascii="宋体" w:hAnsi="宋体" w:eastAsia="宋体" w:cs="宋体"/>
                <w:b w:val="0"/>
                <w:bCs/>
                <w:color w:val="auto"/>
                <w:sz w:val="21"/>
                <w:szCs w:val="21"/>
                <w:highlight w:val="none"/>
                <w:lang w:val="en-US" w:eastAsia="zh-CN"/>
              </w:rPr>
              <w:t>供应商未提供</w:t>
            </w:r>
            <w:r>
              <w:rPr>
                <w:rFonts w:hint="eastAsia" w:ascii="宋体" w:hAnsi="宋体" w:eastAsia="宋体" w:cs="宋体"/>
                <w:color w:val="auto"/>
                <w:sz w:val="21"/>
                <w:szCs w:val="21"/>
                <w:highlight w:val="none"/>
              </w:rPr>
              <w:t>施工进度计划的。</w:t>
            </w:r>
          </w:p>
        </w:tc>
      </w:tr>
      <w:tr w14:paraId="2450E6A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trHeight w:val="90" w:hRule="atLeast"/>
          <w:jc w:val="center"/>
        </w:trPr>
        <w:tc>
          <w:tcPr>
            <w:tcW w:w="730" w:type="dxa"/>
            <w:vMerge w:val="continue"/>
            <w:tcBorders>
              <w:tl2br w:val="nil"/>
              <w:tr2bl w:val="nil"/>
            </w:tcBorders>
            <w:vAlign w:val="center"/>
          </w:tcPr>
          <w:p w14:paraId="462F98AD">
            <w:pPr>
              <w:spacing w:line="360" w:lineRule="exact"/>
              <w:rPr>
                <w:rFonts w:asciiTheme="minorEastAsia" w:hAnsiTheme="minorEastAsia" w:eastAsiaTheme="minorEastAsia" w:cstheme="minorEastAsia"/>
                <w:b/>
                <w:color w:val="auto"/>
                <w:szCs w:val="21"/>
                <w:highlight w:val="none"/>
              </w:rPr>
            </w:pPr>
          </w:p>
        </w:tc>
        <w:tc>
          <w:tcPr>
            <w:tcW w:w="699" w:type="dxa"/>
            <w:vMerge w:val="continue"/>
            <w:tcBorders>
              <w:tl2br w:val="nil"/>
              <w:tr2bl w:val="nil"/>
            </w:tcBorders>
            <w:vAlign w:val="center"/>
          </w:tcPr>
          <w:p w14:paraId="484E8449">
            <w:pPr>
              <w:spacing w:line="360" w:lineRule="exact"/>
              <w:rPr>
                <w:rFonts w:asciiTheme="minorEastAsia" w:hAnsiTheme="minorEastAsia" w:eastAsiaTheme="minorEastAsia" w:cstheme="minorEastAsia"/>
                <w:b/>
                <w:color w:val="auto"/>
                <w:szCs w:val="21"/>
                <w:highlight w:val="none"/>
              </w:rPr>
            </w:pPr>
          </w:p>
        </w:tc>
        <w:tc>
          <w:tcPr>
            <w:tcW w:w="1560" w:type="dxa"/>
            <w:vMerge w:val="continue"/>
            <w:tcBorders>
              <w:tl2br w:val="nil"/>
              <w:tr2bl w:val="nil"/>
            </w:tcBorders>
            <w:vAlign w:val="center"/>
          </w:tcPr>
          <w:p w14:paraId="2E35FEA5">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rightChars="0"/>
              <w:jc w:val="center"/>
              <w:textAlignment w:val="auto"/>
              <w:rPr>
                <w:rFonts w:asciiTheme="minorEastAsia" w:hAnsiTheme="minorEastAsia" w:eastAsiaTheme="minorEastAsia" w:cstheme="minorEastAsia"/>
                <w:b/>
                <w:color w:val="auto"/>
                <w:szCs w:val="21"/>
                <w:highlight w:val="none"/>
              </w:rPr>
            </w:pPr>
          </w:p>
        </w:tc>
        <w:tc>
          <w:tcPr>
            <w:tcW w:w="6664" w:type="dxa"/>
            <w:tcBorders>
              <w:tl2br w:val="nil"/>
              <w:tr2bl w:val="nil"/>
            </w:tcBorders>
            <w:shd w:val="clear" w:color="auto" w:fill="auto"/>
            <w:vAlign w:val="center"/>
          </w:tcPr>
          <w:p w14:paraId="4A77947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cs="宋体"/>
                <w:b/>
                <w:color w:val="auto"/>
                <w:sz w:val="21"/>
                <w:szCs w:val="21"/>
                <w:highlight w:val="none"/>
                <w:lang w:val="en-US" w:eastAsia="zh-CN"/>
              </w:rPr>
              <w:t>7</w:t>
            </w:r>
            <w:r>
              <w:rPr>
                <w:rFonts w:hint="eastAsia" w:ascii="宋体" w:hAnsi="宋体" w:eastAsia="宋体" w:cs="宋体"/>
                <w:b/>
                <w:color w:val="auto"/>
                <w:sz w:val="21"/>
                <w:szCs w:val="21"/>
                <w:highlight w:val="none"/>
              </w:rPr>
              <w:t>）劳动力安排及保证措施评审评分（满分5分）</w:t>
            </w:r>
          </w:p>
          <w:p w14:paraId="628EEE9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第一个档次（5分）：</w:t>
            </w:r>
            <w:r>
              <w:rPr>
                <w:rFonts w:hint="eastAsia" w:ascii="宋体" w:hAnsi="宋体" w:eastAsia="宋体" w:cs="宋体"/>
                <w:b w:val="0"/>
                <w:bCs/>
                <w:color w:val="auto"/>
                <w:sz w:val="21"/>
                <w:szCs w:val="21"/>
                <w:highlight w:val="none"/>
              </w:rPr>
              <w:t>劳动力安排及保证措施</w:t>
            </w:r>
            <w:r>
              <w:rPr>
                <w:rFonts w:hint="eastAsia" w:ascii="宋体" w:hAnsi="宋体" w:eastAsia="宋体" w:cs="宋体"/>
                <w:color w:val="auto"/>
                <w:sz w:val="21"/>
                <w:szCs w:val="21"/>
                <w:highlight w:val="none"/>
              </w:rPr>
              <w:t>与施工进度计划呼应，能较好满足施工需要，调配投入计划合理，能指导施工且针对性好；</w:t>
            </w:r>
          </w:p>
          <w:p w14:paraId="1C63FDE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第二个档次（4分）：</w:t>
            </w:r>
            <w:r>
              <w:rPr>
                <w:rFonts w:hint="eastAsia" w:ascii="宋体" w:hAnsi="宋体" w:cs="宋体"/>
                <w:color w:val="auto"/>
                <w:sz w:val="21"/>
                <w:szCs w:val="21"/>
                <w:highlight w:val="none"/>
                <w:lang w:eastAsia="zh-CN"/>
              </w:rPr>
              <w:t>劳动力安排及保证措施</w:t>
            </w:r>
            <w:r>
              <w:rPr>
                <w:rFonts w:hint="eastAsia" w:ascii="宋体" w:hAnsi="宋体" w:eastAsia="宋体" w:cs="宋体"/>
                <w:color w:val="auto"/>
                <w:sz w:val="21"/>
                <w:szCs w:val="21"/>
                <w:highlight w:val="none"/>
              </w:rPr>
              <w:t>与施工进度计划呼应，能满足施工需要，调配投入计划合理，但针对性和指导性一般；</w:t>
            </w:r>
          </w:p>
          <w:p w14:paraId="0E50334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第三个档次（3分）：</w:t>
            </w:r>
            <w:r>
              <w:rPr>
                <w:rFonts w:hint="eastAsia" w:ascii="宋体" w:hAnsi="宋体" w:cs="宋体"/>
                <w:color w:val="auto"/>
                <w:sz w:val="21"/>
                <w:szCs w:val="21"/>
                <w:highlight w:val="none"/>
                <w:lang w:eastAsia="zh-CN"/>
              </w:rPr>
              <w:t>劳动力安排及保证措施</w:t>
            </w:r>
            <w:r>
              <w:rPr>
                <w:rFonts w:hint="eastAsia" w:ascii="宋体" w:hAnsi="宋体" w:eastAsia="宋体" w:cs="宋体"/>
                <w:color w:val="auto"/>
                <w:sz w:val="21"/>
                <w:szCs w:val="21"/>
                <w:highlight w:val="none"/>
              </w:rPr>
              <w:t>与施工进度计划基本呼应，能基本满足施工需要，调配投入计划基本合理，但缺乏针对性的；</w:t>
            </w:r>
          </w:p>
          <w:p w14:paraId="405CBE5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w:t>
            </w:r>
            <w:r>
              <w:rPr>
                <w:rFonts w:hint="eastAsia" w:ascii="宋体" w:hAnsi="宋体" w:cs="宋体"/>
                <w:color w:val="auto"/>
                <w:sz w:val="21"/>
                <w:szCs w:val="21"/>
                <w:highlight w:val="none"/>
                <w:lang w:val="en-US" w:eastAsia="zh-CN"/>
              </w:rPr>
              <w:t>四</w:t>
            </w:r>
            <w:r>
              <w:rPr>
                <w:rFonts w:hint="eastAsia" w:ascii="宋体" w:hAnsi="宋体" w:eastAsia="宋体" w:cs="宋体"/>
                <w:color w:val="auto"/>
                <w:sz w:val="21"/>
                <w:szCs w:val="21"/>
                <w:highlight w:val="none"/>
              </w:rPr>
              <w:t>个档次（</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劳动力安排及保证措施</w:t>
            </w:r>
            <w:r>
              <w:rPr>
                <w:rFonts w:hint="eastAsia" w:ascii="宋体" w:hAnsi="宋体" w:eastAsia="宋体" w:cs="宋体"/>
                <w:color w:val="auto"/>
                <w:sz w:val="21"/>
                <w:szCs w:val="21"/>
                <w:highlight w:val="none"/>
              </w:rPr>
              <w:t>与施工进度计划基本呼应，</w:t>
            </w:r>
            <w:r>
              <w:rPr>
                <w:rFonts w:hint="eastAsia" w:ascii="宋体" w:hAnsi="宋体" w:cs="宋体"/>
                <w:color w:val="auto"/>
                <w:sz w:val="21"/>
                <w:szCs w:val="21"/>
                <w:highlight w:val="none"/>
                <w:lang w:val="en-US" w:eastAsia="zh-CN"/>
              </w:rPr>
              <w:t>部分</w:t>
            </w:r>
            <w:r>
              <w:rPr>
                <w:rFonts w:hint="eastAsia" w:ascii="宋体" w:hAnsi="宋体" w:eastAsia="宋体" w:cs="宋体"/>
                <w:color w:val="auto"/>
                <w:sz w:val="21"/>
                <w:szCs w:val="21"/>
                <w:highlight w:val="none"/>
              </w:rPr>
              <w:t>满足施工需要</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w:t>
            </w:r>
          </w:p>
          <w:p w14:paraId="45C9AF4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w:t>
            </w:r>
            <w:r>
              <w:rPr>
                <w:rFonts w:hint="eastAsia" w:ascii="宋体" w:hAnsi="宋体" w:cs="宋体"/>
                <w:color w:val="auto"/>
                <w:sz w:val="21"/>
                <w:szCs w:val="21"/>
                <w:highlight w:val="none"/>
                <w:lang w:val="en-US" w:eastAsia="zh-CN"/>
              </w:rPr>
              <w:t>五</w:t>
            </w:r>
            <w:r>
              <w:rPr>
                <w:rFonts w:hint="eastAsia" w:ascii="宋体" w:hAnsi="宋体" w:eastAsia="宋体" w:cs="宋体"/>
                <w:color w:val="auto"/>
                <w:sz w:val="21"/>
                <w:szCs w:val="21"/>
                <w:highlight w:val="none"/>
              </w:rPr>
              <w:t>个档次（</w:t>
            </w:r>
            <w:r>
              <w:rPr>
                <w:rFonts w:hint="eastAsia" w:ascii="宋体" w:hAnsi="宋体" w:cs="宋体"/>
                <w:b w:val="0"/>
                <w:bCs w:val="0"/>
                <w:color w:val="auto"/>
                <w:sz w:val="21"/>
                <w:szCs w:val="21"/>
                <w:highlight w:val="none"/>
                <w:lang w:val="en-US" w:eastAsia="zh-CN"/>
              </w:rPr>
              <w:t>1</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劳动力安排及保证措施</w:t>
            </w:r>
            <w:r>
              <w:rPr>
                <w:rFonts w:hint="eastAsia" w:ascii="宋体" w:hAnsi="宋体" w:eastAsia="宋体" w:cs="宋体"/>
                <w:color w:val="auto"/>
                <w:sz w:val="21"/>
                <w:szCs w:val="21"/>
                <w:highlight w:val="none"/>
              </w:rPr>
              <w:t>与施工进度计划不能呼应；</w:t>
            </w:r>
          </w:p>
          <w:p w14:paraId="1259324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eastAsia="宋体" w:cs="宋体"/>
                <w:snapToGrid w:val="0"/>
                <w:color w:val="auto"/>
                <w:kern w:val="21"/>
                <w:sz w:val="21"/>
                <w:szCs w:val="21"/>
                <w:highlight w:val="none"/>
                <w:lang w:val="en-US" w:eastAsia="zh-CN" w:bidi="ar-SA"/>
              </w:rPr>
            </w:pPr>
            <w:r>
              <w:rPr>
                <w:rFonts w:hint="eastAsia" w:ascii="宋体" w:hAnsi="宋体" w:eastAsia="宋体" w:cs="宋体"/>
                <w:color w:val="auto"/>
                <w:sz w:val="21"/>
                <w:szCs w:val="21"/>
                <w:highlight w:val="none"/>
              </w:rPr>
              <w:t>第</w:t>
            </w:r>
            <w:r>
              <w:rPr>
                <w:rFonts w:hint="eastAsia" w:ascii="宋体" w:hAnsi="宋体" w:cs="宋体"/>
                <w:color w:val="auto"/>
                <w:sz w:val="21"/>
                <w:szCs w:val="21"/>
                <w:highlight w:val="none"/>
                <w:lang w:val="en-US" w:eastAsia="zh-CN"/>
              </w:rPr>
              <w:t>六</w:t>
            </w:r>
            <w:r>
              <w:rPr>
                <w:rFonts w:hint="eastAsia" w:ascii="宋体" w:hAnsi="宋体" w:eastAsia="宋体" w:cs="宋体"/>
                <w:color w:val="auto"/>
                <w:sz w:val="21"/>
                <w:szCs w:val="21"/>
                <w:highlight w:val="none"/>
              </w:rPr>
              <w:t>个档次（</w:t>
            </w:r>
            <w:r>
              <w:rPr>
                <w:rFonts w:hint="eastAsia" w:ascii="宋体" w:hAnsi="宋体" w:cs="宋体"/>
                <w:b w:val="0"/>
                <w:bCs w:val="0"/>
                <w:color w:val="auto"/>
                <w:sz w:val="21"/>
                <w:szCs w:val="21"/>
                <w:highlight w:val="none"/>
                <w:lang w:val="en-US" w:eastAsia="zh-CN"/>
              </w:rPr>
              <w:t>0</w:t>
            </w:r>
            <w:r>
              <w:rPr>
                <w:rFonts w:hint="eastAsia" w:ascii="宋体" w:hAnsi="宋体" w:eastAsia="宋体" w:cs="宋体"/>
                <w:color w:val="auto"/>
                <w:sz w:val="21"/>
                <w:szCs w:val="21"/>
                <w:highlight w:val="none"/>
              </w:rPr>
              <w:t>分）：</w:t>
            </w:r>
            <w:r>
              <w:rPr>
                <w:rFonts w:hint="eastAsia" w:ascii="宋体" w:hAnsi="宋体" w:eastAsia="宋体" w:cs="宋体"/>
                <w:b w:val="0"/>
                <w:bCs/>
                <w:color w:val="auto"/>
                <w:sz w:val="21"/>
                <w:szCs w:val="21"/>
                <w:highlight w:val="none"/>
                <w:lang w:val="en-US" w:eastAsia="zh-CN"/>
              </w:rPr>
              <w:t>供应商未提供</w:t>
            </w:r>
            <w:r>
              <w:rPr>
                <w:rFonts w:hint="eastAsia" w:ascii="宋体" w:hAnsi="宋体" w:cs="宋体"/>
                <w:color w:val="auto"/>
                <w:sz w:val="21"/>
                <w:szCs w:val="21"/>
                <w:highlight w:val="none"/>
                <w:lang w:eastAsia="zh-CN"/>
              </w:rPr>
              <w:t>劳动力安排及保证措施</w:t>
            </w:r>
            <w:r>
              <w:rPr>
                <w:rFonts w:hint="eastAsia" w:ascii="宋体" w:hAnsi="宋体" w:eastAsia="宋体" w:cs="宋体"/>
                <w:color w:val="auto"/>
                <w:sz w:val="21"/>
                <w:szCs w:val="21"/>
                <w:highlight w:val="none"/>
              </w:rPr>
              <w:t>的。</w:t>
            </w:r>
          </w:p>
        </w:tc>
      </w:tr>
      <w:tr w14:paraId="31091EE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trHeight w:val="90" w:hRule="atLeast"/>
          <w:jc w:val="center"/>
        </w:trPr>
        <w:tc>
          <w:tcPr>
            <w:tcW w:w="730" w:type="dxa"/>
            <w:vMerge w:val="continue"/>
            <w:tcBorders>
              <w:tl2br w:val="nil"/>
              <w:tr2bl w:val="nil"/>
            </w:tcBorders>
            <w:vAlign w:val="center"/>
          </w:tcPr>
          <w:p w14:paraId="4FB28A18">
            <w:pPr>
              <w:spacing w:line="360" w:lineRule="exact"/>
              <w:rPr>
                <w:rFonts w:asciiTheme="minorEastAsia" w:hAnsiTheme="minorEastAsia" w:eastAsiaTheme="minorEastAsia" w:cstheme="minorEastAsia"/>
                <w:b/>
                <w:color w:val="auto"/>
                <w:szCs w:val="21"/>
                <w:highlight w:val="none"/>
              </w:rPr>
            </w:pPr>
          </w:p>
        </w:tc>
        <w:tc>
          <w:tcPr>
            <w:tcW w:w="699" w:type="dxa"/>
            <w:vMerge w:val="continue"/>
            <w:tcBorders>
              <w:tl2br w:val="nil"/>
              <w:tr2bl w:val="nil"/>
            </w:tcBorders>
            <w:vAlign w:val="center"/>
          </w:tcPr>
          <w:p w14:paraId="387B73E2">
            <w:pPr>
              <w:spacing w:line="360" w:lineRule="exact"/>
              <w:rPr>
                <w:rFonts w:asciiTheme="minorEastAsia" w:hAnsiTheme="minorEastAsia" w:eastAsiaTheme="minorEastAsia" w:cstheme="minorEastAsia"/>
                <w:b/>
                <w:color w:val="auto"/>
                <w:szCs w:val="21"/>
                <w:highlight w:val="none"/>
              </w:rPr>
            </w:pPr>
          </w:p>
        </w:tc>
        <w:tc>
          <w:tcPr>
            <w:tcW w:w="1560" w:type="dxa"/>
            <w:vMerge w:val="continue"/>
            <w:tcBorders>
              <w:tl2br w:val="nil"/>
              <w:tr2bl w:val="nil"/>
            </w:tcBorders>
            <w:vAlign w:val="center"/>
          </w:tcPr>
          <w:p w14:paraId="71CC2556">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rightChars="0"/>
              <w:jc w:val="center"/>
              <w:textAlignment w:val="auto"/>
              <w:rPr>
                <w:rFonts w:asciiTheme="minorEastAsia" w:hAnsiTheme="minorEastAsia" w:eastAsiaTheme="minorEastAsia" w:cstheme="minorEastAsia"/>
                <w:b/>
                <w:color w:val="auto"/>
                <w:szCs w:val="21"/>
                <w:highlight w:val="none"/>
              </w:rPr>
            </w:pPr>
          </w:p>
        </w:tc>
        <w:tc>
          <w:tcPr>
            <w:tcW w:w="6664" w:type="dxa"/>
            <w:tcBorders>
              <w:tl2br w:val="nil"/>
              <w:tr2bl w:val="nil"/>
            </w:tcBorders>
            <w:shd w:val="clear" w:color="auto" w:fill="auto"/>
            <w:vAlign w:val="center"/>
          </w:tcPr>
          <w:p w14:paraId="735DC20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cs="宋体"/>
                <w:b/>
                <w:color w:val="auto"/>
                <w:sz w:val="21"/>
                <w:szCs w:val="21"/>
                <w:highlight w:val="none"/>
                <w:lang w:val="en-US" w:eastAsia="zh-CN"/>
              </w:rPr>
              <w:t>8</w:t>
            </w:r>
            <w:r>
              <w:rPr>
                <w:rFonts w:hint="eastAsia" w:ascii="宋体" w:hAnsi="宋体" w:eastAsia="宋体" w:cs="宋体"/>
                <w:b/>
                <w:color w:val="auto"/>
                <w:sz w:val="21"/>
                <w:szCs w:val="21"/>
                <w:highlight w:val="none"/>
              </w:rPr>
              <w:t>）施工机械投入评审评分（满分5分）</w:t>
            </w:r>
          </w:p>
          <w:p w14:paraId="3DCDB67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第一个档次（5分）：施工机械投入与施工进度计划呼应，满足工程要求，施工机械搭配合理、准确且明确的有相对应的费用的；</w:t>
            </w:r>
          </w:p>
          <w:p w14:paraId="60E5D3B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第二个档次（4分）：施工机械投入与施工进度计划呼应，满足工程要求，施工机械搭配基本合理、基本准确且有相对应的费用的；</w:t>
            </w:r>
          </w:p>
          <w:p w14:paraId="153499F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第三个档次（3分）：施工机械投入与施工进度计划呼应，基本满足工程要求，但施工机械搭配不当的；</w:t>
            </w:r>
          </w:p>
          <w:p w14:paraId="1406451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w:t>
            </w:r>
            <w:r>
              <w:rPr>
                <w:rFonts w:hint="eastAsia" w:ascii="宋体" w:hAnsi="宋体" w:cs="宋体"/>
                <w:color w:val="auto"/>
                <w:sz w:val="21"/>
                <w:szCs w:val="21"/>
                <w:highlight w:val="none"/>
                <w:lang w:val="en-US" w:eastAsia="zh-CN"/>
              </w:rPr>
              <w:t>四</w:t>
            </w:r>
            <w:r>
              <w:rPr>
                <w:rFonts w:hint="eastAsia" w:ascii="宋体" w:hAnsi="宋体" w:eastAsia="宋体" w:cs="宋体"/>
                <w:color w:val="auto"/>
                <w:sz w:val="21"/>
                <w:szCs w:val="21"/>
                <w:highlight w:val="none"/>
              </w:rPr>
              <w:t>个档次（</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分）：施工机械投入与施工进度计划</w:t>
            </w:r>
            <w:r>
              <w:rPr>
                <w:rFonts w:hint="eastAsia" w:ascii="宋体" w:hAnsi="宋体" w:cs="宋体"/>
                <w:color w:val="auto"/>
                <w:sz w:val="21"/>
                <w:szCs w:val="21"/>
                <w:highlight w:val="none"/>
                <w:lang w:val="en-US" w:eastAsia="zh-CN"/>
              </w:rPr>
              <w:t>基本</w:t>
            </w:r>
            <w:r>
              <w:rPr>
                <w:rFonts w:hint="eastAsia" w:ascii="宋体" w:hAnsi="宋体" w:eastAsia="宋体" w:cs="宋体"/>
                <w:color w:val="auto"/>
                <w:sz w:val="21"/>
                <w:szCs w:val="21"/>
                <w:highlight w:val="none"/>
              </w:rPr>
              <w:t>呼应，</w:t>
            </w:r>
            <w:r>
              <w:rPr>
                <w:rFonts w:hint="eastAsia" w:ascii="宋体" w:hAnsi="宋体" w:cs="宋体"/>
                <w:color w:val="auto"/>
                <w:sz w:val="21"/>
                <w:szCs w:val="21"/>
                <w:highlight w:val="none"/>
                <w:lang w:val="en-US" w:eastAsia="zh-CN"/>
              </w:rPr>
              <w:t>部分</w:t>
            </w:r>
            <w:r>
              <w:rPr>
                <w:rFonts w:hint="eastAsia" w:ascii="宋体" w:hAnsi="宋体" w:eastAsia="宋体" w:cs="宋体"/>
                <w:color w:val="auto"/>
                <w:sz w:val="21"/>
                <w:szCs w:val="21"/>
                <w:highlight w:val="none"/>
              </w:rPr>
              <w:t>满足工程要求；</w:t>
            </w:r>
          </w:p>
          <w:p w14:paraId="6E6F344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w:t>
            </w:r>
            <w:r>
              <w:rPr>
                <w:rFonts w:hint="eastAsia" w:ascii="宋体" w:hAnsi="宋体" w:cs="宋体"/>
                <w:color w:val="auto"/>
                <w:sz w:val="21"/>
                <w:szCs w:val="21"/>
                <w:highlight w:val="none"/>
                <w:lang w:val="en-US" w:eastAsia="zh-CN"/>
              </w:rPr>
              <w:t>五</w:t>
            </w:r>
            <w:r>
              <w:rPr>
                <w:rFonts w:hint="eastAsia" w:ascii="宋体" w:hAnsi="宋体" w:eastAsia="宋体" w:cs="宋体"/>
                <w:color w:val="auto"/>
                <w:sz w:val="21"/>
                <w:szCs w:val="21"/>
                <w:highlight w:val="none"/>
              </w:rPr>
              <w:t>个档次（1分）：施工机械投入与施工进度计划不相呼应，不满足工程要求的；</w:t>
            </w:r>
          </w:p>
          <w:p w14:paraId="1C777EA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第六个档次（0分）：</w:t>
            </w:r>
            <w:r>
              <w:rPr>
                <w:rFonts w:hint="eastAsia" w:ascii="宋体" w:hAnsi="宋体" w:eastAsia="宋体" w:cs="宋体"/>
                <w:b w:val="0"/>
                <w:bCs/>
                <w:color w:val="auto"/>
                <w:sz w:val="21"/>
                <w:szCs w:val="21"/>
                <w:highlight w:val="none"/>
                <w:lang w:val="en-US" w:eastAsia="zh-CN"/>
              </w:rPr>
              <w:t>供应商未提供</w:t>
            </w:r>
            <w:r>
              <w:rPr>
                <w:rFonts w:hint="eastAsia" w:ascii="宋体" w:hAnsi="宋体" w:eastAsia="宋体" w:cs="宋体"/>
                <w:color w:val="auto"/>
                <w:sz w:val="21"/>
                <w:szCs w:val="21"/>
                <w:highlight w:val="none"/>
              </w:rPr>
              <w:t>施工机械投入的。</w:t>
            </w:r>
          </w:p>
        </w:tc>
      </w:tr>
      <w:tr w14:paraId="5DE79F5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trHeight w:val="90" w:hRule="atLeast"/>
          <w:jc w:val="center"/>
        </w:trPr>
        <w:tc>
          <w:tcPr>
            <w:tcW w:w="730" w:type="dxa"/>
            <w:vMerge w:val="continue"/>
            <w:tcBorders>
              <w:tl2br w:val="nil"/>
              <w:tr2bl w:val="nil"/>
            </w:tcBorders>
            <w:vAlign w:val="center"/>
          </w:tcPr>
          <w:p w14:paraId="5C12418F">
            <w:pPr>
              <w:spacing w:line="360" w:lineRule="exact"/>
              <w:rPr>
                <w:rFonts w:asciiTheme="minorEastAsia" w:hAnsiTheme="minorEastAsia" w:eastAsiaTheme="minorEastAsia" w:cstheme="minorEastAsia"/>
                <w:b/>
                <w:color w:val="auto"/>
                <w:szCs w:val="21"/>
                <w:highlight w:val="none"/>
              </w:rPr>
            </w:pPr>
          </w:p>
        </w:tc>
        <w:tc>
          <w:tcPr>
            <w:tcW w:w="699" w:type="dxa"/>
            <w:vMerge w:val="continue"/>
            <w:tcBorders>
              <w:tl2br w:val="nil"/>
              <w:tr2bl w:val="nil"/>
            </w:tcBorders>
            <w:vAlign w:val="center"/>
          </w:tcPr>
          <w:p w14:paraId="75E7EE54">
            <w:pPr>
              <w:spacing w:line="360" w:lineRule="exact"/>
              <w:rPr>
                <w:rFonts w:asciiTheme="minorEastAsia" w:hAnsiTheme="minorEastAsia" w:eastAsiaTheme="minorEastAsia" w:cstheme="minorEastAsia"/>
                <w:b/>
                <w:color w:val="auto"/>
                <w:szCs w:val="21"/>
                <w:highlight w:val="none"/>
              </w:rPr>
            </w:pPr>
          </w:p>
        </w:tc>
        <w:tc>
          <w:tcPr>
            <w:tcW w:w="1560" w:type="dxa"/>
            <w:vMerge w:val="continue"/>
            <w:tcBorders>
              <w:tl2br w:val="nil"/>
              <w:tr2bl w:val="nil"/>
            </w:tcBorders>
            <w:vAlign w:val="center"/>
          </w:tcPr>
          <w:p w14:paraId="64A0DD05">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rightChars="0"/>
              <w:jc w:val="center"/>
              <w:textAlignment w:val="auto"/>
              <w:rPr>
                <w:rFonts w:asciiTheme="minorEastAsia" w:hAnsiTheme="minorEastAsia" w:eastAsiaTheme="minorEastAsia" w:cstheme="minorEastAsia"/>
                <w:b/>
                <w:color w:val="auto"/>
                <w:szCs w:val="21"/>
                <w:highlight w:val="none"/>
              </w:rPr>
            </w:pPr>
          </w:p>
        </w:tc>
        <w:tc>
          <w:tcPr>
            <w:tcW w:w="6664" w:type="dxa"/>
            <w:tcBorders>
              <w:tl2br w:val="nil"/>
              <w:tr2bl w:val="nil"/>
            </w:tcBorders>
            <w:shd w:val="clear" w:color="auto" w:fill="auto"/>
            <w:vAlign w:val="center"/>
          </w:tcPr>
          <w:p w14:paraId="28F4D1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w:t>
            </w:r>
            <w:r>
              <w:rPr>
                <w:rFonts w:hint="eastAsia" w:ascii="宋体" w:hAnsi="宋体" w:cs="宋体"/>
                <w:b/>
                <w:color w:val="auto"/>
                <w:sz w:val="21"/>
                <w:szCs w:val="21"/>
                <w:highlight w:val="none"/>
                <w:lang w:val="en-US" w:eastAsia="zh-CN"/>
              </w:rPr>
              <w:t>9</w:t>
            </w:r>
            <w:r>
              <w:rPr>
                <w:rFonts w:hint="eastAsia" w:ascii="宋体" w:hAnsi="宋体" w:eastAsia="宋体" w:cs="宋体"/>
                <w:b/>
                <w:color w:val="auto"/>
                <w:sz w:val="21"/>
                <w:szCs w:val="21"/>
                <w:highlight w:val="none"/>
                <w:lang w:val="en-US" w:eastAsia="zh-CN"/>
              </w:rPr>
              <w:t>）施工主要工序评审评分（满分5分）</w:t>
            </w:r>
          </w:p>
          <w:p w14:paraId="1832E11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第一个档次（</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分）：施工主要工序阐述明细、全面、合理，主要工种施工方法得当，且对</w:t>
            </w:r>
            <w:r>
              <w:rPr>
                <w:rFonts w:hint="eastAsia" w:ascii="宋体" w:hAnsi="宋体" w:eastAsia="宋体" w:cs="宋体"/>
                <w:color w:val="auto"/>
                <w:sz w:val="21"/>
                <w:szCs w:val="21"/>
                <w:highlight w:val="none"/>
                <w:lang w:val="en-US" w:eastAsia="zh-CN"/>
              </w:rPr>
              <w:t>本次</w:t>
            </w:r>
            <w:r>
              <w:rPr>
                <w:rFonts w:hint="eastAsia" w:ascii="宋体" w:hAnsi="宋体" w:eastAsia="宋体" w:cs="宋体"/>
                <w:color w:val="auto"/>
                <w:sz w:val="21"/>
                <w:szCs w:val="21"/>
                <w:highlight w:val="none"/>
              </w:rPr>
              <w:t>项目的关键技术、工艺有明确、深入的表述，对施工重点、难点有合理、经济、安全的解决方案和可行保证措施的；</w:t>
            </w:r>
          </w:p>
          <w:p w14:paraId="0BB5C86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第二个档次（</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分）：施工主要工序有阐述全面、合理，主要工种施工方法基本得当，且对</w:t>
            </w:r>
            <w:r>
              <w:rPr>
                <w:rFonts w:hint="eastAsia" w:ascii="宋体" w:hAnsi="宋体" w:eastAsia="宋体" w:cs="宋体"/>
                <w:color w:val="auto"/>
                <w:sz w:val="21"/>
                <w:szCs w:val="21"/>
                <w:highlight w:val="none"/>
                <w:lang w:val="en-US" w:eastAsia="zh-CN"/>
              </w:rPr>
              <w:t>本次</w:t>
            </w:r>
            <w:r>
              <w:rPr>
                <w:rFonts w:hint="eastAsia" w:ascii="宋体" w:hAnsi="宋体" w:eastAsia="宋体" w:cs="宋体"/>
                <w:color w:val="auto"/>
                <w:sz w:val="21"/>
                <w:szCs w:val="21"/>
                <w:highlight w:val="none"/>
              </w:rPr>
              <w:t>项目的关键技术、工艺有明确的表述，对施工重点、难点有合理的解决方案，保证措施基本可行的；</w:t>
            </w:r>
          </w:p>
          <w:p w14:paraId="1549356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第三个档次（</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分）：施工主要工序阐述全面、基本合理，有主要工种施工方法，且对</w:t>
            </w:r>
            <w:r>
              <w:rPr>
                <w:rFonts w:hint="eastAsia" w:ascii="宋体" w:hAnsi="宋体" w:eastAsia="宋体" w:cs="宋体"/>
                <w:color w:val="auto"/>
                <w:sz w:val="21"/>
                <w:szCs w:val="21"/>
                <w:highlight w:val="none"/>
                <w:lang w:val="en-US" w:eastAsia="zh-CN"/>
              </w:rPr>
              <w:t>本次</w:t>
            </w:r>
            <w:r>
              <w:rPr>
                <w:rFonts w:hint="eastAsia" w:ascii="宋体" w:hAnsi="宋体" w:eastAsia="宋体" w:cs="宋体"/>
                <w:color w:val="auto"/>
                <w:sz w:val="21"/>
                <w:szCs w:val="21"/>
                <w:highlight w:val="none"/>
              </w:rPr>
              <w:t>项目的关键技术、工艺有一定了解，对施工重点、难点有建议，解决方案和保证措施基本可行的；</w:t>
            </w:r>
          </w:p>
          <w:p w14:paraId="3D81C9A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w:t>
            </w:r>
            <w:r>
              <w:rPr>
                <w:rFonts w:hint="eastAsia" w:ascii="宋体" w:hAnsi="宋体" w:eastAsia="宋体" w:cs="宋体"/>
                <w:color w:val="auto"/>
                <w:sz w:val="21"/>
                <w:szCs w:val="21"/>
                <w:highlight w:val="none"/>
                <w:lang w:val="en-US" w:eastAsia="zh-CN"/>
              </w:rPr>
              <w:t>四</w:t>
            </w:r>
            <w:r>
              <w:rPr>
                <w:rFonts w:hint="eastAsia" w:ascii="宋体" w:hAnsi="宋体" w:eastAsia="宋体" w:cs="宋体"/>
                <w:color w:val="auto"/>
                <w:sz w:val="21"/>
                <w:szCs w:val="21"/>
                <w:highlight w:val="none"/>
              </w:rPr>
              <w:t>个档次（</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分）：施工主要工序阐述基本全面，且对</w:t>
            </w:r>
            <w:r>
              <w:rPr>
                <w:rFonts w:hint="eastAsia" w:ascii="宋体" w:hAnsi="宋体" w:eastAsia="宋体" w:cs="宋体"/>
                <w:color w:val="auto"/>
                <w:sz w:val="21"/>
                <w:szCs w:val="21"/>
                <w:highlight w:val="none"/>
                <w:lang w:val="en-US" w:eastAsia="zh-CN"/>
              </w:rPr>
              <w:t>本次</w:t>
            </w:r>
            <w:r>
              <w:rPr>
                <w:rFonts w:hint="eastAsia" w:ascii="宋体" w:hAnsi="宋体" w:eastAsia="宋体" w:cs="宋体"/>
                <w:color w:val="auto"/>
                <w:sz w:val="21"/>
                <w:szCs w:val="21"/>
                <w:highlight w:val="none"/>
              </w:rPr>
              <w:t>项目的关键技术、工艺有一定了解，对施工重点、难点有建议，</w:t>
            </w:r>
            <w:r>
              <w:rPr>
                <w:rFonts w:hint="eastAsia" w:ascii="宋体" w:hAnsi="宋体" w:eastAsia="宋体" w:cs="宋体"/>
                <w:color w:val="auto"/>
                <w:sz w:val="21"/>
                <w:szCs w:val="21"/>
                <w:highlight w:val="none"/>
                <w:lang w:val="en-US" w:eastAsia="zh-CN"/>
              </w:rPr>
              <w:t>但</w:t>
            </w:r>
            <w:r>
              <w:rPr>
                <w:rFonts w:hint="eastAsia" w:ascii="宋体" w:hAnsi="宋体" w:eastAsia="宋体" w:cs="宋体"/>
                <w:color w:val="auto"/>
                <w:sz w:val="21"/>
                <w:szCs w:val="21"/>
                <w:highlight w:val="none"/>
              </w:rPr>
              <w:t>解决方案和保证措施</w:t>
            </w:r>
            <w:r>
              <w:rPr>
                <w:rFonts w:hint="eastAsia" w:ascii="宋体" w:hAnsi="宋体" w:eastAsia="宋体" w:cs="宋体"/>
                <w:color w:val="auto"/>
                <w:sz w:val="21"/>
                <w:szCs w:val="21"/>
                <w:highlight w:val="none"/>
                <w:lang w:val="en-US" w:eastAsia="zh-CN"/>
              </w:rPr>
              <w:t>可行性一般的</w:t>
            </w:r>
            <w:r>
              <w:rPr>
                <w:rFonts w:hint="eastAsia" w:ascii="宋体" w:hAnsi="宋体" w:eastAsia="宋体" w:cs="宋体"/>
                <w:color w:val="auto"/>
                <w:sz w:val="21"/>
                <w:szCs w:val="21"/>
                <w:highlight w:val="none"/>
              </w:rPr>
              <w:t>；</w:t>
            </w:r>
          </w:p>
          <w:p w14:paraId="59EA060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个档次（</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分）：施工主要工序阐述</w:t>
            </w:r>
            <w:r>
              <w:rPr>
                <w:rFonts w:hint="eastAsia" w:ascii="宋体" w:hAnsi="宋体" w:eastAsia="宋体" w:cs="宋体"/>
                <w:color w:val="auto"/>
                <w:sz w:val="21"/>
                <w:szCs w:val="21"/>
                <w:highlight w:val="none"/>
                <w:lang w:val="en-US" w:eastAsia="zh-CN"/>
              </w:rPr>
              <w:t>不全面</w:t>
            </w:r>
            <w:r>
              <w:rPr>
                <w:rFonts w:hint="eastAsia" w:ascii="宋体" w:hAnsi="宋体" w:eastAsia="宋体" w:cs="宋体"/>
                <w:color w:val="auto"/>
                <w:sz w:val="21"/>
                <w:szCs w:val="21"/>
                <w:highlight w:val="none"/>
              </w:rPr>
              <w:t>，且对</w:t>
            </w:r>
            <w:r>
              <w:rPr>
                <w:rFonts w:hint="eastAsia" w:ascii="宋体" w:hAnsi="宋体" w:eastAsia="宋体" w:cs="宋体"/>
                <w:color w:val="auto"/>
                <w:sz w:val="21"/>
                <w:szCs w:val="21"/>
                <w:highlight w:val="none"/>
                <w:lang w:val="en-US" w:eastAsia="zh-CN"/>
              </w:rPr>
              <w:t>本次</w:t>
            </w:r>
            <w:r>
              <w:rPr>
                <w:rFonts w:hint="eastAsia" w:ascii="宋体" w:hAnsi="宋体" w:eastAsia="宋体" w:cs="宋体"/>
                <w:color w:val="auto"/>
                <w:sz w:val="21"/>
                <w:szCs w:val="21"/>
                <w:highlight w:val="none"/>
              </w:rPr>
              <w:t>项目的关键技术、工艺</w:t>
            </w:r>
            <w:r>
              <w:rPr>
                <w:rFonts w:hint="eastAsia" w:ascii="宋体" w:hAnsi="宋体" w:eastAsia="宋体" w:cs="宋体"/>
                <w:color w:val="auto"/>
                <w:sz w:val="21"/>
                <w:szCs w:val="21"/>
                <w:highlight w:val="none"/>
                <w:lang w:val="en-US" w:eastAsia="zh-CN"/>
              </w:rPr>
              <w:t>缺乏</w:t>
            </w:r>
            <w:r>
              <w:rPr>
                <w:rFonts w:hint="eastAsia" w:ascii="宋体" w:hAnsi="宋体" w:eastAsia="宋体" w:cs="宋体"/>
                <w:color w:val="auto"/>
                <w:sz w:val="21"/>
                <w:szCs w:val="21"/>
                <w:highlight w:val="none"/>
              </w:rPr>
              <w:t>了解，对施工重点、难点</w:t>
            </w:r>
            <w:r>
              <w:rPr>
                <w:rFonts w:hint="eastAsia" w:ascii="宋体" w:hAnsi="宋体" w:eastAsia="宋体" w:cs="宋体"/>
                <w:color w:val="auto"/>
                <w:sz w:val="21"/>
                <w:szCs w:val="21"/>
                <w:highlight w:val="none"/>
                <w:lang w:val="en-US" w:eastAsia="zh-CN"/>
              </w:rPr>
              <w:t>分析不到位的</w:t>
            </w:r>
            <w:r>
              <w:rPr>
                <w:rFonts w:hint="eastAsia" w:ascii="宋体" w:hAnsi="宋体" w:eastAsia="宋体" w:cs="宋体"/>
                <w:color w:val="auto"/>
                <w:sz w:val="21"/>
                <w:szCs w:val="21"/>
                <w:highlight w:val="none"/>
              </w:rPr>
              <w:t>；</w:t>
            </w:r>
          </w:p>
          <w:p w14:paraId="0C83784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第六个档次（0分）：</w:t>
            </w:r>
            <w:r>
              <w:rPr>
                <w:rFonts w:hint="eastAsia" w:ascii="宋体" w:hAnsi="宋体" w:eastAsia="宋体" w:cs="宋体"/>
                <w:b w:val="0"/>
                <w:bCs/>
                <w:color w:val="auto"/>
                <w:sz w:val="21"/>
                <w:szCs w:val="21"/>
                <w:highlight w:val="none"/>
                <w:lang w:val="en-US" w:eastAsia="zh-CN"/>
              </w:rPr>
              <w:t>供应商未提供</w:t>
            </w:r>
            <w:r>
              <w:rPr>
                <w:rFonts w:hint="eastAsia" w:ascii="宋体" w:hAnsi="宋体" w:eastAsia="宋体" w:cs="宋体"/>
                <w:color w:val="auto"/>
                <w:sz w:val="21"/>
                <w:szCs w:val="21"/>
                <w:highlight w:val="none"/>
              </w:rPr>
              <w:t>施工主要工序的。</w:t>
            </w:r>
          </w:p>
        </w:tc>
      </w:tr>
      <w:tr w14:paraId="0655A01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trHeight w:val="90" w:hRule="atLeast"/>
          <w:jc w:val="center"/>
        </w:trPr>
        <w:tc>
          <w:tcPr>
            <w:tcW w:w="730" w:type="dxa"/>
            <w:vMerge w:val="continue"/>
            <w:tcBorders>
              <w:tl2br w:val="nil"/>
              <w:tr2bl w:val="nil"/>
            </w:tcBorders>
            <w:vAlign w:val="center"/>
          </w:tcPr>
          <w:p w14:paraId="5498915F">
            <w:pPr>
              <w:spacing w:line="360" w:lineRule="exact"/>
              <w:rPr>
                <w:rFonts w:asciiTheme="minorEastAsia" w:hAnsiTheme="minorEastAsia" w:eastAsiaTheme="minorEastAsia" w:cstheme="minorEastAsia"/>
                <w:b/>
                <w:color w:val="auto"/>
                <w:szCs w:val="21"/>
                <w:highlight w:val="none"/>
              </w:rPr>
            </w:pPr>
          </w:p>
        </w:tc>
        <w:tc>
          <w:tcPr>
            <w:tcW w:w="699" w:type="dxa"/>
            <w:vMerge w:val="continue"/>
            <w:tcBorders>
              <w:tl2br w:val="nil"/>
              <w:tr2bl w:val="nil"/>
            </w:tcBorders>
            <w:vAlign w:val="center"/>
          </w:tcPr>
          <w:p w14:paraId="21F520BF">
            <w:pPr>
              <w:spacing w:line="360" w:lineRule="exact"/>
              <w:rPr>
                <w:rFonts w:asciiTheme="minorEastAsia" w:hAnsiTheme="minorEastAsia" w:eastAsiaTheme="minorEastAsia" w:cstheme="minorEastAsia"/>
                <w:b/>
                <w:color w:val="auto"/>
                <w:szCs w:val="21"/>
                <w:highlight w:val="none"/>
              </w:rPr>
            </w:pPr>
          </w:p>
        </w:tc>
        <w:tc>
          <w:tcPr>
            <w:tcW w:w="1560" w:type="dxa"/>
            <w:vMerge w:val="continue"/>
            <w:tcBorders>
              <w:tl2br w:val="nil"/>
              <w:tr2bl w:val="nil"/>
            </w:tcBorders>
            <w:vAlign w:val="center"/>
          </w:tcPr>
          <w:p w14:paraId="594C7224">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rightChars="0"/>
              <w:jc w:val="center"/>
              <w:textAlignment w:val="auto"/>
              <w:rPr>
                <w:rFonts w:asciiTheme="minorEastAsia" w:hAnsiTheme="minorEastAsia" w:eastAsiaTheme="minorEastAsia" w:cstheme="minorEastAsia"/>
                <w:b/>
                <w:color w:val="auto"/>
                <w:szCs w:val="21"/>
                <w:highlight w:val="none"/>
              </w:rPr>
            </w:pPr>
          </w:p>
        </w:tc>
        <w:tc>
          <w:tcPr>
            <w:tcW w:w="6664" w:type="dxa"/>
            <w:tcBorders>
              <w:tl2br w:val="nil"/>
              <w:tr2bl w:val="nil"/>
            </w:tcBorders>
            <w:shd w:val="clear" w:color="auto" w:fill="auto"/>
            <w:vAlign w:val="center"/>
          </w:tcPr>
          <w:p w14:paraId="69130F8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w:t>
            </w:r>
            <w:r>
              <w:rPr>
                <w:rFonts w:hint="eastAsia" w:ascii="宋体" w:hAnsi="宋体" w:cs="宋体"/>
                <w:b/>
                <w:bCs/>
                <w:color w:val="auto"/>
                <w:kern w:val="0"/>
                <w:sz w:val="21"/>
                <w:szCs w:val="21"/>
                <w:highlight w:val="none"/>
                <w:lang w:val="en-US" w:eastAsia="zh-CN"/>
              </w:rPr>
              <w:t>10</w:t>
            </w:r>
            <w:r>
              <w:rPr>
                <w:rFonts w:hint="eastAsia" w:ascii="宋体" w:hAnsi="宋体" w:eastAsia="宋体" w:cs="宋体"/>
                <w:b/>
                <w:bCs/>
                <w:color w:val="auto"/>
                <w:kern w:val="0"/>
                <w:sz w:val="21"/>
                <w:szCs w:val="21"/>
                <w:highlight w:val="none"/>
                <w:lang w:val="en-US" w:eastAsia="zh-CN"/>
              </w:rPr>
              <w:t>）节能、环保产品评审评分（满分1分）</w:t>
            </w:r>
          </w:p>
          <w:p w14:paraId="0124BA3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供应商完成本项目所用的建筑材料有一项被认定为节能产品或环保产品的得0.5分，满分1分。</w:t>
            </w:r>
          </w:p>
          <w:p w14:paraId="58DED26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若建筑材料为除强制节能产品以外的经国家认定的节能产品或环境标志产品的，需提供有效期内的节能产品认证证书或环境标志产品认证证书扫描件。</w:t>
            </w:r>
          </w:p>
          <w:p w14:paraId="73E5594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未提供的不得分。</w:t>
            </w:r>
          </w:p>
        </w:tc>
      </w:tr>
      <w:tr w14:paraId="580B9F9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23" w:type="dxa"/>
            <w:bottom w:w="0" w:type="dxa"/>
            <w:right w:w="23" w:type="dxa"/>
          </w:tblCellMar>
        </w:tblPrEx>
        <w:trPr>
          <w:trHeight w:val="90" w:hRule="atLeast"/>
          <w:jc w:val="center"/>
        </w:trPr>
        <w:tc>
          <w:tcPr>
            <w:tcW w:w="730" w:type="dxa"/>
            <w:vMerge w:val="continue"/>
            <w:tcBorders>
              <w:tl2br w:val="nil"/>
              <w:tr2bl w:val="nil"/>
            </w:tcBorders>
            <w:vAlign w:val="center"/>
          </w:tcPr>
          <w:p w14:paraId="4DA8FA44">
            <w:pPr>
              <w:spacing w:line="360" w:lineRule="exact"/>
              <w:rPr>
                <w:rFonts w:asciiTheme="minorEastAsia" w:hAnsiTheme="minorEastAsia" w:eastAsiaTheme="minorEastAsia" w:cstheme="minorEastAsia"/>
                <w:b/>
                <w:color w:val="auto"/>
                <w:szCs w:val="21"/>
                <w:highlight w:val="none"/>
              </w:rPr>
            </w:pPr>
          </w:p>
        </w:tc>
        <w:tc>
          <w:tcPr>
            <w:tcW w:w="699" w:type="dxa"/>
            <w:vMerge w:val="continue"/>
            <w:tcBorders>
              <w:tl2br w:val="nil"/>
              <w:tr2bl w:val="nil"/>
            </w:tcBorders>
            <w:vAlign w:val="center"/>
          </w:tcPr>
          <w:p w14:paraId="26926562">
            <w:pPr>
              <w:spacing w:line="360" w:lineRule="exact"/>
              <w:rPr>
                <w:rFonts w:asciiTheme="minorEastAsia" w:hAnsiTheme="minorEastAsia" w:eastAsiaTheme="minorEastAsia" w:cstheme="minorEastAsia"/>
                <w:b/>
                <w:color w:val="auto"/>
                <w:szCs w:val="21"/>
                <w:highlight w:val="none"/>
              </w:rPr>
            </w:pPr>
          </w:p>
        </w:tc>
        <w:tc>
          <w:tcPr>
            <w:tcW w:w="1560" w:type="dxa"/>
            <w:vMerge w:val="continue"/>
            <w:tcBorders>
              <w:tl2br w:val="nil"/>
              <w:tr2bl w:val="nil"/>
            </w:tcBorders>
            <w:vAlign w:val="center"/>
          </w:tcPr>
          <w:p w14:paraId="5A33A24E">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rightChars="0"/>
              <w:jc w:val="center"/>
              <w:textAlignment w:val="auto"/>
              <w:rPr>
                <w:rFonts w:asciiTheme="minorEastAsia" w:hAnsiTheme="minorEastAsia" w:eastAsiaTheme="minorEastAsia" w:cstheme="minorEastAsia"/>
                <w:b/>
                <w:color w:val="auto"/>
                <w:szCs w:val="21"/>
                <w:highlight w:val="none"/>
              </w:rPr>
            </w:pPr>
          </w:p>
        </w:tc>
        <w:tc>
          <w:tcPr>
            <w:tcW w:w="6664" w:type="dxa"/>
            <w:tcBorders>
              <w:tl2br w:val="nil"/>
              <w:tr2bl w:val="nil"/>
            </w:tcBorders>
            <w:shd w:val="clear" w:color="auto" w:fill="auto"/>
            <w:vAlign w:val="center"/>
          </w:tcPr>
          <w:p w14:paraId="54556B9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rightChars="0" w:firstLine="0" w:firstLineChars="0"/>
              <w:jc w:val="left"/>
              <w:textAlignment w:val="auto"/>
              <w:outlineLvl w:val="9"/>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w:t>
            </w:r>
            <w:r>
              <w:rPr>
                <w:rFonts w:hint="eastAsia" w:ascii="宋体" w:hAnsi="宋体" w:cs="宋体"/>
                <w:b/>
                <w:bCs/>
                <w:color w:val="auto"/>
                <w:kern w:val="0"/>
                <w:sz w:val="21"/>
                <w:szCs w:val="21"/>
                <w:highlight w:val="none"/>
                <w:lang w:val="en-US" w:eastAsia="zh-CN"/>
              </w:rPr>
              <w:t>11</w:t>
            </w:r>
            <w:r>
              <w:rPr>
                <w:rFonts w:hint="eastAsia" w:ascii="宋体" w:hAnsi="宋体" w:eastAsia="宋体" w:cs="宋体"/>
                <w:b/>
                <w:bCs/>
                <w:color w:val="auto"/>
                <w:kern w:val="0"/>
                <w:sz w:val="21"/>
                <w:szCs w:val="21"/>
                <w:highlight w:val="none"/>
                <w:lang w:val="en-US" w:eastAsia="zh-CN"/>
              </w:rPr>
              <w:t>）业绩部分得分（满分10分）</w:t>
            </w:r>
          </w:p>
          <w:p w14:paraId="2C5B908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textAlignment w:val="auto"/>
              <w:rPr>
                <w:rFonts w:hint="eastAsia" w:ascii="宋体" w:hAnsi="宋体" w:eastAsia="宋体" w:cs="宋体"/>
                <w:snapToGrid w:val="0"/>
                <w:color w:val="auto"/>
                <w:kern w:val="21"/>
                <w:sz w:val="21"/>
                <w:szCs w:val="21"/>
                <w:highlight w:val="none"/>
                <w:lang w:val="en-US" w:eastAsia="zh-CN" w:bidi="ar-SA"/>
              </w:rPr>
            </w:pPr>
            <w:r>
              <w:rPr>
                <w:rFonts w:hint="eastAsia" w:ascii="宋体" w:hAnsi="宋体" w:cs="宋体"/>
                <w:color w:val="auto"/>
                <w:kern w:val="0"/>
                <w:sz w:val="21"/>
                <w:szCs w:val="21"/>
                <w:highlight w:val="none"/>
                <w:lang w:val="en-US" w:eastAsia="zh-CN"/>
              </w:rPr>
              <w:t>提供2023年至今类似业绩，</w:t>
            </w:r>
            <w:r>
              <w:rPr>
                <w:rFonts w:hint="eastAsia" w:ascii="宋体" w:hAnsi="宋体" w:eastAsia="宋体" w:cs="宋体"/>
                <w:color w:val="auto"/>
                <w:kern w:val="0"/>
                <w:sz w:val="21"/>
                <w:szCs w:val="21"/>
                <w:highlight w:val="none"/>
                <w:lang w:val="en-US" w:eastAsia="zh-CN"/>
              </w:rPr>
              <w:t>供应商每提供一个类似业绩得2分，加满10分为止。</w:t>
            </w:r>
          </w:p>
        </w:tc>
      </w:tr>
    </w:tbl>
    <w:p w14:paraId="26AFFD86">
      <w:pPr>
        <w:pStyle w:val="4"/>
        <w:numPr>
          <w:ilvl w:val="0"/>
          <w:numId w:val="0"/>
        </w:numPr>
        <w:tabs>
          <w:tab w:val="clear" w:pos="3690"/>
        </w:tabs>
        <w:spacing w:before="0" w:after="0" w:line="440" w:lineRule="exact"/>
        <w:jc w:val="both"/>
        <w:rPr>
          <w:rFonts w:hint="eastAsia" w:asciiTheme="minorEastAsia" w:hAnsiTheme="minorEastAsia" w:eastAsiaTheme="minorEastAsia" w:cstheme="minorEastAsia"/>
          <w:color w:val="auto"/>
          <w:sz w:val="28"/>
          <w:szCs w:val="28"/>
          <w:highlight w:val="none"/>
        </w:rPr>
      </w:pPr>
      <w:bookmarkStart w:id="965" w:name="_Toc2324"/>
      <w:bookmarkStart w:id="966" w:name="_Toc31571"/>
      <w:bookmarkStart w:id="967" w:name="_Toc25999"/>
    </w:p>
    <w:p w14:paraId="57FE053D">
      <w:pPr>
        <w:rPr>
          <w:rFonts w:hint="eastAsia"/>
          <w:highlight w:val="none"/>
        </w:rPr>
      </w:pPr>
    </w:p>
    <w:p w14:paraId="6566DEBF">
      <w:pPr>
        <w:pStyle w:val="4"/>
        <w:numPr>
          <w:ilvl w:val="0"/>
          <w:numId w:val="0"/>
        </w:numPr>
        <w:tabs>
          <w:tab w:val="clear" w:pos="3690"/>
        </w:tabs>
        <w:spacing w:before="0" w:after="0" w:line="440" w:lineRule="exact"/>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一、磋商方法</w:t>
      </w:r>
      <w:bookmarkEnd w:id="965"/>
      <w:bookmarkEnd w:id="966"/>
      <w:bookmarkEnd w:id="967"/>
    </w:p>
    <w:p w14:paraId="4BC9CDB1">
      <w:pPr>
        <w:pStyle w:val="15"/>
        <w:tabs>
          <w:tab w:val="left" w:pos="2472"/>
        </w:tabs>
        <w:spacing w:line="360" w:lineRule="auto"/>
        <w:ind w:firstLine="482"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
          <w:color w:val="auto"/>
          <w:sz w:val="24"/>
          <w:szCs w:val="24"/>
          <w:highlight w:val="none"/>
        </w:rPr>
        <w:t>1.1本次磋商采用综合评分法。</w:t>
      </w:r>
      <w:r>
        <w:rPr>
          <w:rFonts w:hint="eastAsia" w:asciiTheme="minorEastAsia" w:hAnsiTheme="minorEastAsia" w:eastAsiaTheme="minorEastAsia" w:cstheme="minorEastAsia"/>
          <w:bCs/>
          <w:color w:val="auto"/>
          <w:sz w:val="24"/>
          <w:szCs w:val="24"/>
          <w:highlight w:val="none"/>
        </w:rPr>
        <w:t>磋商小组对满足竞争性磋商文件实质性要求审查标准的响应文件，按照本章前附表规定的评分标准进行打分，并按磋商总得分由高到低的顺序推荐成交候选供应商；磋商总得分相等时，按照最后报价由低到高的顺序推荐；磋商总得分相等且最后报价相同时，按照技术部分得分由高到低顺序推荐，若最终排名仍一致时，由磋商小组不记名投票决定成交候选供应商排序。</w:t>
      </w:r>
    </w:p>
    <w:p w14:paraId="2DFC3541">
      <w:pPr>
        <w:pStyle w:val="4"/>
        <w:numPr>
          <w:ilvl w:val="0"/>
          <w:numId w:val="0"/>
        </w:numPr>
        <w:tabs>
          <w:tab w:val="clear" w:pos="3690"/>
        </w:tabs>
        <w:spacing w:before="0" w:after="0" w:line="440" w:lineRule="exact"/>
        <w:jc w:val="center"/>
        <w:rPr>
          <w:rFonts w:asciiTheme="minorEastAsia" w:hAnsiTheme="minorEastAsia" w:eastAsiaTheme="minorEastAsia" w:cstheme="minorEastAsia"/>
          <w:color w:val="auto"/>
          <w:sz w:val="28"/>
          <w:szCs w:val="28"/>
          <w:highlight w:val="none"/>
        </w:rPr>
      </w:pPr>
      <w:bookmarkStart w:id="968" w:name="_Toc2734"/>
      <w:bookmarkStart w:id="969" w:name="_Toc29766"/>
      <w:bookmarkStart w:id="970" w:name="_Toc8669"/>
      <w:r>
        <w:rPr>
          <w:rFonts w:hint="eastAsia" w:asciiTheme="minorEastAsia" w:hAnsiTheme="minorEastAsia" w:eastAsiaTheme="minorEastAsia" w:cstheme="minorEastAsia"/>
          <w:color w:val="auto"/>
          <w:sz w:val="28"/>
          <w:szCs w:val="28"/>
          <w:highlight w:val="none"/>
        </w:rPr>
        <w:t>二、评审标准</w:t>
      </w:r>
      <w:bookmarkEnd w:id="968"/>
      <w:bookmarkEnd w:id="969"/>
      <w:bookmarkEnd w:id="970"/>
    </w:p>
    <w:p w14:paraId="51FF7C01">
      <w:pPr>
        <w:pStyle w:val="15"/>
        <w:tabs>
          <w:tab w:val="left" w:pos="2472"/>
        </w:tabs>
        <w:spacing w:line="46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2.1实质性要求审查标准</w:t>
      </w:r>
    </w:p>
    <w:p w14:paraId="7B199904">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2.1.1 资格评审标准：依据竞争性磋商文件的规定，竞争性磋商小组对响应文件中的资格证明、磋商保证金等进行审查，以确定供应商是否具备磋商资格（磋商程序和方法前附表），资格评审合格的响应文件提交竞争性磋商小组对其进行符合性评审。</w:t>
      </w:r>
    </w:p>
    <w:p w14:paraId="521BB342">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2.1.2 符合性评审标准：竞争性磋商小组从响应文件的有效性、完整性和对竞争性磋商文件的响应程度进行审查，以确定是否对竞争性磋商文件的实质性要求作出响应；见磋商程序和方法前附表。</w:t>
      </w:r>
    </w:p>
    <w:p w14:paraId="434CD82B">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2.1.3 报价评审标准：竞争性磋商小组对供应商的最后报价进行审查，以确定是否对竞争性磋商文件的实质性要求作出响应；见磋商程序和方法前附表。</w:t>
      </w:r>
    </w:p>
    <w:p w14:paraId="291C1C57">
      <w:pPr>
        <w:pStyle w:val="15"/>
        <w:tabs>
          <w:tab w:val="left" w:pos="2472"/>
        </w:tabs>
        <w:spacing w:line="460" w:lineRule="exact"/>
        <w:ind w:firstLine="482" w:firstLineChars="200"/>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2.2 分值构成与评分标准</w:t>
      </w:r>
    </w:p>
    <w:p w14:paraId="6275FC59">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2.2.1 分值构成</w:t>
      </w:r>
    </w:p>
    <w:p w14:paraId="022DD726">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（1）磋商报价评分：见磋商程序和方法前附表；</w:t>
      </w:r>
    </w:p>
    <w:p w14:paraId="2EAE51C5">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（2）技术部分评分：见磋商程序和方法前附表；</w:t>
      </w:r>
    </w:p>
    <w:p w14:paraId="734772A8">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2.2.2 磋商基准价计算方法：见磋商程序和方法前附表。</w:t>
      </w:r>
    </w:p>
    <w:p w14:paraId="05C2672B">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2.2.3 评分标准</w:t>
      </w:r>
    </w:p>
    <w:p w14:paraId="4AD27075">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按竞争性磋商文件中规定的磋商方法和标准，对实质性要求审查合格的响应文件进行商务和技术评估，综合比较与评价。</w:t>
      </w:r>
    </w:p>
    <w:p w14:paraId="1E7BC44B">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（1）磋商报价评分标准：见磋商程序和方法前附表；</w:t>
      </w:r>
    </w:p>
    <w:p w14:paraId="55E49246">
      <w:pPr>
        <w:pStyle w:val="15"/>
        <w:tabs>
          <w:tab w:val="left" w:pos="2472"/>
        </w:tabs>
        <w:spacing w:line="360" w:lineRule="auto"/>
        <w:ind w:firstLine="480" w:firstLineChars="200"/>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（2）技术部分评分标准：见磋商程序和方法前附表</w:t>
      </w:r>
      <w:r>
        <w:rPr>
          <w:rFonts w:hint="eastAsia" w:asciiTheme="minorEastAsia" w:hAnsiTheme="minorEastAsia" w:eastAsiaTheme="minorEastAsia" w:cstheme="minorEastAsia"/>
          <w:bCs/>
          <w:color w:val="auto"/>
          <w:sz w:val="24"/>
          <w:szCs w:val="24"/>
          <w:highlight w:val="none"/>
          <w:lang w:eastAsia="zh-CN"/>
        </w:rPr>
        <w:t>。</w:t>
      </w:r>
    </w:p>
    <w:p w14:paraId="62C8E6FC">
      <w:pPr>
        <w:pStyle w:val="4"/>
        <w:numPr>
          <w:ilvl w:val="0"/>
          <w:numId w:val="0"/>
        </w:numPr>
        <w:tabs>
          <w:tab w:val="clear" w:pos="3690"/>
        </w:tabs>
        <w:spacing w:before="0" w:after="0" w:line="440" w:lineRule="exact"/>
        <w:jc w:val="center"/>
        <w:rPr>
          <w:rFonts w:hint="eastAsia" w:asciiTheme="minorEastAsia" w:hAnsiTheme="minorEastAsia" w:eastAsiaTheme="minorEastAsia" w:cstheme="minorEastAsia"/>
          <w:color w:val="auto"/>
          <w:sz w:val="28"/>
          <w:szCs w:val="28"/>
          <w:highlight w:val="none"/>
        </w:rPr>
      </w:pPr>
      <w:bookmarkStart w:id="971" w:name="_Toc25006"/>
      <w:bookmarkStart w:id="972" w:name="_Toc20367"/>
      <w:bookmarkStart w:id="973" w:name="_Toc32470"/>
    </w:p>
    <w:p w14:paraId="19085A0C">
      <w:pPr>
        <w:pStyle w:val="4"/>
        <w:numPr>
          <w:ilvl w:val="0"/>
          <w:numId w:val="0"/>
        </w:numPr>
        <w:tabs>
          <w:tab w:val="clear" w:pos="3690"/>
        </w:tabs>
        <w:spacing w:before="0" w:after="0" w:line="440" w:lineRule="exact"/>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三、磋商程序</w:t>
      </w:r>
      <w:bookmarkEnd w:id="971"/>
      <w:bookmarkEnd w:id="972"/>
      <w:bookmarkEnd w:id="973"/>
    </w:p>
    <w:p w14:paraId="1B433497">
      <w:pPr>
        <w:pStyle w:val="15"/>
        <w:tabs>
          <w:tab w:val="left" w:pos="2472"/>
        </w:tabs>
        <w:spacing w:line="460" w:lineRule="exact"/>
        <w:ind w:firstLine="482" w:firstLineChars="200"/>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3.1 实质性要求审查</w:t>
      </w:r>
    </w:p>
    <w:p w14:paraId="7DD333CA">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3.1.1 首先对响应文件中的资格证明、磋商保证金等进行审查，以确定供应商是否具备磋商资格（磋商程序和方法前附表），资格评审合格的响应文件对其进行符合性评审。</w:t>
      </w:r>
    </w:p>
    <w:p w14:paraId="27E2E9EB">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3.1.2 竞争性磋商小组依据本章第2.1项规定的标准对响应文件进行实质性要求审查。</w:t>
      </w:r>
    </w:p>
    <w:p w14:paraId="6E0C948D">
      <w:pPr>
        <w:pStyle w:val="15"/>
        <w:tabs>
          <w:tab w:val="left" w:pos="2472"/>
        </w:tabs>
        <w:spacing w:line="460" w:lineRule="exact"/>
        <w:ind w:firstLine="482" w:firstLineChars="200"/>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3.2 磋商及最后报价</w:t>
      </w:r>
    </w:p>
    <w:p w14:paraId="09B3A920">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3.2.1 竞争性磋商小组所有成员集中与通过实质性审查的供应商分别进行磋商。在磋商中，磋商的任何一方不得透露与磋商有关的其他供应商的技术资料、价格、折扣和其他信息。 </w:t>
      </w:r>
    </w:p>
    <w:p w14:paraId="61978DC3">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3.2.2 竞争性磋商文件有实质性变动的，竞争性磋商小组将经采购人代表确认后，以书面形式通知所有参加磋商的供应商。但不得对涉及竞争的公平、公正性内容进行修改、变动。</w:t>
      </w:r>
    </w:p>
    <w:p w14:paraId="57809E3E">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3.2.3 为有助于对响应文件的详细审查、评价和比较，竞争性磋商小组可要求对供应商分别进行技术询问、澄清，有关要求和答复均现场进行。</w:t>
      </w:r>
    </w:p>
    <w:p w14:paraId="160E6053">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3.2.4磋商结束后，磋商小组将要求所有继续参加磋商的供应商在规定时间内提交最后报价，提交最后报价的供应商不得少于3家。</w:t>
      </w:r>
    </w:p>
    <w:p w14:paraId="2796DA3F">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3.2.5供应商必须在接到磋商通知后在规定时间内参加磋商，未在规定时间内参加磋商的视同放弃参加磋商权利，其响应文件按无效响应处理。</w:t>
      </w:r>
    </w:p>
    <w:p w14:paraId="52379AF8">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3.2.6供应商必须在接到最后报价通知后在规定时间内进行最后报价，未在规定时间内进行最后报价的视同放弃最后报价，其响应文件按无效响应处理。</w:t>
      </w:r>
    </w:p>
    <w:p w14:paraId="0F640A29">
      <w:pPr>
        <w:pStyle w:val="15"/>
        <w:tabs>
          <w:tab w:val="left" w:pos="2472"/>
        </w:tabs>
        <w:spacing w:line="460" w:lineRule="exact"/>
        <w:ind w:firstLine="482" w:firstLineChars="200"/>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3.3 详细评审</w:t>
      </w:r>
    </w:p>
    <w:p w14:paraId="5E63974F">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3.3.1 竞争性磋商小组按本章第2款规定的量化因素和分值进行打分，并计算出供应商的磋商总得分。对供应商的价格分等客观评分项的评分应当一致，对其他需要借助专业知识评判的主观评分项，应当严格按照评分细则公正评分。</w:t>
      </w:r>
    </w:p>
    <w:p w14:paraId="5A58EE16">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（1）按本章前附表的规定对磋商报价评分，计算出得分F1；</w:t>
      </w:r>
    </w:p>
    <w:p w14:paraId="49153321">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（2）按本章前附表的规定对技术部分评分，计算出得分F2；</w:t>
      </w:r>
    </w:p>
    <w:p w14:paraId="66FF11CC">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（3）按本章前附表的规定计算磋商总得分。</w:t>
      </w:r>
    </w:p>
    <w:p w14:paraId="36CCCACB">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3.3.2技术部分评分F2得分由竞争性磋商小组成员独立评分，供应商各项评分因素得分为该项因素各评委评分的算术平均值（保留小数点后两位），小数点后第三位“四舍五入”。</w:t>
      </w:r>
    </w:p>
    <w:p w14:paraId="5FFC296B">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3.3.3竞争性磋商小组成员要依法独立评审，并对评审意见承担个人责任。竞争性磋商小组成员对需要共同认定的事项存在争议的，按照少数服从多数的原则做出结论。持不同意见的竞争性磋商小组成员应当在评审报告上签署不同意见并说明理由，否则视为同意。</w:t>
      </w:r>
    </w:p>
    <w:p w14:paraId="64FBD800">
      <w:pPr>
        <w:pStyle w:val="15"/>
        <w:tabs>
          <w:tab w:val="left" w:pos="2472"/>
        </w:tabs>
        <w:spacing w:line="460" w:lineRule="exact"/>
        <w:ind w:firstLine="482" w:firstLineChars="200"/>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3.4 响应文件的澄清 </w:t>
      </w:r>
    </w:p>
    <w:p w14:paraId="6A3CD31D">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3.4.1竞争性磋商小组在对响应文件的有效性、完整性和响应程度进行审查时，可以要求供应商对响应文件中含义不明确、同类问题表述不一致或者有明显文字和计算错误的内容等作出必要的澄清、说明或者更正。竞争性磋商小组不接受供应商主动提出的澄清、说明或补正。供应商的书面澄清、说明和补正属于响应文件的组成部分。</w:t>
      </w:r>
    </w:p>
    <w:p w14:paraId="24B43330">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（1）响应文件内容澄清</w:t>
      </w:r>
    </w:p>
    <w:p w14:paraId="1CB1CB26">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对于响应文件中含义不明确、同类问题表述不一致或者有明显文字和计算错误的内容，竞争性磋商小组应当以书面形式要求供应商作出必要的澄清、说明或者补正。供应商的澄清、说明或者补正应当采用书面形式，并加电子签章，或者由法定代表人或其授权的代表签字。供应商的澄清、说明或者补正不得超出响应文件的范围或者改变响应文件的实质性内容。</w:t>
      </w:r>
    </w:p>
    <w:p w14:paraId="16FBE30A">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（2）报价不一致情形澄清</w:t>
      </w:r>
    </w:p>
    <w:p w14:paraId="275DCAFC">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最后报价出现前后不一致的，按照下列规定修正：</w:t>
      </w:r>
    </w:p>
    <w:p w14:paraId="2909343B">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①响应文件中报价一览表内容与响应文件中相应内容不一致的，以报价一览表为准。</w:t>
      </w:r>
    </w:p>
    <w:p w14:paraId="3D9119B5">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②大写金额和小写金额不一致的，以大写金额为准。</w:t>
      </w:r>
    </w:p>
    <w:p w14:paraId="3801976F">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③单价金额小数点或者百分比有明显错位的，以报价一览表的总价为准，并修改单价。</w:t>
      </w:r>
    </w:p>
    <w:p w14:paraId="358353D2">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④总价金额与按单价汇总金额不一致的，以单价金额计算结果为准。</w:t>
      </w:r>
    </w:p>
    <w:p w14:paraId="487F79BD">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同时出现两种以上不一致的，按照前款规定的顺序修正。修正后的报价经供应商确认后产生约束力，供应商不确认的，其响应无效。</w:t>
      </w:r>
    </w:p>
    <w:p w14:paraId="3B3B767F">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（3）报价过低情形澄清 </w:t>
      </w:r>
    </w:p>
    <w:p w14:paraId="5BB62503">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竞争性磋商小组认为供应商的报价(总价或单价)明显低于其他通过符合性审查供应商的报价(总价或单价)，有可能影响产品质量或者不能诚信履约的，应当要求其在评标现场合理的时间内提供书面说明，必要时提交相关证明材料；供应商不能证明其报价合理性的，竞争性磋商小组应当将其作为无效投标处理。</w:t>
      </w:r>
    </w:p>
    <w:p w14:paraId="5F7F9549">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3.4.2竞争性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竞争性磋商小组对供应商提交的澄清、说明或补正有疑问的，可以要求供应商进一步澄清、说明或补正，直至满足竞争性磋商小组的要求。</w:t>
      </w:r>
    </w:p>
    <w:p w14:paraId="7E71C9F6">
      <w:pPr>
        <w:spacing w:line="460" w:lineRule="exact"/>
        <w:ind w:firstLine="482" w:firstLineChars="20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3.5强化政府采购异常低价审查</w:t>
      </w:r>
    </w:p>
    <w:p w14:paraId="5FC1EE4F">
      <w:pPr>
        <w:pStyle w:val="15"/>
        <w:tabs>
          <w:tab w:val="left" w:pos="2472"/>
        </w:tabs>
        <w:spacing w:line="360" w:lineRule="auto"/>
        <w:ind w:firstLine="480" w:firstLineChars="200"/>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依据《关于推动解决政府采购异常低价问题的通知》财库〔2026〕2号的规定：</w:t>
      </w:r>
    </w:p>
    <w:p w14:paraId="2CD8B152">
      <w:pPr>
        <w:pStyle w:val="15"/>
        <w:tabs>
          <w:tab w:val="left" w:pos="2472"/>
        </w:tabs>
        <w:spacing w:line="360" w:lineRule="auto"/>
        <w:ind w:firstLine="480" w:firstLineChars="200"/>
        <w:rPr>
          <w:rFonts w:hint="default"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3.5.1政府采购评审中出现下列情形之一的，评审委员会应当启动异常低价投标（响应）审查程序：</w:t>
      </w:r>
    </w:p>
    <w:p w14:paraId="54C5FA3E">
      <w:pPr>
        <w:pStyle w:val="15"/>
        <w:tabs>
          <w:tab w:val="left" w:pos="2472"/>
        </w:tabs>
        <w:spacing w:line="360" w:lineRule="auto"/>
        <w:ind w:firstLine="480" w:firstLineChars="200"/>
        <w:rPr>
          <w:rFonts w:hint="default"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2DE9208B">
      <w:pPr>
        <w:pStyle w:val="15"/>
        <w:tabs>
          <w:tab w:val="left" w:pos="2472"/>
        </w:tabs>
        <w:spacing w:line="360" w:lineRule="auto"/>
        <w:ind w:firstLine="480" w:firstLineChars="200"/>
        <w:rPr>
          <w:rFonts w:hint="default"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6CBD87D4">
      <w:pPr>
        <w:pStyle w:val="15"/>
        <w:tabs>
          <w:tab w:val="left" w:pos="2472"/>
        </w:tabs>
        <w:spacing w:line="360" w:lineRule="auto"/>
        <w:ind w:firstLine="480" w:firstLineChars="200"/>
        <w:rPr>
          <w:rFonts w:hint="default"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（3）投标（响应）报价低于采购项目最高限价45%的，即投标（响应）报价&lt;采购项目最高限价×45%；</w:t>
      </w:r>
    </w:p>
    <w:p w14:paraId="159D92A0">
      <w:pPr>
        <w:pStyle w:val="15"/>
        <w:tabs>
          <w:tab w:val="left" w:pos="2472"/>
        </w:tabs>
        <w:spacing w:line="360" w:lineRule="auto"/>
        <w:ind w:firstLine="480" w:firstLineChars="200"/>
        <w:rPr>
          <w:rFonts w:hint="default"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（4）评审委员会基于专业判断，认为供应商报价过低，有可能影响产品质量或者不能诚信履约的其他情形。</w:t>
      </w:r>
    </w:p>
    <w:p w14:paraId="5983A497">
      <w:pPr>
        <w:pStyle w:val="15"/>
        <w:tabs>
          <w:tab w:val="left" w:pos="2472"/>
        </w:tabs>
        <w:spacing w:line="360" w:lineRule="auto"/>
        <w:ind w:firstLine="480" w:firstLineChars="200"/>
        <w:rPr>
          <w:rFonts w:hint="default"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相关法律法规对供应商报价有规定的，从其规定。</w:t>
      </w:r>
    </w:p>
    <w:p w14:paraId="72E3CECE">
      <w:pPr>
        <w:pStyle w:val="15"/>
        <w:tabs>
          <w:tab w:val="left" w:pos="2472"/>
        </w:tabs>
        <w:spacing w:line="360" w:lineRule="auto"/>
        <w:ind w:firstLine="480" w:firstLineChars="200"/>
        <w:rPr>
          <w:rFonts w:hint="default"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3.5.2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0514287">
      <w:pPr>
        <w:pStyle w:val="15"/>
        <w:tabs>
          <w:tab w:val="left" w:pos="2472"/>
        </w:tabs>
        <w:spacing w:line="360" w:lineRule="auto"/>
        <w:ind w:firstLine="480" w:firstLineChars="200"/>
        <w:rPr>
          <w:rFonts w:hint="default"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480D023">
      <w:pPr>
        <w:pStyle w:val="15"/>
        <w:tabs>
          <w:tab w:val="left" w:pos="2472"/>
        </w:tabs>
        <w:spacing w:line="360" w:lineRule="auto"/>
        <w:ind w:firstLine="480" w:firstLineChars="200"/>
        <w:rPr>
          <w:rFonts w:hint="default"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4CEC3EB">
      <w:pPr>
        <w:pStyle w:val="15"/>
        <w:tabs>
          <w:tab w:val="left" w:pos="2472"/>
        </w:tabs>
        <w:spacing w:line="360" w:lineRule="auto"/>
        <w:ind w:firstLine="480" w:firstLineChars="200"/>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486FC3A5">
      <w:pPr>
        <w:spacing w:line="460" w:lineRule="exact"/>
        <w:ind w:firstLine="482" w:firstLineChars="200"/>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3.6</w:t>
      </w:r>
      <w:r>
        <w:rPr>
          <w:rFonts w:hint="default" w:asciiTheme="minorEastAsia" w:hAnsiTheme="minorEastAsia" w:eastAsiaTheme="minorEastAsia" w:cstheme="minorEastAsia"/>
          <w:b/>
          <w:bCs/>
          <w:color w:val="auto"/>
          <w:sz w:val="24"/>
          <w:szCs w:val="24"/>
          <w:highlight w:val="none"/>
          <w:lang w:val="en-US" w:eastAsia="zh-CN"/>
        </w:rPr>
        <w:t>提供相同品牌产品的投标人推荐资格认定</w:t>
      </w:r>
    </w:p>
    <w:p w14:paraId="6623D3F7">
      <w:pPr>
        <w:pStyle w:val="15"/>
        <w:tabs>
          <w:tab w:val="left" w:pos="2472"/>
        </w:tabs>
        <w:spacing w:line="360" w:lineRule="auto"/>
        <w:ind w:firstLine="480" w:firstLineChars="200"/>
        <w:rPr>
          <w:rFonts w:hint="default"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3.6</w:t>
      </w:r>
      <w:r>
        <w:rPr>
          <w:rFonts w:hint="default" w:asciiTheme="minorEastAsia" w:hAnsiTheme="minorEastAsia" w:eastAsiaTheme="minorEastAsia" w:cstheme="minorEastAsia"/>
          <w:bCs/>
          <w:color w:val="auto"/>
          <w:sz w:val="24"/>
          <w:szCs w:val="24"/>
          <w:highlight w:val="none"/>
          <w:lang w:val="en-US" w:eastAsia="zh-CN"/>
        </w:rPr>
        <w:t>.1提供相同品牌产品且通过资格审查、符合性审查的不同投标人参加同一合同项下投标的，按一家投标人计算，评审后得分最高的同品牌投标人获得中标人推荐资格；评审得分相同的，评标委员会将依次按技术部分得分高优先、价格部分得分高优先、商务部分得分高优先的顺序确定；所有得分均相等的，主要技术指标高优先、质保期长优先、合同履行期限短优先、故障到达时间短优先的顺序确定一个投标人获得中标人推荐资格，其他同品牌投标人不作为中标候选人。</w:t>
      </w:r>
    </w:p>
    <w:p w14:paraId="2EA2D75F">
      <w:pPr>
        <w:pStyle w:val="15"/>
        <w:tabs>
          <w:tab w:val="left" w:pos="2472"/>
        </w:tabs>
        <w:spacing w:line="360" w:lineRule="auto"/>
        <w:ind w:firstLine="480" w:firstLineChars="200"/>
        <w:rPr>
          <w:rFonts w:hint="default"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3.6.2</w:t>
      </w:r>
      <w:r>
        <w:rPr>
          <w:rFonts w:hint="default" w:asciiTheme="minorEastAsia" w:hAnsiTheme="minorEastAsia" w:eastAsiaTheme="minorEastAsia" w:cstheme="minorEastAsia"/>
          <w:bCs/>
          <w:color w:val="auto"/>
          <w:sz w:val="24"/>
          <w:szCs w:val="24"/>
          <w:highlight w:val="none"/>
          <w:lang w:val="en-US" w:eastAsia="zh-CN"/>
        </w:rPr>
        <w:t>非单一产品采购项目，由采购人根据采购项目技术构成、产品价格比重等合理确定核心产品，并在招标文件中载明。多家投标人提供的核心产品品牌相同的，按前款规定处理。</w:t>
      </w:r>
    </w:p>
    <w:p w14:paraId="149D410F">
      <w:pPr>
        <w:spacing w:line="460" w:lineRule="exact"/>
        <w:ind w:firstLine="482" w:firstLineChars="200"/>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w:t>
      </w:r>
      <w:r>
        <w:rPr>
          <w:rFonts w:hint="eastAsia" w:asciiTheme="minorEastAsia" w:hAnsiTheme="minorEastAsia" w:eastAsiaTheme="minorEastAsia" w:cstheme="minorEastAsia"/>
          <w:b/>
          <w:bCs/>
          <w:color w:val="auto"/>
          <w:sz w:val="24"/>
          <w:szCs w:val="24"/>
          <w:highlight w:val="none"/>
          <w:lang w:val="en-US" w:eastAsia="zh-CN"/>
        </w:rPr>
        <w:t>7</w:t>
      </w:r>
      <w:r>
        <w:rPr>
          <w:rFonts w:hint="eastAsia" w:asciiTheme="minorEastAsia" w:hAnsiTheme="minorEastAsia" w:eastAsiaTheme="minorEastAsia" w:cstheme="minorEastAsia"/>
          <w:b/>
          <w:bCs/>
          <w:color w:val="auto"/>
          <w:sz w:val="24"/>
          <w:szCs w:val="24"/>
          <w:highlight w:val="none"/>
        </w:rPr>
        <w:t>磋商结果</w:t>
      </w:r>
    </w:p>
    <w:p w14:paraId="349FC5B4">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w:t>
      </w:r>
      <w:r>
        <w:rPr>
          <w:rFonts w:hint="eastAsia" w:asciiTheme="minorEastAsia" w:hAnsiTheme="minorEastAsia" w:eastAsiaTheme="minorEastAsia" w:cstheme="minorEastAsia"/>
          <w:bCs/>
          <w:color w:val="auto"/>
          <w:sz w:val="24"/>
          <w:szCs w:val="24"/>
          <w:highlight w:val="none"/>
          <w:lang w:val="en-US" w:eastAsia="zh-CN"/>
        </w:rPr>
        <w:t>7</w:t>
      </w:r>
      <w:r>
        <w:rPr>
          <w:rFonts w:hint="eastAsia" w:asciiTheme="minorEastAsia" w:hAnsiTheme="minorEastAsia" w:eastAsiaTheme="minorEastAsia" w:cstheme="minorEastAsia"/>
          <w:bCs/>
          <w:color w:val="auto"/>
          <w:sz w:val="24"/>
          <w:szCs w:val="24"/>
          <w:highlight w:val="none"/>
        </w:rPr>
        <w:t>.1竞争性磋商小组按最终得分由高到低顺序推荐3名成交候选供应商，并提出书面评审报告。</w:t>
      </w:r>
    </w:p>
    <w:p w14:paraId="185A2445">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w:t>
      </w:r>
      <w:r>
        <w:rPr>
          <w:rFonts w:hint="eastAsia" w:asciiTheme="minorEastAsia" w:hAnsiTheme="minorEastAsia" w:eastAsiaTheme="minorEastAsia" w:cstheme="minorEastAsia"/>
          <w:bCs/>
          <w:color w:val="auto"/>
          <w:sz w:val="24"/>
          <w:szCs w:val="24"/>
          <w:highlight w:val="none"/>
          <w:lang w:val="en-US" w:eastAsia="zh-CN"/>
        </w:rPr>
        <w:t>7</w:t>
      </w:r>
      <w:r>
        <w:rPr>
          <w:rFonts w:hint="eastAsia" w:asciiTheme="minorEastAsia" w:hAnsiTheme="minorEastAsia" w:eastAsiaTheme="minorEastAsia" w:cstheme="minorEastAsia"/>
          <w:bCs/>
          <w:color w:val="auto"/>
          <w:sz w:val="24"/>
          <w:szCs w:val="24"/>
          <w:highlight w:val="none"/>
        </w:rPr>
        <w:t>.2 采购人根据竞争性磋商小组提出的书面评审报告和推荐的成交候选供应商名单顺序确定1名成交供应商。</w:t>
      </w:r>
    </w:p>
    <w:p w14:paraId="15DE5427">
      <w:pPr>
        <w:pStyle w:val="15"/>
        <w:tabs>
          <w:tab w:val="left" w:pos="2472"/>
        </w:tabs>
        <w:spacing w:line="360" w:lineRule="auto"/>
        <w:ind w:firstLine="480" w:firstLineChars="200"/>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w:t>
      </w:r>
      <w:r>
        <w:rPr>
          <w:rFonts w:hint="eastAsia" w:asciiTheme="minorEastAsia" w:hAnsiTheme="minorEastAsia" w:eastAsiaTheme="minorEastAsia" w:cstheme="minorEastAsia"/>
          <w:bCs/>
          <w:color w:val="auto"/>
          <w:sz w:val="24"/>
          <w:szCs w:val="24"/>
          <w:highlight w:val="none"/>
          <w:lang w:val="en-US" w:eastAsia="zh-CN"/>
        </w:rPr>
        <w:t>7</w:t>
      </w:r>
      <w:r>
        <w:rPr>
          <w:rFonts w:hint="eastAsia" w:asciiTheme="minorEastAsia" w:hAnsiTheme="minorEastAsia" w:eastAsiaTheme="minorEastAsia" w:cstheme="minorEastAsia"/>
          <w:bCs/>
          <w:color w:val="auto"/>
          <w:sz w:val="24"/>
          <w:szCs w:val="24"/>
          <w:highlight w:val="none"/>
        </w:rPr>
        <w:t>.3竞争性磋商小组发现竞争性磋商文件存在歧义、重大缺陷导致评审工作无法进行，或者竞争性磋商文件内容违反国家有关规定的，要停止评审工作并向采购人或采购代理机构书面说明情况，采购人或采购代理机构应当修改竞争性磋商文件后重新组织采购活动；发现供应商提供虚假材料、串通等违法违规行为的，要及时向采购人或采购代理机构报告。</w:t>
      </w:r>
    </w:p>
    <w:bookmarkEnd w:id="357"/>
    <w:bookmarkEnd w:id="358"/>
    <w:p w14:paraId="14FAF6ED">
      <w:pPr>
        <w:tabs>
          <w:tab w:val="left" w:pos="1665"/>
        </w:tabs>
        <w:spacing w:line="400" w:lineRule="exact"/>
        <w:rPr>
          <w:rFonts w:asciiTheme="minorEastAsia" w:hAnsiTheme="minorEastAsia" w:eastAsiaTheme="minorEastAsia" w:cstheme="minorEastAsia"/>
          <w:color w:val="auto"/>
          <w:highlight w:val="none"/>
        </w:rPr>
        <w:sectPr>
          <w:pgSz w:w="11906" w:h="16838"/>
          <w:pgMar w:top="1417" w:right="1417" w:bottom="1417" w:left="1417" w:header="850" w:footer="850" w:gutter="0"/>
          <w:pgNumType w:fmt="numberInDash"/>
          <w:cols w:space="0" w:num="1"/>
          <w:rtlGutter w:val="0"/>
          <w:docGrid w:type="lines" w:linePitch="312" w:charSpace="0"/>
        </w:sectPr>
      </w:pPr>
    </w:p>
    <w:p w14:paraId="486BA701">
      <w:pPr>
        <w:pStyle w:val="15"/>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Theme="minorEastAsia" w:hAnsiTheme="minorEastAsia" w:eastAsiaTheme="minorEastAsia" w:cstheme="minorEastAsia"/>
          <w:color w:val="auto"/>
          <w:sz w:val="36"/>
          <w:szCs w:val="36"/>
          <w:highlight w:val="none"/>
        </w:rPr>
      </w:pPr>
      <w:bookmarkStart w:id="974" w:name="_Toc37274860"/>
      <w:bookmarkStart w:id="975" w:name="_Toc80867979"/>
      <w:bookmarkStart w:id="976" w:name="_Toc660"/>
      <w:bookmarkStart w:id="977" w:name="_Toc25031"/>
      <w:r>
        <w:rPr>
          <w:rFonts w:hint="eastAsia" w:asciiTheme="minorEastAsia" w:hAnsiTheme="minorEastAsia" w:eastAsiaTheme="minorEastAsia" w:cstheme="minorEastAsia"/>
          <w:b/>
          <w:bCs/>
          <w:snapToGrid w:val="0"/>
          <w:color w:val="auto"/>
          <w:kern w:val="21"/>
          <w:sz w:val="36"/>
          <w:szCs w:val="36"/>
          <w:highlight w:val="none"/>
          <w:lang w:val="en-US" w:eastAsia="zh-CN" w:bidi="ar-SA"/>
        </w:rPr>
        <w:t>竞争性磋商最后报价表</w:t>
      </w:r>
      <w:bookmarkEnd w:id="974"/>
      <w:bookmarkEnd w:id="975"/>
      <w:r>
        <w:rPr>
          <w:rFonts w:hint="eastAsia" w:asciiTheme="minorEastAsia" w:hAnsiTheme="minorEastAsia" w:eastAsiaTheme="minorEastAsia" w:cstheme="minorEastAsia"/>
          <w:b/>
          <w:bCs/>
          <w:snapToGrid w:val="0"/>
          <w:color w:val="auto"/>
          <w:kern w:val="21"/>
          <w:sz w:val="36"/>
          <w:szCs w:val="36"/>
          <w:highlight w:val="none"/>
          <w:lang w:val="en-US" w:eastAsia="zh-CN" w:bidi="ar-SA"/>
        </w:rPr>
        <w:t>及承诺书</w:t>
      </w:r>
      <w:bookmarkEnd w:id="976"/>
      <w:bookmarkEnd w:id="977"/>
    </w:p>
    <w:tbl>
      <w:tblPr>
        <w:tblStyle w:val="27"/>
        <w:tblW w:w="9206" w:type="dxa"/>
        <w:tblInd w:w="11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52"/>
        <w:gridCol w:w="7654"/>
      </w:tblGrid>
      <w:tr w14:paraId="58BF37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1" w:hRule="exact"/>
        </w:trPr>
        <w:tc>
          <w:tcPr>
            <w:tcW w:w="9206" w:type="dxa"/>
            <w:gridSpan w:val="2"/>
            <w:tcBorders>
              <w:tl2br w:val="nil"/>
              <w:tr2bl w:val="nil"/>
            </w:tcBorders>
            <w:noWrap w:val="0"/>
            <w:vAlign w:val="center"/>
          </w:tcPr>
          <w:p w14:paraId="0BBBF2DE">
            <w:pPr>
              <w:keepNext w:val="0"/>
              <w:keepLines w:val="0"/>
              <w:suppressLineNumbers w:val="0"/>
              <w:spacing w:before="0" w:beforeAutospacing="0" w:after="0" w:afterAutospacing="0" w:line="400" w:lineRule="exact"/>
              <w:ind w:left="0" w:right="0"/>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rPr>
              <w:t>项目名称：</w:t>
            </w:r>
            <w:r>
              <w:rPr>
                <w:rFonts w:hint="eastAsia" w:asciiTheme="minorEastAsia" w:hAnsiTheme="minorEastAsia" w:eastAsiaTheme="minorEastAsia" w:cstheme="minorEastAsia"/>
                <w:b w:val="0"/>
                <w:bCs/>
                <w:color w:val="auto"/>
                <w:sz w:val="24"/>
                <w:szCs w:val="24"/>
                <w:highlight w:val="none"/>
                <w:lang w:val="en-US" w:eastAsia="zh-CN"/>
              </w:rPr>
              <w:t xml:space="preserve">  </w:t>
            </w:r>
          </w:p>
        </w:tc>
      </w:tr>
      <w:tr w14:paraId="1B1231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6" w:hRule="exact"/>
        </w:trPr>
        <w:tc>
          <w:tcPr>
            <w:tcW w:w="9206" w:type="dxa"/>
            <w:gridSpan w:val="2"/>
            <w:tcBorders>
              <w:tl2br w:val="nil"/>
              <w:tr2bl w:val="nil"/>
            </w:tcBorders>
            <w:noWrap w:val="0"/>
            <w:vAlign w:val="center"/>
          </w:tcPr>
          <w:p w14:paraId="43BF2F07">
            <w:pPr>
              <w:keepNext w:val="0"/>
              <w:keepLines w:val="0"/>
              <w:suppressLineNumbers w:val="0"/>
              <w:spacing w:before="0" w:beforeAutospacing="0" w:after="0" w:afterAutospacing="0" w:line="400" w:lineRule="exact"/>
              <w:ind w:left="0" w:right="0"/>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rPr>
              <w:t>项目编号：</w:t>
            </w:r>
            <w:r>
              <w:rPr>
                <w:rFonts w:hint="eastAsia" w:asciiTheme="minorEastAsia" w:hAnsiTheme="minorEastAsia" w:eastAsiaTheme="minorEastAsia" w:cstheme="minorEastAsia"/>
                <w:b w:val="0"/>
                <w:bCs/>
                <w:color w:val="auto"/>
                <w:sz w:val="24"/>
                <w:szCs w:val="24"/>
                <w:highlight w:val="none"/>
                <w:lang w:val="en-US" w:eastAsia="zh-CN"/>
              </w:rPr>
              <w:t xml:space="preserve"> </w:t>
            </w:r>
          </w:p>
        </w:tc>
      </w:tr>
      <w:tr w14:paraId="087675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60" w:hRule="atLeast"/>
        </w:trPr>
        <w:tc>
          <w:tcPr>
            <w:tcW w:w="9206" w:type="dxa"/>
            <w:gridSpan w:val="2"/>
            <w:tcBorders>
              <w:tl2br w:val="nil"/>
              <w:tr2bl w:val="nil"/>
            </w:tcBorders>
            <w:noWrap w:val="0"/>
            <w:vAlign w:val="top"/>
          </w:tcPr>
          <w:p w14:paraId="087E9E50">
            <w:pPr>
              <w:keepNext w:val="0"/>
              <w:keepLines w:val="0"/>
              <w:suppressLineNumbers w:val="0"/>
              <w:tabs>
                <w:tab w:val="left" w:pos="720"/>
                <w:tab w:val="left" w:pos="8295"/>
              </w:tabs>
              <w:autoSpaceDE w:val="0"/>
              <w:autoSpaceDN w:val="0"/>
              <w:adjustRightInd w:val="0"/>
              <w:spacing w:before="0" w:beforeAutospacing="0" w:after="0" w:afterAutospacing="0" w:line="360" w:lineRule="auto"/>
              <w:ind w:left="0" w:right="338" w:rightChars="161"/>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承诺内容：</w:t>
            </w:r>
          </w:p>
        </w:tc>
      </w:tr>
      <w:tr w14:paraId="1CE021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75" w:hRule="exact"/>
        </w:trPr>
        <w:tc>
          <w:tcPr>
            <w:tcW w:w="1552" w:type="dxa"/>
            <w:tcBorders>
              <w:tl2br w:val="nil"/>
              <w:tr2bl w:val="nil"/>
            </w:tcBorders>
            <w:noWrap w:val="0"/>
            <w:vAlign w:val="center"/>
          </w:tcPr>
          <w:p w14:paraId="3B37B70F">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zh-CN"/>
              </w:rPr>
              <w:t>最后总报价</w:t>
            </w:r>
          </w:p>
        </w:tc>
        <w:tc>
          <w:tcPr>
            <w:tcW w:w="7654" w:type="dxa"/>
            <w:tcBorders>
              <w:tl2br w:val="nil"/>
              <w:tr2bl w:val="nil"/>
            </w:tcBorders>
            <w:noWrap w:val="0"/>
            <w:vAlign w:val="center"/>
          </w:tcPr>
          <w:p w14:paraId="5656D579">
            <w:pPr>
              <w:spacing w:line="460" w:lineRule="exact"/>
              <w:rPr>
                <w:rFonts w:hint="default"/>
                <w:b w:val="0"/>
                <w:bCs/>
                <w:color w:val="auto"/>
                <w:highlight w:val="none"/>
                <w:lang w:val="en-US" w:eastAsia="zh-CN"/>
              </w:rPr>
            </w:pPr>
            <w:r>
              <w:rPr>
                <w:rFonts w:hint="eastAsia" w:asciiTheme="minorEastAsia" w:hAnsiTheme="minorEastAsia" w:eastAsiaTheme="minorEastAsia" w:cstheme="minorEastAsia"/>
                <w:b w:val="0"/>
                <w:bCs/>
                <w:color w:val="auto"/>
                <w:sz w:val="24"/>
                <w:szCs w:val="24"/>
                <w:highlight w:val="none"/>
                <w:lang w:eastAsia="zh-CN"/>
              </w:rPr>
              <w:t>优惠下浮</w:t>
            </w:r>
            <w:r>
              <w:rPr>
                <w:rFonts w:hint="eastAsia" w:asciiTheme="minorEastAsia" w:hAnsiTheme="minorEastAsia" w:eastAsiaTheme="minorEastAsia" w:cstheme="minorEastAsia"/>
                <w:b w:val="0"/>
                <w:bCs/>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lang w:val="en-US" w:eastAsia="zh-CN"/>
              </w:rPr>
              <w:t>清单各项报价均同比例下浮，且清单总价与最终总报价金额相同</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u w:val="single"/>
                <w:lang w:val="en-US" w:eastAsia="zh-CN"/>
              </w:rPr>
              <w:t xml:space="preserve">         元（大写：          ）</w:t>
            </w:r>
          </w:p>
        </w:tc>
      </w:tr>
      <w:tr w14:paraId="26A948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6" w:hRule="exact"/>
        </w:trPr>
        <w:tc>
          <w:tcPr>
            <w:tcW w:w="1552" w:type="dxa"/>
            <w:tcBorders>
              <w:tl2br w:val="nil"/>
              <w:tr2bl w:val="nil"/>
            </w:tcBorders>
            <w:noWrap w:val="0"/>
            <w:vAlign w:val="center"/>
          </w:tcPr>
          <w:p w14:paraId="2B08FF38">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val="0"/>
                <w:bCs/>
                <w:color w:val="auto"/>
                <w:sz w:val="24"/>
                <w:szCs w:val="24"/>
                <w:highlight w:val="none"/>
                <w:lang w:val="zh-CN"/>
              </w:rPr>
            </w:pPr>
            <w:r>
              <w:rPr>
                <w:rFonts w:hint="eastAsia" w:asciiTheme="minorEastAsia" w:hAnsiTheme="minorEastAsia" w:eastAsiaTheme="minorEastAsia" w:cstheme="minorEastAsia"/>
                <w:b w:val="0"/>
                <w:bCs/>
                <w:color w:val="auto"/>
                <w:sz w:val="24"/>
                <w:szCs w:val="24"/>
                <w:highlight w:val="none"/>
              </w:rPr>
              <w:t>工期承诺</w:t>
            </w:r>
          </w:p>
        </w:tc>
        <w:tc>
          <w:tcPr>
            <w:tcW w:w="7654" w:type="dxa"/>
            <w:tcBorders>
              <w:tl2br w:val="nil"/>
              <w:tr2bl w:val="nil"/>
            </w:tcBorders>
            <w:noWrap w:val="0"/>
            <w:vAlign w:val="center"/>
          </w:tcPr>
          <w:p w14:paraId="3B55EC70">
            <w:pPr>
              <w:keepNext w:val="0"/>
              <w:keepLines w:val="0"/>
              <w:suppressLineNumbers w:val="0"/>
              <w:spacing w:before="50" w:beforeAutospacing="0" w:after="50" w:afterAutospacing="0"/>
              <w:ind w:left="0" w:right="0"/>
              <w:rPr>
                <w:rFonts w:hint="eastAsia" w:asciiTheme="minorEastAsia" w:hAnsiTheme="minorEastAsia" w:eastAsiaTheme="minorEastAsia" w:cstheme="minorEastAsia"/>
                <w:b w:val="0"/>
                <w:bCs/>
                <w:color w:val="auto"/>
                <w:sz w:val="24"/>
                <w:szCs w:val="24"/>
                <w:highlight w:val="none"/>
              </w:rPr>
            </w:pPr>
          </w:p>
        </w:tc>
      </w:tr>
      <w:tr w14:paraId="57869F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6" w:hRule="exact"/>
        </w:trPr>
        <w:tc>
          <w:tcPr>
            <w:tcW w:w="1552" w:type="dxa"/>
            <w:tcBorders>
              <w:tl2br w:val="nil"/>
              <w:tr2bl w:val="nil"/>
            </w:tcBorders>
            <w:noWrap w:val="0"/>
            <w:vAlign w:val="center"/>
          </w:tcPr>
          <w:p w14:paraId="574926C7">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质量承诺</w:t>
            </w:r>
          </w:p>
        </w:tc>
        <w:tc>
          <w:tcPr>
            <w:tcW w:w="7654" w:type="dxa"/>
            <w:tcBorders>
              <w:tl2br w:val="nil"/>
              <w:tr2bl w:val="nil"/>
            </w:tcBorders>
            <w:noWrap w:val="0"/>
            <w:vAlign w:val="center"/>
          </w:tcPr>
          <w:p w14:paraId="2CFB6AC3">
            <w:pPr>
              <w:keepNext w:val="0"/>
              <w:keepLines w:val="0"/>
              <w:suppressLineNumbers w:val="0"/>
              <w:spacing w:before="50" w:beforeAutospacing="0" w:after="50" w:afterAutospacing="0"/>
              <w:ind w:left="0" w:right="0"/>
              <w:rPr>
                <w:rFonts w:hint="eastAsia" w:asciiTheme="minorEastAsia" w:hAnsiTheme="minorEastAsia" w:eastAsiaTheme="minorEastAsia" w:cstheme="minorEastAsia"/>
                <w:b w:val="0"/>
                <w:bCs/>
                <w:color w:val="auto"/>
                <w:sz w:val="24"/>
                <w:szCs w:val="24"/>
                <w:highlight w:val="none"/>
              </w:rPr>
            </w:pPr>
          </w:p>
        </w:tc>
      </w:tr>
      <w:tr w14:paraId="61272F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999" w:hRule="exact"/>
        </w:trPr>
        <w:tc>
          <w:tcPr>
            <w:tcW w:w="9206" w:type="dxa"/>
            <w:gridSpan w:val="2"/>
            <w:tcBorders>
              <w:tl2br w:val="nil"/>
              <w:tr2bl w:val="nil"/>
            </w:tcBorders>
            <w:noWrap w:val="0"/>
            <w:vAlign w:val="bottom"/>
          </w:tcPr>
          <w:p w14:paraId="341025CC">
            <w:pPr>
              <w:pStyle w:val="15"/>
              <w:keepNext w:val="0"/>
              <w:keepLines w:val="0"/>
              <w:suppressLineNumbers w:val="0"/>
              <w:spacing w:before="240" w:beforeLines="100" w:beforeAutospacing="0" w:after="0" w:afterAutospacing="0" w:line="276" w:lineRule="auto"/>
              <w:ind w:left="0" w:right="0"/>
              <w:jc w:val="both"/>
              <w:rPr>
                <w:rFonts w:hint="eastAsia" w:asciiTheme="minorEastAsia" w:hAnsiTheme="minorEastAsia" w:eastAsiaTheme="minorEastAsia" w:cstheme="minorEastAsia"/>
                <w:b w:val="0"/>
                <w:bCs/>
                <w:color w:val="auto"/>
                <w:sz w:val="24"/>
                <w:szCs w:val="24"/>
                <w:highlight w:val="none"/>
                <w:u w:val="single"/>
              </w:rPr>
            </w:pPr>
            <w:r>
              <w:rPr>
                <w:rFonts w:hint="eastAsia" w:asciiTheme="minorEastAsia" w:hAnsiTheme="minorEastAsia" w:eastAsiaTheme="minorEastAsia" w:cstheme="minorEastAsia"/>
                <w:b w:val="0"/>
                <w:bCs/>
                <w:color w:val="auto"/>
                <w:sz w:val="24"/>
                <w:szCs w:val="24"/>
                <w:highlight w:val="none"/>
              </w:rPr>
              <w:t>供应商（</w:t>
            </w:r>
            <w:r>
              <w:rPr>
                <w:rFonts w:hint="eastAsia" w:asciiTheme="minorEastAsia" w:hAnsiTheme="minorEastAsia" w:eastAsiaTheme="minorEastAsia" w:cstheme="minorEastAsia"/>
                <w:b w:val="0"/>
                <w:bCs/>
                <w:color w:val="auto"/>
                <w:sz w:val="24"/>
                <w:szCs w:val="24"/>
                <w:highlight w:val="none"/>
                <w:lang w:eastAsia="zh-CN"/>
              </w:rPr>
              <w:t>盖章</w:t>
            </w:r>
            <w:r>
              <w:rPr>
                <w:rFonts w:hint="eastAsia" w:asciiTheme="minorEastAsia" w:hAnsiTheme="minorEastAsia" w:eastAsiaTheme="minorEastAsia" w:cstheme="minorEastAsia"/>
                <w:b w:val="0"/>
                <w:bCs/>
                <w:color w:val="auto"/>
                <w:sz w:val="24"/>
                <w:szCs w:val="24"/>
                <w:highlight w:val="none"/>
              </w:rPr>
              <w:t>）：</w:t>
            </w:r>
          </w:p>
          <w:p w14:paraId="3ED11ADA">
            <w:pPr>
              <w:pStyle w:val="15"/>
              <w:keepNext w:val="0"/>
              <w:keepLines w:val="0"/>
              <w:suppressLineNumbers w:val="0"/>
              <w:spacing w:before="240" w:beforeLines="100" w:beforeAutospacing="0" w:after="0" w:afterAutospacing="0" w:line="276" w:lineRule="auto"/>
              <w:ind w:left="0" w:right="0"/>
              <w:jc w:val="both"/>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法定代表人或其委托代理人（签名或签章）：</w:t>
            </w:r>
          </w:p>
          <w:p w14:paraId="4ABADD23">
            <w:pPr>
              <w:keepNext w:val="0"/>
              <w:keepLines w:val="0"/>
              <w:suppressLineNumbers w:val="0"/>
              <w:spacing w:before="240" w:beforeLines="100" w:beforeAutospacing="0" w:after="0" w:afterAutospacing="0" w:line="276" w:lineRule="auto"/>
              <w:ind w:left="0" w:right="0"/>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日 期：</w:t>
            </w:r>
          </w:p>
        </w:tc>
      </w:tr>
    </w:tbl>
    <w:p w14:paraId="28E96B64">
      <w:pPr>
        <w:rPr>
          <w:rFonts w:hint="eastAsia" w:asciiTheme="minorEastAsia" w:hAnsiTheme="minorEastAsia" w:eastAsiaTheme="minorEastAsia" w:cstheme="minorEastAsia"/>
          <w:b/>
          <w:iCs/>
          <w:color w:val="auto"/>
          <w:sz w:val="24"/>
          <w:szCs w:val="24"/>
          <w:highlight w:val="none"/>
        </w:rPr>
      </w:pPr>
    </w:p>
    <w:p w14:paraId="69A5FCF0">
      <w:pPr>
        <w:rPr>
          <w:rFonts w:hint="eastAsia" w:asciiTheme="minorEastAsia" w:hAnsiTheme="minorEastAsia" w:eastAsiaTheme="minorEastAsia" w:cstheme="minorEastAsia"/>
          <w:b/>
          <w:iCs/>
          <w:color w:val="auto"/>
          <w:sz w:val="24"/>
          <w:szCs w:val="24"/>
          <w:highlight w:val="none"/>
        </w:rPr>
      </w:pPr>
    </w:p>
    <w:p w14:paraId="25431637">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iCs/>
          <w:color w:val="auto"/>
          <w:sz w:val="24"/>
          <w:szCs w:val="24"/>
          <w:highlight w:val="none"/>
        </w:rPr>
        <w:t>注：</w:t>
      </w:r>
      <w:r>
        <w:rPr>
          <w:rFonts w:hint="eastAsia" w:asciiTheme="minorEastAsia" w:hAnsiTheme="minorEastAsia" w:eastAsiaTheme="minorEastAsia" w:cstheme="minorEastAsia"/>
          <w:b/>
          <w:bCs/>
          <w:color w:val="auto"/>
          <w:sz w:val="24"/>
          <w:szCs w:val="24"/>
          <w:highlight w:val="none"/>
        </w:rPr>
        <w:t>此表不需放入响应文件中，供应商在政府采购云平台提交最后报价时使用</w:t>
      </w:r>
      <w:r>
        <w:rPr>
          <w:rFonts w:hint="eastAsia" w:asciiTheme="minorEastAsia" w:hAnsiTheme="minorEastAsia" w:eastAsiaTheme="minorEastAsia" w:cstheme="minorEastAsia"/>
          <w:b/>
          <w:iCs/>
          <w:color w:val="auto"/>
          <w:sz w:val="24"/>
          <w:szCs w:val="24"/>
          <w:highlight w:val="none"/>
        </w:rPr>
        <w:t>。</w:t>
      </w:r>
    </w:p>
    <w:p w14:paraId="5EE9A940">
      <w:pPr>
        <w:spacing w:line="360" w:lineRule="auto"/>
        <w:rPr>
          <w:rFonts w:hint="eastAsia" w:ascii="仿宋" w:hAnsi="仿宋" w:eastAsia="仿宋" w:cs="仿宋"/>
          <w:color w:val="auto"/>
          <w:sz w:val="32"/>
          <w:szCs w:val="32"/>
          <w:highlight w:val="none"/>
        </w:rPr>
      </w:pPr>
    </w:p>
    <w:p w14:paraId="333053FE">
      <w:pPr>
        <w:tabs>
          <w:tab w:val="left" w:pos="1665"/>
        </w:tabs>
        <w:spacing w:line="400" w:lineRule="exact"/>
        <w:rPr>
          <w:rFonts w:asciiTheme="minorEastAsia" w:hAnsiTheme="minorEastAsia" w:eastAsiaTheme="minorEastAsia" w:cstheme="minorEastAsia"/>
          <w:color w:val="auto"/>
          <w:highlight w:val="none"/>
        </w:rPr>
      </w:pPr>
    </w:p>
    <w:sectPr>
      <w:pgSz w:w="11906" w:h="16838"/>
      <w:pgMar w:top="1417" w:right="1417" w:bottom="1417" w:left="1417" w:header="850" w:footer="850"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8D50C6E-AB4D-4E0A-B62D-2CB47032DA2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2" w:fontKey="{E9E2ACAF-27FC-4C2A-BE77-0FD51D39BC8A}"/>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embedRegular r:id="rId3" w:fontKey="{65AFBA62-8C25-4C7B-B2AB-944CF0397E6C}"/>
  </w:font>
  <w:font w:name="MicrosoftYaHei">
    <w:altName w:val="Times New Roman"/>
    <w:panose1 w:val="00000000000000000000"/>
    <w:charset w:val="00"/>
    <w:family w:val="roman"/>
    <w:pitch w:val="default"/>
    <w:sig w:usb0="00000000" w:usb1="00000000" w:usb2="00000000" w:usb3="00000000" w:csb0="00000000" w:csb1="00000000"/>
  </w:font>
  <w:font w:name="TimesNewRomanPSMT">
    <w:altName w:val="Times New Roman"/>
    <w:panose1 w:val="00000000000000000000"/>
    <w:charset w:val="00"/>
    <w:family w:val="roman"/>
    <w:pitch w:val="default"/>
    <w:sig w:usb0="00000000" w:usb1="00000000" w:usb2="00000000" w:usb3="00000000" w:csb0="00000000" w:csb1="00000000"/>
  </w:font>
  <w:font w:name="MicrosoftYaHei-Bold">
    <w:altName w:val="Times New Roman"/>
    <w:panose1 w:val="00000000000000000000"/>
    <w:charset w:val="00"/>
    <w:family w:val="roman"/>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embedRegular r:id="rId4" w:fontKey="{A53A614D-A5E8-49CD-9601-ABACA8851ADE}"/>
  </w:font>
  <w:font w:name="方正小标宋_GBK">
    <w:panose1 w:val="02000000000000000000"/>
    <w:charset w:val="86"/>
    <w:family w:val="auto"/>
    <w:pitch w:val="default"/>
    <w:sig w:usb0="A00002BF" w:usb1="38CF7CFA" w:usb2="00082016" w:usb3="00000000" w:csb0="00040001" w:csb1="00000000"/>
    <w:embedRegular r:id="rId5" w:fontKey="{EF95486C-8713-4C59-9B57-4BE17977E12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096D4">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9F310E8">
                          <w:pPr>
                            <w:pStyle w:val="17"/>
                            <w:rPr>
                              <w:sz w:val="21"/>
                              <w:szCs w:val="22"/>
                            </w:rPr>
                          </w:pPr>
                          <w:r>
                            <w:rPr>
                              <w:sz w:val="21"/>
                              <w:szCs w:val="22"/>
                            </w:rPr>
                            <w:fldChar w:fldCharType="begin"/>
                          </w:r>
                          <w:r>
                            <w:rPr>
                              <w:sz w:val="21"/>
                              <w:szCs w:val="22"/>
                            </w:rPr>
                            <w:instrText xml:space="preserve"> PAGE  \* MERGEFORMAT </w:instrText>
                          </w:r>
                          <w:r>
                            <w:rPr>
                              <w:sz w:val="21"/>
                              <w:szCs w:val="22"/>
                            </w:rPr>
                            <w:fldChar w:fldCharType="separate"/>
                          </w:r>
                          <w:r>
                            <w:rPr>
                              <w:sz w:val="21"/>
                              <w:szCs w:val="22"/>
                            </w:rPr>
                            <w:t>- 1 -</w:t>
                          </w:r>
                          <w:r>
                            <w:rPr>
                              <w:sz w:val="21"/>
                              <w:szCs w:val="2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49F310E8">
                    <w:pPr>
                      <w:pStyle w:val="17"/>
                      <w:rPr>
                        <w:sz w:val="21"/>
                        <w:szCs w:val="22"/>
                      </w:rPr>
                    </w:pPr>
                    <w:r>
                      <w:rPr>
                        <w:sz w:val="21"/>
                        <w:szCs w:val="22"/>
                      </w:rPr>
                      <w:fldChar w:fldCharType="begin"/>
                    </w:r>
                    <w:r>
                      <w:rPr>
                        <w:sz w:val="21"/>
                        <w:szCs w:val="22"/>
                      </w:rPr>
                      <w:instrText xml:space="preserve"> PAGE  \* MERGEFORMAT </w:instrText>
                    </w:r>
                    <w:r>
                      <w:rPr>
                        <w:sz w:val="21"/>
                        <w:szCs w:val="22"/>
                      </w:rPr>
                      <w:fldChar w:fldCharType="separate"/>
                    </w:r>
                    <w:r>
                      <w:rPr>
                        <w:sz w:val="21"/>
                        <w:szCs w:val="22"/>
                      </w:rPr>
                      <w:t>- 1 -</w:t>
                    </w:r>
                    <w:r>
                      <w:rPr>
                        <w:sz w:val="21"/>
                        <w:szCs w:val="22"/>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AC520">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4D083">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D3E5631">
                          <w:pPr>
                            <w:pStyle w:val="17"/>
                          </w:pPr>
                          <w:r>
                            <w:fldChar w:fldCharType="begin"/>
                          </w:r>
                          <w:r>
                            <w:instrText xml:space="preserve"> PAGE  \* MERGEFORMAT </w:instrText>
                          </w:r>
                          <w:r>
                            <w:fldChar w:fldCharType="separate"/>
                          </w:r>
                          <w:r>
                            <w:t>- 3 -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0D3E5631">
                    <w:pPr>
                      <w:pStyle w:val="17"/>
                    </w:pPr>
                    <w:r>
                      <w:fldChar w:fldCharType="begin"/>
                    </w:r>
                    <w:r>
                      <w:instrText xml:space="preserve"> PAGE  \* MERGEFORMAT </w:instrText>
                    </w:r>
                    <w:r>
                      <w:fldChar w:fldCharType="separate"/>
                    </w:r>
                    <w:r>
                      <w:t>- 3 -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53DB2">
    <w:pPr>
      <w:pStyle w:val="1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891B4B">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67EAA1"/>
    <w:multiLevelType w:val="multilevel"/>
    <w:tmpl w:val="D167EAA1"/>
    <w:lvl w:ilvl="0" w:tentative="0">
      <w:start w:val="1"/>
      <w:numFmt w:val="japaneseCounting"/>
      <w:lvlText w:val="%1、"/>
      <w:lvlJc w:val="left"/>
      <w:pPr>
        <w:tabs>
          <w:tab w:val="left" w:pos="720"/>
        </w:tabs>
        <w:ind w:left="720" w:hanging="720"/>
      </w:pPr>
      <w:rPr>
        <w:rFonts w:hint="eastAsia"/>
      </w:rPr>
    </w:lvl>
    <w:lvl w:ilvl="1" w:tentative="0">
      <w:start w:val="1"/>
      <w:numFmt w:val="decimal"/>
      <w:pStyle w:val="4"/>
      <w:lvlText w:val="%2、"/>
      <w:lvlJc w:val="left"/>
      <w:pPr>
        <w:tabs>
          <w:tab w:val="left" w:pos="3690"/>
        </w:tabs>
        <w:ind w:left="3690" w:hanging="360"/>
      </w:pPr>
      <w:rPr>
        <w:rFonts w:hint="eastAsia"/>
      </w:rPr>
    </w:lvl>
    <w:lvl w:ilvl="2" w:tentative="0">
      <w:start w:val="1"/>
      <w:numFmt w:val="decimal"/>
      <w:pStyle w:val="2"/>
      <w:lvlText w:val="%3）"/>
      <w:lvlJc w:val="left"/>
      <w:pPr>
        <w:tabs>
          <w:tab w:val="left" w:pos="1200"/>
        </w:tabs>
        <w:ind w:left="1200" w:hanging="360"/>
      </w:pPr>
      <w:rPr>
        <w:rFonts w:hint="eastAsia"/>
      </w:rPr>
    </w:lvl>
    <w:lvl w:ilvl="3" w:tentative="0">
      <w:start w:val="1"/>
      <w:numFmt w:val="upperLetter"/>
      <w:pStyle w:val="3"/>
      <w:lvlText w:val="%4．"/>
      <w:lvlJc w:val="left"/>
      <w:pPr>
        <w:tabs>
          <w:tab w:val="left" w:pos="1665"/>
        </w:tabs>
        <w:ind w:left="1665" w:hanging="405"/>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0D"/>
    <w:multiLevelType w:val="multilevel"/>
    <w:tmpl w:val="0000000D"/>
    <w:lvl w:ilvl="0" w:tentative="0">
      <w:start w:val="1"/>
      <w:numFmt w:val="decimal"/>
      <w:lvlText w:val="%1."/>
      <w:lvlJc w:val="left"/>
      <w:pPr>
        <w:tabs>
          <w:tab w:val="left" w:pos="786"/>
        </w:tabs>
        <w:ind w:left="780" w:hanging="360"/>
      </w:pPr>
      <w:rPr>
        <w:rFonts w:hint="default" w:cs="Times New Roman"/>
      </w:rPr>
    </w:lvl>
    <w:lvl w:ilvl="1" w:tentative="0">
      <w:start w:val="1"/>
      <w:numFmt w:val="decimal"/>
      <w:isLgl/>
      <w:lvlText w:val="%1.%2"/>
      <w:lvlJc w:val="left"/>
      <w:pPr>
        <w:tabs>
          <w:tab w:val="left" w:pos="0"/>
        </w:tabs>
        <w:ind w:left="1335" w:hanging="915"/>
      </w:pPr>
      <w:rPr>
        <w:rFonts w:hint="default" w:cs="Times New Roman"/>
      </w:rPr>
    </w:lvl>
    <w:lvl w:ilvl="2" w:tentative="0">
      <w:start w:val="1"/>
      <w:numFmt w:val="decimal"/>
      <w:isLgl/>
      <w:lvlText w:val="%1.%2.%3"/>
      <w:lvlJc w:val="left"/>
      <w:pPr>
        <w:tabs>
          <w:tab w:val="left" w:pos="0"/>
        </w:tabs>
        <w:ind w:left="1613" w:hanging="915"/>
      </w:pPr>
      <w:rPr>
        <w:rFonts w:hint="default" w:cs="Times New Roman"/>
      </w:rPr>
    </w:lvl>
    <w:lvl w:ilvl="3" w:tentative="0">
      <w:start w:val="1"/>
      <w:numFmt w:val="decimal"/>
      <w:isLgl/>
      <w:lvlText w:val="%1.%2.%3.%4"/>
      <w:lvlJc w:val="left"/>
      <w:pPr>
        <w:tabs>
          <w:tab w:val="left" w:pos="0"/>
        </w:tabs>
        <w:ind w:left="1891" w:hanging="915"/>
      </w:pPr>
      <w:rPr>
        <w:rFonts w:hint="default" w:cs="Times New Roman"/>
      </w:rPr>
    </w:lvl>
    <w:lvl w:ilvl="4" w:tentative="0">
      <w:start w:val="1"/>
      <w:numFmt w:val="decimal"/>
      <w:isLgl/>
      <w:lvlText w:val="%1.%2.%3.%4.%5"/>
      <w:lvlJc w:val="left"/>
      <w:pPr>
        <w:tabs>
          <w:tab w:val="left" w:pos="0"/>
        </w:tabs>
        <w:ind w:left="2334" w:hanging="1080"/>
      </w:pPr>
      <w:rPr>
        <w:rFonts w:hint="default" w:cs="Times New Roman"/>
      </w:rPr>
    </w:lvl>
    <w:lvl w:ilvl="5" w:tentative="0">
      <w:start w:val="1"/>
      <w:numFmt w:val="decimal"/>
      <w:isLgl/>
      <w:lvlText w:val="%1.%2.%3.%4.%5.%6"/>
      <w:lvlJc w:val="left"/>
      <w:pPr>
        <w:tabs>
          <w:tab w:val="left" w:pos="0"/>
        </w:tabs>
        <w:ind w:left="2612" w:hanging="1080"/>
      </w:pPr>
      <w:rPr>
        <w:rFonts w:hint="default" w:cs="Times New Roman"/>
      </w:rPr>
    </w:lvl>
    <w:lvl w:ilvl="6" w:tentative="0">
      <w:start w:val="1"/>
      <w:numFmt w:val="decimal"/>
      <w:isLgl/>
      <w:lvlText w:val="%1.%2.%3.%4.%5.%6.%7"/>
      <w:lvlJc w:val="left"/>
      <w:pPr>
        <w:tabs>
          <w:tab w:val="left" w:pos="0"/>
        </w:tabs>
        <w:ind w:left="2890" w:hanging="1080"/>
      </w:pPr>
      <w:rPr>
        <w:rFonts w:hint="default" w:cs="Times New Roman"/>
      </w:rPr>
    </w:lvl>
    <w:lvl w:ilvl="7" w:tentative="0">
      <w:start w:val="1"/>
      <w:numFmt w:val="decimal"/>
      <w:isLgl/>
      <w:lvlText w:val="%1.%2.%3.%4.%5.%6.%7.%8"/>
      <w:lvlJc w:val="left"/>
      <w:pPr>
        <w:tabs>
          <w:tab w:val="left" w:pos="0"/>
        </w:tabs>
        <w:ind w:left="3528" w:hanging="1440"/>
      </w:pPr>
      <w:rPr>
        <w:rFonts w:hint="default" w:cs="Times New Roman"/>
      </w:rPr>
    </w:lvl>
    <w:lvl w:ilvl="8" w:tentative="0">
      <w:start w:val="1"/>
      <w:numFmt w:val="decimal"/>
      <w:isLgl/>
      <w:lvlText w:val="%1.%2.%3.%4.%5.%6.%7.%8.%9"/>
      <w:lvlJc w:val="left"/>
      <w:pPr>
        <w:tabs>
          <w:tab w:val="left" w:pos="0"/>
        </w:tabs>
        <w:ind w:left="3806" w:hanging="1440"/>
      </w:pPr>
      <w:rPr>
        <w:rFonts w:hint="default" w:cs="Times New Roman"/>
      </w:rPr>
    </w:lvl>
  </w:abstractNum>
  <w:abstractNum w:abstractNumId="2">
    <w:nsid w:val="0000000F"/>
    <w:multiLevelType w:val="singleLevel"/>
    <w:tmpl w:val="0000000F"/>
    <w:lvl w:ilvl="0" w:tentative="0">
      <w:start w:val="1"/>
      <w:numFmt w:val="chineseCounting"/>
      <w:suff w:val="space"/>
      <w:lvlText w:val="第%1章"/>
      <w:lvlJc w:val="left"/>
      <w:pPr>
        <w:tabs>
          <w:tab w:val="left" w:pos="0"/>
        </w:tabs>
        <w:ind w:left="0" w:firstLine="0"/>
      </w:pPr>
    </w:lvl>
  </w:abstractNum>
  <w:abstractNum w:abstractNumId="3">
    <w:nsid w:val="4B7817BB"/>
    <w:multiLevelType w:val="singleLevel"/>
    <w:tmpl w:val="4B7817BB"/>
    <w:lvl w:ilvl="0" w:tentative="0">
      <w:start w:val="1"/>
      <w:numFmt w:val="chineseCounting"/>
      <w:suff w:val="space"/>
      <w:lvlText w:val="第%1章"/>
      <w:lvlJc w:val="left"/>
      <w:rPr>
        <w:rFonts w:hint="eastAsia"/>
      </w:rPr>
    </w:lvl>
  </w:abstractNum>
  <w:abstractNum w:abstractNumId="4">
    <w:nsid w:val="79244BFD"/>
    <w:multiLevelType w:val="singleLevel"/>
    <w:tmpl w:val="79244BFD"/>
    <w:lvl w:ilvl="0" w:tentative="0">
      <w:start w:val="1"/>
      <w:numFmt w:val="decimal"/>
      <w:suff w:val="space"/>
      <w:lvlText w:val="%1."/>
      <w:lvlJc w:val="left"/>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RhZTAwZTU1M2Q2ZWQyNGY0YTFmNmUzOGY1MzM5MWQifQ=="/>
  </w:docVars>
  <w:rsids>
    <w:rsidRoot w:val="228110BF"/>
    <w:rsid w:val="00003B69"/>
    <w:rsid w:val="00073FD6"/>
    <w:rsid w:val="001049E4"/>
    <w:rsid w:val="001C298E"/>
    <w:rsid w:val="00321CF0"/>
    <w:rsid w:val="003C496F"/>
    <w:rsid w:val="003D6A42"/>
    <w:rsid w:val="00411EB6"/>
    <w:rsid w:val="00447556"/>
    <w:rsid w:val="00477098"/>
    <w:rsid w:val="00557A6D"/>
    <w:rsid w:val="006C4E17"/>
    <w:rsid w:val="006F3486"/>
    <w:rsid w:val="0071578E"/>
    <w:rsid w:val="00744214"/>
    <w:rsid w:val="00806419"/>
    <w:rsid w:val="008556B7"/>
    <w:rsid w:val="008A1ECE"/>
    <w:rsid w:val="008B5614"/>
    <w:rsid w:val="009A5223"/>
    <w:rsid w:val="00AB7082"/>
    <w:rsid w:val="00AD0C3C"/>
    <w:rsid w:val="00B1008B"/>
    <w:rsid w:val="00B118BD"/>
    <w:rsid w:val="00B37860"/>
    <w:rsid w:val="00C15499"/>
    <w:rsid w:val="00C77441"/>
    <w:rsid w:val="00CC3ACB"/>
    <w:rsid w:val="00D06903"/>
    <w:rsid w:val="00D23D12"/>
    <w:rsid w:val="00D71667"/>
    <w:rsid w:val="00E00235"/>
    <w:rsid w:val="00EF2F29"/>
    <w:rsid w:val="00EF4693"/>
    <w:rsid w:val="00F47EA7"/>
    <w:rsid w:val="01462C54"/>
    <w:rsid w:val="01A719FB"/>
    <w:rsid w:val="01D6466C"/>
    <w:rsid w:val="022A48AC"/>
    <w:rsid w:val="025F091A"/>
    <w:rsid w:val="026E6F9B"/>
    <w:rsid w:val="029A7D90"/>
    <w:rsid w:val="02DC7690"/>
    <w:rsid w:val="02E45BCC"/>
    <w:rsid w:val="02F70D3E"/>
    <w:rsid w:val="033244A1"/>
    <w:rsid w:val="036235C0"/>
    <w:rsid w:val="037C5B25"/>
    <w:rsid w:val="03A2522B"/>
    <w:rsid w:val="03F86B1C"/>
    <w:rsid w:val="03FB485E"/>
    <w:rsid w:val="04025BED"/>
    <w:rsid w:val="04213265"/>
    <w:rsid w:val="0457196F"/>
    <w:rsid w:val="04722D72"/>
    <w:rsid w:val="04BA2023"/>
    <w:rsid w:val="05082AEA"/>
    <w:rsid w:val="05262DDA"/>
    <w:rsid w:val="053B687B"/>
    <w:rsid w:val="05485881"/>
    <w:rsid w:val="05505BE6"/>
    <w:rsid w:val="055A7363"/>
    <w:rsid w:val="056D18B8"/>
    <w:rsid w:val="06067B43"/>
    <w:rsid w:val="064047AA"/>
    <w:rsid w:val="066F6E3E"/>
    <w:rsid w:val="06733EE7"/>
    <w:rsid w:val="06B45CBB"/>
    <w:rsid w:val="06C42348"/>
    <w:rsid w:val="075C4491"/>
    <w:rsid w:val="07740A8B"/>
    <w:rsid w:val="07C45D88"/>
    <w:rsid w:val="07D651F4"/>
    <w:rsid w:val="08032152"/>
    <w:rsid w:val="08062CC4"/>
    <w:rsid w:val="08404F36"/>
    <w:rsid w:val="08420F6E"/>
    <w:rsid w:val="08485B98"/>
    <w:rsid w:val="086F7F6B"/>
    <w:rsid w:val="08D15069"/>
    <w:rsid w:val="09300B06"/>
    <w:rsid w:val="09432350"/>
    <w:rsid w:val="09464BC4"/>
    <w:rsid w:val="09D46415"/>
    <w:rsid w:val="09D678FF"/>
    <w:rsid w:val="09DD401A"/>
    <w:rsid w:val="0A6D371E"/>
    <w:rsid w:val="0A7F797E"/>
    <w:rsid w:val="0A893990"/>
    <w:rsid w:val="0AB456D6"/>
    <w:rsid w:val="0B230E2D"/>
    <w:rsid w:val="0B9F73FF"/>
    <w:rsid w:val="0BB579E9"/>
    <w:rsid w:val="0BC570D4"/>
    <w:rsid w:val="0BCD7D52"/>
    <w:rsid w:val="0C352E25"/>
    <w:rsid w:val="0C401C37"/>
    <w:rsid w:val="0C601702"/>
    <w:rsid w:val="0CB65949"/>
    <w:rsid w:val="0CD04679"/>
    <w:rsid w:val="0CD93263"/>
    <w:rsid w:val="0D076779"/>
    <w:rsid w:val="0D0E73B0"/>
    <w:rsid w:val="0D175ED1"/>
    <w:rsid w:val="0D2F7B22"/>
    <w:rsid w:val="0D7D4536"/>
    <w:rsid w:val="0DD47381"/>
    <w:rsid w:val="0E1E1875"/>
    <w:rsid w:val="0E314E90"/>
    <w:rsid w:val="0EA55BBC"/>
    <w:rsid w:val="0EB432DA"/>
    <w:rsid w:val="0EBC4BEA"/>
    <w:rsid w:val="0F1C6094"/>
    <w:rsid w:val="0F3665FF"/>
    <w:rsid w:val="0FA16173"/>
    <w:rsid w:val="0FAE2BE1"/>
    <w:rsid w:val="101E3381"/>
    <w:rsid w:val="10637DEC"/>
    <w:rsid w:val="10FC0959"/>
    <w:rsid w:val="1110518E"/>
    <w:rsid w:val="115C2BEB"/>
    <w:rsid w:val="119C6788"/>
    <w:rsid w:val="12F16C37"/>
    <w:rsid w:val="138008DC"/>
    <w:rsid w:val="1384217A"/>
    <w:rsid w:val="13D377EE"/>
    <w:rsid w:val="13F9652A"/>
    <w:rsid w:val="14567F61"/>
    <w:rsid w:val="14FE41AE"/>
    <w:rsid w:val="15673B02"/>
    <w:rsid w:val="157A5D4B"/>
    <w:rsid w:val="15A112E9"/>
    <w:rsid w:val="15BF393E"/>
    <w:rsid w:val="15DB004C"/>
    <w:rsid w:val="168B30E0"/>
    <w:rsid w:val="16A55A84"/>
    <w:rsid w:val="16A854F1"/>
    <w:rsid w:val="16BD34A4"/>
    <w:rsid w:val="16D90A2F"/>
    <w:rsid w:val="16EF27FE"/>
    <w:rsid w:val="171D7A24"/>
    <w:rsid w:val="173F6B65"/>
    <w:rsid w:val="17FE0021"/>
    <w:rsid w:val="1838050A"/>
    <w:rsid w:val="18602839"/>
    <w:rsid w:val="18FC06E7"/>
    <w:rsid w:val="190C21C3"/>
    <w:rsid w:val="1927175A"/>
    <w:rsid w:val="19C67A07"/>
    <w:rsid w:val="19CA5298"/>
    <w:rsid w:val="1A363A8C"/>
    <w:rsid w:val="1A6C3968"/>
    <w:rsid w:val="1A7016AA"/>
    <w:rsid w:val="1ABA6A81"/>
    <w:rsid w:val="1AC92B69"/>
    <w:rsid w:val="1ADC6CC3"/>
    <w:rsid w:val="1B1D5FE3"/>
    <w:rsid w:val="1B520818"/>
    <w:rsid w:val="1BAC6712"/>
    <w:rsid w:val="1BE7774A"/>
    <w:rsid w:val="1BF14125"/>
    <w:rsid w:val="1C294A1C"/>
    <w:rsid w:val="1C6B6B82"/>
    <w:rsid w:val="1C9D42AD"/>
    <w:rsid w:val="1CD02381"/>
    <w:rsid w:val="1D7A321B"/>
    <w:rsid w:val="1E262080"/>
    <w:rsid w:val="1E291E1F"/>
    <w:rsid w:val="1E4E3233"/>
    <w:rsid w:val="1E753384"/>
    <w:rsid w:val="1EDB7118"/>
    <w:rsid w:val="1EDF6DFF"/>
    <w:rsid w:val="1EE81DF1"/>
    <w:rsid w:val="1EF830AE"/>
    <w:rsid w:val="1F5E5F75"/>
    <w:rsid w:val="1FAA01D5"/>
    <w:rsid w:val="1FAF0F09"/>
    <w:rsid w:val="20540DFC"/>
    <w:rsid w:val="20580C17"/>
    <w:rsid w:val="205B24B5"/>
    <w:rsid w:val="20827C95"/>
    <w:rsid w:val="20C20717"/>
    <w:rsid w:val="20DC7CCA"/>
    <w:rsid w:val="20DD7C6D"/>
    <w:rsid w:val="20E3054D"/>
    <w:rsid w:val="21416763"/>
    <w:rsid w:val="2188613B"/>
    <w:rsid w:val="218D53BB"/>
    <w:rsid w:val="228110BF"/>
    <w:rsid w:val="23162AA2"/>
    <w:rsid w:val="23332E3F"/>
    <w:rsid w:val="236B6EB3"/>
    <w:rsid w:val="238766C4"/>
    <w:rsid w:val="239D2759"/>
    <w:rsid w:val="23C57689"/>
    <w:rsid w:val="249C38B1"/>
    <w:rsid w:val="25183933"/>
    <w:rsid w:val="251C07F8"/>
    <w:rsid w:val="25441CC8"/>
    <w:rsid w:val="25826736"/>
    <w:rsid w:val="25900E53"/>
    <w:rsid w:val="25AB08C2"/>
    <w:rsid w:val="25AB32DE"/>
    <w:rsid w:val="264F4911"/>
    <w:rsid w:val="26634CB3"/>
    <w:rsid w:val="26AA5F44"/>
    <w:rsid w:val="26E47704"/>
    <w:rsid w:val="275441D5"/>
    <w:rsid w:val="27AE3812"/>
    <w:rsid w:val="27BD00FF"/>
    <w:rsid w:val="27C93155"/>
    <w:rsid w:val="27F836F7"/>
    <w:rsid w:val="28125B4F"/>
    <w:rsid w:val="28810259"/>
    <w:rsid w:val="288D50BA"/>
    <w:rsid w:val="28C00E6D"/>
    <w:rsid w:val="28F454D3"/>
    <w:rsid w:val="290C0AAF"/>
    <w:rsid w:val="292911DD"/>
    <w:rsid w:val="292A1AA9"/>
    <w:rsid w:val="29506C2F"/>
    <w:rsid w:val="29FF65A7"/>
    <w:rsid w:val="2A930A9D"/>
    <w:rsid w:val="2A9F23A2"/>
    <w:rsid w:val="2AD3435F"/>
    <w:rsid w:val="2AD411A3"/>
    <w:rsid w:val="2AFC7A1B"/>
    <w:rsid w:val="2B380B20"/>
    <w:rsid w:val="2C6646BB"/>
    <w:rsid w:val="2C6A78C3"/>
    <w:rsid w:val="2C8132A3"/>
    <w:rsid w:val="2D406CBA"/>
    <w:rsid w:val="2D4C61E9"/>
    <w:rsid w:val="2D516B60"/>
    <w:rsid w:val="2DA8131F"/>
    <w:rsid w:val="2DCA6ECC"/>
    <w:rsid w:val="2E1C7FC7"/>
    <w:rsid w:val="2E652751"/>
    <w:rsid w:val="2E9E309D"/>
    <w:rsid w:val="2EB7686B"/>
    <w:rsid w:val="2EED5714"/>
    <w:rsid w:val="2EEE335E"/>
    <w:rsid w:val="2F290BB2"/>
    <w:rsid w:val="2F604298"/>
    <w:rsid w:val="2FA379D4"/>
    <w:rsid w:val="301D5C22"/>
    <w:rsid w:val="304C36E2"/>
    <w:rsid w:val="31131CFA"/>
    <w:rsid w:val="31660CB9"/>
    <w:rsid w:val="31D057A9"/>
    <w:rsid w:val="31E16592"/>
    <w:rsid w:val="3267798F"/>
    <w:rsid w:val="328F6622"/>
    <w:rsid w:val="32E7076E"/>
    <w:rsid w:val="33137B73"/>
    <w:rsid w:val="332644A3"/>
    <w:rsid w:val="33291F9F"/>
    <w:rsid w:val="337E053C"/>
    <w:rsid w:val="338F31AC"/>
    <w:rsid w:val="33C876DF"/>
    <w:rsid w:val="33CD7BBD"/>
    <w:rsid w:val="34771F00"/>
    <w:rsid w:val="34AF2977"/>
    <w:rsid w:val="34DF325D"/>
    <w:rsid w:val="34F22B52"/>
    <w:rsid w:val="35422152"/>
    <w:rsid w:val="354E13DC"/>
    <w:rsid w:val="356C6B0A"/>
    <w:rsid w:val="357160D5"/>
    <w:rsid w:val="35CE6E2D"/>
    <w:rsid w:val="36B46B7E"/>
    <w:rsid w:val="36BB532C"/>
    <w:rsid w:val="37160931"/>
    <w:rsid w:val="371A6437"/>
    <w:rsid w:val="37296A11"/>
    <w:rsid w:val="3763266A"/>
    <w:rsid w:val="37844E3A"/>
    <w:rsid w:val="3826783E"/>
    <w:rsid w:val="385E7306"/>
    <w:rsid w:val="393450E2"/>
    <w:rsid w:val="394A0EC1"/>
    <w:rsid w:val="39736B31"/>
    <w:rsid w:val="397661B2"/>
    <w:rsid w:val="39B23163"/>
    <w:rsid w:val="39ED1F78"/>
    <w:rsid w:val="3A131738"/>
    <w:rsid w:val="3A1B2050"/>
    <w:rsid w:val="3A595259"/>
    <w:rsid w:val="3A6D3B7C"/>
    <w:rsid w:val="3A8F74D3"/>
    <w:rsid w:val="3A9E3272"/>
    <w:rsid w:val="3AEA63A1"/>
    <w:rsid w:val="3AF33018"/>
    <w:rsid w:val="3B141A8B"/>
    <w:rsid w:val="3BDA5B25"/>
    <w:rsid w:val="3C2974B3"/>
    <w:rsid w:val="3C495460"/>
    <w:rsid w:val="3C673ACE"/>
    <w:rsid w:val="3CA34BA8"/>
    <w:rsid w:val="3CB6726B"/>
    <w:rsid w:val="3D0A2E41"/>
    <w:rsid w:val="3D55712D"/>
    <w:rsid w:val="3D5F156D"/>
    <w:rsid w:val="3D6751B9"/>
    <w:rsid w:val="3DD20B30"/>
    <w:rsid w:val="3DFC0AF4"/>
    <w:rsid w:val="3E015FF2"/>
    <w:rsid w:val="3E7C38CA"/>
    <w:rsid w:val="3E8E5050"/>
    <w:rsid w:val="3EA915F1"/>
    <w:rsid w:val="3EE2666C"/>
    <w:rsid w:val="3EE87FFC"/>
    <w:rsid w:val="3EF17720"/>
    <w:rsid w:val="3F0B041A"/>
    <w:rsid w:val="3F227832"/>
    <w:rsid w:val="3F431D6B"/>
    <w:rsid w:val="3F51252D"/>
    <w:rsid w:val="3F5466A8"/>
    <w:rsid w:val="3F7869CA"/>
    <w:rsid w:val="3F9410E8"/>
    <w:rsid w:val="3F941764"/>
    <w:rsid w:val="404C3770"/>
    <w:rsid w:val="406E480A"/>
    <w:rsid w:val="40795178"/>
    <w:rsid w:val="40A13ABC"/>
    <w:rsid w:val="40C24483"/>
    <w:rsid w:val="414D77A0"/>
    <w:rsid w:val="415B3C6B"/>
    <w:rsid w:val="415F558A"/>
    <w:rsid w:val="41D61543"/>
    <w:rsid w:val="41DC7ED6"/>
    <w:rsid w:val="42046487"/>
    <w:rsid w:val="426B473C"/>
    <w:rsid w:val="42B15B0D"/>
    <w:rsid w:val="42BE2305"/>
    <w:rsid w:val="42C3576E"/>
    <w:rsid w:val="42C660BB"/>
    <w:rsid w:val="42F63647"/>
    <w:rsid w:val="42FB3958"/>
    <w:rsid w:val="435E641A"/>
    <w:rsid w:val="436D4129"/>
    <w:rsid w:val="43A6444B"/>
    <w:rsid w:val="43D9356D"/>
    <w:rsid w:val="43F334A9"/>
    <w:rsid w:val="43F617F1"/>
    <w:rsid w:val="440B13A0"/>
    <w:rsid w:val="44193913"/>
    <w:rsid w:val="441D78FE"/>
    <w:rsid w:val="444625F0"/>
    <w:rsid w:val="445B0FF4"/>
    <w:rsid w:val="449210C7"/>
    <w:rsid w:val="44C672B1"/>
    <w:rsid w:val="44CB1108"/>
    <w:rsid w:val="450E5498"/>
    <w:rsid w:val="45303E87"/>
    <w:rsid w:val="457B2B2E"/>
    <w:rsid w:val="45857508"/>
    <w:rsid w:val="45AE44DC"/>
    <w:rsid w:val="45C74A9D"/>
    <w:rsid w:val="46081EE8"/>
    <w:rsid w:val="464C4C12"/>
    <w:rsid w:val="470521F0"/>
    <w:rsid w:val="47A34ACE"/>
    <w:rsid w:val="47B2035D"/>
    <w:rsid w:val="47C02A7A"/>
    <w:rsid w:val="47F44E19"/>
    <w:rsid w:val="47F63140"/>
    <w:rsid w:val="48045E18"/>
    <w:rsid w:val="4821625B"/>
    <w:rsid w:val="482C010F"/>
    <w:rsid w:val="48784E56"/>
    <w:rsid w:val="487F0B87"/>
    <w:rsid w:val="489108BA"/>
    <w:rsid w:val="49187835"/>
    <w:rsid w:val="49763DF3"/>
    <w:rsid w:val="49F10034"/>
    <w:rsid w:val="49FD6207"/>
    <w:rsid w:val="4A2D5423"/>
    <w:rsid w:val="4A332D06"/>
    <w:rsid w:val="4A742E2F"/>
    <w:rsid w:val="4AAA4648"/>
    <w:rsid w:val="4AB32D6A"/>
    <w:rsid w:val="4ACD3868"/>
    <w:rsid w:val="4AE659AE"/>
    <w:rsid w:val="4B733890"/>
    <w:rsid w:val="4B8A4950"/>
    <w:rsid w:val="4B95203E"/>
    <w:rsid w:val="4BC75F40"/>
    <w:rsid w:val="4C177328"/>
    <w:rsid w:val="4C327CBE"/>
    <w:rsid w:val="4C347065"/>
    <w:rsid w:val="4C451C39"/>
    <w:rsid w:val="4C7E4CB1"/>
    <w:rsid w:val="4C895807"/>
    <w:rsid w:val="4CAD09EE"/>
    <w:rsid w:val="4CEA2347"/>
    <w:rsid w:val="4CF93156"/>
    <w:rsid w:val="4D317126"/>
    <w:rsid w:val="4D55315D"/>
    <w:rsid w:val="4D9059B1"/>
    <w:rsid w:val="4DB36247"/>
    <w:rsid w:val="4DBA440F"/>
    <w:rsid w:val="4DD57C77"/>
    <w:rsid w:val="4EA311C7"/>
    <w:rsid w:val="4EF70D4B"/>
    <w:rsid w:val="4F195B30"/>
    <w:rsid w:val="4F477F24"/>
    <w:rsid w:val="4F6C4A45"/>
    <w:rsid w:val="4F8A6331"/>
    <w:rsid w:val="4FF6727B"/>
    <w:rsid w:val="50096F88"/>
    <w:rsid w:val="500F62A7"/>
    <w:rsid w:val="50643B97"/>
    <w:rsid w:val="509D658F"/>
    <w:rsid w:val="51170EE7"/>
    <w:rsid w:val="5138108E"/>
    <w:rsid w:val="51576A14"/>
    <w:rsid w:val="51A04450"/>
    <w:rsid w:val="51A72EFC"/>
    <w:rsid w:val="51FD48CA"/>
    <w:rsid w:val="52135946"/>
    <w:rsid w:val="52291142"/>
    <w:rsid w:val="52652D8F"/>
    <w:rsid w:val="527A4A5C"/>
    <w:rsid w:val="52AB6339"/>
    <w:rsid w:val="52F60ADF"/>
    <w:rsid w:val="53293872"/>
    <w:rsid w:val="534D53DE"/>
    <w:rsid w:val="53570BC7"/>
    <w:rsid w:val="5360343E"/>
    <w:rsid w:val="542C590C"/>
    <w:rsid w:val="54424289"/>
    <w:rsid w:val="545804DE"/>
    <w:rsid w:val="54837309"/>
    <w:rsid w:val="54F55D2D"/>
    <w:rsid w:val="550100EE"/>
    <w:rsid w:val="553034D0"/>
    <w:rsid w:val="55AC0DF6"/>
    <w:rsid w:val="55E61FB8"/>
    <w:rsid w:val="56625DF2"/>
    <w:rsid w:val="566E6416"/>
    <w:rsid w:val="56BD16ED"/>
    <w:rsid w:val="571030FE"/>
    <w:rsid w:val="571E156B"/>
    <w:rsid w:val="571E632F"/>
    <w:rsid w:val="572A2883"/>
    <w:rsid w:val="574E36A1"/>
    <w:rsid w:val="57727991"/>
    <w:rsid w:val="57D15214"/>
    <w:rsid w:val="57D84ACB"/>
    <w:rsid w:val="583421E5"/>
    <w:rsid w:val="588D4BFA"/>
    <w:rsid w:val="58996335"/>
    <w:rsid w:val="58DC348C"/>
    <w:rsid w:val="59034EBC"/>
    <w:rsid w:val="590C7CEE"/>
    <w:rsid w:val="593E766A"/>
    <w:rsid w:val="59546B01"/>
    <w:rsid w:val="5960230F"/>
    <w:rsid w:val="596E3600"/>
    <w:rsid w:val="599F4360"/>
    <w:rsid w:val="59D04678"/>
    <w:rsid w:val="5A281779"/>
    <w:rsid w:val="5A4A2BDD"/>
    <w:rsid w:val="5AAF624F"/>
    <w:rsid w:val="5B1B7E63"/>
    <w:rsid w:val="5B77749C"/>
    <w:rsid w:val="5BDA6E38"/>
    <w:rsid w:val="5C0575BE"/>
    <w:rsid w:val="5C301DF2"/>
    <w:rsid w:val="5C533E08"/>
    <w:rsid w:val="5C793580"/>
    <w:rsid w:val="5C9546F7"/>
    <w:rsid w:val="5C960BE3"/>
    <w:rsid w:val="5CA20CFE"/>
    <w:rsid w:val="5CB84210"/>
    <w:rsid w:val="5CC40E18"/>
    <w:rsid w:val="5CD01559"/>
    <w:rsid w:val="5CD9101A"/>
    <w:rsid w:val="5D07484F"/>
    <w:rsid w:val="5D11596D"/>
    <w:rsid w:val="5D276C9F"/>
    <w:rsid w:val="5D9F192D"/>
    <w:rsid w:val="5DB17AC7"/>
    <w:rsid w:val="5DE51295"/>
    <w:rsid w:val="5E2F405E"/>
    <w:rsid w:val="5E374FD7"/>
    <w:rsid w:val="5E6D5AF3"/>
    <w:rsid w:val="5E9207EC"/>
    <w:rsid w:val="5E954187"/>
    <w:rsid w:val="5E9A1E1F"/>
    <w:rsid w:val="5EEB4084"/>
    <w:rsid w:val="5F2711D9"/>
    <w:rsid w:val="5F503D12"/>
    <w:rsid w:val="5F5C74DA"/>
    <w:rsid w:val="5F624C5D"/>
    <w:rsid w:val="5FFC40E1"/>
    <w:rsid w:val="5FFC7C5D"/>
    <w:rsid w:val="605917C1"/>
    <w:rsid w:val="6065020A"/>
    <w:rsid w:val="608A7C71"/>
    <w:rsid w:val="60C838B5"/>
    <w:rsid w:val="61181A81"/>
    <w:rsid w:val="61871180"/>
    <w:rsid w:val="61E866E5"/>
    <w:rsid w:val="62061579"/>
    <w:rsid w:val="62280BEA"/>
    <w:rsid w:val="6246209F"/>
    <w:rsid w:val="625F2952"/>
    <w:rsid w:val="62A86841"/>
    <w:rsid w:val="62AF167E"/>
    <w:rsid w:val="62C258A1"/>
    <w:rsid w:val="63402869"/>
    <w:rsid w:val="63651058"/>
    <w:rsid w:val="639B77A9"/>
    <w:rsid w:val="639D47FE"/>
    <w:rsid w:val="63D943F6"/>
    <w:rsid w:val="63DA6500"/>
    <w:rsid w:val="64265F03"/>
    <w:rsid w:val="64510ECF"/>
    <w:rsid w:val="648044CB"/>
    <w:rsid w:val="64885AE5"/>
    <w:rsid w:val="64C60996"/>
    <w:rsid w:val="64CD45D0"/>
    <w:rsid w:val="64F733FB"/>
    <w:rsid w:val="65402A8A"/>
    <w:rsid w:val="65407647"/>
    <w:rsid w:val="659160B6"/>
    <w:rsid w:val="65A62CAC"/>
    <w:rsid w:val="65FC6F1B"/>
    <w:rsid w:val="663761A5"/>
    <w:rsid w:val="66404EBD"/>
    <w:rsid w:val="667F3014"/>
    <w:rsid w:val="669B38C6"/>
    <w:rsid w:val="66B14CAE"/>
    <w:rsid w:val="66C72709"/>
    <w:rsid w:val="677E2B91"/>
    <w:rsid w:val="67D323D5"/>
    <w:rsid w:val="67FD041F"/>
    <w:rsid w:val="685C1EF3"/>
    <w:rsid w:val="68684D3C"/>
    <w:rsid w:val="687A3320"/>
    <w:rsid w:val="68833C24"/>
    <w:rsid w:val="68E128C6"/>
    <w:rsid w:val="68ED6FEF"/>
    <w:rsid w:val="68F534CD"/>
    <w:rsid w:val="693E784B"/>
    <w:rsid w:val="696E054B"/>
    <w:rsid w:val="69937B96"/>
    <w:rsid w:val="69992CD3"/>
    <w:rsid w:val="6A3812B8"/>
    <w:rsid w:val="6A4B08CD"/>
    <w:rsid w:val="6AE01A83"/>
    <w:rsid w:val="6B5578C9"/>
    <w:rsid w:val="6B9A36C0"/>
    <w:rsid w:val="6BA21778"/>
    <w:rsid w:val="6BA8544F"/>
    <w:rsid w:val="6BBE355A"/>
    <w:rsid w:val="6BBF2EC5"/>
    <w:rsid w:val="6C1D0633"/>
    <w:rsid w:val="6C262F44"/>
    <w:rsid w:val="6C3F7B62"/>
    <w:rsid w:val="6C705F6D"/>
    <w:rsid w:val="6CB207A2"/>
    <w:rsid w:val="6CD56718"/>
    <w:rsid w:val="6D115720"/>
    <w:rsid w:val="6D2D2925"/>
    <w:rsid w:val="6D853818"/>
    <w:rsid w:val="6DAF51BB"/>
    <w:rsid w:val="6E4B6C92"/>
    <w:rsid w:val="6E620FF1"/>
    <w:rsid w:val="6E8A48D9"/>
    <w:rsid w:val="6EBF4EDA"/>
    <w:rsid w:val="6EC05B6C"/>
    <w:rsid w:val="6EFD6760"/>
    <w:rsid w:val="6F0230C8"/>
    <w:rsid w:val="6F4D2F40"/>
    <w:rsid w:val="6F51132D"/>
    <w:rsid w:val="6F95631F"/>
    <w:rsid w:val="6F9A6AFE"/>
    <w:rsid w:val="6FC9181A"/>
    <w:rsid w:val="7015666A"/>
    <w:rsid w:val="703A5210"/>
    <w:rsid w:val="705C06FC"/>
    <w:rsid w:val="706A53C9"/>
    <w:rsid w:val="70A05D02"/>
    <w:rsid w:val="70BE2895"/>
    <w:rsid w:val="70DF44BB"/>
    <w:rsid w:val="70F25723"/>
    <w:rsid w:val="714E4D6D"/>
    <w:rsid w:val="71D40D4C"/>
    <w:rsid w:val="7205727F"/>
    <w:rsid w:val="72111FA0"/>
    <w:rsid w:val="729D4627"/>
    <w:rsid w:val="72BB015E"/>
    <w:rsid w:val="72E13B35"/>
    <w:rsid w:val="72E259B4"/>
    <w:rsid w:val="72F571CC"/>
    <w:rsid w:val="7369006E"/>
    <w:rsid w:val="740A1BF6"/>
    <w:rsid w:val="74125F6A"/>
    <w:rsid w:val="745E2AA9"/>
    <w:rsid w:val="7474508E"/>
    <w:rsid w:val="74A20A5B"/>
    <w:rsid w:val="74DA48CB"/>
    <w:rsid w:val="75972A84"/>
    <w:rsid w:val="759C6025"/>
    <w:rsid w:val="75A924F0"/>
    <w:rsid w:val="75C769FC"/>
    <w:rsid w:val="75E341CE"/>
    <w:rsid w:val="75ED0D55"/>
    <w:rsid w:val="75FC3020"/>
    <w:rsid w:val="762A4F58"/>
    <w:rsid w:val="76661B74"/>
    <w:rsid w:val="769D11C7"/>
    <w:rsid w:val="76B2342F"/>
    <w:rsid w:val="76C95143"/>
    <w:rsid w:val="76D31110"/>
    <w:rsid w:val="77040325"/>
    <w:rsid w:val="7724698B"/>
    <w:rsid w:val="77507270"/>
    <w:rsid w:val="77E41DF6"/>
    <w:rsid w:val="77ED2E8C"/>
    <w:rsid w:val="77F86171"/>
    <w:rsid w:val="783C3970"/>
    <w:rsid w:val="78663FDD"/>
    <w:rsid w:val="78714833"/>
    <w:rsid w:val="78761BB0"/>
    <w:rsid w:val="78772AEC"/>
    <w:rsid w:val="78A90B84"/>
    <w:rsid w:val="78C85217"/>
    <w:rsid w:val="78F34EDF"/>
    <w:rsid w:val="79021616"/>
    <w:rsid w:val="790E426A"/>
    <w:rsid w:val="797715A1"/>
    <w:rsid w:val="79B853F7"/>
    <w:rsid w:val="79EA0A5B"/>
    <w:rsid w:val="7A146AD1"/>
    <w:rsid w:val="7A1F21C5"/>
    <w:rsid w:val="7A2E107A"/>
    <w:rsid w:val="7A2E7454"/>
    <w:rsid w:val="7A317B1E"/>
    <w:rsid w:val="7A4F44FE"/>
    <w:rsid w:val="7A716C52"/>
    <w:rsid w:val="7B184024"/>
    <w:rsid w:val="7B784E3E"/>
    <w:rsid w:val="7BBD1225"/>
    <w:rsid w:val="7CD47820"/>
    <w:rsid w:val="7CD77D4A"/>
    <w:rsid w:val="7CDC6298"/>
    <w:rsid w:val="7D2A4000"/>
    <w:rsid w:val="7D2B742D"/>
    <w:rsid w:val="7D323ADC"/>
    <w:rsid w:val="7D470F6C"/>
    <w:rsid w:val="7D496E58"/>
    <w:rsid w:val="7D847C5E"/>
    <w:rsid w:val="7DD1556D"/>
    <w:rsid w:val="7DD345AE"/>
    <w:rsid w:val="7DE8380D"/>
    <w:rsid w:val="7E6F2095"/>
    <w:rsid w:val="7EA61E1B"/>
    <w:rsid w:val="7EAC7F0D"/>
    <w:rsid w:val="7EE665D7"/>
    <w:rsid w:val="7F57031C"/>
    <w:rsid w:val="7FAA2BBC"/>
    <w:rsid w:val="7FE02FB2"/>
    <w:rsid w:val="7FE829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99"/>
    <w:pPr>
      <w:keepNext/>
      <w:numPr>
        <w:ilvl w:val="3"/>
        <w:numId w:val="1"/>
      </w:numPr>
      <w:spacing w:line="300" w:lineRule="auto"/>
      <w:outlineLvl w:val="0"/>
    </w:pPr>
    <w:rPr>
      <w:b/>
      <w:bCs/>
      <w:sz w:val="24"/>
    </w:rPr>
  </w:style>
  <w:style w:type="paragraph" w:styleId="4">
    <w:name w:val="heading 2"/>
    <w:basedOn w:val="1"/>
    <w:next w:val="1"/>
    <w:link w:val="37"/>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b/>
      <w:kern w:val="0"/>
      <w:sz w:val="32"/>
    </w:rPr>
  </w:style>
  <w:style w:type="paragraph" w:styleId="2">
    <w:name w:val="heading 3"/>
    <w:basedOn w:val="1"/>
    <w:next w:val="1"/>
    <w:qFormat/>
    <w:uiPriority w:val="9"/>
    <w:pPr>
      <w:keepNext/>
      <w:keepLines/>
      <w:numPr>
        <w:ilvl w:val="2"/>
        <w:numId w:val="1"/>
      </w:numPr>
      <w:adjustRightInd w:val="0"/>
      <w:spacing w:before="260" w:after="260" w:line="416" w:lineRule="atLeast"/>
      <w:jc w:val="left"/>
      <w:textAlignment w:val="baseline"/>
      <w:outlineLvl w:val="2"/>
    </w:pPr>
    <w:rPr>
      <w:b/>
      <w:kern w:val="0"/>
      <w:sz w:val="32"/>
    </w:rPr>
  </w:style>
  <w:style w:type="paragraph" w:styleId="5">
    <w:name w:val="heading 4"/>
    <w:basedOn w:val="1"/>
    <w:next w:val="1"/>
    <w:qFormat/>
    <w:uiPriority w:val="0"/>
    <w:pPr>
      <w:keepNext/>
      <w:keepLines/>
      <w:spacing w:before="280" w:after="290" w:line="374"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after="290" w:line="374" w:lineRule="auto"/>
      <w:outlineLvl w:val="4"/>
    </w:pPr>
    <w:rPr>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adjustRightInd w:val="0"/>
      <w:spacing w:line="360" w:lineRule="atLeast"/>
      <w:ind w:firstLine="200" w:firstLineChars="200"/>
      <w:jc w:val="left"/>
      <w:textAlignment w:val="baseline"/>
    </w:pPr>
    <w:rPr>
      <w:kern w:val="0"/>
      <w:sz w:val="24"/>
    </w:rPr>
  </w:style>
  <w:style w:type="paragraph" w:styleId="8">
    <w:name w:val="Document Map"/>
    <w:basedOn w:val="1"/>
    <w:qFormat/>
    <w:uiPriority w:val="0"/>
    <w:pPr>
      <w:shd w:val="clear" w:color="auto" w:fill="000080"/>
    </w:pPr>
  </w:style>
  <w:style w:type="paragraph" w:styleId="9">
    <w:name w:val="annotation text"/>
    <w:basedOn w:val="1"/>
    <w:qFormat/>
    <w:uiPriority w:val="0"/>
    <w:pPr>
      <w:jc w:val="left"/>
    </w:pPr>
  </w:style>
  <w:style w:type="paragraph" w:styleId="10">
    <w:name w:val="Body Text"/>
    <w:basedOn w:val="1"/>
    <w:qFormat/>
    <w:uiPriority w:val="0"/>
    <w:rPr>
      <w:sz w:val="24"/>
    </w:rPr>
  </w:style>
  <w:style w:type="paragraph" w:styleId="11">
    <w:name w:val="Body Text Indent"/>
    <w:basedOn w:val="1"/>
    <w:qFormat/>
    <w:uiPriority w:val="0"/>
    <w:pPr>
      <w:spacing w:line="300" w:lineRule="auto"/>
      <w:ind w:left="840"/>
    </w:pPr>
    <w:rPr>
      <w:sz w:val="24"/>
    </w:rPr>
  </w:style>
  <w:style w:type="paragraph" w:styleId="12">
    <w:name w:val="Block Text"/>
    <w:basedOn w:val="1"/>
    <w:qFormat/>
    <w:uiPriority w:val="0"/>
    <w:pPr>
      <w:adjustRightInd w:val="0"/>
      <w:ind w:left="420" w:right="33"/>
      <w:textAlignment w:val="baseline"/>
    </w:pPr>
  </w:style>
  <w:style w:type="paragraph" w:styleId="13">
    <w:name w:val="toc 5"/>
    <w:basedOn w:val="1"/>
    <w:next w:val="1"/>
    <w:qFormat/>
    <w:uiPriority w:val="0"/>
    <w:pPr>
      <w:ind w:left="840"/>
      <w:jc w:val="left"/>
    </w:pPr>
    <w:rPr>
      <w:sz w:val="18"/>
      <w:szCs w:val="18"/>
    </w:rPr>
  </w:style>
  <w:style w:type="paragraph" w:styleId="14">
    <w:name w:val="toc 3"/>
    <w:basedOn w:val="1"/>
    <w:next w:val="1"/>
    <w:qFormat/>
    <w:uiPriority w:val="0"/>
    <w:pPr>
      <w:ind w:left="400" w:leftChars="400"/>
    </w:pPr>
  </w:style>
  <w:style w:type="paragraph" w:styleId="15">
    <w:name w:val="Plain Text"/>
    <w:basedOn w:val="1"/>
    <w:next w:val="1"/>
    <w:qFormat/>
    <w:uiPriority w:val="0"/>
    <w:rPr>
      <w:rFonts w:ascii="宋体"/>
    </w:rPr>
  </w:style>
  <w:style w:type="paragraph" w:styleId="16">
    <w:name w:val="Date"/>
    <w:basedOn w:val="1"/>
    <w:next w:val="1"/>
    <w:qFormat/>
    <w:uiPriority w:val="99"/>
    <w:pPr>
      <w:ind w:left="2500" w:leftChars="2500"/>
    </w:pPr>
    <w:rPr>
      <w:rFonts w:ascii="仿宋_GB2312" w:eastAsia="仿宋_GB2312"/>
      <w:sz w:val="28"/>
    </w:rPr>
  </w:style>
  <w:style w:type="paragraph" w:styleId="17">
    <w:name w:val="footer"/>
    <w:basedOn w:val="1"/>
    <w:qFormat/>
    <w:uiPriority w:val="0"/>
    <w:pPr>
      <w:tabs>
        <w:tab w:val="center" w:pos="4153"/>
        <w:tab w:val="right" w:pos="8306"/>
      </w:tabs>
      <w:snapToGrid w:val="0"/>
      <w:jc w:val="left"/>
    </w:pPr>
    <w:rPr>
      <w:sz w:val="18"/>
    </w:rPr>
  </w:style>
  <w:style w:type="paragraph" w:styleId="18">
    <w:name w:val="header"/>
    <w:basedOn w:val="1"/>
    <w:qFormat/>
    <w:uiPriority w:val="0"/>
    <w:pPr>
      <w:tabs>
        <w:tab w:val="center" w:pos="4153"/>
        <w:tab w:val="right" w:pos="8306"/>
      </w:tabs>
      <w:snapToGrid w:val="0"/>
      <w:jc w:val="center"/>
    </w:pPr>
    <w:rPr>
      <w:sz w:val="18"/>
    </w:rPr>
  </w:style>
  <w:style w:type="paragraph" w:styleId="19">
    <w:name w:val="toc 1"/>
    <w:basedOn w:val="1"/>
    <w:next w:val="1"/>
    <w:qFormat/>
    <w:uiPriority w:val="0"/>
    <w:pPr>
      <w:adjustRightInd w:val="0"/>
      <w:spacing w:line="360" w:lineRule="atLeast"/>
      <w:jc w:val="left"/>
      <w:textAlignment w:val="baseline"/>
    </w:pPr>
    <w:rPr>
      <w:kern w:val="0"/>
      <w:sz w:val="24"/>
    </w:rPr>
  </w:style>
  <w:style w:type="paragraph" w:styleId="20">
    <w:name w:val="toc 4"/>
    <w:basedOn w:val="1"/>
    <w:next w:val="1"/>
    <w:qFormat/>
    <w:uiPriority w:val="0"/>
    <w:pPr>
      <w:ind w:left="1260" w:leftChars="600"/>
    </w:pPr>
  </w:style>
  <w:style w:type="paragraph" w:styleId="21">
    <w:name w:val="toc 2"/>
    <w:basedOn w:val="1"/>
    <w:next w:val="1"/>
    <w:qFormat/>
    <w:uiPriority w:val="0"/>
    <w:pPr>
      <w:adjustRightInd w:val="0"/>
      <w:spacing w:line="360" w:lineRule="atLeast"/>
      <w:ind w:left="200" w:leftChars="200"/>
      <w:jc w:val="left"/>
      <w:textAlignment w:val="baseline"/>
    </w:pPr>
    <w:rPr>
      <w:kern w:val="0"/>
      <w:sz w:val="24"/>
    </w:rPr>
  </w:style>
  <w:style w:type="paragraph" w:styleId="22">
    <w:name w:val="Body Text 2"/>
    <w:basedOn w:val="1"/>
    <w:qFormat/>
    <w:uiPriority w:val="0"/>
    <w:pPr>
      <w:adjustRightInd w:val="0"/>
      <w:spacing w:after="120" w:line="480" w:lineRule="auto"/>
      <w:jc w:val="left"/>
      <w:textAlignment w:val="baseline"/>
    </w:pPr>
    <w:rPr>
      <w:kern w:val="0"/>
      <w:sz w:val="24"/>
    </w:rPr>
  </w:style>
  <w:style w:type="paragraph" w:styleId="23">
    <w:name w:val="Normal (Web)"/>
    <w:basedOn w:val="1"/>
    <w:qFormat/>
    <w:uiPriority w:val="0"/>
    <w:pPr>
      <w:spacing w:beforeAutospacing="1" w:afterAutospacing="1"/>
      <w:jc w:val="left"/>
    </w:pPr>
    <w:rPr>
      <w:kern w:val="0"/>
      <w:sz w:val="24"/>
    </w:rPr>
  </w:style>
  <w:style w:type="paragraph" w:styleId="24">
    <w:name w:val="Title"/>
    <w:basedOn w:val="1"/>
    <w:next w:val="1"/>
    <w:qFormat/>
    <w:uiPriority w:val="0"/>
    <w:pPr>
      <w:adjustRightInd w:val="0"/>
      <w:spacing w:before="240" w:after="60" w:line="360" w:lineRule="atLeast"/>
      <w:jc w:val="center"/>
      <w:textAlignment w:val="baseline"/>
      <w:outlineLvl w:val="0"/>
    </w:pPr>
    <w:rPr>
      <w:rFonts w:ascii="Arial" w:hAnsi="Arial" w:cs="Arial"/>
      <w:b/>
      <w:bCs/>
      <w:kern w:val="0"/>
      <w:sz w:val="32"/>
      <w:szCs w:val="32"/>
    </w:rPr>
  </w:style>
  <w:style w:type="paragraph" w:styleId="25">
    <w:name w:val="Body Text First Indent"/>
    <w:basedOn w:val="10"/>
    <w:unhideWhenUsed/>
    <w:qFormat/>
    <w:uiPriority w:val="99"/>
    <w:pPr>
      <w:ind w:firstLine="420" w:firstLineChars="100"/>
    </w:pPr>
    <w:rPr>
      <w:szCs w:val="24"/>
    </w:rPr>
  </w:style>
  <w:style w:type="paragraph" w:styleId="26">
    <w:name w:val="Body Text First Indent 2"/>
    <w:basedOn w:val="11"/>
    <w:qFormat/>
    <w:uiPriority w:val="0"/>
    <w:pPr>
      <w:ind w:left="0" w:leftChars="0" w:firstLine="420"/>
    </w:pPr>
    <w:rPr>
      <w:rFonts w:hAnsi="Calibri"/>
    </w:r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Emphasis"/>
    <w:basedOn w:val="29"/>
    <w:qFormat/>
    <w:uiPriority w:val="0"/>
    <w:rPr>
      <w:i/>
    </w:rPr>
  </w:style>
  <w:style w:type="character" w:styleId="31">
    <w:name w:val="Hyperlink"/>
    <w:basedOn w:val="29"/>
    <w:qFormat/>
    <w:uiPriority w:val="0"/>
    <w:rPr>
      <w:color w:val="0000FF"/>
      <w:u w:val="single"/>
    </w:rPr>
  </w:style>
  <w:style w:type="paragraph" w:customStyle="1" w:styleId="32">
    <w:name w:val="样式6 正文"/>
    <w:qFormat/>
    <w:uiPriority w:val="0"/>
    <w:pPr>
      <w:widowControl w:val="0"/>
      <w:tabs>
        <w:tab w:val="left" w:pos="420"/>
      </w:tabs>
      <w:spacing w:after="200" w:line="360" w:lineRule="auto"/>
      <w:ind w:firstLine="482"/>
      <w:jc w:val="both"/>
    </w:pPr>
    <w:rPr>
      <w:rFonts w:ascii="Calibri" w:hAnsi="Calibri" w:eastAsia="宋体" w:cs="Times New Roman"/>
      <w:sz w:val="24"/>
      <w:szCs w:val="22"/>
      <w:lang w:val="en-US" w:eastAsia="en-US" w:bidi="en-US"/>
    </w:rPr>
  </w:style>
  <w:style w:type="paragraph" w:customStyle="1" w:styleId="33">
    <w:name w:val="Default"/>
    <w:basedOn w:val="24"/>
    <w:qFormat/>
    <w:uiPriority w:val="0"/>
    <w:pPr>
      <w:autoSpaceDE w:val="0"/>
      <w:autoSpaceDN w:val="0"/>
    </w:pPr>
    <w:rPr>
      <w:rFonts w:ascii="宋体" w:hAnsi="Times New Roman" w:cs="宋体"/>
      <w:color w:val="000000"/>
      <w:sz w:val="24"/>
      <w:szCs w:val="24"/>
    </w:rPr>
  </w:style>
  <w:style w:type="paragraph" w:customStyle="1" w:styleId="34">
    <w:name w:val="表格文字"/>
    <w:basedOn w:val="1"/>
    <w:qFormat/>
    <w:uiPriority w:val="0"/>
    <w:pPr>
      <w:spacing w:before="25" w:after="25"/>
      <w:jc w:val="left"/>
    </w:pPr>
    <w:rPr>
      <w:bCs/>
      <w:spacing w:val="10"/>
      <w:kern w:val="0"/>
      <w:sz w:val="24"/>
    </w:rPr>
  </w:style>
  <w:style w:type="paragraph" w:customStyle="1" w:styleId="35">
    <w:name w:val="4表中文字"/>
    <w:basedOn w:val="1"/>
    <w:qFormat/>
    <w:uiPriority w:val="0"/>
    <w:pPr>
      <w:tabs>
        <w:tab w:val="left" w:pos="6195"/>
      </w:tabs>
      <w:autoSpaceDE w:val="0"/>
      <w:autoSpaceDN w:val="0"/>
      <w:adjustRightInd w:val="0"/>
      <w:jc w:val="center"/>
    </w:pPr>
    <w:rPr>
      <w:rFonts w:eastAsia="仿宋_GB2312"/>
    </w:rPr>
  </w:style>
  <w:style w:type="paragraph" w:customStyle="1" w:styleId="36">
    <w:name w:val="Blockquote"/>
    <w:basedOn w:val="1"/>
    <w:qFormat/>
    <w:uiPriority w:val="0"/>
    <w:pPr>
      <w:autoSpaceDE w:val="0"/>
      <w:autoSpaceDN w:val="0"/>
      <w:adjustRightInd w:val="0"/>
      <w:spacing w:before="100" w:after="100"/>
      <w:ind w:left="360" w:right="360"/>
    </w:pPr>
  </w:style>
  <w:style w:type="character" w:customStyle="1" w:styleId="37">
    <w:name w:val="标题 2 Char"/>
    <w:basedOn w:val="29"/>
    <w:link w:val="4"/>
    <w:qFormat/>
    <w:uiPriority w:val="0"/>
    <w:rPr>
      <w:rFonts w:ascii="Arial" w:hAnsi="Arial" w:eastAsia="黑体" w:cs="Times New Roman"/>
      <w:b/>
      <w:kern w:val="0"/>
      <w:sz w:val="32"/>
      <w:lang w:bidi="ar-SA"/>
    </w:rPr>
  </w:style>
  <w:style w:type="character" w:customStyle="1" w:styleId="38">
    <w:name w:val="标题 2 Char Char"/>
    <w:qFormat/>
    <w:uiPriority w:val="0"/>
    <w:rPr>
      <w:sz w:val="28"/>
    </w:rPr>
  </w:style>
  <w:style w:type="paragraph" w:customStyle="1" w:styleId="39">
    <w:name w:val="表格样式2"/>
    <w:basedOn w:val="1"/>
    <w:qFormat/>
    <w:uiPriority w:val="0"/>
    <w:pPr>
      <w:widowControl/>
      <w:spacing w:line="276" w:lineRule="auto"/>
      <w:jc w:val="left"/>
    </w:pPr>
    <w:rPr>
      <w:rFonts w:ascii="仿宋_GB2312" w:eastAsia="仿宋_GB2312"/>
      <w:kern w:val="0"/>
      <w:sz w:val="18"/>
      <w:szCs w:val="18"/>
      <w:lang w:bidi="en-US"/>
    </w:rPr>
  </w:style>
  <w:style w:type="character" w:customStyle="1" w:styleId="40">
    <w:name w:val="font51"/>
    <w:basedOn w:val="29"/>
    <w:qFormat/>
    <w:uiPriority w:val="0"/>
    <w:rPr>
      <w:rFonts w:hint="eastAsia" w:ascii="宋体" w:hAnsi="宋体" w:eastAsia="宋体" w:cs="宋体"/>
      <w:color w:val="000000"/>
      <w:sz w:val="20"/>
      <w:szCs w:val="20"/>
      <w:u w:val="none"/>
    </w:rPr>
  </w:style>
  <w:style w:type="character" w:customStyle="1" w:styleId="41">
    <w:name w:val="font131"/>
    <w:basedOn w:val="29"/>
    <w:qFormat/>
    <w:uiPriority w:val="0"/>
    <w:rPr>
      <w:rFonts w:hint="eastAsia" w:ascii="宋体" w:hAnsi="宋体" w:eastAsia="宋体" w:cs="宋体"/>
      <w:color w:val="000000"/>
      <w:sz w:val="20"/>
      <w:szCs w:val="20"/>
      <w:u w:val="none"/>
      <w:vertAlign w:val="superscript"/>
    </w:rPr>
  </w:style>
  <w:style w:type="character" w:customStyle="1" w:styleId="42">
    <w:name w:val="font21"/>
    <w:basedOn w:val="29"/>
    <w:qFormat/>
    <w:uiPriority w:val="0"/>
    <w:rPr>
      <w:rFonts w:hint="eastAsia" w:ascii="宋体" w:hAnsi="宋体" w:eastAsia="宋体" w:cs="宋体"/>
      <w:color w:val="000000"/>
      <w:sz w:val="18"/>
      <w:szCs w:val="18"/>
      <w:u w:val="none"/>
    </w:rPr>
  </w:style>
  <w:style w:type="character" w:customStyle="1" w:styleId="43">
    <w:name w:val="font01"/>
    <w:basedOn w:val="29"/>
    <w:qFormat/>
    <w:uiPriority w:val="0"/>
    <w:rPr>
      <w:rFonts w:hint="eastAsia" w:ascii="宋体" w:hAnsi="宋体" w:eastAsia="宋体" w:cs="宋体"/>
      <w:color w:val="000000"/>
      <w:sz w:val="18"/>
      <w:szCs w:val="18"/>
      <w:u w:val="none"/>
    </w:rPr>
  </w:style>
  <w:style w:type="paragraph" w:customStyle="1" w:styleId="44">
    <w:name w:val="普通正文"/>
    <w:basedOn w:val="1"/>
    <w:qFormat/>
    <w:uiPriority w:val="0"/>
    <w:pPr>
      <w:spacing w:before="120" w:after="120" w:line="360" w:lineRule="auto"/>
      <w:ind w:firstLine="480"/>
      <w:textAlignment w:val="baseline"/>
    </w:pPr>
    <w:rPr>
      <w:rFonts w:ascii="Arial" w:hAnsi="Arial" w:eastAsia="仿宋"/>
      <w:sz w:val="24"/>
    </w:rPr>
  </w:style>
  <w:style w:type="paragraph" w:customStyle="1" w:styleId="45">
    <w:name w:val="Normal_2"/>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6">
    <w:name w:val="Normal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7">
    <w:name w:val="Normal_0"/>
    <w:qFormat/>
    <w:uiPriority w:val="0"/>
    <w:pPr>
      <w:widowControl w:val="0"/>
      <w:adjustRightInd w:val="0"/>
      <w:spacing w:line="360" w:lineRule="atLeast"/>
      <w:textAlignment w:val="baseline"/>
    </w:pPr>
    <w:rPr>
      <w:rFonts w:ascii="宋体" w:hAnsi="Cambria" w:eastAsia="宋体" w:cs="Times New Roman"/>
      <w:b/>
      <w:kern w:val="2"/>
      <w:position w:val="-10"/>
      <w:sz w:val="24"/>
      <w:szCs w:val="24"/>
      <w:lang w:val="en-US" w:eastAsia="zh-CN" w:bidi="ar-SA"/>
    </w:rPr>
  </w:style>
  <w:style w:type="paragraph" w:customStyle="1" w:styleId="48">
    <w:name w:val="页脚1"/>
    <w:basedOn w:val="45"/>
    <w:unhideWhenUsed/>
    <w:qFormat/>
    <w:uiPriority w:val="99"/>
    <w:pPr>
      <w:tabs>
        <w:tab w:val="center" w:pos="4153"/>
        <w:tab w:val="right" w:pos="8306"/>
      </w:tabs>
      <w:snapToGrid w:val="0"/>
      <w:jc w:val="left"/>
    </w:pPr>
    <w:rPr>
      <w:rFonts w:ascii="Calibri" w:hAnsi="Calibri"/>
      <w:kern w:val="0"/>
      <w:sz w:val="18"/>
      <w:szCs w:val="18"/>
    </w:rPr>
  </w:style>
  <w:style w:type="paragraph" w:customStyle="1" w:styleId="49">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50">
    <w:name w:val="List Paragraph"/>
    <w:basedOn w:val="1"/>
    <w:qFormat/>
    <w:uiPriority w:val="1"/>
    <w:pPr>
      <w:autoSpaceDE w:val="0"/>
      <w:autoSpaceDN w:val="0"/>
      <w:ind w:left="116"/>
      <w:jc w:val="left"/>
    </w:pPr>
    <w:rPr>
      <w:rFonts w:ascii="宋体" w:hAnsi="宋体" w:cs="宋体"/>
      <w:kern w:val="0"/>
      <w:sz w:val="22"/>
      <w:szCs w:val="22"/>
      <w:lang w:val="zh-CN" w:bidi="zh-CN"/>
    </w:rPr>
  </w:style>
  <w:style w:type="character" w:customStyle="1" w:styleId="51">
    <w:name w:val="fontstyle01"/>
    <w:basedOn w:val="29"/>
    <w:qFormat/>
    <w:uiPriority w:val="0"/>
    <w:rPr>
      <w:rFonts w:hint="default" w:ascii="MicrosoftYaHei" w:hAnsi="MicrosoftYaHei"/>
      <w:color w:val="000000"/>
      <w:sz w:val="32"/>
      <w:szCs w:val="32"/>
    </w:rPr>
  </w:style>
  <w:style w:type="character" w:customStyle="1" w:styleId="52">
    <w:name w:val="fontstyle21"/>
    <w:basedOn w:val="29"/>
    <w:qFormat/>
    <w:uiPriority w:val="0"/>
    <w:rPr>
      <w:rFonts w:hint="default" w:ascii="仿宋" w:hAnsi="仿宋"/>
      <w:color w:val="000000"/>
      <w:sz w:val="32"/>
      <w:szCs w:val="32"/>
    </w:rPr>
  </w:style>
  <w:style w:type="character" w:customStyle="1" w:styleId="53">
    <w:name w:val="fontstyle31"/>
    <w:basedOn w:val="29"/>
    <w:qFormat/>
    <w:uiPriority w:val="0"/>
    <w:rPr>
      <w:rFonts w:hint="default" w:ascii="TimesNewRomanPSMT" w:hAnsi="TimesNewRomanPSMT"/>
      <w:color w:val="000000"/>
      <w:sz w:val="32"/>
      <w:szCs w:val="32"/>
    </w:rPr>
  </w:style>
  <w:style w:type="character" w:customStyle="1" w:styleId="54">
    <w:name w:val="fontstyle41"/>
    <w:basedOn w:val="29"/>
    <w:qFormat/>
    <w:uiPriority w:val="0"/>
    <w:rPr>
      <w:rFonts w:hint="default" w:ascii="MicrosoftYaHei-Bold" w:hAnsi="MicrosoftYaHei-Bold"/>
      <w:b/>
      <w:bCs/>
      <w:color w:val="000000"/>
      <w:sz w:val="32"/>
      <w:szCs w:val="32"/>
    </w:rPr>
  </w:style>
  <w:style w:type="paragraph" w:customStyle="1" w:styleId="55">
    <w:name w:val="样式 标题 2 + Times New Roman 四号 非加粗 段前: 5 磅 段后: 0 磅 行距: 固定值 20..."/>
    <w:basedOn w:val="4"/>
    <w:qFormat/>
    <w:uiPriority w:val="0"/>
    <w:pPr>
      <w:spacing w:before="100" w:after="0" w:line="400" w:lineRule="exact"/>
    </w:pPr>
    <w:rPr>
      <w:rFonts w:ascii="Times New Roman" w:hAnsi="Times New Roman" w:cs="宋体"/>
      <w:sz w:val="28"/>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Home</Company>
  <Pages>107</Pages>
  <Words>13428</Words>
  <Characters>14440</Characters>
  <Lines>93</Lines>
  <Paragraphs>104</Paragraphs>
  <TotalTime>78</TotalTime>
  <ScaleCrop>false</ScaleCrop>
  <LinksUpToDate>false</LinksUpToDate>
  <CharactersWithSpaces>15453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2021-04-13T09:31:00Z</dcterms:created>
  <dc:creator>63815951</dc:creator>
  <cp:lastModifiedBy>WuHoUJun</cp:lastModifiedBy>
  <cp:lastPrinted>2026-08-15T07:43:00Z</cp:lastPrinted>
  <dcterms:modified xsi:type="dcterms:W3CDTF">2026-09-22T01:40:27Z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4B76205CFE7C4C949160C857C7ED45A7_13</vt:lpwstr>
  </property>
  <property fmtid="{D5CDD505-2E9C-101B-9397-08002B2CF9AE}" pid="4" name="KSOTemplateDocerSaveRecord">
    <vt:lpwstr>eyJoZGlkIjoiMDhmZDZhNThjNjMxNjBmYTdiYTExODljZjI3MWM5MDEiLCJ1c2VySWQiOiIzMzI3NzA1MzMifQ==</vt:lpwstr>
  </property>
</Properties>
</file>