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jc w:val="center"/>
        <w:rPr>
          <w:rFonts w:hint="eastAsia" w:ascii="宋体" w:hAnsi="宋体" w:cs="宋体"/>
          <w:b/>
          <w:color w:val="auto"/>
          <w:sz w:val="44"/>
          <w:szCs w:val="44"/>
          <w:highlight w:val="none"/>
        </w:rPr>
      </w:pPr>
    </w:p>
    <w:p>
      <w:pPr>
        <w:pStyle w:val="17"/>
        <w:spacing w:line="360" w:lineRule="auto"/>
        <w:ind w:left="0"/>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石屏县2024年至2027年义务教育阶段学生营养餐食品食材采购及配送服务项目</w:t>
      </w:r>
    </w:p>
    <w:p>
      <w:pPr>
        <w:pStyle w:val="17"/>
        <w:jc w:val="center"/>
        <w:rPr>
          <w:rFonts w:hint="eastAsia" w:ascii="宋体" w:hAnsi="宋体" w:cs="宋体"/>
          <w:b/>
          <w:color w:val="auto"/>
          <w:sz w:val="44"/>
          <w:szCs w:val="44"/>
          <w:highlight w:val="none"/>
        </w:rPr>
      </w:pPr>
    </w:p>
    <w:p>
      <w:pPr>
        <w:pStyle w:val="17"/>
        <w:jc w:val="center"/>
        <w:rPr>
          <w:rFonts w:hint="eastAsia" w:ascii="宋体" w:hAnsi="宋体" w:cs="宋体"/>
          <w:b/>
          <w:color w:val="auto"/>
          <w:sz w:val="44"/>
          <w:szCs w:val="44"/>
          <w:highlight w:val="none"/>
        </w:rPr>
      </w:pPr>
    </w:p>
    <w:p>
      <w:pPr>
        <w:pStyle w:val="17"/>
        <w:jc w:val="center"/>
        <w:rPr>
          <w:rFonts w:hint="eastAsia" w:ascii="宋体" w:hAnsi="宋体" w:cs="宋体"/>
          <w:b/>
          <w:color w:val="auto"/>
          <w:sz w:val="44"/>
          <w:szCs w:val="44"/>
          <w:highlight w:val="none"/>
        </w:rPr>
      </w:pPr>
    </w:p>
    <w:p>
      <w:pPr>
        <w:pStyle w:val="17"/>
        <w:jc w:val="center"/>
        <w:rPr>
          <w:rFonts w:hint="eastAsia" w:ascii="宋体" w:hAnsi="宋体" w:cs="宋体"/>
          <w:b/>
          <w:color w:val="auto"/>
          <w:sz w:val="44"/>
          <w:szCs w:val="44"/>
          <w:highlight w:val="none"/>
        </w:rPr>
      </w:pPr>
    </w:p>
    <w:p>
      <w:pPr>
        <w:pStyle w:val="17"/>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招 标 文 件</w:t>
      </w:r>
    </w:p>
    <w:p>
      <w:pPr>
        <w:pStyle w:val="17"/>
        <w:jc w:val="center"/>
        <w:rPr>
          <w:rFonts w:hint="eastAsia" w:ascii="宋体" w:hAnsi="宋体" w:cs="宋体"/>
          <w:b/>
          <w:color w:val="auto"/>
          <w:sz w:val="44"/>
          <w:szCs w:val="44"/>
          <w:highlight w:val="none"/>
        </w:rPr>
      </w:pPr>
    </w:p>
    <w:p>
      <w:pPr>
        <w:pStyle w:val="17"/>
        <w:jc w:val="center"/>
        <w:rPr>
          <w:rFonts w:hint="eastAsia" w:ascii="宋体" w:hAnsi="宋体" w:cs="宋体"/>
          <w:b/>
          <w:color w:val="auto"/>
          <w:sz w:val="44"/>
          <w:szCs w:val="44"/>
          <w:highlight w:val="none"/>
        </w:rPr>
      </w:pPr>
    </w:p>
    <w:p>
      <w:pPr>
        <w:pStyle w:val="17"/>
        <w:jc w:val="center"/>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rPr>
        <w:t>项目编号：</w:t>
      </w:r>
      <w:r>
        <w:rPr>
          <w:rFonts w:hint="eastAsia" w:ascii="宋体" w:hAnsi="宋体" w:cs="宋体"/>
          <w:b/>
          <w:color w:val="auto"/>
          <w:sz w:val="40"/>
          <w:szCs w:val="40"/>
          <w:highlight w:val="none"/>
          <w:lang w:eastAsia="zh-CN"/>
        </w:rPr>
        <w:t>HHZC2024-G3-01253-YNCK-0002</w:t>
      </w:r>
    </w:p>
    <w:p>
      <w:pPr>
        <w:pStyle w:val="17"/>
        <w:jc w:val="center"/>
        <w:rPr>
          <w:rFonts w:hint="eastAsia" w:ascii="宋体" w:hAnsi="宋体" w:cs="宋体"/>
          <w:b/>
          <w:color w:val="auto"/>
          <w:sz w:val="40"/>
          <w:szCs w:val="40"/>
          <w:highlight w:val="none"/>
        </w:rPr>
      </w:pPr>
    </w:p>
    <w:p>
      <w:pPr>
        <w:pStyle w:val="17"/>
        <w:jc w:val="center"/>
        <w:rPr>
          <w:rFonts w:hint="eastAsia" w:ascii="宋体" w:hAnsi="宋体" w:cs="宋体"/>
          <w:b/>
          <w:color w:val="auto"/>
          <w:sz w:val="40"/>
          <w:szCs w:val="40"/>
          <w:highlight w:val="none"/>
        </w:rPr>
      </w:pPr>
    </w:p>
    <w:p>
      <w:pPr>
        <w:rPr>
          <w:rFonts w:hint="eastAsia" w:ascii="宋体" w:hAnsi="宋体" w:cs="宋体"/>
          <w:b/>
          <w:color w:val="auto"/>
          <w:sz w:val="40"/>
          <w:szCs w:val="40"/>
          <w:highlight w:val="none"/>
        </w:rPr>
      </w:pPr>
    </w:p>
    <w:p>
      <w:pPr>
        <w:pStyle w:val="17"/>
        <w:jc w:val="center"/>
        <w:rPr>
          <w:rFonts w:hint="eastAsia" w:ascii="宋体" w:hAnsi="宋体" w:cs="宋体"/>
          <w:b/>
          <w:color w:val="auto"/>
          <w:sz w:val="40"/>
          <w:szCs w:val="40"/>
          <w:highlight w:val="none"/>
        </w:rPr>
      </w:pPr>
    </w:p>
    <w:p>
      <w:pPr>
        <w:pStyle w:val="17"/>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采购人：石屏县教育体育局</w:t>
      </w:r>
    </w:p>
    <w:p>
      <w:pPr>
        <w:pStyle w:val="17"/>
        <w:jc w:val="center"/>
        <w:rPr>
          <w:rFonts w:hint="eastAsia" w:ascii="宋体" w:hAnsi="宋体" w:cs="宋体"/>
          <w:b/>
          <w:color w:val="auto"/>
          <w:sz w:val="36"/>
          <w:szCs w:val="36"/>
          <w:highlight w:val="none"/>
        </w:rPr>
      </w:pPr>
    </w:p>
    <w:p>
      <w:pPr>
        <w:pStyle w:val="17"/>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采购代理机构：云南辰柯工程项目管理有限公司</w:t>
      </w:r>
    </w:p>
    <w:p>
      <w:pPr>
        <w:pStyle w:val="17"/>
        <w:jc w:val="center"/>
        <w:rPr>
          <w:rFonts w:hint="eastAsia" w:ascii="宋体" w:hAnsi="宋体" w:cs="宋体"/>
          <w:b/>
          <w:color w:val="auto"/>
          <w:sz w:val="36"/>
          <w:szCs w:val="36"/>
          <w:highlight w:val="none"/>
        </w:rPr>
      </w:pPr>
    </w:p>
    <w:p>
      <w:pPr>
        <w:pStyle w:val="17"/>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二</w:t>
      </w:r>
      <w:r>
        <w:rPr>
          <w:rFonts w:hint="eastAsia" w:ascii="宋体" w:hAnsi="宋体" w:eastAsia="宋体" w:cs="宋体"/>
          <w:b/>
          <w:color w:val="auto"/>
          <w:sz w:val="36"/>
          <w:szCs w:val="36"/>
          <w:highlight w:val="none"/>
        </w:rPr>
        <w:t>○</w:t>
      </w:r>
      <w:r>
        <w:rPr>
          <w:rFonts w:hint="eastAsia" w:ascii="宋体" w:hAnsi="宋体" w:cs="宋体"/>
          <w:b/>
          <w:color w:val="auto"/>
          <w:sz w:val="36"/>
          <w:szCs w:val="36"/>
          <w:highlight w:val="none"/>
        </w:rPr>
        <w:t>二四年</w:t>
      </w:r>
      <w:r>
        <w:rPr>
          <w:rFonts w:hint="eastAsia" w:ascii="宋体" w:hAnsi="宋体" w:cs="宋体"/>
          <w:b/>
          <w:color w:val="auto"/>
          <w:sz w:val="36"/>
          <w:szCs w:val="36"/>
          <w:highlight w:val="none"/>
          <w:lang w:val="en-US" w:eastAsia="zh-CN"/>
        </w:rPr>
        <w:t>六</w:t>
      </w:r>
      <w:r>
        <w:rPr>
          <w:rFonts w:hint="eastAsia" w:ascii="宋体" w:hAnsi="宋体" w:cs="宋体"/>
          <w:b/>
          <w:color w:val="auto"/>
          <w:sz w:val="36"/>
          <w:szCs w:val="36"/>
          <w:highlight w:val="none"/>
        </w:rPr>
        <w:t>月</w:t>
      </w:r>
    </w:p>
    <w:p>
      <w:pPr>
        <w:pStyle w:val="26"/>
        <w:jc w:val="center"/>
        <w:rPr>
          <w:rFonts w:hint="eastAsia" w:ascii="宋体" w:hAnsi="宋体" w:cs="宋体"/>
          <w:color w:val="auto"/>
          <w:sz w:val="32"/>
          <w:szCs w:val="32"/>
          <w:highlight w:val="none"/>
          <w:lang w:val="zh-CN"/>
        </w:rPr>
        <w:sectPr>
          <w:headerReference r:id="rId3" w:type="default"/>
          <w:footerReference r:id="rId4" w:type="default"/>
          <w:pgSz w:w="11906" w:h="16838"/>
          <w:pgMar w:top="1440" w:right="1080" w:bottom="1440" w:left="1080" w:header="851" w:footer="680" w:gutter="0"/>
          <w:pgNumType w:start="1"/>
          <w:cols w:space="425" w:num="1"/>
          <w:docGrid w:type="lines" w:linePitch="312" w:charSpace="0"/>
        </w:sectPr>
      </w:pPr>
    </w:p>
    <w:p>
      <w:pPr>
        <w:pStyle w:val="26"/>
        <w:jc w:val="cente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目</w:t>
      </w:r>
      <w:r>
        <w:rPr>
          <w:rFonts w:hint="eastAsia" w:ascii="宋体" w:hAnsi="宋体" w:cs="宋体"/>
          <w:color w:val="auto"/>
          <w:sz w:val="36"/>
          <w:szCs w:val="36"/>
          <w:highlight w:val="none"/>
        </w:rPr>
        <w:t xml:space="preserve">  </w:t>
      </w:r>
      <w:r>
        <w:rPr>
          <w:rFonts w:hint="eastAsia" w:ascii="宋体" w:hAnsi="宋体" w:cs="宋体"/>
          <w:color w:val="auto"/>
          <w:sz w:val="36"/>
          <w:szCs w:val="36"/>
          <w:highlight w:val="none"/>
          <w:lang w:val="zh-CN"/>
        </w:rPr>
        <w:t>录</w:t>
      </w:r>
    </w:p>
    <w:p>
      <w:pPr>
        <w:pStyle w:val="16"/>
        <w:tabs>
          <w:tab w:val="right" w:leader="dot" w:pos="9746"/>
          <w:tab w:val="clear" w:pos="9663"/>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TOC \o "1-2" \h \u </w:instrText>
      </w:r>
      <w:r>
        <w:rPr>
          <w:rFonts w:hint="eastAsia" w:ascii="宋体" w:hAnsi="宋体" w:eastAsia="宋体" w:cs="宋体"/>
          <w:bCs/>
          <w:color w:val="auto"/>
          <w:szCs w:val="32"/>
          <w:highlight w:val="none"/>
        </w:rPr>
        <w:fldChar w:fldCharType="separate"/>
      </w: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_Toc22167 </w:instrText>
      </w:r>
      <w:r>
        <w:rPr>
          <w:rFonts w:hint="eastAsia" w:ascii="宋体" w:hAnsi="宋体" w:eastAsia="宋体" w:cs="宋体"/>
          <w:bCs/>
          <w:color w:val="auto"/>
          <w:szCs w:val="32"/>
          <w:highlight w:val="none"/>
        </w:rPr>
        <w:fldChar w:fldCharType="separate"/>
      </w:r>
      <w:r>
        <w:rPr>
          <w:rFonts w:hint="eastAsia" w:ascii="宋体" w:hAnsi="宋体" w:cs="宋体" w:eastAsiaTheme="minorEastAsia"/>
          <w:color w:val="auto"/>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_Toc22167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_Toc26930 </w:instrText>
      </w:r>
      <w:r>
        <w:rPr>
          <w:rFonts w:hint="eastAsia" w:ascii="宋体" w:hAnsi="宋体" w:eastAsia="宋体" w:cs="宋体"/>
          <w:bCs/>
          <w:color w:val="auto"/>
          <w:szCs w:val="32"/>
          <w:highlight w:val="none"/>
        </w:rPr>
        <w:fldChar w:fldCharType="separate"/>
      </w:r>
      <w:r>
        <w:rPr>
          <w:rFonts w:hint="eastAsia" w:ascii="宋体" w:hAnsi="宋体" w:cs="宋体"/>
          <w:bCs/>
          <w:color w:val="auto"/>
          <w:szCs w:val="24"/>
          <w:highlight w:val="none"/>
        </w:rPr>
        <w:t>一、项目基本情况</w:t>
      </w:r>
      <w:r>
        <w:rPr>
          <w:color w:val="auto"/>
          <w:highlight w:val="none"/>
        </w:rPr>
        <w:tab/>
      </w:r>
      <w:r>
        <w:rPr>
          <w:color w:val="auto"/>
          <w:highlight w:val="none"/>
        </w:rPr>
        <w:fldChar w:fldCharType="begin"/>
      </w:r>
      <w:r>
        <w:rPr>
          <w:color w:val="auto"/>
          <w:highlight w:val="none"/>
        </w:rPr>
        <w:instrText xml:space="preserve"> PAGEREF _Toc26930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_Toc28440 </w:instrText>
      </w:r>
      <w:r>
        <w:rPr>
          <w:rFonts w:hint="eastAsia" w:ascii="宋体" w:hAnsi="宋体" w:eastAsia="宋体" w:cs="宋体"/>
          <w:bCs/>
          <w:color w:val="auto"/>
          <w:szCs w:val="32"/>
          <w:highlight w:val="none"/>
        </w:rPr>
        <w:fldChar w:fldCharType="separate"/>
      </w:r>
      <w:r>
        <w:rPr>
          <w:rFonts w:hint="eastAsia" w:ascii="宋体" w:hAnsi="宋体" w:cs="宋体"/>
          <w:bCs/>
          <w:color w:val="auto"/>
          <w:szCs w:val="24"/>
          <w:highlight w:val="none"/>
        </w:rPr>
        <w:t>二、</w:t>
      </w:r>
      <w:r>
        <w:rPr>
          <w:rFonts w:hint="eastAsia" w:ascii="宋体" w:hAnsi="宋体" w:cs="宋体"/>
          <w:bCs/>
          <w:color w:val="auto"/>
          <w:szCs w:val="24"/>
          <w:highlight w:val="none"/>
          <w:lang w:eastAsia="zh-CN"/>
        </w:rPr>
        <w:t>供应商</w:t>
      </w:r>
      <w:r>
        <w:rPr>
          <w:rFonts w:hint="eastAsia" w:ascii="宋体" w:hAnsi="宋体" w:cs="宋体"/>
          <w:bCs/>
          <w:color w:val="auto"/>
          <w:szCs w:val="24"/>
          <w:highlight w:val="none"/>
        </w:rPr>
        <w:t>的资格要求</w:t>
      </w:r>
      <w:r>
        <w:rPr>
          <w:color w:val="auto"/>
          <w:highlight w:val="none"/>
        </w:rPr>
        <w:tab/>
      </w:r>
      <w:r>
        <w:rPr>
          <w:color w:val="auto"/>
          <w:highlight w:val="none"/>
        </w:rPr>
        <w:fldChar w:fldCharType="begin"/>
      </w:r>
      <w:r>
        <w:rPr>
          <w:color w:val="auto"/>
          <w:highlight w:val="none"/>
        </w:rPr>
        <w:instrText xml:space="preserve"> PAGEREF _Toc28440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_Toc1073 </w:instrText>
      </w:r>
      <w:r>
        <w:rPr>
          <w:rFonts w:hint="eastAsia" w:ascii="宋体" w:hAnsi="宋体" w:eastAsia="宋体" w:cs="宋体"/>
          <w:bCs/>
          <w:color w:val="auto"/>
          <w:szCs w:val="32"/>
          <w:highlight w:val="none"/>
        </w:rPr>
        <w:fldChar w:fldCharType="separate"/>
      </w:r>
      <w:r>
        <w:rPr>
          <w:rFonts w:hint="eastAsia" w:ascii="宋体" w:hAnsi="宋体" w:cs="宋体"/>
          <w:bCs/>
          <w:color w:val="auto"/>
          <w:szCs w:val="24"/>
          <w:highlight w:val="none"/>
        </w:rPr>
        <w:t>三、获取招标文件</w:t>
      </w:r>
      <w:r>
        <w:rPr>
          <w:color w:val="auto"/>
          <w:highlight w:val="none"/>
        </w:rPr>
        <w:tab/>
      </w:r>
      <w:r>
        <w:rPr>
          <w:color w:val="auto"/>
          <w:highlight w:val="none"/>
        </w:rPr>
        <w:fldChar w:fldCharType="begin"/>
      </w:r>
      <w:r>
        <w:rPr>
          <w:color w:val="auto"/>
          <w:highlight w:val="none"/>
        </w:rPr>
        <w:instrText xml:space="preserve"> PAGEREF _Toc1073 \h </w:instrText>
      </w:r>
      <w:r>
        <w:rPr>
          <w:color w:val="auto"/>
          <w:highlight w:val="none"/>
        </w:rPr>
        <w:fldChar w:fldCharType="separate"/>
      </w:r>
      <w:r>
        <w:rPr>
          <w:color w:val="auto"/>
          <w:highlight w:val="none"/>
        </w:rPr>
        <w:t>4</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_Toc28855 </w:instrText>
      </w:r>
      <w:r>
        <w:rPr>
          <w:rFonts w:hint="eastAsia" w:ascii="宋体" w:hAnsi="宋体" w:eastAsia="宋体" w:cs="宋体"/>
          <w:bCs/>
          <w:color w:val="auto"/>
          <w:szCs w:val="32"/>
          <w:highlight w:val="none"/>
        </w:rPr>
        <w:fldChar w:fldCharType="separate"/>
      </w:r>
      <w:r>
        <w:rPr>
          <w:rFonts w:hint="eastAsia" w:ascii="宋体" w:hAnsi="宋体" w:cs="宋体"/>
          <w:bCs/>
          <w:color w:val="auto"/>
          <w:szCs w:val="24"/>
          <w:highlight w:val="none"/>
        </w:rPr>
        <w:t>四、提交投标文件截止时间、开标时间和地点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_Toc28855 \h </w:instrText>
      </w:r>
      <w:r>
        <w:rPr>
          <w:color w:val="auto"/>
          <w:highlight w:val="none"/>
        </w:rPr>
        <w:fldChar w:fldCharType="separate"/>
      </w:r>
      <w:r>
        <w:rPr>
          <w:color w:val="auto"/>
          <w:highlight w:val="none"/>
        </w:rPr>
        <w:t>4</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_Toc1827 </w:instrText>
      </w:r>
      <w:r>
        <w:rPr>
          <w:rFonts w:hint="eastAsia" w:ascii="宋体" w:hAnsi="宋体" w:eastAsia="宋体" w:cs="宋体"/>
          <w:bCs/>
          <w:color w:val="auto"/>
          <w:szCs w:val="32"/>
          <w:highlight w:val="none"/>
        </w:rPr>
        <w:fldChar w:fldCharType="separate"/>
      </w:r>
      <w:r>
        <w:rPr>
          <w:rFonts w:hint="eastAsia" w:ascii="宋体" w:hAnsi="宋体" w:cs="宋体"/>
          <w:bCs/>
          <w:color w:val="auto"/>
          <w:szCs w:val="24"/>
          <w:highlight w:val="none"/>
        </w:rPr>
        <w:t>五、公告期限</w:t>
      </w:r>
      <w:r>
        <w:rPr>
          <w:color w:val="auto"/>
          <w:highlight w:val="none"/>
        </w:rPr>
        <w:tab/>
      </w:r>
      <w:r>
        <w:rPr>
          <w:color w:val="auto"/>
          <w:highlight w:val="none"/>
        </w:rPr>
        <w:fldChar w:fldCharType="begin"/>
      </w:r>
      <w:r>
        <w:rPr>
          <w:color w:val="auto"/>
          <w:highlight w:val="none"/>
        </w:rPr>
        <w:instrText xml:space="preserve"> PAGEREF _Toc1827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_Toc20889 </w:instrText>
      </w:r>
      <w:r>
        <w:rPr>
          <w:rFonts w:hint="eastAsia" w:ascii="宋体" w:hAnsi="宋体" w:eastAsia="宋体" w:cs="宋体"/>
          <w:bCs/>
          <w:color w:val="auto"/>
          <w:szCs w:val="32"/>
          <w:highlight w:val="none"/>
        </w:rPr>
        <w:fldChar w:fldCharType="separate"/>
      </w:r>
      <w:r>
        <w:rPr>
          <w:rFonts w:hint="eastAsia" w:ascii="宋体" w:hAnsi="宋体" w:cs="宋体"/>
          <w:bCs/>
          <w:color w:val="auto"/>
          <w:szCs w:val="24"/>
          <w:highlight w:val="none"/>
        </w:rPr>
        <w:t>六、其他补充事宜</w:t>
      </w:r>
      <w:r>
        <w:rPr>
          <w:color w:val="auto"/>
          <w:highlight w:val="none"/>
        </w:rPr>
        <w:tab/>
      </w:r>
      <w:r>
        <w:rPr>
          <w:color w:val="auto"/>
          <w:highlight w:val="none"/>
        </w:rPr>
        <w:fldChar w:fldCharType="begin"/>
      </w:r>
      <w:r>
        <w:rPr>
          <w:color w:val="auto"/>
          <w:highlight w:val="none"/>
        </w:rPr>
        <w:instrText xml:space="preserve"> PAGEREF _Toc20889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_Toc9208 </w:instrText>
      </w:r>
      <w:r>
        <w:rPr>
          <w:rFonts w:hint="eastAsia" w:ascii="宋体" w:hAnsi="宋体" w:eastAsia="宋体" w:cs="宋体"/>
          <w:bCs/>
          <w:color w:val="auto"/>
          <w:szCs w:val="32"/>
          <w:highlight w:val="none"/>
        </w:rPr>
        <w:fldChar w:fldCharType="separate"/>
      </w:r>
      <w:r>
        <w:rPr>
          <w:rFonts w:hint="eastAsia" w:ascii="宋体" w:hAnsi="宋体" w:cs="宋体"/>
          <w:bCs/>
          <w:color w:val="auto"/>
          <w:szCs w:val="24"/>
          <w:highlight w:val="none"/>
        </w:rPr>
        <w:t>七、对本次招标提出询问，请按以下方式联系。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_Toc9208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cs="宋体"/>
          <w:bCs/>
          <w:color w:val="auto"/>
          <w:szCs w:val="32"/>
          <w:highlight w:val="none"/>
        </w:rPr>
        <w:fldChar w:fldCharType="end"/>
      </w:r>
    </w:p>
    <w:p>
      <w:pPr>
        <w:pStyle w:val="16"/>
        <w:tabs>
          <w:tab w:val="right" w:leader="dot" w:pos="9746"/>
          <w:tab w:val="clear" w:pos="9663"/>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_Toc18118 </w:instrText>
      </w:r>
      <w:r>
        <w:rPr>
          <w:rFonts w:hint="eastAsia" w:ascii="宋体" w:hAnsi="宋体" w:eastAsia="宋体" w:cs="宋体"/>
          <w:bCs/>
          <w:color w:val="auto"/>
          <w:szCs w:val="32"/>
          <w:highlight w:val="none"/>
        </w:rPr>
        <w:fldChar w:fldCharType="separate"/>
      </w:r>
      <w:r>
        <w:rPr>
          <w:rFonts w:hint="eastAsia" w:ascii="宋体" w:hAnsi="宋体" w:cs="宋体"/>
          <w:color w:val="auto"/>
          <w:highlight w:val="none"/>
        </w:rPr>
        <w:t xml:space="preserve">第二章 </w:t>
      </w:r>
      <w:r>
        <w:rPr>
          <w:rFonts w:hint="eastAsia" w:ascii="宋体" w:hAnsi="宋体" w:cs="宋体"/>
          <w:color w:val="auto"/>
          <w:highlight w:val="none"/>
          <w:lang w:eastAsia="zh-CN"/>
        </w:rPr>
        <w:t>供应商</w:t>
      </w:r>
      <w:r>
        <w:rPr>
          <w:rFonts w:hint="eastAsia" w:ascii="宋体" w:hAnsi="宋体" w:cs="宋体"/>
          <w:color w:val="auto"/>
          <w:highlight w:val="none"/>
        </w:rPr>
        <w:t>须知</w:t>
      </w:r>
      <w:r>
        <w:rPr>
          <w:color w:val="auto"/>
          <w:highlight w:val="none"/>
        </w:rPr>
        <w:tab/>
      </w:r>
      <w:r>
        <w:rPr>
          <w:color w:val="auto"/>
          <w:highlight w:val="none"/>
        </w:rPr>
        <w:fldChar w:fldCharType="begin"/>
      </w:r>
      <w:r>
        <w:rPr>
          <w:color w:val="auto"/>
          <w:highlight w:val="none"/>
        </w:rPr>
        <w:instrText xml:space="preserve"> PAGEREF _Toc18118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_Toc17164 </w:instrText>
      </w:r>
      <w:r>
        <w:rPr>
          <w:rFonts w:hint="eastAsia" w:ascii="宋体" w:hAnsi="宋体" w:eastAsia="宋体" w:cs="宋体"/>
          <w:bCs/>
          <w:color w:val="auto"/>
          <w:szCs w:val="32"/>
          <w:highlight w:val="none"/>
        </w:rPr>
        <w:fldChar w:fldCharType="separate"/>
      </w:r>
      <w:r>
        <w:rPr>
          <w:rFonts w:hint="eastAsia" w:ascii="宋体" w:hAnsi="宋体" w:cs="宋体"/>
          <w:bCs/>
          <w:color w:val="auto"/>
          <w:szCs w:val="28"/>
          <w:highlight w:val="none"/>
          <w:lang w:eastAsia="zh-CN"/>
        </w:rPr>
        <w:t>供应商</w:t>
      </w:r>
      <w:r>
        <w:rPr>
          <w:rFonts w:hint="eastAsia" w:ascii="宋体" w:hAnsi="宋体" w:cs="宋体"/>
          <w:bCs/>
          <w:color w:val="auto"/>
          <w:szCs w:val="28"/>
          <w:highlight w:val="none"/>
        </w:rPr>
        <w:t>须知前附表</w:t>
      </w:r>
      <w:r>
        <w:rPr>
          <w:color w:val="auto"/>
          <w:highlight w:val="none"/>
        </w:rPr>
        <w:tab/>
      </w:r>
      <w:r>
        <w:rPr>
          <w:color w:val="auto"/>
          <w:highlight w:val="none"/>
        </w:rPr>
        <w:fldChar w:fldCharType="begin"/>
      </w:r>
      <w:r>
        <w:rPr>
          <w:color w:val="auto"/>
          <w:highlight w:val="none"/>
        </w:rPr>
        <w:instrText xml:space="preserve"> PAGEREF _Toc17164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_Toc18643 </w:instrText>
      </w:r>
      <w:r>
        <w:rPr>
          <w:rFonts w:hint="eastAsia" w:ascii="宋体" w:hAnsi="宋体" w:eastAsia="宋体" w:cs="宋体"/>
          <w:bCs/>
          <w:color w:val="auto"/>
          <w:szCs w:val="32"/>
          <w:highlight w:val="none"/>
        </w:rPr>
        <w:fldChar w:fldCharType="separate"/>
      </w:r>
      <w:r>
        <w:rPr>
          <w:rFonts w:hint="eastAsia" w:ascii="宋体" w:hAnsi="宋体" w:cs="宋体"/>
          <w:color w:val="auto"/>
          <w:spacing w:val="0"/>
          <w:kern w:val="0"/>
          <w:szCs w:val="28"/>
          <w:highlight w:val="none"/>
        </w:rPr>
        <w:t>一、</w:t>
      </w:r>
      <w:r>
        <w:rPr>
          <w:rFonts w:hint="eastAsia" w:ascii="宋体" w:hAnsi="宋体" w:cs="宋体"/>
          <w:color w:val="auto"/>
          <w:szCs w:val="28"/>
          <w:highlight w:val="none"/>
        </w:rPr>
        <w:t>总则</w:t>
      </w:r>
      <w:r>
        <w:rPr>
          <w:color w:val="auto"/>
          <w:highlight w:val="none"/>
        </w:rPr>
        <w:tab/>
      </w:r>
      <w:r>
        <w:rPr>
          <w:color w:val="auto"/>
          <w:highlight w:val="none"/>
        </w:rPr>
        <w:fldChar w:fldCharType="begin"/>
      </w:r>
      <w:r>
        <w:rPr>
          <w:color w:val="auto"/>
          <w:highlight w:val="none"/>
        </w:rPr>
        <w:instrText xml:space="preserve"> PAGEREF _Toc18643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_Toc3492 </w:instrText>
      </w:r>
      <w:r>
        <w:rPr>
          <w:rFonts w:hint="eastAsia" w:ascii="宋体" w:hAnsi="宋体" w:eastAsia="宋体" w:cs="宋体"/>
          <w:bCs/>
          <w:color w:val="auto"/>
          <w:szCs w:val="32"/>
          <w:highlight w:val="none"/>
        </w:rPr>
        <w:fldChar w:fldCharType="separate"/>
      </w:r>
      <w:r>
        <w:rPr>
          <w:rFonts w:hint="eastAsia" w:ascii="宋体" w:hAnsi="宋体" w:cs="宋体"/>
          <w:color w:val="auto"/>
          <w:szCs w:val="24"/>
          <w:highlight w:val="none"/>
        </w:rPr>
        <w:t>二、招标文件</w:t>
      </w:r>
      <w:r>
        <w:rPr>
          <w:color w:val="auto"/>
          <w:highlight w:val="none"/>
        </w:rPr>
        <w:tab/>
      </w:r>
      <w:r>
        <w:rPr>
          <w:color w:val="auto"/>
          <w:highlight w:val="none"/>
        </w:rPr>
        <w:fldChar w:fldCharType="begin"/>
      </w:r>
      <w:r>
        <w:rPr>
          <w:color w:val="auto"/>
          <w:highlight w:val="none"/>
        </w:rPr>
        <w:instrText xml:space="preserve"> PAGEREF _Toc3492 \h </w:instrText>
      </w:r>
      <w:r>
        <w:rPr>
          <w:color w:val="auto"/>
          <w:highlight w:val="none"/>
        </w:rPr>
        <w:fldChar w:fldCharType="separate"/>
      </w:r>
      <w:r>
        <w:rPr>
          <w:color w:val="auto"/>
          <w:highlight w:val="none"/>
        </w:rPr>
        <w:t>15</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_Toc10991 </w:instrText>
      </w:r>
      <w:r>
        <w:rPr>
          <w:rFonts w:hint="eastAsia" w:ascii="宋体" w:hAnsi="宋体" w:eastAsia="宋体" w:cs="宋体"/>
          <w:bCs/>
          <w:color w:val="auto"/>
          <w:szCs w:val="32"/>
          <w:highlight w:val="none"/>
        </w:rPr>
        <w:fldChar w:fldCharType="separate"/>
      </w:r>
      <w:r>
        <w:rPr>
          <w:rFonts w:hint="eastAsia" w:ascii="宋体" w:hAnsi="宋体" w:cs="宋体"/>
          <w:color w:val="auto"/>
          <w:szCs w:val="28"/>
          <w:highlight w:val="none"/>
        </w:rPr>
        <w:t>三、投标文件</w:t>
      </w:r>
      <w:r>
        <w:rPr>
          <w:color w:val="auto"/>
          <w:highlight w:val="none"/>
        </w:rPr>
        <w:tab/>
      </w:r>
      <w:r>
        <w:rPr>
          <w:color w:val="auto"/>
          <w:highlight w:val="none"/>
        </w:rPr>
        <w:fldChar w:fldCharType="begin"/>
      </w:r>
      <w:r>
        <w:rPr>
          <w:color w:val="auto"/>
          <w:highlight w:val="none"/>
        </w:rPr>
        <w:instrText xml:space="preserve"> PAGEREF _Toc10991 \h </w:instrText>
      </w:r>
      <w:r>
        <w:rPr>
          <w:color w:val="auto"/>
          <w:highlight w:val="none"/>
        </w:rPr>
        <w:fldChar w:fldCharType="separate"/>
      </w:r>
      <w:r>
        <w:rPr>
          <w:color w:val="auto"/>
          <w:highlight w:val="none"/>
        </w:rPr>
        <w:t>16</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_Toc1347 </w:instrText>
      </w:r>
      <w:r>
        <w:rPr>
          <w:rFonts w:hint="eastAsia" w:ascii="宋体" w:hAnsi="宋体" w:eastAsia="宋体" w:cs="宋体"/>
          <w:bCs/>
          <w:color w:val="auto"/>
          <w:szCs w:val="32"/>
          <w:highlight w:val="none"/>
        </w:rPr>
        <w:fldChar w:fldCharType="separate"/>
      </w:r>
      <w:r>
        <w:rPr>
          <w:rFonts w:hint="eastAsia" w:ascii="宋体" w:hAnsi="宋体" w:cs="宋体"/>
          <w:color w:val="auto"/>
          <w:szCs w:val="28"/>
          <w:highlight w:val="none"/>
        </w:rPr>
        <w:t>四、投标</w:t>
      </w:r>
      <w:r>
        <w:rPr>
          <w:color w:val="auto"/>
          <w:highlight w:val="none"/>
        </w:rPr>
        <w:tab/>
      </w:r>
      <w:r>
        <w:rPr>
          <w:color w:val="auto"/>
          <w:highlight w:val="none"/>
        </w:rPr>
        <w:fldChar w:fldCharType="begin"/>
      </w:r>
      <w:r>
        <w:rPr>
          <w:color w:val="auto"/>
          <w:highlight w:val="none"/>
        </w:rPr>
        <w:instrText xml:space="preserve"> PAGEREF _Toc1347 \h </w:instrText>
      </w:r>
      <w:r>
        <w:rPr>
          <w:color w:val="auto"/>
          <w:highlight w:val="none"/>
        </w:rPr>
        <w:fldChar w:fldCharType="separate"/>
      </w:r>
      <w:r>
        <w:rPr>
          <w:color w:val="auto"/>
          <w:highlight w:val="none"/>
        </w:rPr>
        <w:t>18</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_Toc16219 </w:instrText>
      </w:r>
      <w:r>
        <w:rPr>
          <w:rFonts w:hint="eastAsia" w:ascii="宋体" w:hAnsi="宋体" w:eastAsia="宋体" w:cs="宋体"/>
          <w:bCs/>
          <w:color w:val="auto"/>
          <w:szCs w:val="32"/>
          <w:highlight w:val="none"/>
        </w:rPr>
        <w:fldChar w:fldCharType="separate"/>
      </w:r>
      <w:r>
        <w:rPr>
          <w:rFonts w:hint="eastAsia" w:ascii="宋体" w:hAnsi="宋体" w:cs="宋体"/>
          <w:color w:val="auto"/>
          <w:szCs w:val="28"/>
          <w:highlight w:val="none"/>
        </w:rPr>
        <w:t>五、开标</w:t>
      </w:r>
      <w:r>
        <w:rPr>
          <w:color w:val="auto"/>
          <w:highlight w:val="none"/>
        </w:rPr>
        <w:tab/>
      </w:r>
      <w:r>
        <w:rPr>
          <w:color w:val="auto"/>
          <w:highlight w:val="none"/>
        </w:rPr>
        <w:fldChar w:fldCharType="begin"/>
      </w:r>
      <w:r>
        <w:rPr>
          <w:color w:val="auto"/>
          <w:highlight w:val="none"/>
        </w:rPr>
        <w:instrText xml:space="preserve"> PAGEREF _Toc16219 \h </w:instrText>
      </w:r>
      <w:r>
        <w:rPr>
          <w:color w:val="auto"/>
          <w:highlight w:val="none"/>
        </w:rPr>
        <w:fldChar w:fldCharType="separate"/>
      </w:r>
      <w:r>
        <w:rPr>
          <w:color w:val="auto"/>
          <w:highlight w:val="none"/>
        </w:rPr>
        <w:t>19</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_Toc22217 </w:instrText>
      </w:r>
      <w:r>
        <w:rPr>
          <w:rFonts w:hint="eastAsia" w:ascii="宋体" w:hAnsi="宋体" w:eastAsia="宋体" w:cs="宋体"/>
          <w:bCs/>
          <w:color w:val="auto"/>
          <w:szCs w:val="32"/>
          <w:highlight w:val="none"/>
        </w:rPr>
        <w:fldChar w:fldCharType="separate"/>
      </w:r>
      <w:r>
        <w:rPr>
          <w:rFonts w:hint="eastAsia" w:ascii="宋体" w:hAnsi="宋体" w:cs="宋体"/>
          <w:color w:val="auto"/>
          <w:szCs w:val="28"/>
          <w:highlight w:val="none"/>
        </w:rPr>
        <w:t>六、评标</w:t>
      </w:r>
      <w:r>
        <w:rPr>
          <w:color w:val="auto"/>
          <w:highlight w:val="none"/>
        </w:rPr>
        <w:tab/>
      </w:r>
      <w:r>
        <w:rPr>
          <w:color w:val="auto"/>
          <w:highlight w:val="none"/>
        </w:rPr>
        <w:fldChar w:fldCharType="begin"/>
      </w:r>
      <w:r>
        <w:rPr>
          <w:color w:val="auto"/>
          <w:highlight w:val="none"/>
        </w:rPr>
        <w:instrText xml:space="preserve"> PAGEREF _Toc22217 \h </w:instrText>
      </w:r>
      <w:r>
        <w:rPr>
          <w:color w:val="auto"/>
          <w:highlight w:val="none"/>
        </w:rPr>
        <w:fldChar w:fldCharType="separate"/>
      </w:r>
      <w:r>
        <w:rPr>
          <w:color w:val="auto"/>
          <w:highlight w:val="none"/>
        </w:rPr>
        <w:t>20</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_Toc7311 </w:instrText>
      </w:r>
      <w:r>
        <w:rPr>
          <w:rFonts w:hint="eastAsia" w:ascii="宋体" w:hAnsi="宋体" w:eastAsia="宋体" w:cs="宋体"/>
          <w:bCs/>
          <w:color w:val="auto"/>
          <w:szCs w:val="32"/>
          <w:highlight w:val="none"/>
        </w:rPr>
        <w:fldChar w:fldCharType="separate"/>
      </w:r>
      <w:r>
        <w:rPr>
          <w:rFonts w:hint="eastAsia" w:ascii="宋体" w:hAnsi="宋体" w:cs="宋体"/>
          <w:color w:val="auto"/>
          <w:szCs w:val="28"/>
          <w:highlight w:val="none"/>
        </w:rPr>
        <w:t>七、中标结果</w:t>
      </w:r>
      <w:r>
        <w:rPr>
          <w:color w:val="auto"/>
          <w:highlight w:val="none"/>
        </w:rPr>
        <w:tab/>
      </w:r>
      <w:r>
        <w:rPr>
          <w:color w:val="auto"/>
          <w:highlight w:val="none"/>
        </w:rPr>
        <w:fldChar w:fldCharType="begin"/>
      </w:r>
      <w:r>
        <w:rPr>
          <w:color w:val="auto"/>
          <w:highlight w:val="none"/>
        </w:rPr>
        <w:instrText xml:space="preserve"> PAGEREF _Toc7311 \h </w:instrText>
      </w:r>
      <w:r>
        <w:rPr>
          <w:color w:val="auto"/>
          <w:highlight w:val="none"/>
        </w:rPr>
        <w:fldChar w:fldCharType="separate"/>
      </w:r>
      <w:r>
        <w:rPr>
          <w:color w:val="auto"/>
          <w:highlight w:val="none"/>
        </w:rPr>
        <w:t>22</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_Toc20350 </w:instrText>
      </w:r>
      <w:r>
        <w:rPr>
          <w:rFonts w:hint="eastAsia" w:ascii="宋体" w:hAnsi="宋体" w:eastAsia="宋体" w:cs="宋体"/>
          <w:bCs/>
          <w:color w:val="auto"/>
          <w:szCs w:val="32"/>
          <w:highlight w:val="none"/>
        </w:rPr>
        <w:fldChar w:fldCharType="separate"/>
      </w:r>
      <w:r>
        <w:rPr>
          <w:rFonts w:hint="eastAsia" w:ascii="宋体" w:hAnsi="宋体" w:cs="宋体"/>
          <w:color w:val="auto"/>
          <w:szCs w:val="28"/>
          <w:highlight w:val="none"/>
        </w:rPr>
        <w:t>八、其他事项</w:t>
      </w:r>
      <w:r>
        <w:rPr>
          <w:color w:val="auto"/>
          <w:highlight w:val="none"/>
        </w:rPr>
        <w:tab/>
      </w:r>
      <w:r>
        <w:rPr>
          <w:color w:val="auto"/>
          <w:highlight w:val="none"/>
        </w:rPr>
        <w:fldChar w:fldCharType="begin"/>
      </w:r>
      <w:r>
        <w:rPr>
          <w:color w:val="auto"/>
          <w:highlight w:val="none"/>
        </w:rPr>
        <w:instrText xml:space="preserve"> PAGEREF _Toc20350 \h </w:instrText>
      </w:r>
      <w:r>
        <w:rPr>
          <w:color w:val="auto"/>
          <w:highlight w:val="none"/>
        </w:rPr>
        <w:fldChar w:fldCharType="separate"/>
      </w:r>
      <w:r>
        <w:rPr>
          <w:color w:val="auto"/>
          <w:highlight w:val="none"/>
        </w:rPr>
        <w:t>24</w:t>
      </w:r>
      <w:r>
        <w:rPr>
          <w:color w:val="auto"/>
          <w:highlight w:val="none"/>
        </w:rPr>
        <w:fldChar w:fldCharType="end"/>
      </w:r>
      <w:r>
        <w:rPr>
          <w:rFonts w:hint="eastAsia" w:ascii="宋体" w:hAnsi="宋体" w:eastAsia="宋体" w:cs="宋体"/>
          <w:bCs/>
          <w:color w:val="auto"/>
          <w:szCs w:val="32"/>
          <w:highlight w:val="none"/>
        </w:rPr>
        <w:fldChar w:fldCharType="end"/>
      </w:r>
    </w:p>
    <w:p>
      <w:pPr>
        <w:pStyle w:val="16"/>
        <w:tabs>
          <w:tab w:val="right" w:leader="dot" w:pos="9746"/>
          <w:tab w:val="clear" w:pos="9663"/>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_Toc28828 </w:instrText>
      </w:r>
      <w:r>
        <w:rPr>
          <w:rFonts w:hint="eastAsia" w:ascii="宋体" w:hAnsi="宋体" w:eastAsia="宋体" w:cs="宋体"/>
          <w:bCs/>
          <w:color w:val="auto"/>
          <w:szCs w:val="32"/>
          <w:highlight w:val="none"/>
        </w:rPr>
        <w:fldChar w:fldCharType="separate"/>
      </w:r>
      <w:r>
        <w:rPr>
          <w:rFonts w:hint="eastAsia" w:ascii="宋体" w:hAnsi="宋体" w:cs="宋体"/>
          <w:color w:val="auto"/>
          <w:highlight w:val="none"/>
        </w:rPr>
        <w:t>第三章 合同书样式及主要条款</w:t>
      </w:r>
      <w:r>
        <w:rPr>
          <w:color w:val="auto"/>
          <w:highlight w:val="none"/>
        </w:rPr>
        <w:tab/>
      </w:r>
      <w:r>
        <w:rPr>
          <w:color w:val="auto"/>
          <w:highlight w:val="none"/>
        </w:rPr>
        <w:fldChar w:fldCharType="begin"/>
      </w:r>
      <w:r>
        <w:rPr>
          <w:color w:val="auto"/>
          <w:highlight w:val="none"/>
        </w:rPr>
        <w:instrText xml:space="preserve"> PAGEREF _Toc28828 \h </w:instrText>
      </w:r>
      <w:r>
        <w:rPr>
          <w:color w:val="auto"/>
          <w:highlight w:val="none"/>
        </w:rPr>
        <w:fldChar w:fldCharType="separate"/>
      </w:r>
      <w:r>
        <w:rPr>
          <w:color w:val="auto"/>
          <w:highlight w:val="none"/>
        </w:rPr>
        <w:t>28</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_Toc19314 </w:instrText>
      </w:r>
      <w:r>
        <w:rPr>
          <w:rFonts w:hint="eastAsia" w:ascii="宋体" w:hAnsi="宋体" w:eastAsia="宋体" w:cs="宋体"/>
          <w:bCs/>
          <w:color w:val="auto"/>
          <w:szCs w:val="32"/>
          <w:highlight w:val="none"/>
        </w:rPr>
        <w:fldChar w:fldCharType="separate"/>
      </w:r>
      <w:r>
        <w:rPr>
          <w:rFonts w:hint="eastAsia" w:ascii="宋体" w:hAnsi="宋体" w:cs="宋体"/>
          <w:color w:val="auto"/>
          <w:szCs w:val="28"/>
          <w:highlight w:val="none"/>
        </w:rPr>
        <w:t>合同条款前附表</w:t>
      </w:r>
      <w:r>
        <w:rPr>
          <w:color w:val="auto"/>
          <w:highlight w:val="none"/>
        </w:rPr>
        <w:tab/>
      </w:r>
      <w:r>
        <w:rPr>
          <w:color w:val="auto"/>
          <w:highlight w:val="none"/>
        </w:rPr>
        <w:fldChar w:fldCharType="begin"/>
      </w:r>
      <w:r>
        <w:rPr>
          <w:color w:val="auto"/>
          <w:highlight w:val="none"/>
        </w:rPr>
        <w:instrText xml:space="preserve"> PAGEREF _Toc19314 \h </w:instrText>
      </w:r>
      <w:r>
        <w:rPr>
          <w:color w:val="auto"/>
          <w:highlight w:val="none"/>
        </w:rPr>
        <w:fldChar w:fldCharType="separate"/>
      </w:r>
      <w:r>
        <w:rPr>
          <w:color w:val="auto"/>
          <w:highlight w:val="none"/>
        </w:rPr>
        <w:t>28</w:t>
      </w:r>
      <w:r>
        <w:rPr>
          <w:color w:val="auto"/>
          <w:highlight w:val="none"/>
        </w:rPr>
        <w:fldChar w:fldCharType="end"/>
      </w:r>
      <w:r>
        <w:rPr>
          <w:rFonts w:hint="eastAsia" w:ascii="宋体" w:hAnsi="宋体" w:eastAsia="宋体" w:cs="宋体"/>
          <w:bCs/>
          <w:color w:val="auto"/>
          <w:szCs w:val="32"/>
          <w:highlight w:val="none"/>
        </w:rPr>
        <w:fldChar w:fldCharType="end"/>
      </w:r>
    </w:p>
    <w:p>
      <w:pPr>
        <w:pStyle w:val="16"/>
        <w:tabs>
          <w:tab w:val="right" w:leader="dot" w:pos="9746"/>
          <w:tab w:val="clear" w:pos="9663"/>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_Toc31884 </w:instrText>
      </w:r>
      <w:r>
        <w:rPr>
          <w:rFonts w:hint="eastAsia" w:ascii="宋体" w:hAnsi="宋体" w:eastAsia="宋体" w:cs="宋体"/>
          <w:bCs/>
          <w:color w:val="auto"/>
          <w:szCs w:val="32"/>
          <w:highlight w:val="none"/>
        </w:rPr>
        <w:fldChar w:fldCharType="separate"/>
      </w:r>
      <w:r>
        <w:rPr>
          <w:rFonts w:hint="eastAsia" w:ascii="宋体" w:hAnsi="宋体" w:cs="宋体"/>
          <w:color w:val="auto"/>
          <w:highlight w:val="none"/>
        </w:rPr>
        <w:t>第四章  投标文件格式</w:t>
      </w:r>
      <w:r>
        <w:rPr>
          <w:color w:val="auto"/>
          <w:highlight w:val="none"/>
        </w:rPr>
        <w:tab/>
      </w:r>
      <w:r>
        <w:rPr>
          <w:color w:val="auto"/>
          <w:highlight w:val="none"/>
        </w:rPr>
        <w:fldChar w:fldCharType="begin"/>
      </w:r>
      <w:r>
        <w:rPr>
          <w:color w:val="auto"/>
          <w:highlight w:val="none"/>
        </w:rPr>
        <w:instrText xml:space="preserve"> PAGEREF _Toc31884 \h </w:instrText>
      </w:r>
      <w:r>
        <w:rPr>
          <w:color w:val="auto"/>
          <w:highlight w:val="none"/>
        </w:rPr>
        <w:fldChar w:fldCharType="separate"/>
      </w:r>
      <w:r>
        <w:rPr>
          <w:color w:val="auto"/>
          <w:highlight w:val="none"/>
        </w:rPr>
        <w:t>36</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_Toc28635 </w:instrText>
      </w:r>
      <w:r>
        <w:rPr>
          <w:rFonts w:hint="eastAsia" w:ascii="宋体" w:hAnsi="宋体" w:eastAsia="宋体" w:cs="宋体"/>
          <w:bCs/>
          <w:color w:val="auto"/>
          <w:szCs w:val="32"/>
          <w:highlight w:val="none"/>
        </w:rPr>
        <w:fldChar w:fldCharType="separate"/>
      </w:r>
      <w:r>
        <w:rPr>
          <w:rFonts w:hint="eastAsia" w:ascii="宋体" w:hAnsi="宋体" w:cs="宋体"/>
          <w:color w:val="auto"/>
          <w:szCs w:val="21"/>
          <w:highlight w:val="none"/>
        </w:rPr>
        <w:t>格式1：资格证明部分</w:t>
      </w:r>
      <w:r>
        <w:rPr>
          <w:color w:val="auto"/>
          <w:highlight w:val="none"/>
        </w:rPr>
        <w:tab/>
      </w:r>
      <w:r>
        <w:rPr>
          <w:color w:val="auto"/>
          <w:highlight w:val="none"/>
        </w:rPr>
        <w:fldChar w:fldCharType="begin"/>
      </w:r>
      <w:r>
        <w:rPr>
          <w:color w:val="auto"/>
          <w:highlight w:val="none"/>
        </w:rPr>
        <w:instrText xml:space="preserve"> PAGEREF _Toc28635 \h </w:instrText>
      </w:r>
      <w:r>
        <w:rPr>
          <w:color w:val="auto"/>
          <w:highlight w:val="none"/>
        </w:rPr>
        <w:fldChar w:fldCharType="separate"/>
      </w:r>
      <w:r>
        <w:rPr>
          <w:color w:val="auto"/>
          <w:highlight w:val="none"/>
        </w:rPr>
        <w:t>38</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_Toc24524 </w:instrText>
      </w:r>
      <w:r>
        <w:rPr>
          <w:rFonts w:hint="eastAsia" w:ascii="宋体" w:hAnsi="宋体" w:eastAsia="宋体" w:cs="宋体"/>
          <w:bCs/>
          <w:color w:val="auto"/>
          <w:szCs w:val="32"/>
          <w:highlight w:val="none"/>
        </w:rPr>
        <w:fldChar w:fldCharType="separate"/>
      </w:r>
      <w:r>
        <w:rPr>
          <w:rFonts w:hint="eastAsia" w:ascii="宋体" w:hAnsi="宋体" w:cs="宋体"/>
          <w:color w:val="auto"/>
          <w:szCs w:val="21"/>
          <w:highlight w:val="none"/>
        </w:rPr>
        <w:t>格式2：报价和商务部分</w:t>
      </w:r>
      <w:r>
        <w:rPr>
          <w:color w:val="auto"/>
          <w:highlight w:val="none"/>
        </w:rPr>
        <w:tab/>
      </w:r>
      <w:r>
        <w:rPr>
          <w:color w:val="auto"/>
          <w:highlight w:val="none"/>
        </w:rPr>
        <w:fldChar w:fldCharType="begin"/>
      </w:r>
      <w:r>
        <w:rPr>
          <w:color w:val="auto"/>
          <w:highlight w:val="none"/>
        </w:rPr>
        <w:instrText xml:space="preserve"> PAGEREF _Toc24524 \h </w:instrText>
      </w:r>
      <w:r>
        <w:rPr>
          <w:color w:val="auto"/>
          <w:highlight w:val="none"/>
        </w:rPr>
        <w:fldChar w:fldCharType="separate"/>
      </w:r>
      <w:r>
        <w:rPr>
          <w:color w:val="auto"/>
          <w:highlight w:val="none"/>
        </w:rPr>
        <w:t>51</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_Toc22864 </w:instrText>
      </w:r>
      <w:r>
        <w:rPr>
          <w:rFonts w:hint="eastAsia" w:ascii="宋体" w:hAnsi="宋体" w:eastAsia="宋体" w:cs="宋体"/>
          <w:bCs/>
          <w:color w:val="auto"/>
          <w:szCs w:val="32"/>
          <w:highlight w:val="none"/>
        </w:rPr>
        <w:fldChar w:fldCharType="separate"/>
      </w:r>
      <w:r>
        <w:rPr>
          <w:rFonts w:hint="eastAsia" w:ascii="宋体" w:hAnsi="宋体" w:cs="宋体"/>
          <w:color w:val="auto"/>
          <w:szCs w:val="21"/>
          <w:highlight w:val="none"/>
        </w:rPr>
        <w:t>格式3：技术部分</w:t>
      </w:r>
      <w:r>
        <w:rPr>
          <w:color w:val="auto"/>
          <w:highlight w:val="none"/>
        </w:rPr>
        <w:tab/>
      </w:r>
      <w:r>
        <w:rPr>
          <w:color w:val="auto"/>
          <w:highlight w:val="none"/>
        </w:rPr>
        <w:fldChar w:fldCharType="begin"/>
      </w:r>
      <w:r>
        <w:rPr>
          <w:color w:val="auto"/>
          <w:highlight w:val="none"/>
        </w:rPr>
        <w:instrText xml:space="preserve"> PAGEREF _Toc22864 \h </w:instrText>
      </w:r>
      <w:r>
        <w:rPr>
          <w:color w:val="auto"/>
          <w:highlight w:val="none"/>
        </w:rPr>
        <w:fldChar w:fldCharType="separate"/>
      </w:r>
      <w:r>
        <w:rPr>
          <w:color w:val="auto"/>
          <w:highlight w:val="none"/>
        </w:rPr>
        <w:t>61</w:t>
      </w:r>
      <w:r>
        <w:rPr>
          <w:color w:val="auto"/>
          <w:highlight w:val="none"/>
        </w:rPr>
        <w:fldChar w:fldCharType="end"/>
      </w:r>
      <w:r>
        <w:rPr>
          <w:rFonts w:hint="eastAsia" w:ascii="宋体" w:hAnsi="宋体" w:eastAsia="宋体" w:cs="宋体"/>
          <w:bCs/>
          <w:color w:val="auto"/>
          <w:szCs w:val="32"/>
          <w:highlight w:val="none"/>
        </w:rPr>
        <w:fldChar w:fldCharType="end"/>
      </w:r>
    </w:p>
    <w:p>
      <w:pPr>
        <w:pStyle w:val="16"/>
        <w:tabs>
          <w:tab w:val="right" w:leader="dot" w:pos="9746"/>
          <w:tab w:val="clear" w:pos="9663"/>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_Toc23528 </w:instrText>
      </w:r>
      <w:r>
        <w:rPr>
          <w:rFonts w:hint="eastAsia" w:ascii="宋体" w:hAnsi="宋体" w:eastAsia="宋体" w:cs="宋体"/>
          <w:bCs/>
          <w:color w:val="auto"/>
          <w:szCs w:val="32"/>
          <w:highlight w:val="none"/>
        </w:rPr>
        <w:fldChar w:fldCharType="separate"/>
      </w:r>
      <w:r>
        <w:rPr>
          <w:rFonts w:hint="eastAsia" w:ascii="宋体" w:hAnsi="宋体" w:cs="宋体"/>
          <w:color w:val="auto"/>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_Toc23528 \h </w:instrText>
      </w:r>
      <w:r>
        <w:rPr>
          <w:color w:val="auto"/>
          <w:highlight w:val="none"/>
        </w:rPr>
        <w:fldChar w:fldCharType="separate"/>
      </w:r>
      <w:r>
        <w:rPr>
          <w:color w:val="auto"/>
          <w:highlight w:val="none"/>
        </w:rPr>
        <w:t>64</w:t>
      </w:r>
      <w:r>
        <w:rPr>
          <w:color w:val="auto"/>
          <w:highlight w:val="none"/>
        </w:rPr>
        <w:fldChar w:fldCharType="end"/>
      </w:r>
      <w:r>
        <w:rPr>
          <w:rFonts w:hint="eastAsia" w:ascii="宋体" w:hAnsi="宋体" w:eastAsia="宋体" w:cs="宋体"/>
          <w:bCs/>
          <w:color w:val="auto"/>
          <w:szCs w:val="32"/>
          <w:highlight w:val="none"/>
        </w:rPr>
        <w:fldChar w:fldCharType="end"/>
      </w:r>
    </w:p>
    <w:p>
      <w:pPr>
        <w:pStyle w:val="16"/>
        <w:tabs>
          <w:tab w:val="right" w:leader="dot" w:pos="9746"/>
          <w:tab w:val="clear" w:pos="9663"/>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_Toc25891 </w:instrText>
      </w:r>
      <w:r>
        <w:rPr>
          <w:rFonts w:hint="eastAsia" w:ascii="宋体" w:hAnsi="宋体" w:eastAsia="宋体" w:cs="宋体"/>
          <w:bCs/>
          <w:color w:val="auto"/>
          <w:szCs w:val="32"/>
          <w:highlight w:val="none"/>
        </w:rPr>
        <w:fldChar w:fldCharType="separate"/>
      </w:r>
      <w:r>
        <w:rPr>
          <w:rFonts w:hint="eastAsia" w:ascii="宋体" w:hAnsi="宋体" w:cs="宋体"/>
          <w:color w:val="auto"/>
          <w:highlight w:val="none"/>
        </w:rPr>
        <w:t>第六章 评标办法（综合评分法）</w:t>
      </w:r>
      <w:r>
        <w:rPr>
          <w:color w:val="auto"/>
          <w:highlight w:val="none"/>
        </w:rPr>
        <w:tab/>
      </w:r>
      <w:r>
        <w:rPr>
          <w:color w:val="auto"/>
          <w:highlight w:val="none"/>
        </w:rPr>
        <w:fldChar w:fldCharType="begin"/>
      </w:r>
      <w:r>
        <w:rPr>
          <w:color w:val="auto"/>
          <w:highlight w:val="none"/>
        </w:rPr>
        <w:instrText xml:space="preserve"> PAGEREF _Toc25891 \h </w:instrText>
      </w:r>
      <w:r>
        <w:rPr>
          <w:color w:val="auto"/>
          <w:highlight w:val="none"/>
        </w:rPr>
        <w:fldChar w:fldCharType="separate"/>
      </w:r>
      <w:r>
        <w:rPr>
          <w:color w:val="auto"/>
          <w:highlight w:val="none"/>
        </w:rPr>
        <w:t>70</w:t>
      </w:r>
      <w:r>
        <w:rPr>
          <w:color w:val="auto"/>
          <w:highlight w:val="none"/>
        </w:rPr>
        <w:fldChar w:fldCharType="end"/>
      </w:r>
      <w:r>
        <w:rPr>
          <w:rFonts w:hint="eastAsia" w:ascii="宋体" w:hAnsi="宋体" w:eastAsia="宋体" w:cs="宋体"/>
          <w:bCs/>
          <w:color w:val="auto"/>
          <w:szCs w:val="32"/>
          <w:highlight w:val="none"/>
        </w:rPr>
        <w:fldChar w:fldCharType="end"/>
      </w:r>
    </w:p>
    <w:p>
      <w:pPr>
        <w:pStyle w:val="17"/>
        <w:tabs>
          <w:tab w:val="right" w:leader="dot" w:pos="9746"/>
        </w:tabs>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_Toc15135 </w:instrText>
      </w:r>
      <w:r>
        <w:rPr>
          <w:rFonts w:hint="eastAsia" w:ascii="宋体" w:hAnsi="宋体" w:eastAsia="宋体" w:cs="宋体"/>
          <w:bCs/>
          <w:color w:val="auto"/>
          <w:szCs w:val="32"/>
          <w:highlight w:val="none"/>
        </w:rPr>
        <w:fldChar w:fldCharType="separate"/>
      </w:r>
      <w:r>
        <w:rPr>
          <w:rFonts w:hint="eastAsia" w:ascii="宋体" w:hAnsi="宋体" w:cs="宋体"/>
          <w:color w:val="auto"/>
          <w:highlight w:val="none"/>
        </w:rPr>
        <w:t>评标办法前附表</w:t>
      </w:r>
      <w:r>
        <w:rPr>
          <w:color w:val="auto"/>
          <w:highlight w:val="none"/>
        </w:rPr>
        <w:tab/>
      </w:r>
      <w:r>
        <w:rPr>
          <w:color w:val="auto"/>
          <w:highlight w:val="none"/>
        </w:rPr>
        <w:fldChar w:fldCharType="begin"/>
      </w:r>
      <w:r>
        <w:rPr>
          <w:color w:val="auto"/>
          <w:highlight w:val="none"/>
        </w:rPr>
        <w:instrText xml:space="preserve"> PAGEREF _Toc15135 \h </w:instrText>
      </w:r>
      <w:r>
        <w:rPr>
          <w:color w:val="auto"/>
          <w:highlight w:val="none"/>
        </w:rPr>
        <w:fldChar w:fldCharType="separate"/>
      </w:r>
      <w:r>
        <w:rPr>
          <w:color w:val="auto"/>
          <w:highlight w:val="none"/>
        </w:rPr>
        <w:t>70</w:t>
      </w:r>
      <w:r>
        <w:rPr>
          <w:color w:val="auto"/>
          <w:highlight w:val="none"/>
        </w:rPr>
        <w:fldChar w:fldCharType="end"/>
      </w:r>
      <w:r>
        <w:rPr>
          <w:rFonts w:hint="eastAsia" w:ascii="宋体" w:hAnsi="宋体" w:eastAsia="宋体" w:cs="宋体"/>
          <w:bCs/>
          <w:color w:val="auto"/>
          <w:szCs w:val="32"/>
          <w:highlight w:val="none"/>
        </w:rPr>
        <w:fldChar w:fldCharType="end"/>
      </w:r>
    </w:p>
    <w:p>
      <w:pPr>
        <w:pStyle w:val="20"/>
        <w:rPr>
          <w:rFonts w:hint="eastAsia" w:ascii="宋体" w:hAnsi="宋体" w:cs="宋体"/>
          <w:bCs/>
          <w:color w:val="auto"/>
          <w:szCs w:val="32"/>
          <w:highlight w:val="none"/>
        </w:rPr>
      </w:pPr>
      <w:r>
        <w:rPr>
          <w:rFonts w:hint="eastAsia" w:ascii="宋体" w:hAnsi="宋体" w:eastAsia="宋体" w:cs="宋体"/>
          <w:bCs/>
          <w:color w:val="auto"/>
          <w:szCs w:val="32"/>
          <w:highlight w:val="none"/>
        </w:rPr>
        <w:fldChar w:fldCharType="end"/>
      </w:r>
    </w:p>
    <w:p>
      <w:pPr>
        <w:pStyle w:val="20"/>
        <w:rPr>
          <w:rFonts w:hint="eastAsia" w:ascii="宋体" w:hAnsi="宋体" w:cs="宋体"/>
          <w:bCs/>
          <w:color w:val="auto"/>
          <w:szCs w:val="32"/>
          <w:highlight w:val="none"/>
        </w:rPr>
      </w:pPr>
    </w:p>
    <w:p>
      <w:pPr>
        <w:pStyle w:val="20"/>
        <w:rPr>
          <w:rFonts w:hint="eastAsia" w:ascii="宋体" w:hAnsi="宋体" w:cs="宋体"/>
          <w:bCs/>
          <w:color w:val="auto"/>
          <w:szCs w:val="32"/>
          <w:highlight w:val="none"/>
        </w:rPr>
      </w:pPr>
    </w:p>
    <w:p>
      <w:pPr>
        <w:pStyle w:val="2"/>
        <w:rPr>
          <w:rStyle w:val="27"/>
          <w:rFonts w:hint="eastAsia" w:ascii="宋体" w:hAnsi="宋体" w:cs="宋体"/>
          <w:b/>
          <w:color w:val="auto"/>
          <w:highlight w:val="none"/>
        </w:rPr>
      </w:pPr>
      <w:bookmarkStart w:id="0" w:name="_Toc31150"/>
      <w:r>
        <w:rPr>
          <w:rStyle w:val="27"/>
          <w:rFonts w:hint="eastAsia" w:ascii="宋体" w:hAnsi="宋体" w:cs="宋体"/>
          <w:b/>
          <w:color w:val="auto"/>
          <w:highlight w:val="none"/>
        </w:rPr>
        <w:br w:type="page"/>
      </w:r>
      <w:bookmarkStart w:id="1" w:name="_Toc8070"/>
      <w:bookmarkStart w:id="2" w:name="_Toc9200"/>
      <w:bookmarkStart w:id="3" w:name="_Toc22167"/>
      <w:r>
        <w:rPr>
          <w:rStyle w:val="27"/>
          <w:rFonts w:hint="eastAsia" w:ascii="宋体" w:hAnsi="宋体" w:cs="宋体" w:eastAsiaTheme="minorEastAsia"/>
          <w:b/>
          <w:color w:val="auto"/>
          <w:highlight w:val="none"/>
        </w:rPr>
        <w:t>第一章 招标公告</w:t>
      </w:r>
      <w:bookmarkEnd w:id="0"/>
      <w:bookmarkEnd w:id="1"/>
      <w:bookmarkEnd w:id="2"/>
      <w:bookmarkEnd w:id="3"/>
      <w:bookmarkStart w:id="4" w:name="_Toc35393790"/>
      <w:bookmarkStart w:id="5" w:name="_Toc270"/>
      <w:bookmarkStart w:id="6" w:name="_Toc35393621"/>
      <w:bookmarkStart w:id="7" w:name="_Toc28359002"/>
      <w:bookmarkStart w:id="8" w:name="_Toc18306"/>
      <w:bookmarkStart w:id="9" w:name="_Toc28359079"/>
      <w:bookmarkStart w:id="10" w:name="_Hlk24379207"/>
    </w:p>
    <w:tbl>
      <w:tblPr>
        <w:tblStyle w:val="22"/>
        <w:tblpPr w:leftFromText="180" w:rightFromText="180" w:vertAnchor="text" w:horzAnchor="page" w:tblpX="1237" w:tblpY="63"/>
        <w:tblOverlap w:val="never"/>
        <w:tblW w:w="9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trPr>
        <w:tc>
          <w:tcPr>
            <w:tcW w:w="97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pPr>
              <w:keepNext w:val="0"/>
              <w:keepLines w:val="0"/>
              <w:pageBreakBefore w:val="0"/>
              <w:widowControl w:val="0"/>
              <w:kinsoku/>
              <w:wordWrap/>
              <w:overflowPunct/>
              <w:topLinePunct w:val="0"/>
              <w:autoSpaceDE/>
              <w:autoSpaceDN/>
              <w:bidi w:val="0"/>
              <w:adjustRightInd/>
              <w:snapToGrid/>
              <w:spacing w:line="360" w:lineRule="auto"/>
              <w:ind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石屏县2024年至2027年义务教育阶段学生营养餐食品食材采购及配送服务项目的潜在</w:t>
            </w:r>
            <w:r>
              <w:rPr>
                <w:rFonts w:hint="eastAsia" w:ascii="宋体" w:hAnsi="宋体" w:cs="宋体"/>
                <w:color w:val="auto"/>
                <w:spacing w:val="-1"/>
                <w:sz w:val="24"/>
                <w:szCs w:val="24"/>
                <w:highlight w:val="none"/>
                <w:lang w:eastAsia="zh-CN"/>
              </w:rPr>
              <w:t>供应商</w:t>
            </w:r>
            <w:r>
              <w:rPr>
                <w:rFonts w:hint="eastAsia" w:ascii="宋体" w:hAnsi="宋体" w:eastAsia="宋体" w:cs="宋体"/>
                <w:color w:val="auto"/>
                <w:spacing w:val="-1"/>
                <w:sz w:val="24"/>
                <w:szCs w:val="24"/>
                <w:highlight w:val="none"/>
              </w:rPr>
              <w:t>应在政采云平台（https://www.zcygov.cn/）获取招标文件，并于</w:t>
            </w:r>
            <w:r>
              <w:rPr>
                <w:rFonts w:hint="eastAsia" w:ascii="宋体" w:hAnsi="宋体" w:eastAsia="宋体" w:cs="宋体"/>
                <w:color w:val="auto"/>
                <w:sz w:val="24"/>
                <w:szCs w:val="24"/>
                <w:highlight w:val="none"/>
              </w:rPr>
              <w:t>2024年</w:t>
            </w:r>
            <w:r>
              <w:rPr>
                <w:rFonts w:hint="eastAsia" w:ascii="宋体" w:hAnsi="宋体" w:eastAsia="宋体" w:cs="宋体"/>
                <w:color w:val="auto"/>
                <w:sz w:val="24"/>
                <w:szCs w:val="24"/>
                <w:highlight w:val="none"/>
                <w:lang w:val="en-US" w:eastAsia="zh-CN"/>
              </w:rPr>
              <w:t>07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24</w:t>
            </w:r>
            <w:r>
              <w:rPr>
                <w:rFonts w:hint="eastAsia" w:ascii="宋体" w:hAnsi="宋体" w:eastAsia="宋体" w:cs="宋体"/>
                <w:color w:val="auto"/>
                <w:sz w:val="24"/>
                <w:szCs w:val="24"/>
                <w:highlight w:val="none"/>
              </w:rPr>
              <w:t>日09点</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0分</w:t>
            </w:r>
            <w:r>
              <w:rPr>
                <w:rFonts w:hint="eastAsia" w:ascii="宋体" w:hAnsi="宋体" w:eastAsia="宋体" w:cs="宋体"/>
                <w:color w:val="auto"/>
                <w:spacing w:val="-1"/>
                <w:sz w:val="24"/>
                <w:szCs w:val="24"/>
                <w:highlight w:val="none"/>
              </w:rPr>
              <w:t>（北京时间）前递交投标文件。</w:t>
            </w:r>
          </w:p>
        </w:tc>
      </w:tr>
    </w:tbl>
    <w:p>
      <w:pPr>
        <w:spacing w:line="360" w:lineRule="auto"/>
        <w:ind w:firstLine="482" w:firstLineChars="200"/>
        <w:outlineLvl w:val="1"/>
        <w:rPr>
          <w:rFonts w:hint="eastAsia" w:ascii="宋体" w:hAnsi="宋体" w:cs="宋体"/>
          <w:color w:val="auto"/>
          <w:sz w:val="24"/>
          <w:szCs w:val="24"/>
          <w:highlight w:val="none"/>
        </w:rPr>
      </w:pPr>
      <w:bookmarkStart w:id="11" w:name="_Toc23916"/>
      <w:bookmarkStart w:id="12" w:name="_Toc26930"/>
      <w:bookmarkStart w:id="13" w:name="_Toc5583"/>
      <w:r>
        <w:rPr>
          <w:rFonts w:hint="eastAsia" w:ascii="宋体" w:hAnsi="宋体" w:cs="宋体"/>
          <w:b/>
          <w:bCs/>
          <w:color w:val="auto"/>
          <w:sz w:val="24"/>
          <w:szCs w:val="24"/>
          <w:highlight w:val="none"/>
        </w:rPr>
        <w:t>一、项目基本情况</w:t>
      </w:r>
      <w:bookmarkEnd w:id="4"/>
      <w:bookmarkEnd w:id="5"/>
      <w:bookmarkEnd w:id="6"/>
      <w:bookmarkEnd w:id="7"/>
      <w:bookmarkEnd w:id="8"/>
      <w:bookmarkEnd w:id="9"/>
      <w:bookmarkEnd w:id="11"/>
      <w:bookmarkEnd w:id="12"/>
      <w:bookmarkEnd w:id="13"/>
    </w:p>
    <w:bookmarkEnd w:id="10"/>
    <w:p>
      <w:pPr>
        <w:widowControl/>
        <w:kinsoku w:val="0"/>
        <w:autoSpaceDE w:val="0"/>
        <w:autoSpaceDN w:val="0"/>
        <w:adjustRightInd w:val="0"/>
        <w:snapToGrid w:val="0"/>
        <w:spacing w:line="360" w:lineRule="auto"/>
        <w:ind w:firstLine="476" w:firstLineChars="200"/>
        <w:textAlignment w:val="baseline"/>
        <w:rPr>
          <w:rFonts w:hint="eastAsia" w:ascii="宋体" w:hAnsi="宋体" w:cs="宋体"/>
          <w:color w:val="auto"/>
          <w:sz w:val="24"/>
          <w:szCs w:val="24"/>
          <w:highlight w:val="none"/>
        </w:rPr>
      </w:pPr>
      <w:r>
        <w:rPr>
          <w:rFonts w:hint="eastAsia" w:ascii="宋体" w:hAnsi="宋体" w:cs="宋体"/>
          <w:color w:val="auto"/>
          <w:spacing w:val="-1"/>
          <w:sz w:val="24"/>
          <w:szCs w:val="24"/>
          <w:highlight w:val="none"/>
        </w:rPr>
        <w:t>项目编号：</w:t>
      </w:r>
      <w:r>
        <w:rPr>
          <w:rFonts w:hint="eastAsia" w:ascii="宋体" w:hAnsi="宋体" w:cs="宋体"/>
          <w:color w:val="auto"/>
          <w:spacing w:val="-1"/>
          <w:sz w:val="24"/>
          <w:szCs w:val="24"/>
          <w:highlight w:val="none"/>
          <w:lang w:eastAsia="zh-CN"/>
        </w:rPr>
        <w:t>HHZC2024-G3-01253-YNCK-0002</w:t>
      </w:r>
      <w:r>
        <w:rPr>
          <w:rFonts w:hint="eastAsia" w:ascii="宋体" w:hAnsi="宋体" w:cs="宋体"/>
          <w:color w:val="auto"/>
          <w:spacing w:val="-1"/>
          <w:sz w:val="24"/>
          <w:szCs w:val="24"/>
          <w:highlight w:val="none"/>
        </w:rPr>
        <w:t>。</w:t>
      </w:r>
    </w:p>
    <w:p>
      <w:pPr>
        <w:widowControl/>
        <w:kinsoku w:val="0"/>
        <w:autoSpaceDE w:val="0"/>
        <w:autoSpaceDN w:val="0"/>
        <w:adjustRightInd w:val="0"/>
        <w:snapToGrid w:val="0"/>
        <w:spacing w:line="360" w:lineRule="auto"/>
        <w:ind w:firstLine="468" w:firstLineChars="200"/>
        <w:textAlignment w:val="baseline"/>
        <w:rPr>
          <w:rFonts w:hint="eastAsia" w:ascii="宋体" w:hAnsi="宋体" w:cs="宋体"/>
          <w:color w:val="auto"/>
          <w:spacing w:val="-3"/>
          <w:sz w:val="24"/>
          <w:szCs w:val="24"/>
          <w:highlight w:val="none"/>
        </w:rPr>
      </w:pPr>
      <w:r>
        <w:rPr>
          <w:rFonts w:hint="eastAsia" w:ascii="宋体" w:hAnsi="宋体" w:cs="宋体"/>
          <w:color w:val="auto"/>
          <w:spacing w:val="-3"/>
          <w:sz w:val="24"/>
          <w:szCs w:val="24"/>
          <w:highlight w:val="none"/>
        </w:rPr>
        <w:t>项目名称：石屏县2024年至2027年义务教育阶段学生营养餐食品食材采购及配送服务项目。</w:t>
      </w:r>
    </w:p>
    <w:p>
      <w:pPr>
        <w:widowControl/>
        <w:kinsoku w:val="0"/>
        <w:autoSpaceDE w:val="0"/>
        <w:autoSpaceDN w:val="0"/>
        <w:adjustRightInd w:val="0"/>
        <w:snapToGrid w:val="0"/>
        <w:spacing w:line="360" w:lineRule="auto"/>
        <w:ind w:firstLine="472" w:firstLineChars="200"/>
        <w:textAlignment w:val="baseline"/>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预算金额（万元）：一标段：</w:t>
      </w:r>
      <w:r>
        <w:rPr>
          <w:rFonts w:hint="eastAsia" w:ascii="宋体" w:hAnsi="宋体" w:cs="宋体"/>
          <w:color w:val="auto"/>
          <w:spacing w:val="-2"/>
          <w:sz w:val="24"/>
          <w:szCs w:val="24"/>
          <w:highlight w:val="none"/>
          <w:lang w:eastAsia="zh-CN"/>
        </w:rPr>
        <w:t>1284.0487</w:t>
      </w:r>
      <w:r>
        <w:rPr>
          <w:rFonts w:hint="eastAsia" w:ascii="宋体" w:hAnsi="宋体" w:cs="宋体"/>
          <w:color w:val="auto"/>
          <w:spacing w:val="-2"/>
          <w:sz w:val="24"/>
          <w:szCs w:val="24"/>
          <w:highlight w:val="none"/>
        </w:rPr>
        <w:t>万元；二标段：</w:t>
      </w:r>
      <w:r>
        <w:rPr>
          <w:rFonts w:hint="eastAsia" w:ascii="宋体" w:hAnsi="宋体" w:cs="宋体"/>
          <w:color w:val="auto"/>
          <w:spacing w:val="-2"/>
          <w:sz w:val="24"/>
          <w:szCs w:val="24"/>
          <w:highlight w:val="none"/>
          <w:lang w:eastAsia="zh-CN"/>
        </w:rPr>
        <w:t>1162.8205</w:t>
      </w:r>
      <w:r>
        <w:rPr>
          <w:rFonts w:hint="eastAsia" w:ascii="宋体" w:hAnsi="宋体" w:cs="宋体"/>
          <w:color w:val="auto"/>
          <w:spacing w:val="-2"/>
          <w:sz w:val="24"/>
          <w:szCs w:val="24"/>
          <w:highlight w:val="none"/>
        </w:rPr>
        <w:t>万元。</w:t>
      </w:r>
    </w:p>
    <w:p>
      <w:pPr>
        <w:widowControl/>
        <w:kinsoku w:val="0"/>
        <w:autoSpaceDE w:val="0"/>
        <w:autoSpaceDN w:val="0"/>
        <w:adjustRightInd w:val="0"/>
        <w:snapToGrid w:val="0"/>
        <w:spacing w:line="360" w:lineRule="auto"/>
        <w:ind w:firstLine="472" w:firstLineChars="200"/>
        <w:textAlignment w:val="baseline"/>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最高限价（万元）：一标段：</w:t>
      </w:r>
      <w:r>
        <w:rPr>
          <w:rFonts w:hint="eastAsia" w:ascii="宋体" w:hAnsi="宋体" w:cs="宋体"/>
          <w:color w:val="auto"/>
          <w:spacing w:val="-2"/>
          <w:sz w:val="24"/>
          <w:szCs w:val="24"/>
          <w:highlight w:val="none"/>
          <w:lang w:eastAsia="zh-CN"/>
        </w:rPr>
        <w:t>1284.0487</w:t>
      </w:r>
      <w:r>
        <w:rPr>
          <w:rFonts w:hint="eastAsia" w:ascii="宋体" w:hAnsi="宋体" w:cs="宋体"/>
          <w:color w:val="auto"/>
          <w:spacing w:val="-2"/>
          <w:sz w:val="24"/>
          <w:szCs w:val="24"/>
          <w:highlight w:val="none"/>
        </w:rPr>
        <w:t>万元；二标段：</w:t>
      </w:r>
      <w:r>
        <w:rPr>
          <w:rFonts w:hint="eastAsia" w:ascii="宋体" w:hAnsi="宋体" w:cs="宋体"/>
          <w:color w:val="auto"/>
          <w:spacing w:val="-2"/>
          <w:sz w:val="24"/>
          <w:szCs w:val="24"/>
          <w:highlight w:val="none"/>
          <w:lang w:eastAsia="zh-CN"/>
        </w:rPr>
        <w:t>1162.8205</w:t>
      </w:r>
      <w:r>
        <w:rPr>
          <w:rFonts w:hint="eastAsia" w:ascii="宋体" w:hAnsi="宋体" w:cs="宋体"/>
          <w:color w:val="auto"/>
          <w:spacing w:val="-2"/>
          <w:sz w:val="24"/>
          <w:szCs w:val="24"/>
          <w:highlight w:val="none"/>
        </w:rPr>
        <w:t>万元。</w:t>
      </w:r>
    </w:p>
    <w:p>
      <w:pPr>
        <w:widowControl/>
        <w:kinsoku w:val="0"/>
        <w:autoSpaceDE w:val="0"/>
        <w:autoSpaceDN w:val="0"/>
        <w:adjustRightInd w:val="0"/>
        <w:snapToGrid w:val="0"/>
        <w:spacing w:line="360" w:lineRule="auto"/>
        <w:ind w:firstLine="472" w:firstLineChars="200"/>
        <w:textAlignment w:val="baseline"/>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采购需求：石屏县2024年至2027年义务教育阶段学生营养餐食品食材采购及配送服务项目，本项目划分为2个标段，各标段需求如下：</w:t>
      </w:r>
    </w:p>
    <w:tbl>
      <w:tblPr>
        <w:tblStyle w:val="22"/>
        <w:tblW w:w="9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2444"/>
        <w:gridCol w:w="1374"/>
        <w:gridCol w:w="1592"/>
        <w:gridCol w:w="3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Align w:val="center"/>
          </w:tcPr>
          <w:p>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标包</w:t>
            </w:r>
          </w:p>
        </w:tc>
        <w:tc>
          <w:tcPr>
            <w:tcW w:w="2444" w:type="dxa"/>
            <w:vAlign w:val="center"/>
          </w:tcPr>
          <w:p>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标（包）名称</w:t>
            </w:r>
          </w:p>
        </w:tc>
        <w:tc>
          <w:tcPr>
            <w:tcW w:w="1374" w:type="dxa"/>
            <w:vAlign w:val="center"/>
          </w:tcPr>
          <w:p>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采购预算（万元）</w:t>
            </w:r>
          </w:p>
        </w:tc>
        <w:tc>
          <w:tcPr>
            <w:tcW w:w="1592" w:type="dxa"/>
            <w:vAlign w:val="center"/>
          </w:tcPr>
          <w:p>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采购内容</w:t>
            </w:r>
          </w:p>
        </w:tc>
        <w:tc>
          <w:tcPr>
            <w:tcW w:w="3615" w:type="dxa"/>
            <w:vAlign w:val="center"/>
          </w:tcPr>
          <w:p>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配送服务相关学校名称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2" w:hRule="atLeast"/>
          <w:jc w:val="center"/>
        </w:trPr>
        <w:tc>
          <w:tcPr>
            <w:tcW w:w="702" w:type="dxa"/>
            <w:vAlign w:val="center"/>
          </w:tcPr>
          <w:p>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444" w:type="dxa"/>
            <w:vAlign w:val="center"/>
          </w:tcPr>
          <w:p>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石屏县2024年至2027年义务教育阶段学生营养餐食品食材采购及配送服务项目（一标段）</w:t>
            </w:r>
          </w:p>
        </w:tc>
        <w:tc>
          <w:tcPr>
            <w:tcW w:w="1374" w:type="dxa"/>
            <w:vAlign w:val="center"/>
          </w:tcPr>
          <w:p>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1284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0487</w:t>
            </w:r>
          </w:p>
        </w:tc>
        <w:tc>
          <w:tcPr>
            <w:tcW w:w="1592" w:type="dxa"/>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包含大米、食用油、应季蔬菜、肉类、禽蛋、干货、调料、学生饮用奶、面点类、水果类等。</w:t>
            </w:r>
          </w:p>
        </w:tc>
        <w:tc>
          <w:tcPr>
            <w:tcW w:w="3615" w:type="dxa"/>
            <w:vAlign w:val="center"/>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石屏县异龙镇中心小学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石屏县宝秀镇中心小学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石屏县第二中学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w:t>
            </w:r>
            <w:r>
              <w:rPr>
                <w:rFonts w:hint="eastAsia" w:ascii="宋体" w:hAnsi="宋体" w:cs="宋体"/>
                <w:color w:val="auto"/>
                <w:sz w:val="24"/>
                <w:szCs w:val="24"/>
                <w:highlight w:val="none"/>
              </w:rPr>
              <w:t>宝秀中学、</w:t>
            </w:r>
            <w:r>
              <w:rPr>
                <w:rFonts w:hint="eastAsia" w:ascii="宋体" w:hAnsi="宋体" w:cs="宋体"/>
                <w:color w:val="auto"/>
                <w:sz w:val="24"/>
                <w:szCs w:val="24"/>
                <w:highlight w:val="none"/>
                <w:lang w:eastAsia="zh-CN"/>
              </w:rPr>
              <w:t>石屏县大桥乡中心小学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石屏县大桥中学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石屏县牛街镇中心小学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石屏县牛街中学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石屏县新城乡中心学校</w:t>
            </w:r>
            <w:r>
              <w:rPr>
                <w:rFonts w:hint="eastAsia" w:ascii="宋体" w:hAnsi="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Align w:val="center"/>
          </w:tcPr>
          <w:p>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444" w:type="dxa"/>
            <w:vAlign w:val="center"/>
          </w:tcPr>
          <w:p>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石屏县2024年至2027年义务教育阶段学生营养餐食品食材采购及配送服务项目（二标段）</w:t>
            </w:r>
          </w:p>
        </w:tc>
        <w:tc>
          <w:tcPr>
            <w:tcW w:w="1374" w:type="dxa"/>
            <w:vAlign w:val="center"/>
          </w:tcPr>
          <w:p>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1162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8205</w:t>
            </w:r>
          </w:p>
        </w:tc>
        <w:tc>
          <w:tcPr>
            <w:tcW w:w="1592" w:type="dxa"/>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包含大米、食用油、应季蔬菜、肉类、禽蛋、干货、调料、学生饮用奶、面点类、水果类等。</w:t>
            </w:r>
          </w:p>
        </w:tc>
        <w:tc>
          <w:tcPr>
            <w:tcW w:w="3615" w:type="dxa"/>
            <w:vAlign w:val="center"/>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石屏县东风小学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石屏县第一中学</w:t>
            </w:r>
            <w:r>
              <w:rPr>
                <w:rFonts w:hint="eastAsia" w:ascii="宋体" w:hAnsi="宋体" w:cs="宋体"/>
                <w:color w:val="auto"/>
                <w:sz w:val="24"/>
                <w:szCs w:val="24"/>
                <w:highlight w:val="none"/>
              </w:rPr>
              <w:t>、石屏高级中学、</w:t>
            </w:r>
            <w:r>
              <w:rPr>
                <w:rFonts w:hint="eastAsia" w:ascii="宋体" w:hAnsi="宋体" w:cs="宋体"/>
                <w:color w:val="auto"/>
                <w:sz w:val="24"/>
                <w:szCs w:val="24"/>
                <w:highlight w:val="none"/>
                <w:lang w:eastAsia="zh-CN"/>
              </w:rPr>
              <w:t>石屏县陶村中学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石屏县冒合中学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石屏县第四中学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石屏县坝心镇中心小学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石屏县坝心中学</w:t>
            </w:r>
            <w:r>
              <w:rPr>
                <w:rFonts w:hint="eastAsia" w:ascii="宋体" w:hAnsi="宋体" w:cs="宋体"/>
                <w:color w:val="auto"/>
                <w:sz w:val="24"/>
                <w:szCs w:val="24"/>
                <w:highlight w:val="none"/>
              </w:rPr>
              <w:t>、石屏县特殊教育学校、</w:t>
            </w:r>
            <w:r>
              <w:rPr>
                <w:rFonts w:hint="eastAsia" w:ascii="宋体" w:hAnsi="宋体" w:cs="宋体"/>
                <w:color w:val="auto"/>
                <w:sz w:val="24"/>
                <w:szCs w:val="24"/>
                <w:highlight w:val="none"/>
                <w:lang w:eastAsia="zh-CN"/>
              </w:rPr>
              <w:t>石屏县龙朋镇中心小学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石屏县第三中学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石屏县哨冲镇中心小学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石屏县哨冲民族中学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石屏县龙武镇中心小学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石屏县龙武中学</w:t>
            </w:r>
            <w:r>
              <w:rPr>
                <w:rFonts w:hint="eastAsia" w:ascii="宋体" w:hAnsi="宋体" w:cs="宋体"/>
                <w:color w:val="auto"/>
                <w:sz w:val="24"/>
                <w:szCs w:val="24"/>
                <w:highlight w:val="none"/>
              </w:rPr>
              <w:t>。</w:t>
            </w:r>
          </w:p>
        </w:tc>
      </w:tr>
    </w:tbl>
    <w:p>
      <w:pPr>
        <w:widowControl/>
        <w:kinsoku w:val="0"/>
        <w:autoSpaceDE w:val="0"/>
        <w:autoSpaceDN w:val="0"/>
        <w:adjustRightInd w:val="0"/>
        <w:snapToGrid w:val="0"/>
        <w:spacing w:line="360" w:lineRule="auto"/>
        <w:ind w:firstLine="476" w:firstLineChars="200"/>
        <w:textAlignment w:val="baseline"/>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合同履行期限：三年（本次项目执行“一招三年</w:t>
      </w:r>
      <w:r>
        <w:rPr>
          <w:rFonts w:hint="eastAsia" w:ascii="宋体" w:hAnsi="宋体" w:eastAsia="宋体" w:cs="宋体"/>
          <w:color w:val="auto"/>
          <w:spacing w:val="-1"/>
          <w:sz w:val="24"/>
          <w:szCs w:val="24"/>
          <w:highlight w:val="none"/>
        </w:rPr>
        <w:t>”</w:t>
      </w:r>
      <w:r>
        <w:rPr>
          <w:rFonts w:hint="eastAsia" w:ascii="宋体" w:hAnsi="宋体" w:cs="宋体"/>
          <w:color w:val="auto"/>
          <w:spacing w:val="-1"/>
          <w:sz w:val="24"/>
          <w:szCs w:val="24"/>
          <w:highlight w:val="none"/>
        </w:rPr>
        <w:t>，即在年度预算能保障的前提下，采购人可以签订不超过三年履行期限的政府采购合同，合同一年一签）。</w:t>
      </w:r>
    </w:p>
    <w:p>
      <w:pPr>
        <w:widowControl/>
        <w:kinsoku w:val="0"/>
        <w:autoSpaceDE w:val="0"/>
        <w:autoSpaceDN w:val="0"/>
        <w:adjustRightInd w:val="0"/>
        <w:snapToGrid w:val="0"/>
        <w:spacing w:line="360" w:lineRule="auto"/>
        <w:ind w:firstLine="476" w:firstLineChars="200"/>
        <w:textAlignment w:val="baseline"/>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本项目不接受联合体投标。</w:t>
      </w:r>
    </w:p>
    <w:p>
      <w:pPr>
        <w:pStyle w:val="20"/>
        <w:adjustRightInd w:val="0"/>
        <w:snapToGrid w:val="0"/>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备注：</w:t>
      </w:r>
    </w:p>
    <w:p>
      <w:pPr>
        <w:pStyle w:val="20"/>
        <w:adjustRightInd w:val="0"/>
        <w:snapToGrid w:val="0"/>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（1）本项目共设一标段、二标段，共2个标段。</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可根据自身情况报名两个标包，可同时中标。</w:t>
      </w:r>
    </w:p>
    <w:p>
      <w:pPr>
        <w:pStyle w:val="20"/>
        <w:adjustRightInd w:val="0"/>
        <w:snapToGrid w:val="0"/>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须对所投标（包）内所有内容作出完整唯一的投标报价，不得缺项、漏项，否则投标文件将按无效处理。采购需求的详细内容见本招标文件第五章《采购需求》。</w:t>
      </w:r>
    </w:p>
    <w:p>
      <w:pPr>
        <w:pStyle w:val="20"/>
        <w:adjustRightInd w:val="0"/>
        <w:snapToGrid w:val="0"/>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对应所投标（包）自行填写内容，一个</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投多个标（包）时，需按标（包）分别编制投标文件。</w:t>
      </w:r>
    </w:p>
    <w:p>
      <w:pPr>
        <w:spacing w:line="360" w:lineRule="auto"/>
        <w:ind w:firstLine="482" w:firstLineChars="200"/>
        <w:outlineLvl w:val="1"/>
        <w:rPr>
          <w:rFonts w:hint="eastAsia" w:ascii="宋体" w:hAnsi="宋体" w:cs="宋体"/>
          <w:color w:val="auto"/>
          <w:sz w:val="24"/>
          <w:szCs w:val="24"/>
          <w:highlight w:val="none"/>
        </w:rPr>
      </w:pPr>
      <w:bookmarkStart w:id="14" w:name="_Toc35393622"/>
      <w:bookmarkStart w:id="15" w:name="_Toc28440"/>
      <w:bookmarkStart w:id="16" w:name="_Toc25263"/>
      <w:bookmarkStart w:id="17" w:name="_Toc28542"/>
      <w:bookmarkStart w:id="18" w:name="_Toc28359003"/>
      <w:bookmarkStart w:id="19" w:name="_Toc28359080"/>
      <w:bookmarkStart w:id="20" w:name="_Toc35393791"/>
      <w:bookmarkStart w:id="21" w:name="_Toc17734"/>
      <w:bookmarkStart w:id="22" w:name="_Toc11240"/>
      <w:r>
        <w:rPr>
          <w:rFonts w:hint="eastAsia" w:ascii="宋体" w:hAnsi="宋体" w:cs="宋体"/>
          <w:b/>
          <w:bCs/>
          <w:color w:val="auto"/>
          <w:sz w:val="24"/>
          <w:szCs w:val="24"/>
          <w:highlight w:val="none"/>
        </w:rPr>
        <w:t>二、</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的资格要求</w:t>
      </w:r>
      <w:bookmarkEnd w:id="14"/>
      <w:bookmarkEnd w:id="15"/>
      <w:bookmarkEnd w:id="16"/>
      <w:bookmarkEnd w:id="17"/>
      <w:bookmarkEnd w:id="18"/>
      <w:bookmarkEnd w:id="19"/>
      <w:bookmarkEnd w:id="20"/>
      <w:bookmarkEnd w:id="21"/>
      <w:bookmarkEnd w:id="22"/>
    </w:p>
    <w:p>
      <w:pPr>
        <w:spacing w:line="360" w:lineRule="auto"/>
        <w:ind w:firstLine="420"/>
        <w:jc w:val="lef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1、满足《中华人民共和国政府采购法》第二十二条规定</w:t>
      </w:r>
      <w:bookmarkStart w:id="23" w:name="_Toc28359081"/>
      <w:bookmarkStart w:id="24" w:name="_Toc28359004"/>
      <w:r>
        <w:rPr>
          <w:rFonts w:hint="eastAsia" w:ascii="宋体" w:hAnsi="宋体" w:cs="宋体"/>
          <w:b/>
          <w:bCs/>
          <w:color w:val="auto"/>
          <w:sz w:val="24"/>
          <w:szCs w:val="24"/>
          <w:highlight w:val="none"/>
          <w:lang w:eastAsia="zh-CN"/>
        </w:rPr>
        <w:t>：</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（1）具有独立承担民事责任的能力，提供有效的营业执照或事业单位法人证书或其他组织的证明文件。</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（2）具有良好的商业信誉和健全的财务会计制度，提供书面声明或证明材料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证明材料指2022年至2023年度的财务审计报告或公司财务报表或自投标文件提交截止时间前三个月内开户银行出具的资信证明或资金存款证明</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新成立公司出具情况说明</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须具有履行合同所必需的设备和专业技术能力，提供书面声明或证明材料。</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有依法缴纳税收和社会保障资金的良好记录，提供书面声明或证明材料（证明材料指①缴税所属时间在2023年3月至本项目投标文件提交截止时间前任意1个月的税务局税收通用缴款书或银行电子缴税（费）凭证或税务局出具纳税情况的相关证明；②缴费所属时间在2023年3月至本项目投标文件提交截止时间前任意1个月的社会保险费缴款书或银行电子缴税（费）凭证或社保管理部门出具的有效的缴款证明；依法免税或不需要缴纳社会保障资金的，应提供相应文件证明其依法免税或不需要缴纳社会保障资金）。</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参加政府采购活动前三年内，在经营活动中没有重大违法记录（重大违法记录，是指</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因违法经营受到刑事处罚或者责令停产停业、吊销许可证或者执照、较大数额罚款等行政处罚），提供书面声明。</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（6）法律、行政法规规定的其他条件。</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信用：依据《政府采购货物和服务招标投标管理办法》(财政部令第87号)、《财政部关于在政府采购活动中查询及使用信用记录有关问题的通知》(财库〔2016〕125号)相关规定，</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在</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信用中国（</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"http://www.creditchina.gov.cn" </w:instrText>
      </w:r>
      <w:r>
        <w:rPr>
          <w:rFonts w:hint="eastAsia" w:ascii="宋体" w:hAnsi="宋体" w:cs="宋体"/>
          <w:color w:val="auto"/>
          <w:sz w:val="24"/>
          <w:szCs w:val="24"/>
          <w:highlight w:val="none"/>
        </w:rPr>
        <w:fldChar w:fldCharType="separate"/>
      </w:r>
      <w:r>
        <w:rPr>
          <w:rStyle w:val="24"/>
          <w:rFonts w:hint="eastAsia"/>
          <w:color w:val="auto"/>
          <w:sz w:val="24"/>
          <w:szCs w:val="24"/>
          <w:highlight w:val="none"/>
        </w:rPr>
        <w:t>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网站中未被列入失信被执行人记录、重大税收违法案件当事人名单、政府采购严重违法失信行为记录名单及中国政府采购网（www.ccgp.gov.cn）“政府采购严重违法失信行为信息记录”（采购人或采购代理机构将通过”信用中国”网站（www.creditchina.gov.cn)及中国政府采购网（www.ccgp.gov.cn）查询</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信用记录，信用查询以采购人或采购代理机构在项目开标后评标会议开始前查询、存档并提交至评标委员会。</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b/>
          <w:bCs/>
          <w:color w:val="auto"/>
          <w:sz w:val="24"/>
          <w:szCs w:val="24"/>
          <w:highlight w:val="none"/>
        </w:rPr>
        <w:t>2、落实政府采购政策需满足的资格要求：</w:t>
      </w:r>
      <w:r>
        <w:rPr>
          <w:rFonts w:hint="eastAsia" w:ascii="宋体" w:hAnsi="宋体" w:cs="宋体"/>
          <w:color w:val="auto"/>
          <w:sz w:val="24"/>
          <w:szCs w:val="24"/>
          <w:highlight w:val="none"/>
        </w:rPr>
        <w:t>本项目专门面向中小微企业采购。</w:t>
      </w:r>
    </w:p>
    <w:p>
      <w:pPr>
        <w:spacing w:line="360" w:lineRule="auto"/>
        <w:ind w:firstLine="420"/>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3、本项目的特定资格要求：</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须具备有效的《食品经营许可证》，若</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为生产企业还须提供生产产品的《食品生产许可证》。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（2）单位负责人为同一人或者存在直接控股、管理关系的不同供应商，不得参加同一合同项下的政府采购活动；提供承诺书。</w:t>
      </w:r>
    </w:p>
    <w:p>
      <w:pPr>
        <w:spacing w:line="360" w:lineRule="auto"/>
        <w:ind w:firstLine="482" w:firstLineChars="200"/>
        <w:outlineLvl w:val="1"/>
        <w:rPr>
          <w:rFonts w:hint="eastAsia" w:ascii="宋体" w:hAnsi="宋体" w:cs="宋体"/>
          <w:color w:val="auto"/>
          <w:sz w:val="24"/>
          <w:szCs w:val="24"/>
          <w:highlight w:val="none"/>
        </w:rPr>
      </w:pPr>
      <w:bookmarkStart w:id="25" w:name="_Toc35393623"/>
      <w:bookmarkStart w:id="26" w:name="_Toc274"/>
      <w:bookmarkStart w:id="27" w:name="_Toc5894"/>
      <w:bookmarkStart w:id="28" w:name="_Toc18761"/>
      <w:bookmarkStart w:id="29" w:name="_Toc1073"/>
      <w:bookmarkStart w:id="30" w:name="_Toc10585"/>
      <w:bookmarkStart w:id="31" w:name="_Toc35393792"/>
      <w:r>
        <w:rPr>
          <w:rFonts w:hint="eastAsia" w:ascii="宋体" w:hAnsi="宋体" w:cs="宋体"/>
          <w:b/>
          <w:bCs/>
          <w:color w:val="auto"/>
          <w:sz w:val="24"/>
          <w:szCs w:val="24"/>
          <w:highlight w:val="none"/>
        </w:rPr>
        <w:t>三、获取招标文件</w:t>
      </w:r>
      <w:bookmarkEnd w:id="23"/>
      <w:bookmarkEnd w:id="24"/>
      <w:bookmarkEnd w:id="25"/>
      <w:bookmarkEnd w:id="26"/>
      <w:bookmarkEnd w:id="27"/>
      <w:bookmarkEnd w:id="28"/>
      <w:bookmarkEnd w:id="29"/>
      <w:bookmarkEnd w:id="30"/>
      <w:bookmarkEnd w:id="31"/>
    </w:p>
    <w:p>
      <w:pPr>
        <w:spacing w:line="360" w:lineRule="auto"/>
        <w:ind w:firstLine="480" w:firstLineChars="200"/>
        <w:rPr>
          <w:rFonts w:hint="eastAsia" w:ascii="宋体" w:hAnsi="宋体" w:eastAsia="宋体" w:cs="宋体"/>
          <w:color w:val="auto"/>
          <w:sz w:val="24"/>
          <w:szCs w:val="24"/>
          <w:highlight w:val="none"/>
          <w:lang w:val="en-US" w:eastAsia="zh-CN"/>
        </w:rPr>
      </w:pPr>
      <w:bookmarkStart w:id="32" w:name="_Toc28359005"/>
      <w:bookmarkStart w:id="33" w:name="_Toc28359082"/>
      <w:bookmarkStart w:id="34" w:name="_Toc28855"/>
      <w:bookmarkStart w:id="35" w:name="_Toc25036"/>
      <w:bookmarkStart w:id="36" w:name="_Toc20401"/>
      <w:bookmarkStart w:id="37" w:name="_Toc35393624"/>
      <w:bookmarkStart w:id="38" w:name="_Toc35393793"/>
      <w:bookmarkStart w:id="39" w:name="_Toc13372"/>
      <w:bookmarkStart w:id="40" w:name="_Toc27133"/>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时间：2024年0</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01</w:t>
      </w:r>
      <w:r>
        <w:rPr>
          <w:rFonts w:hint="eastAsia" w:ascii="宋体" w:hAnsi="宋体" w:eastAsia="宋体" w:cs="宋体"/>
          <w:color w:val="auto"/>
          <w:sz w:val="24"/>
          <w:szCs w:val="24"/>
          <w:highlight w:val="none"/>
          <w:lang w:val="en-US" w:eastAsia="zh-CN"/>
        </w:rPr>
        <w:t>日至2024年07月0</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日，每天上午0:00至12:00，下午12:00至2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59</w:t>
      </w:r>
      <w:r>
        <w:rPr>
          <w:rFonts w:hint="eastAsia" w:ascii="宋体" w:hAnsi="宋体" w:eastAsia="宋体" w:cs="宋体"/>
          <w:color w:val="auto"/>
          <w:sz w:val="24"/>
          <w:szCs w:val="24"/>
          <w:highlight w:val="none"/>
          <w:lang w:val="en-US" w:eastAsia="zh-CN"/>
        </w:rPr>
        <w:t>（北京时间，法定节假日除外）</w:t>
      </w:r>
      <w:r>
        <w:rPr>
          <w:rFonts w:hint="eastAsia" w:ascii="宋体" w:hAnsi="宋体" w:cs="宋体"/>
          <w:color w:val="auto"/>
          <w:sz w:val="24"/>
          <w:szCs w:val="24"/>
          <w:highlight w:val="none"/>
          <w:lang w:val="en-US" w:eastAsia="zh-CN"/>
        </w:rPr>
        <w:t>。</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地点：政采云平台（https://www.zcygov.cn/）</w:t>
      </w:r>
      <w:r>
        <w:rPr>
          <w:rFonts w:hint="eastAsia" w:ascii="宋体" w:hAnsi="宋体" w:cs="宋体"/>
          <w:color w:val="auto"/>
          <w:sz w:val="24"/>
          <w:szCs w:val="24"/>
          <w:highlight w:val="none"/>
          <w:lang w:val="en-US" w:eastAsia="zh-CN"/>
        </w:rPr>
        <w:t>。</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方式：因本项目采用电子招标投标，具体如下：</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2.按上述要求获取文件的供应商视为合法获取了本项目采购文件，具备本项目的投标资格。</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未按上述规定获取招标文件的视为无效。</w:t>
      </w:r>
    </w:p>
    <w:p>
      <w:pPr>
        <w:spacing w:line="360" w:lineRule="auto"/>
        <w:ind w:firstLine="482" w:firstLineChars="200"/>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四、提交投标文件</w:t>
      </w:r>
      <w:bookmarkEnd w:id="32"/>
      <w:bookmarkEnd w:id="33"/>
      <w:r>
        <w:rPr>
          <w:rFonts w:hint="eastAsia" w:ascii="宋体" w:hAnsi="宋体" w:cs="宋体"/>
          <w:b/>
          <w:bCs/>
          <w:color w:val="auto"/>
          <w:sz w:val="24"/>
          <w:szCs w:val="24"/>
          <w:highlight w:val="none"/>
        </w:rPr>
        <w:t>截止时间、开标时间和地点</w:t>
      </w:r>
      <w:bookmarkEnd w:id="34"/>
      <w:bookmarkEnd w:id="35"/>
      <w:bookmarkEnd w:id="36"/>
      <w:bookmarkEnd w:id="37"/>
      <w:bookmarkEnd w:id="38"/>
      <w:bookmarkEnd w:id="39"/>
      <w:bookmarkEnd w:id="40"/>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时间：</w:t>
      </w:r>
      <w:r>
        <w:rPr>
          <w:rFonts w:hint="eastAsia" w:ascii="宋体" w:hAnsi="宋体" w:eastAsia="宋体" w:cs="宋体"/>
          <w:color w:val="auto"/>
          <w:sz w:val="24"/>
          <w:szCs w:val="24"/>
          <w:highlight w:val="none"/>
        </w:rPr>
        <w:t>2024年</w:t>
      </w:r>
      <w:r>
        <w:rPr>
          <w:rFonts w:hint="eastAsia" w:ascii="宋体" w:hAnsi="宋体" w:eastAsia="宋体" w:cs="宋体"/>
          <w:color w:val="auto"/>
          <w:sz w:val="24"/>
          <w:szCs w:val="24"/>
          <w:highlight w:val="none"/>
          <w:lang w:val="en-US" w:eastAsia="zh-CN"/>
        </w:rPr>
        <w:t>07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24</w:t>
      </w:r>
      <w:r>
        <w:rPr>
          <w:rFonts w:hint="eastAsia" w:ascii="宋体" w:hAnsi="宋体" w:eastAsia="宋体" w:cs="宋体"/>
          <w:color w:val="auto"/>
          <w:sz w:val="24"/>
          <w:szCs w:val="24"/>
          <w:highlight w:val="none"/>
        </w:rPr>
        <w:t>日09点</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0分</w:t>
      </w:r>
      <w:r>
        <w:rPr>
          <w:rFonts w:hint="eastAsia" w:ascii="宋体" w:hAnsi="宋体" w:eastAsia="宋体" w:cs="宋体"/>
          <w:color w:val="auto"/>
          <w:sz w:val="24"/>
          <w:szCs w:val="24"/>
          <w:highlight w:val="none"/>
          <w:lang w:val="en-US" w:eastAsia="zh-CN"/>
        </w:rPr>
        <w:t>（北京时间）。</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地点：本项目采用在政府采购云平台（www.zcygov.cn）上进行采购与提交投标文件，投标文件递交要求如下：</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网上提交：</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网上提交需登录政府采购云平台（www.zcygov.cn），在投标文件提交截止时间前完成所有电子投标文件的上传，投标文件提交截止时间前未完成文件上传的，视为撤回投标文件。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本项目采用在政府采购云平台（www.zcygov.cn）上进行采购与提交投标文件，无需现场提交纸质文件，但应在投标文件提交截止时间前登录系统，并根据开标系统的提示操作解密文件。</w:t>
      </w:r>
    </w:p>
    <w:p>
      <w:pPr>
        <w:spacing w:line="360" w:lineRule="auto"/>
        <w:ind w:firstLine="482" w:firstLineChars="200"/>
        <w:outlineLvl w:val="1"/>
        <w:rPr>
          <w:rFonts w:hint="eastAsia" w:ascii="宋体" w:hAnsi="宋体" w:cs="宋体"/>
          <w:b/>
          <w:bCs/>
          <w:color w:val="auto"/>
          <w:sz w:val="24"/>
          <w:szCs w:val="24"/>
          <w:highlight w:val="none"/>
        </w:rPr>
      </w:pPr>
      <w:bookmarkStart w:id="41" w:name="_Toc28359084"/>
      <w:bookmarkStart w:id="42" w:name="_Toc24581"/>
      <w:bookmarkStart w:id="43" w:name="_Toc9050"/>
      <w:bookmarkStart w:id="44" w:name="_Toc1827"/>
      <w:bookmarkStart w:id="45" w:name="_Toc35393625"/>
      <w:bookmarkStart w:id="46" w:name="_Toc35393794"/>
      <w:bookmarkStart w:id="47" w:name="_Toc14836"/>
      <w:bookmarkStart w:id="48" w:name="_Toc21084"/>
      <w:bookmarkStart w:id="49" w:name="_Toc28359007"/>
      <w:r>
        <w:rPr>
          <w:rFonts w:hint="eastAsia" w:ascii="宋体" w:hAnsi="宋体" w:cs="宋体"/>
          <w:b/>
          <w:bCs/>
          <w:color w:val="auto"/>
          <w:sz w:val="24"/>
          <w:szCs w:val="24"/>
          <w:highlight w:val="none"/>
        </w:rPr>
        <w:t>五、公告期限</w:t>
      </w:r>
      <w:bookmarkEnd w:id="41"/>
      <w:bookmarkEnd w:id="42"/>
      <w:bookmarkEnd w:id="43"/>
      <w:bookmarkEnd w:id="44"/>
      <w:bookmarkEnd w:id="45"/>
      <w:bookmarkEnd w:id="46"/>
      <w:bookmarkEnd w:id="47"/>
      <w:bookmarkEnd w:id="48"/>
      <w:bookmarkEnd w:id="49"/>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pPr>
        <w:spacing w:line="360" w:lineRule="auto"/>
        <w:ind w:firstLine="482" w:firstLineChars="200"/>
        <w:outlineLvl w:val="1"/>
        <w:rPr>
          <w:rFonts w:hint="eastAsia" w:ascii="宋体" w:hAnsi="宋体" w:cs="宋体"/>
          <w:b/>
          <w:bCs/>
          <w:color w:val="auto"/>
          <w:sz w:val="24"/>
          <w:szCs w:val="24"/>
          <w:highlight w:val="none"/>
        </w:rPr>
      </w:pPr>
      <w:bookmarkStart w:id="50" w:name="_Toc18413"/>
      <w:bookmarkStart w:id="51" w:name="_Toc35393626"/>
      <w:bookmarkStart w:id="52" w:name="_Toc32709"/>
      <w:bookmarkStart w:id="53" w:name="_Toc6200"/>
      <w:bookmarkStart w:id="54" w:name="_Toc35393795"/>
      <w:bookmarkStart w:id="55" w:name="_Toc20889"/>
      <w:bookmarkStart w:id="56" w:name="_Toc8783"/>
      <w:r>
        <w:rPr>
          <w:rFonts w:hint="eastAsia" w:ascii="宋体" w:hAnsi="宋体" w:cs="宋体"/>
          <w:b/>
          <w:bCs/>
          <w:color w:val="auto"/>
          <w:sz w:val="24"/>
          <w:szCs w:val="24"/>
          <w:highlight w:val="none"/>
        </w:rPr>
        <w:t>六、其他补充事宜</w:t>
      </w:r>
      <w:bookmarkEnd w:id="50"/>
      <w:bookmarkEnd w:id="51"/>
      <w:bookmarkEnd w:id="52"/>
      <w:bookmarkEnd w:id="53"/>
      <w:bookmarkEnd w:id="54"/>
      <w:bookmarkEnd w:id="55"/>
      <w:bookmarkEnd w:id="56"/>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公告发布媒介：</w:t>
      </w:r>
      <w:r>
        <w:rPr>
          <w:rFonts w:hint="eastAsia" w:ascii="宋体" w:hAnsi="宋体" w:eastAsia="宋体" w:cs="宋体"/>
          <w:color w:val="auto"/>
          <w:sz w:val="24"/>
          <w:szCs w:val="24"/>
          <w:highlight w:val="none"/>
          <w:lang w:val="en-US" w:eastAsia="zh-CN"/>
        </w:rPr>
        <w:t>云南省政府采购网（http://www.yngp.com/）、政府采购云平台（http：//www.zcygov.cn）上发布，采购人及采购代理机构对其他网站或媒体转载的公告及公告内容不承担任何责任。</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.远程开标解密：</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登录</w:t>
      </w:r>
      <w:r>
        <w:rPr>
          <w:rFonts w:hint="eastAsia" w:ascii="宋体" w:hAnsi="宋体" w:cs="宋体"/>
          <w:color w:val="auto"/>
          <w:spacing w:val="-1"/>
          <w:sz w:val="24"/>
          <w:szCs w:val="24"/>
          <w:highlight w:val="none"/>
        </w:rPr>
        <w:t>政府采购云平台（http：//www.zcygov.cn）</w:t>
      </w:r>
      <w:r>
        <w:rPr>
          <w:rFonts w:hint="eastAsia" w:ascii="宋体" w:hAnsi="宋体" w:cs="宋体"/>
          <w:color w:val="auto"/>
          <w:kern w:val="0"/>
          <w:sz w:val="24"/>
          <w:szCs w:val="24"/>
          <w:highlight w:val="none"/>
        </w:rPr>
        <w:t>，根据网上远程解密、开标的要求，须在规定时间完成签到、在线解密、开标一览表确认等相关操作。若</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没有在规定时间完成以上相关操作，则视为撤销其投标文件，不再进入评标阶段。开标过程中如有</w:t>
      </w:r>
      <w:r>
        <w:rPr>
          <w:rFonts w:hint="eastAsia" w:ascii="宋体" w:hAnsi="宋体" w:eastAsia="宋体" w:cs="宋体"/>
          <w:color w:val="auto"/>
          <w:sz w:val="24"/>
          <w:szCs w:val="24"/>
          <w:highlight w:val="none"/>
          <w:lang w:val="en-US" w:eastAsia="zh-CN"/>
        </w:rPr>
        <w:t>问题，可以发起在线异议，由代理机构给予对应的回复。请</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提前熟悉智能开标操作手册。任何因忽视或误解而导致投标文件未上传或已上传但未按规定的操作流程及时间要求进行解密的，由</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自行负责。</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因未注册入库、未办理CA数字证书等原因造成无法投标或投标失败等后果由供应商自行承担。凡有意参加投</w:t>
      </w:r>
      <w:r>
        <w:rPr>
          <w:rFonts w:hint="eastAsia" w:ascii="宋体" w:hAnsi="宋体" w:eastAsia="宋体" w:cs="宋体"/>
          <w:color w:val="auto"/>
          <w:kern w:val="0"/>
          <w:sz w:val="24"/>
          <w:szCs w:val="24"/>
          <w:highlight w:val="none"/>
          <w:lang w:val="en-US" w:eastAsia="zh-CN"/>
        </w:rPr>
        <w:t>标的</w:t>
      </w: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val="en-US" w:eastAsia="zh-CN"/>
        </w:rPr>
        <w:t>，须在政采云平台办理数</w:t>
      </w:r>
      <w:r>
        <w:rPr>
          <w:rFonts w:hint="eastAsia" w:ascii="宋体" w:hAnsi="宋体" w:eastAsia="宋体" w:cs="宋体"/>
          <w:color w:val="auto"/>
          <w:sz w:val="24"/>
          <w:szCs w:val="24"/>
          <w:highlight w:val="none"/>
          <w:lang w:val="en-US" w:eastAsia="zh-CN"/>
        </w:rPr>
        <w:t>字证书（CA）CA申领链接：https://middle.zcygov.cn/ca/apply/list?_app_=zcy.sys，并通过政采云绑定数字证书（CA）后在网上获取采购文件及其它采购资料，数字证书（CA）详见其办理流程；</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进行咨询以及云南CA操作问题：请致电云南CA，4006727666；云南CA紧急联系方式：15288315056。如因供应商自身原因导致在规定时间内无法正常解密的（如：浏览器故障、未安装相关驱动、网络故障、加密CA与解密CA不一致等），代理机构不予异常处理，视为供应商自动弃标。</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5.投标保证金：</w:t>
      </w:r>
    </w:p>
    <w:p>
      <w:pPr>
        <w:spacing w:line="360" w:lineRule="auto"/>
        <w:ind w:firstLine="480" w:firstLineChars="200"/>
        <w:rPr>
          <w:rFonts w:hint="eastAsia" w:ascii="宋体" w:hAnsi="宋体" w:eastAsia="宋体" w:cs="宋体"/>
          <w:color w:val="auto"/>
          <w:sz w:val="24"/>
          <w:szCs w:val="24"/>
          <w:highlight w:val="none"/>
          <w:lang w:val="en-US" w:eastAsia="zh-CN"/>
        </w:rPr>
      </w:pPr>
      <w:bookmarkStart w:id="57" w:name="_Toc35393627"/>
      <w:bookmarkStart w:id="58" w:name="_Toc2036"/>
      <w:bookmarkStart w:id="59" w:name="_Toc35393796"/>
      <w:bookmarkStart w:id="60" w:name="_Toc48"/>
      <w:bookmarkStart w:id="61" w:name="_Toc11757"/>
      <w:bookmarkStart w:id="62" w:name="_Toc9208"/>
      <w:bookmarkStart w:id="63" w:name="_Toc16238"/>
      <w:bookmarkStart w:id="64" w:name="_Toc28359085"/>
      <w:bookmarkStart w:id="65" w:name="_Toc28359008"/>
      <w:r>
        <w:rPr>
          <w:rFonts w:hint="eastAsia" w:ascii="宋体" w:hAnsi="宋体" w:eastAsia="宋体" w:cs="宋体"/>
          <w:color w:val="auto"/>
          <w:sz w:val="24"/>
          <w:szCs w:val="24"/>
          <w:highlight w:val="none"/>
          <w:lang w:val="en-US" w:eastAsia="zh-CN"/>
        </w:rPr>
        <w:t>是否需要缴纳投标保证金：是</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石屏县2024年至2027年义务教</w:t>
      </w:r>
      <w:r>
        <w:rPr>
          <w:rFonts w:hint="eastAsia" w:ascii="宋体" w:hAnsi="宋体" w:eastAsia="宋体" w:cs="宋体"/>
          <w:color w:val="auto"/>
          <w:sz w:val="24"/>
          <w:szCs w:val="24"/>
          <w:highlight w:val="none"/>
        </w:rPr>
        <w:t>育阶段学生营养餐食品食材采购及配送服务项目（一标段）</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保证金金额：</w:t>
      </w:r>
      <w:r>
        <w:rPr>
          <w:rFonts w:hint="eastAsia" w:ascii="宋体" w:hAnsi="宋体" w:eastAsia="宋体" w:cs="宋体"/>
          <w:color w:val="auto"/>
          <w:sz w:val="24"/>
          <w:szCs w:val="24"/>
          <w:highlight w:val="none"/>
          <w:lang w:val="en-US" w:eastAsia="zh-CN"/>
        </w:rPr>
        <w:t>50000</w:t>
      </w:r>
      <w:r>
        <w:rPr>
          <w:rFonts w:hint="eastAsia" w:ascii="宋体" w:hAnsi="宋体" w:eastAsia="宋体" w:cs="宋体"/>
          <w:color w:val="auto"/>
          <w:sz w:val="24"/>
          <w:szCs w:val="24"/>
          <w:highlight w:val="none"/>
        </w:rPr>
        <w:t>.00（元）</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保证金缴纳方式：</w:t>
      </w:r>
      <w:r>
        <w:rPr>
          <w:rFonts w:hint="eastAsia" w:ascii="宋体" w:hAnsi="宋体"/>
          <w:color w:val="auto"/>
          <w:sz w:val="24"/>
          <w:highlight w:val="none"/>
        </w:rPr>
        <w:t>支票、汇票、本票、保函、银行转账</w:t>
      </w:r>
      <w:r>
        <w:rPr>
          <w:rFonts w:hint="eastAsia" w:ascii="宋体" w:hAnsi="宋体" w:eastAsia="宋体" w:cs="宋体"/>
          <w:color w:val="auto"/>
          <w:sz w:val="24"/>
          <w:szCs w:val="24"/>
          <w:highlight w:val="none"/>
        </w:rPr>
        <w:t>、保证保险</w:t>
      </w:r>
      <w:r>
        <w:rPr>
          <w:rFonts w:hint="eastAsia" w:ascii="宋体" w:hAnsi="宋体" w:eastAsia="宋体" w:cs="宋体"/>
          <w:color w:val="auto"/>
          <w:sz w:val="24"/>
          <w:szCs w:val="24"/>
          <w:highlight w:val="none"/>
          <w:lang w:val="en-US" w:eastAsia="zh-CN"/>
        </w:rPr>
        <w:t>等非现金形式</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保证金缴纳截止时间：同投标文件递交截止时间。</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石屏县2024年至2027年义务教育阶段学生营养餐食品食材采购及配送服务项目（</w:t>
      </w:r>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rPr>
        <w:t>标段）</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保证金金额：</w:t>
      </w:r>
      <w:r>
        <w:rPr>
          <w:rFonts w:hint="eastAsia" w:ascii="宋体" w:hAnsi="宋体" w:eastAsia="宋体" w:cs="宋体"/>
          <w:color w:val="auto"/>
          <w:sz w:val="24"/>
          <w:szCs w:val="24"/>
          <w:highlight w:val="none"/>
          <w:lang w:val="en-US" w:eastAsia="zh-CN"/>
        </w:rPr>
        <w:t>50000</w:t>
      </w:r>
      <w:r>
        <w:rPr>
          <w:rFonts w:hint="eastAsia" w:ascii="宋体" w:hAnsi="宋体" w:eastAsia="宋体" w:cs="宋体"/>
          <w:color w:val="auto"/>
          <w:sz w:val="24"/>
          <w:szCs w:val="24"/>
          <w:highlight w:val="none"/>
        </w:rPr>
        <w:t>.00（元）</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保证金缴纳方式：</w:t>
      </w:r>
      <w:r>
        <w:rPr>
          <w:rFonts w:hint="eastAsia" w:ascii="宋体" w:hAnsi="宋体"/>
          <w:color w:val="auto"/>
          <w:sz w:val="24"/>
          <w:highlight w:val="none"/>
        </w:rPr>
        <w:t>支票、汇票、本票、保函、银行转账、保证保险</w:t>
      </w:r>
      <w:r>
        <w:rPr>
          <w:rFonts w:hint="eastAsia" w:ascii="宋体" w:hAnsi="宋体" w:eastAsia="宋体" w:cs="Times New Roman"/>
          <w:snapToGrid w:val="0"/>
          <w:color w:val="auto"/>
          <w:kern w:val="0"/>
          <w:sz w:val="24"/>
          <w:highlight w:val="none"/>
          <w:lang w:val="en-US" w:eastAsia="zh-CN"/>
        </w:rPr>
        <w:t>等非现金形式</w:t>
      </w:r>
    </w:p>
    <w:p>
      <w:pPr>
        <w:spacing w:line="360" w:lineRule="auto"/>
        <w:ind w:firstLine="480" w:firstLineChars="200"/>
        <w:rPr>
          <w:rFonts w:hint="eastAsia"/>
          <w:color w:val="auto"/>
          <w:highlight w:val="none"/>
        </w:rPr>
      </w:pPr>
      <w:r>
        <w:rPr>
          <w:rFonts w:hint="eastAsia" w:ascii="宋体" w:hAnsi="宋体" w:eastAsia="宋体" w:cs="宋体"/>
          <w:color w:val="auto"/>
          <w:sz w:val="24"/>
          <w:szCs w:val="24"/>
          <w:highlight w:val="none"/>
        </w:rPr>
        <w:t>保证金缴纳截止时间：同投标文件递交截止时间。</w:t>
      </w:r>
    </w:p>
    <w:p>
      <w:pPr>
        <w:spacing w:line="360" w:lineRule="auto"/>
        <w:ind w:firstLine="482" w:firstLineChars="200"/>
        <w:outlineLvl w:val="1"/>
        <w:rPr>
          <w:rFonts w:hint="eastAsia" w:ascii="宋体" w:hAnsi="宋体" w:cs="宋体"/>
          <w:color w:val="auto"/>
          <w:sz w:val="24"/>
          <w:szCs w:val="24"/>
          <w:highlight w:val="none"/>
        </w:rPr>
      </w:pPr>
      <w:r>
        <w:rPr>
          <w:rFonts w:hint="eastAsia" w:ascii="宋体" w:hAnsi="宋体" w:cs="宋体"/>
          <w:b/>
          <w:bCs/>
          <w:color w:val="auto"/>
          <w:sz w:val="24"/>
          <w:szCs w:val="24"/>
          <w:highlight w:val="none"/>
        </w:rPr>
        <w:t>七、对本次招标提出询问，请按以下方式联系。</w:t>
      </w:r>
      <w:bookmarkEnd w:id="57"/>
      <w:bookmarkEnd w:id="58"/>
      <w:bookmarkEnd w:id="59"/>
      <w:bookmarkEnd w:id="60"/>
      <w:bookmarkEnd w:id="61"/>
      <w:bookmarkEnd w:id="62"/>
      <w:bookmarkEnd w:id="63"/>
      <w:bookmarkEnd w:id="64"/>
      <w:bookmarkEnd w:id="65"/>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1、采购人信息</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名 称：石屏县教育体育局</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地址：石屏县异龙镇湖滨路83号</w:t>
      </w:r>
    </w:p>
    <w:p>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联系方式：</w:t>
      </w:r>
      <w:bookmarkStart w:id="66" w:name="_Toc28359009"/>
      <w:bookmarkStart w:id="67" w:name="_Toc28359086"/>
      <w:r>
        <w:rPr>
          <w:rFonts w:hint="eastAsia" w:ascii="宋体" w:hAnsi="宋体" w:cs="宋体"/>
          <w:color w:val="auto"/>
          <w:sz w:val="24"/>
          <w:szCs w:val="24"/>
          <w:highlight w:val="none"/>
          <w:lang w:val="en-US" w:eastAsia="zh-CN"/>
        </w:rPr>
        <w:t>宋老师 13887399099</w:t>
      </w:r>
    </w:p>
    <w:p>
      <w:pPr>
        <w:pStyle w:val="9"/>
        <w:rPr>
          <w:rFonts w:hint="default"/>
          <w:color w:val="auto"/>
          <w:highlight w:val="none"/>
          <w:lang w:val="en-US" w:eastAsia="zh-CN"/>
        </w:rPr>
      </w:pP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2、采购代理机构信息</w:t>
      </w:r>
      <w:bookmarkEnd w:id="66"/>
      <w:bookmarkEnd w:id="67"/>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名称：云南辰柯工程项目管理有限公司</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地址：云南省昆明市官渡区关上街道云南城投大厦A座6-B、6-D室</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68" w:name="_Toc28359010"/>
      <w:bookmarkStart w:id="69" w:name="_Toc28359087"/>
      <w:r>
        <w:rPr>
          <w:rFonts w:hint="eastAsia" w:ascii="宋体" w:hAnsi="宋体" w:cs="宋体"/>
          <w:color w:val="auto"/>
          <w:sz w:val="24"/>
          <w:szCs w:val="24"/>
          <w:highlight w:val="none"/>
          <w:lang w:val="en-US" w:eastAsia="zh-CN"/>
        </w:rPr>
        <w:t xml:space="preserve">梅老师 </w:t>
      </w:r>
      <w:r>
        <w:rPr>
          <w:rFonts w:hint="eastAsia" w:ascii="宋体" w:hAnsi="宋体" w:cs="宋体"/>
          <w:color w:val="auto"/>
          <w:sz w:val="24"/>
          <w:szCs w:val="24"/>
          <w:highlight w:val="none"/>
        </w:rPr>
        <w:t>13608853412</w:t>
      </w:r>
    </w:p>
    <w:p>
      <w:pPr>
        <w:pStyle w:val="9"/>
        <w:rPr>
          <w:rFonts w:hint="eastAsia"/>
          <w:color w:val="auto"/>
          <w:highlight w:val="none"/>
        </w:rPr>
      </w:pP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3、项目联系方式</w:t>
      </w:r>
      <w:bookmarkEnd w:id="68"/>
      <w:bookmarkEnd w:id="69"/>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项目联系人：</w:t>
      </w:r>
      <w:r>
        <w:rPr>
          <w:rFonts w:hint="eastAsia" w:ascii="宋体" w:hAnsi="宋体" w:cs="宋体"/>
          <w:color w:val="auto"/>
          <w:sz w:val="24"/>
          <w:szCs w:val="24"/>
          <w:highlight w:val="none"/>
          <w:lang w:val="en-US" w:eastAsia="zh-CN"/>
        </w:rPr>
        <w:t>梅老师</w:t>
      </w:r>
      <w:r>
        <w:rPr>
          <w:rFonts w:hint="eastAsia" w:ascii="宋体" w:hAnsi="宋体" w:cs="宋体"/>
          <w:color w:val="auto"/>
          <w:sz w:val="24"/>
          <w:szCs w:val="24"/>
          <w:highlight w:val="none"/>
        </w:rPr>
        <w:t xml:space="preserve"> </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电</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话：13608853412</w:t>
      </w:r>
    </w:p>
    <w:p>
      <w:pPr>
        <w:jc w:val="center"/>
        <w:rPr>
          <w:rFonts w:hint="eastAsia" w:ascii="宋体" w:hAnsi="宋体" w:cs="宋体"/>
          <w:color w:val="auto"/>
          <w:szCs w:val="21"/>
          <w:highlight w:val="none"/>
        </w:rPr>
      </w:pPr>
    </w:p>
    <w:p>
      <w:pPr>
        <w:widowControl/>
        <w:jc w:val="left"/>
        <w:rPr>
          <w:rFonts w:hint="eastAsia" w:ascii="宋体" w:hAnsi="宋体" w:cs="宋体"/>
          <w:color w:val="auto"/>
          <w:sz w:val="32"/>
          <w:szCs w:val="21"/>
          <w:highlight w:val="none"/>
        </w:rPr>
      </w:pPr>
      <w:r>
        <w:rPr>
          <w:rFonts w:hint="eastAsia" w:ascii="宋体" w:hAnsi="宋体" w:cs="宋体"/>
          <w:color w:val="auto"/>
          <w:sz w:val="32"/>
          <w:szCs w:val="21"/>
          <w:highlight w:val="none"/>
        </w:rPr>
        <w:br w:type="page"/>
      </w:r>
    </w:p>
    <w:p>
      <w:pPr>
        <w:pStyle w:val="2"/>
        <w:rPr>
          <w:rStyle w:val="27"/>
          <w:rFonts w:hint="eastAsia" w:ascii="宋体" w:hAnsi="宋体" w:cs="宋体"/>
          <w:b/>
          <w:color w:val="auto"/>
          <w:highlight w:val="none"/>
        </w:rPr>
      </w:pPr>
      <w:bookmarkStart w:id="70" w:name="_Toc378239348"/>
      <w:bookmarkStart w:id="71" w:name="_Toc21627"/>
      <w:bookmarkStart w:id="72" w:name="_Toc28769"/>
      <w:bookmarkStart w:id="73" w:name="_Toc480817641"/>
      <w:bookmarkStart w:id="74" w:name="_Toc26061"/>
      <w:bookmarkStart w:id="75" w:name="_Toc489145701"/>
      <w:bookmarkStart w:id="76" w:name="_Toc18118"/>
      <w:bookmarkStart w:id="77" w:name="_Toc489197805"/>
      <w:bookmarkStart w:id="78" w:name="_Toc4723"/>
      <w:bookmarkStart w:id="79" w:name="_Toc213908411"/>
      <w:r>
        <w:rPr>
          <w:rStyle w:val="27"/>
          <w:rFonts w:hint="eastAsia" w:ascii="宋体" w:hAnsi="宋体" w:cs="宋体"/>
          <w:b/>
          <w:color w:val="auto"/>
          <w:highlight w:val="none"/>
        </w:rPr>
        <w:t xml:space="preserve">第二章 </w:t>
      </w:r>
      <w:r>
        <w:rPr>
          <w:rStyle w:val="27"/>
          <w:rFonts w:hint="eastAsia" w:ascii="宋体" w:hAnsi="宋体" w:cs="宋体"/>
          <w:b/>
          <w:color w:val="auto"/>
          <w:highlight w:val="none"/>
          <w:lang w:eastAsia="zh-CN"/>
        </w:rPr>
        <w:t>供应商</w:t>
      </w:r>
      <w:r>
        <w:rPr>
          <w:rStyle w:val="27"/>
          <w:rFonts w:hint="eastAsia" w:ascii="宋体" w:hAnsi="宋体" w:cs="宋体"/>
          <w:b/>
          <w:color w:val="auto"/>
          <w:highlight w:val="none"/>
        </w:rPr>
        <w:t>须知</w:t>
      </w:r>
      <w:bookmarkEnd w:id="70"/>
      <w:bookmarkEnd w:id="71"/>
      <w:bookmarkEnd w:id="72"/>
      <w:bookmarkEnd w:id="73"/>
      <w:bookmarkEnd w:id="74"/>
      <w:bookmarkEnd w:id="75"/>
      <w:bookmarkEnd w:id="76"/>
      <w:bookmarkEnd w:id="77"/>
      <w:bookmarkEnd w:id="78"/>
    </w:p>
    <w:p>
      <w:pPr>
        <w:jc w:val="center"/>
        <w:outlineLvl w:val="1"/>
        <w:rPr>
          <w:rFonts w:hint="eastAsia" w:ascii="宋体" w:hAnsi="宋体" w:cs="宋体"/>
          <w:color w:val="auto"/>
          <w:highlight w:val="none"/>
        </w:rPr>
      </w:pPr>
      <w:bookmarkStart w:id="80" w:name="_Toc29733"/>
      <w:bookmarkStart w:id="81" w:name="_Toc17164"/>
      <w:bookmarkStart w:id="82" w:name="_Toc26476"/>
      <w:bookmarkStart w:id="83" w:name="_Toc4668"/>
      <w:r>
        <w:rPr>
          <w:rFonts w:hint="eastAsia" w:ascii="宋体" w:hAnsi="宋体" w:cs="宋体"/>
          <w:b/>
          <w:bCs/>
          <w:color w:val="auto"/>
          <w:sz w:val="28"/>
          <w:szCs w:val="28"/>
          <w:highlight w:val="none"/>
          <w:lang w:eastAsia="zh-CN"/>
        </w:rPr>
        <w:t>供应商</w:t>
      </w:r>
      <w:r>
        <w:rPr>
          <w:rFonts w:hint="eastAsia" w:ascii="宋体" w:hAnsi="宋体" w:cs="宋体"/>
          <w:b/>
          <w:bCs/>
          <w:color w:val="auto"/>
          <w:sz w:val="28"/>
          <w:szCs w:val="28"/>
          <w:highlight w:val="none"/>
        </w:rPr>
        <w:t>须知前附表</w:t>
      </w:r>
      <w:bookmarkEnd w:id="80"/>
      <w:bookmarkEnd w:id="81"/>
      <w:bookmarkEnd w:id="82"/>
      <w:bookmarkEnd w:id="83"/>
    </w:p>
    <w:tbl>
      <w:tblPr>
        <w:tblStyle w:val="21"/>
        <w:tblW w:w="9631" w:type="dxa"/>
        <w:jc w:val="center"/>
        <w:tblLayout w:type="fixed"/>
        <w:tblCellMar>
          <w:top w:w="0" w:type="dxa"/>
          <w:left w:w="108" w:type="dxa"/>
          <w:bottom w:w="0" w:type="dxa"/>
          <w:right w:w="108" w:type="dxa"/>
        </w:tblCellMar>
      </w:tblPr>
      <w:tblGrid>
        <w:gridCol w:w="989"/>
        <w:gridCol w:w="2149"/>
        <w:gridCol w:w="6493"/>
      </w:tblGrid>
      <w:tr>
        <w:tblPrEx>
          <w:tblCellMar>
            <w:top w:w="0" w:type="dxa"/>
            <w:left w:w="108" w:type="dxa"/>
            <w:bottom w:w="0" w:type="dxa"/>
            <w:right w:w="108" w:type="dxa"/>
          </w:tblCellMar>
        </w:tblPrEx>
        <w:trPr>
          <w:trHeight w:val="474"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b/>
                <w:color w:val="auto"/>
                <w:sz w:val="24"/>
                <w:szCs w:val="24"/>
                <w:highlight w:val="none"/>
              </w:rPr>
            </w:pPr>
            <w:bookmarkStart w:id="84" w:name="_Toc152042305"/>
            <w:bookmarkStart w:id="85" w:name="_Toc246996175"/>
            <w:bookmarkStart w:id="86" w:name="_Toc488633604"/>
            <w:bookmarkStart w:id="87" w:name="_Toc489145703"/>
            <w:bookmarkStart w:id="88" w:name="_Toc247085689"/>
            <w:bookmarkStart w:id="89" w:name="_Toc489197807"/>
            <w:bookmarkStart w:id="90" w:name="_Toc378239351"/>
            <w:bookmarkStart w:id="91" w:name="_Toc179632546"/>
            <w:bookmarkStart w:id="92" w:name="_Toc246996918"/>
            <w:bookmarkStart w:id="93" w:name="_Toc17909"/>
            <w:bookmarkStart w:id="94" w:name="_Toc378239170"/>
            <w:bookmarkStart w:id="95" w:name="_Toc144974497"/>
            <w:bookmarkStart w:id="96" w:name="_Toc401342134"/>
            <w:bookmarkStart w:id="97" w:name="_Toc296602420"/>
            <w:bookmarkStart w:id="98" w:name="_Toc480817643"/>
            <w:bookmarkStart w:id="99" w:name="_Toc378239078"/>
            <w:bookmarkStart w:id="100" w:name="_Toc152045529"/>
            <w:r>
              <w:rPr>
                <w:rFonts w:hint="eastAsia" w:ascii="宋体" w:hAnsi="宋体" w:cs="宋体"/>
                <w:b/>
                <w:color w:val="auto"/>
                <w:sz w:val="24"/>
                <w:szCs w:val="24"/>
                <w:highlight w:val="none"/>
              </w:rPr>
              <w:t>条款号</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条  款  名  称</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编  列  内  容</w:t>
            </w:r>
          </w:p>
        </w:tc>
      </w:tr>
      <w:tr>
        <w:tblPrEx>
          <w:tblCellMar>
            <w:top w:w="0" w:type="dxa"/>
            <w:left w:w="108" w:type="dxa"/>
            <w:bottom w:w="0" w:type="dxa"/>
            <w:right w:w="108" w:type="dxa"/>
          </w:tblCellMar>
        </w:tblPrEx>
        <w:trPr>
          <w:trHeight w:val="473"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1.2</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采购人</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名称：石屏县教育体育局</w:t>
            </w:r>
          </w:p>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地址：石屏县异龙镇湖滨路83号</w:t>
            </w:r>
          </w:p>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lang w:val="en-US" w:eastAsia="zh-CN"/>
              </w:rPr>
              <w:t>宋老师 13887399099</w:t>
            </w:r>
          </w:p>
        </w:tc>
      </w:tr>
      <w:tr>
        <w:tblPrEx>
          <w:tblCellMar>
            <w:top w:w="0" w:type="dxa"/>
            <w:left w:w="108" w:type="dxa"/>
            <w:bottom w:w="0" w:type="dxa"/>
            <w:right w:w="108" w:type="dxa"/>
          </w:tblCellMar>
        </w:tblPrEx>
        <w:trPr>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1.3</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采购代理机构</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名 称：云南辰柯工程项目管理有限公司</w:t>
            </w:r>
          </w:p>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地</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址：云南省昆明市官渡区关上街道云南城投大厦A座6-B、6-D室</w:t>
            </w:r>
          </w:p>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联系方式：梅</w:t>
            </w:r>
            <w:r>
              <w:rPr>
                <w:rFonts w:hint="eastAsia" w:ascii="宋体" w:hAnsi="宋体" w:cs="宋体"/>
                <w:color w:val="auto"/>
                <w:sz w:val="24"/>
                <w:szCs w:val="24"/>
                <w:highlight w:val="none"/>
                <w:lang w:val="en-US" w:eastAsia="zh-CN"/>
              </w:rPr>
              <w:t>老师</w:t>
            </w:r>
            <w:r>
              <w:rPr>
                <w:rFonts w:hint="eastAsia" w:ascii="宋体" w:hAnsi="宋体" w:cs="宋体"/>
                <w:color w:val="auto"/>
                <w:sz w:val="24"/>
                <w:szCs w:val="24"/>
                <w:highlight w:val="none"/>
              </w:rPr>
              <w:t xml:space="preserve"> 13608853412</w:t>
            </w:r>
          </w:p>
        </w:tc>
      </w:tr>
      <w:tr>
        <w:tblPrEx>
          <w:tblCellMar>
            <w:top w:w="0" w:type="dxa"/>
            <w:left w:w="108" w:type="dxa"/>
            <w:bottom w:w="0" w:type="dxa"/>
            <w:right w:w="108" w:type="dxa"/>
          </w:tblCellMar>
        </w:tblPrEx>
        <w:trPr>
          <w:trHeight w:val="601"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1.4</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项目名称及</w:t>
            </w:r>
            <w:r>
              <w:rPr>
                <w:rFonts w:hint="eastAsia" w:ascii="宋体" w:hAnsi="宋体" w:cs="宋体"/>
                <w:color w:val="auto"/>
                <w:sz w:val="24"/>
                <w:szCs w:val="24"/>
                <w:highlight w:val="none"/>
                <w:lang w:eastAsia="zh-CN"/>
              </w:rPr>
              <w:t>项目编号</w:t>
            </w:r>
          </w:p>
        </w:tc>
        <w:tc>
          <w:tcPr>
            <w:tcW w:w="6493" w:type="dxa"/>
            <w:tcBorders>
              <w:top w:val="single" w:color="auto" w:sz="4" w:space="0"/>
              <w:left w:val="single" w:color="auto" w:sz="4" w:space="0"/>
              <w:bottom w:val="single" w:color="auto" w:sz="4" w:space="0"/>
              <w:right w:val="single" w:color="auto" w:sz="4" w:space="0"/>
            </w:tcBorders>
            <w:vAlign w:val="center"/>
          </w:tcPr>
          <w:p>
            <w:pPr>
              <w:tabs>
                <w:tab w:val="left" w:pos="4775"/>
              </w:tabs>
              <w:spacing w:line="46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项目名称：石屏县2024年至2027年义务教育阶段学生营养餐食品食材采购及配送服务项目</w:t>
            </w:r>
          </w:p>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项目编号</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HHZC2024-G3-01253-YNCK-0002</w:t>
            </w:r>
            <w:r>
              <w:rPr>
                <w:rFonts w:hint="eastAsia" w:ascii="宋体" w:hAnsi="宋体" w:cs="宋体"/>
                <w:color w:val="auto"/>
                <w:sz w:val="24"/>
                <w:szCs w:val="24"/>
                <w:highlight w:val="none"/>
              </w:rPr>
              <w:t xml:space="preserve"> </w:t>
            </w:r>
          </w:p>
        </w:tc>
      </w:tr>
      <w:tr>
        <w:tblPrEx>
          <w:tblCellMar>
            <w:top w:w="0" w:type="dxa"/>
            <w:left w:w="108" w:type="dxa"/>
            <w:bottom w:w="0" w:type="dxa"/>
            <w:right w:w="108" w:type="dxa"/>
          </w:tblCellMar>
        </w:tblPrEx>
        <w:trPr>
          <w:trHeight w:val="708" w:hRule="atLeast"/>
          <w:jc w:val="center"/>
        </w:trPr>
        <w:tc>
          <w:tcPr>
            <w:tcW w:w="989" w:type="dxa"/>
            <w:tcBorders>
              <w:top w:val="single" w:color="auto" w:sz="4" w:space="0"/>
              <w:left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1.5</w:t>
            </w:r>
          </w:p>
        </w:tc>
        <w:tc>
          <w:tcPr>
            <w:tcW w:w="2149" w:type="dxa"/>
            <w:tcBorders>
              <w:top w:val="single" w:color="auto" w:sz="4" w:space="0"/>
              <w:left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标（包）划分</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石屏县2024年至2027年义务教育阶段学生营养餐食品食材采购及配送服务项目（一标段）：</w:t>
            </w:r>
            <w:r>
              <w:rPr>
                <w:rFonts w:hint="eastAsia" w:ascii="宋体" w:hAnsi="宋体" w:cs="宋体"/>
                <w:color w:val="auto"/>
                <w:sz w:val="24"/>
                <w:szCs w:val="24"/>
                <w:highlight w:val="none"/>
                <w:lang w:eastAsia="zh-CN"/>
              </w:rPr>
              <w:t>1284.0487</w:t>
            </w:r>
            <w:r>
              <w:rPr>
                <w:rFonts w:hint="eastAsia" w:ascii="宋体" w:hAnsi="宋体" w:cs="宋体"/>
                <w:color w:val="auto"/>
                <w:sz w:val="24"/>
                <w:szCs w:val="24"/>
                <w:highlight w:val="none"/>
              </w:rPr>
              <w:t>万元；</w:t>
            </w:r>
          </w:p>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石屏县2024年至2027年义务教育阶段学生营养餐食品食材采购及配送服务项目（二标段）：</w:t>
            </w:r>
            <w:r>
              <w:rPr>
                <w:rFonts w:hint="eastAsia" w:ascii="宋体" w:hAnsi="宋体" w:cs="宋体"/>
                <w:color w:val="auto"/>
                <w:sz w:val="24"/>
                <w:szCs w:val="24"/>
                <w:highlight w:val="none"/>
                <w:lang w:eastAsia="zh-CN"/>
              </w:rPr>
              <w:t>1162.8205</w:t>
            </w:r>
            <w:r>
              <w:rPr>
                <w:rFonts w:hint="eastAsia" w:ascii="宋体" w:hAnsi="宋体" w:cs="宋体"/>
                <w:color w:val="auto"/>
                <w:sz w:val="24"/>
                <w:szCs w:val="24"/>
                <w:highlight w:val="none"/>
              </w:rPr>
              <w:t>万元。</w:t>
            </w:r>
          </w:p>
        </w:tc>
      </w:tr>
      <w:tr>
        <w:tblPrEx>
          <w:tblCellMar>
            <w:top w:w="0" w:type="dxa"/>
            <w:left w:w="108" w:type="dxa"/>
            <w:bottom w:w="0" w:type="dxa"/>
            <w:right w:w="108" w:type="dxa"/>
          </w:tblCellMar>
        </w:tblPrEx>
        <w:trPr>
          <w:trHeight w:val="517"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2.1</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资金来源</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财政资金</w:t>
            </w:r>
            <w:r>
              <w:rPr>
                <w:rFonts w:hint="eastAsia" w:ascii="宋体" w:hAnsi="宋体" w:cs="宋体"/>
                <w:color w:val="auto"/>
                <w:sz w:val="24"/>
                <w:szCs w:val="24"/>
                <w:highlight w:val="none"/>
                <w:shd w:val="clear" w:color="auto" w:fill="FFFFFF" w:themeFill="background1"/>
              </w:rPr>
              <w:t>。</w:t>
            </w:r>
          </w:p>
        </w:tc>
      </w:tr>
      <w:tr>
        <w:tblPrEx>
          <w:tblCellMar>
            <w:top w:w="0" w:type="dxa"/>
            <w:left w:w="108" w:type="dxa"/>
            <w:bottom w:w="0" w:type="dxa"/>
            <w:right w:w="108" w:type="dxa"/>
          </w:tblCellMar>
        </w:tblPrEx>
        <w:trPr>
          <w:trHeight w:val="517"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2.2</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预算金额</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详见招标文件第一章《招标公告》“</w:t>
            </w:r>
            <w:r>
              <w:rPr>
                <w:rFonts w:hint="eastAsia" w:ascii="宋体" w:hAnsi="宋体" w:cs="宋体"/>
                <w:b/>
                <w:bCs/>
                <w:color w:val="auto"/>
                <w:sz w:val="24"/>
                <w:szCs w:val="24"/>
                <w:highlight w:val="none"/>
              </w:rPr>
              <w:t>一、项目基本情况-</w:t>
            </w:r>
            <w:r>
              <w:rPr>
                <w:rFonts w:hint="eastAsia" w:ascii="宋体" w:hAnsi="宋体" w:eastAsia="宋体" w:cs="宋体"/>
                <w:b/>
                <w:color w:val="auto"/>
                <w:szCs w:val="21"/>
                <w:highlight w:val="none"/>
              </w:rPr>
              <w:t>★</w:t>
            </w:r>
            <w:r>
              <w:rPr>
                <w:rFonts w:hint="eastAsia" w:ascii="宋体" w:hAnsi="宋体" w:cs="宋体"/>
                <w:b/>
                <w:bCs/>
                <w:color w:val="auto"/>
                <w:sz w:val="24"/>
                <w:szCs w:val="24"/>
                <w:highlight w:val="none"/>
              </w:rPr>
              <w:t>预算金额</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w:t>
            </w:r>
          </w:p>
        </w:tc>
      </w:tr>
      <w:tr>
        <w:tblPrEx>
          <w:tblCellMar>
            <w:top w:w="0" w:type="dxa"/>
            <w:left w:w="108" w:type="dxa"/>
            <w:bottom w:w="0" w:type="dxa"/>
            <w:right w:w="108" w:type="dxa"/>
          </w:tblCellMar>
        </w:tblPrEx>
        <w:trPr>
          <w:trHeight w:val="517"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3.1</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采购范围</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cs="宋体"/>
                <w:color w:val="auto"/>
                <w:kern w:val="0"/>
                <w:sz w:val="24"/>
                <w:szCs w:val="24"/>
                <w:highlight w:val="none"/>
              </w:rPr>
            </w:pPr>
            <w:r>
              <w:rPr>
                <w:rFonts w:hint="eastAsia" w:ascii="宋体" w:hAnsi="宋体" w:cs="宋体"/>
                <w:bCs/>
                <w:color w:val="auto"/>
                <w:sz w:val="24"/>
                <w:szCs w:val="24"/>
                <w:highlight w:val="none"/>
              </w:rPr>
              <w:t>详见招标文件第一章《招标公告》“</w:t>
            </w:r>
            <w:r>
              <w:rPr>
                <w:rFonts w:hint="eastAsia" w:ascii="宋体" w:hAnsi="宋体" w:cs="宋体"/>
                <w:b/>
                <w:bCs/>
                <w:color w:val="auto"/>
                <w:sz w:val="24"/>
                <w:szCs w:val="24"/>
                <w:highlight w:val="none"/>
              </w:rPr>
              <w:t>一、项目基本情况-</w:t>
            </w:r>
            <w:r>
              <w:rPr>
                <w:rFonts w:hint="eastAsia" w:ascii="宋体" w:hAnsi="宋体" w:eastAsia="宋体" w:cs="宋体"/>
                <w:b/>
                <w:color w:val="auto"/>
                <w:szCs w:val="21"/>
                <w:highlight w:val="none"/>
              </w:rPr>
              <w:t>★</w:t>
            </w:r>
            <w:r>
              <w:rPr>
                <w:rFonts w:hint="eastAsia" w:ascii="宋体" w:hAnsi="宋体" w:cs="宋体"/>
                <w:b/>
                <w:bCs/>
                <w:color w:val="auto"/>
                <w:sz w:val="24"/>
                <w:szCs w:val="24"/>
                <w:highlight w:val="none"/>
              </w:rPr>
              <w:t>采购需求</w:t>
            </w:r>
            <w:r>
              <w:rPr>
                <w:rFonts w:hint="eastAsia" w:ascii="宋体" w:hAnsi="宋体" w:cs="宋体"/>
                <w:bCs/>
                <w:color w:val="auto"/>
                <w:sz w:val="24"/>
                <w:szCs w:val="24"/>
                <w:highlight w:val="none"/>
              </w:rPr>
              <w:t>”。</w:t>
            </w:r>
          </w:p>
        </w:tc>
      </w:tr>
      <w:tr>
        <w:tblPrEx>
          <w:tblCellMar>
            <w:top w:w="0" w:type="dxa"/>
            <w:left w:w="108" w:type="dxa"/>
            <w:bottom w:w="0" w:type="dxa"/>
            <w:right w:w="108" w:type="dxa"/>
          </w:tblCellMar>
        </w:tblPrEx>
        <w:trPr>
          <w:trHeight w:val="797"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3.2</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bCs/>
                <w:color w:val="auto"/>
                <w:sz w:val="24"/>
                <w:szCs w:val="24"/>
                <w:highlight w:val="none"/>
              </w:rPr>
              <w:t>履行期限</w:t>
            </w:r>
            <w:r>
              <w:rPr>
                <w:rFonts w:hint="eastAsia" w:ascii="宋体" w:hAnsi="宋体" w:cs="宋体"/>
                <w:color w:val="auto"/>
                <w:sz w:val="24"/>
                <w:szCs w:val="24"/>
                <w:highlight w:val="none"/>
              </w:rPr>
              <w:t>、</w:t>
            </w:r>
            <w:r>
              <w:rPr>
                <w:rFonts w:hint="eastAsia" w:ascii="宋体" w:hAnsi="宋体" w:cs="宋体"/>
                <w:bCs/>
                <w:color w:val="auto"/>
                <w:sz w:val="24"/>
                <w:szCs w:val="24"/>
                <w:highlight w:val="none"/>
              </w:rPr>
              <w:t>交货地点</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cs="宋体"/>
                <w:color w:val="auto"/>
                <w:sz w:val="24"/>
                <w:szCs w:val="24"/>
                <w:highlight w:val="none"/>
              </w:rPr>
            </w:pPr>
            <w:r>
              <w:rPr>
                <w:rFonts w:hint="eastAsia" w:ascii="宋体" w:hAnsi="宋体" w:eastAsia="宋体" w:cs="宋体"/>
                <w:b/>
                <w:color w:val="auto"/>
                <w:szCs w:val="21"/>
                <w:highlight w:val="none"/>
              </w:rPr>
              <w:t>★</w:t>
            </w:r>
            <w:r>
              <w:rPr>
                <w:rFonts w:hint="eastAsia" w:ascii="宋体" w:hAnsi="宋体" w:cs="宋体"/>
                <w:color w:val="auto"/>
                <w:sz w:val="24"/>
                <w:szCs w:val="24"/>
                <w:highlight w:val="none"/>
              </w:rPr>
              <w:t>履行期限：</w:t>
            </w:r>
            <w:r>
              <w:rPr>
                <w:rFonts w:hint="eastAsia" w:ascii="宋体" w:hAnsi="宋体" w:cs="宋体"/>
                <w:color w:val="auto"/>
                <w:kern w:val="0"/>
                <w:sz w:val="24"/>
                <w:szCs w:val="24"/>
                <w:highlight w:val="none"/>
                <w:shd w:val="clear" w:color="auto" w:fill="FFFFFF"/>
              </w:rPr>
              <w:t>三年（本次项目执行“一招三年”，即在年度预算能保障的前提下，采购人可以签订不超过三年履行期限的政府采购合同，合同一年一签）；</w:t>
            </w:r>
          </w:p>
          <w:p>
            <w:pPr>
              <w:spacing w:line="460" w:lineRule="exact"/>
              <w:rPr>
                <w:rFonts w:hint="eastAsia" w:ascii="宋体" w:hAnsi="宋体" w:cs="宋体"/>
                <w:color w:val="auto"/>
                <w:sz w:val="24"/>
                <w:szCs w:val="24"/>
                <w:highlight w:val="none"/>
              </w:rPr>
            </w:pPr>
            <w:r>
              <w:rPr>
                <w:rFonts w:hint="eastAsia" w:ascii="宋体" w:hAnsi="宋体" w:eastAsia="宋体" w:cs="宋体"/>
                <w:b/>
                <w:color w:val="auto"/>
                <w:szCs w:val="21"/>
                <w:highlight w:val="none"/>
              </w:rPr>
              <w:t>★</w:t>
            </w:r>
            <w:r>
              <w:rPr>
                <w:rFonts w:hint="eastAsia" w:ascii="宋体" w:hAnsi="宋体" w:cs="宋体"/>
                <w:color w:val="auto"/>
                <w:sz w:val="24"/>
                <w:szCs w:val="24"/>
                <w:highlight w:val="none"/>
              </w:rPr>
              <w:t>交货地点：各标段对应的学校地点。</w:t>
            </w:r>
          </w:p>
        </w:tc>
      </w:tr>
      <w:tr>
        <w:tblPrEx>
          <w:tblCellMar>
            <w:top w:w="0" w:type="dxa"/>
            <w:left w:w="108" w:type="dxa"/>
            <w:bottom w:w="0" w:type="dxa"/>
            <w:right w:w="108" w:type="dxa"/>
          </w:tblCellMar>
        </w:tblPrEx>
        <w:trPr>
          <w:trHeight w:val="800"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4.1</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资格要求</w:t>
            </w:r>
          </w:p>
        </w:tc>
        <w:tc>
          <w:tcPr>
            <w:tcW w:w="6493"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jc w:val="left"/>
              <w:rPr>
                <w:rFonts w:hint="eastAsia" w:ascii="宋体" w:hAnsi="宋体" w:cs="宋体"/>
                <w:b/>
                <w:bCs/>
                <w:color w:val="auto"/>
                <w:sz w:val="24"/>
                <w:szCs w:val="24"/>
                <w:highlight w:val="none"/>
              </w:rPr>
            </w:pPr>
            <w:r>
              <w:rPr>
                <w:rFonts w:hint="eastAsia" w:ascii="宋体" w:hAnsi="宋体" w:cs="宋体"/>
                <w:bCs/>
                <w:color w:val="auto"/>
                <w:szCs w:val="21"/>
                <w:highlight w:val="none"/>
              </w:rPr>
              <w:t>★</w:t>
            </w:r>
            <w:r>
              <w:rPr>
                <w:rFonts w:hint="eastAsia" w:ascii="宋体" w:hAnsi="宋体" w:cs="宋体"/>
                <w:b/>
                <w:bCs/>
                <w:color w:val="auto"/>
                <w:sz w:val="24"/>
                <w:szCs w:val="24"/>
                <w:highlight w:val="none"/>
              </w:rPr>
              <w:t>1、满足《中华人民共和国政府采购法》第二十二条规定；</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（1）具有独立承担民事责任的能力，提供有效的营业执照或事业单位法人证书或其他组织的证明文件。</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（2）具有良好的商业信誉和健全的财务会计制度，提供书面声明或证明材料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证明材料指2022年至2023年度的财务审计报告或公司财务报表或自投标文件提交截止时间前三个月内开户银行出具的资信证明或资金存款证明</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须具有履行合同所必需的设备和专业技术能力，提供书面声明或证明材料。</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有依法缴纳税收和社会保障资金的良好记录，提供书面声明或证明材料（证明材料指①缴税所属时间在2023年3月至本项目投标文件提交截止时间前任意1个月的税务局税收通用缴款书或银行电子缴税（费）凭证或税务局出具纳税情况的相关证明；②缴费所属时间在2023年3月至本项目投标文件提交截止时间前任意1个月的社会保险费缴款书或银行电子缴税（费）凭证或社保管理部门出具的有效的缴款证明；依法免税或不需要缴纳社会保障资金的，应提供相应文件证明其依法免税或不需要缴纳社会保障资金）。</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参加政府采购活动前三年内，在经营活动中没有重大违法记录（重大违法记录，是指</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因违法经营受到刑事处罚或者责令停产停业、吊销许可证或者执照、较大数额罚款等行政处罚），提供书面声明。</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（6）法律、行政法规规定的其他条件。</w:t>
            </w:r>
          </w:p>
          <w:p>
            <w:pPr>
              <w:spacing w:line="360" w:lineRule="auto"/>
              <w:ind w:firstLine="480" w:firstLineChars="200"/>
              <w:rPr>
                <w:rFonts w:hint="eastAsia" w:ascii="宋体" w:hAnsi="宋体" w:cs="宋体"/>
                <w:bCs/>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信用：依据《政府采购货物和服务招标投标管理办法》(财政部令第87号)、《财政部关于在政府采购活动中查询及使用信用记录有关问题的通知》(财库〔2016〕125号)相关规定，</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在</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信用中国（</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"http://www.creditchina.gov.cn" </w:instrText>
            </w:r>
            <w:r>
              <w:rPr>
                <w:rFonts w:hint="eastAsia" w:ascii="宋体" w:hAnsi="宋体" w:cs="宋体"/>
                <w:color w:val="auto"/>
                <w:sz w:val="24"/>
                <w:szCs w:val="24"/>
                <w:highlight w:val="none"/>
              </w:rPr>
              <w:fldChar w:fldCharType="separate"/>
            </w:r>
            <w:r>
              <w:rPr>
                <w:rStyle w:val="24"/>
                <w:rFonts w:hint="eastAsia"/>
                <w:color w:val="auto"/>
                <w:sz w:val="24"/>
                <w:szCs w:val="24"/>
                <w:highlight w:val="none"/>
              </w:rPr>
              <w:t>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网站中未被列入失信被执行人记录、重大税收违法案件当事人名单、政府采购严重违法失信行为记录名单及中国政府采购网（www.ccgp.gov.cn）“政府采购严重违法失信行为信息记录”（采购人或采购代理机构将通过”信用中国”网站（www.creditchina.gov.cn)及中国政府采购网（www.ccgp.gov.cn）查询</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信用记录，信用查询以采购人或采购代理机构在项目开标后评标会议开始前查询、存档并提交至评标委员会。</w:t>
            </w:r>
          </w:p>
        </w:tc>
      </w:tr>
      <w:tr>
        <w:tblPrEx>
          <w:tblCellMar>
            <w:top w:w="0" w:type="dxa"/>
            <w:left w:w="108" w:type="dxa"/>
            <w:bottom w:w="0" w:type="dxa"/>
            <w:right w:w="108" w:type="dxa"/>
          </w:tblCellMar>
        </w:tblPrEx>
        <w:trPr>
          <w:trHeight w:val="90"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4.2</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落实政府采购政策需满足的资格要求</w:t>
            </w:r>
          </w:p>
        </w:tc>
        <w:tc>
          <w:tcPr>
            <w:tcW w:w="6493"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jc w:val="left"/>
              <w:rPr>
                <w:rFonts w:hint="eastAsia" w:ascii="宋体" w:hAnsi="宋体" w:cs="宋体"/>
                <w:bCs/>
                <w:color w:val="auto"/>
                <w:sz w:val="24"/>
                <w:szCs w:val="24"/>
                <w:highlight w:val="none"/>
              </w:rPr>
            </w:pPr>
            <w:r>
              <w:rPr>
                <w:rFonts w:hint="eastAsia" w:ascii="宋体" w:hAnsi="宋体" w:cs="宋体"/>
                <w:bCs/>
                <w:color w:val="auto"/>
                <w:szCs w:val="21"/>
                <w:highlight w:val="none"/>
              </w:rPr>
              <w:t>★</w:t>
            </w:r>
            <w:r>
              <w:rPr>
                <w:rFonts w:hint="eastAsia" w:ascii="宋体" w:hAnsi="宋体" w:cs="宋体"/>
                <w:b/>
                <w:bCs/>
                <w:color w:val="auto"/>
                <w:sz w:val="24"/>
                <w:szCs w:val="24"/>
                <w:highlight w:val="none"/>
              </w:rPr>
              <w:t>2、落实政府采购政策需满足的资格要求：</w:t>
            </w:r>
            <w:r>
              <w:rPr>
                <w:rFonts w:hint="eastAsia" w:ascii="宋体" w:hAnsi="宋体" w:cs="宋体"/>
                <w:color w:val="auto"/>
                <w:sz w:val="24"/>
                <w:szCs w:val="24"/>
                <w:highlight w:val="none"/>
              </w:rPr>
              <w:t>本项目专门面向中小微企业采购。</w:t>
            </w:r>
          </w:p>
        </w:tc>
      </w:tr>
      <w:tr>
        <w:tblPrEx>
          <w:tblCellMar>
            <w:top w:w="0" w:type="dxa"/>
            <w:left w:w="108" w:type="dxa"/>
            <w:bottom w:w="0" w:type="dxa"/>
            <w:right w:w="108" w:type="dxa"/>
          </w:tblCellMar>
        </w:tblPrEx>
        <w:trPr>
          <w:trHeight w:val="861"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4.3</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本项目的特定资格要求</w:t>
            </w:r>
          </w:p>
        </w:tc>
        <w:tc>
          <w:tcPr>
            <w:tcW w:w="6493"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jc w:val="left"/>
              <w:rPr>
                <w:rFonts w:hint="eastAsia" w:ascii="宋体" w:hAnsi="宋体" w:cs="宋体"/>
                <w:b/>
                <w:bCs/>
                <w:color w:val="auto"/>
                <w:sz w:val="24"/>
                <w:szCs w:val="24"/>
                <w:highlight w:val="none"/>
              </w:rPr>
            </w:pPr>
            <w:r>
              <w:rPr>
                <w:rFonts w:hint="eastAsia" w:ascii="宋体" w:hAnsi="宋体" w:cs="宋体"/>
                <w:bCs/>
                <w:color w:val="auto"/>
                <w:szCs w:val="21"/>
                <w:highlight w:val="none"/>
              </w:rPr>
              <w:t>★</w:t>
            </w:r>
            <w:r>
              <w:rPr>
                <w:rFonts w:hint="eastAsia" w:ascii="宋体" w:hAnsi="宋体" w:cs="宋体"/>
                <w:b/>
                <w:bCs/>
                <w:color w:val="auto"/>
                <w:sz w:val="24"/>
                <w:szCs w:val="24"/>
                <w:highlight w:val="none"/>
              </w:rPr>
              <w:t>3、本项目的特定资格要求：</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须具备有效的《食品经营许可证》，若</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为生产企业还须提供生产产品的《食品生产许可证》。</w:t>
            </w:r>
          </w:p>
          <w:p>
            <w:pPr>
              <w:widowControl/>
              <w:spacing w:line="460" w:lineRule="exact"/>
              <w:jc w:val="left"/>
              <w:rPr>
                <w:rFonts w:hint="eastAsia" w:ascii="宋体" w:hAnsi="宋体" w:cs="宋体"/>
                <w:bCs/>
                <w:color w:val="auto"/>
                <w:sz w:val="24"/>
                <w:szCs w:val="24"/>
                <w:highlight w:val="none"/>
              </w:rPr>
            </w:pPr>
            <w:r>
              <w:rPr>
                <w:rFonts w:hint="eastAsia" w:ascii="宋体" w:hAnsi="宋体" w:cs="宋体"/>
                <w:color w:val="auto"/>
                <w:sz w:val="24"/>
                <w:szCs w:val="24"/>
                <w:highlight w:val="none"/>
              </w:rPr>
              <w:t>（2）单位负责人为同一人或者存在直接控股、管理关系的不同供应商，不得参加同一合同项下的政府采购活动；提供承诺书。</w:t>
            </w:r>
          </w:p>
        </w:tc>
      </w:tr>
      <w:tr>
        <w:tblPrEx>
          <w:tblCellMar>
            <w:top w:w="0" w:type="dxa"/>
            <w:left w:w="108" w:type="dxa"/>
            <w:bottom w:w="0" w:type="dxa"/>
            <w:right w:w="108" w:type="dxa"/>
          </w:tblCellMar>
        </w:tblPrEx>
        <w:trPr>
          <w:trHeight w:val="90"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4.4</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是否接受联合体参加</w:t>
            </w:r>
          </w:p>
        </w:tc>
        <w:tc>
          <w:tcPr>
            <w:tcW w:w="6493"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不接受。</w:t>
            </w:r>
          </w:p>
        </w:tc>
      </w:tr>
      <w:tr>
        <w:tblPrEx>
          <w:tblCellMar>
            <w:top w:w="0" w:type="dxa"/>
            <w:left w:w="108" w:type="dxa"/>
            <w:bottom w:w="0" w:type="dxa"/>
            <w:right w:w="108" w:type="dxa"/>
          </w:tblCellMar>
        </w:tblPrEx>
        <w:trPr>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4.6</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为采购项目提供整体设计、规范编制和项目管理、监理、检测等服务的</w:t>
            </w:r>
            <w:r>
              <w:rPr>
                <w:rFonts w:hint="eastAsia" w:ascii="宋体" w:hAnsi="宋体" w:cs="宋体"/>
                <w:bCs/>
                <w:color w:val="auto"/>
                <w:sz w:val="24"/>
                <w:szCs w:val="24"/>
                <w:highlight w:val="none"/>
                <w:lang w:eastAsia="zh-CN"/>
              </w:rPr>
              <w:t>供应商</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不得参加本次采购活动。</w:t>
            </w:r>
          </w:p>
        </w:tc>
      </w:tr>
      <w:tr>
        <w:tblPrEx>
          <w:tblCellMar>
            <w:top w:w="0" w:type="dxa"/>
            <w:left w:w="108" w:type="dxa"/>
            <w:bottom w:w="0" w:type="dxa"/>
            <w:right w:w="108" w:type="dxa"/>
          </w:tblCellMar>
        </w:tblPrEx>
        <w:trPr>
          <w:trHeight w:val="531"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6.1</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现场考察</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不组织  </w:t>
            </w:r>
          </w:p>
        </w:tc>
      </w:tr>
      <w:tr>
        <w:tblPrEx>
          <w:tblCellMar>
            <w:top w:w="0" w:type="dxa"/>
            <w:left w:w="108" w:type="dxa"/>
            <w:bottom w:w="0" w:type="dxa"/>
            <w:right w:w="108" w:type="dxa"/>
          </w:tblCellMar>
        </w:tblPrEx>
        <w:trPr>
          <w:trHeight w:val="568"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7.1</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开标前答疑会</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不组织  </w:t>
            </w:r>
          </w:p>
        </w:tc>
      </w:tr>
      <w:tr>
        <w:tblPrEx>
          <w:tblCellMar>
            <w:top w:w="0" w:type="dxa"/>
            <w:left w:w="108" w:type="dxa"/>
            <w:bottom w:w="0" w:type="dxa"/>
            <w:right w:w="108" w:type="dxa"/>
          </w:tblCellMar>
        </w:tblPrEx>
        <w:trPr>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招标文件澄清、修改时间</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提交投标文件截止时间十五日前</w:t>
            </w:r>
          </w:p>
        </w:tc>
      </w:tr>
      <w:tr>
        <w:tblPrEx>
          <w:tblCellMar>
            <w:top w:w="0" w:type="dxa"/>
            <w:left w:w="108" w:type="dxa"/>
            <w:bottom w:w="0" w:type="dxa"/>
            <w:right w:w="108" w:type="dxa"/>
          </w:tblCellMar>
        </w:tblPrEx>
        <w:trPr>
          <w:trHeight w:val="722"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13.1</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语言文字</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的投标文件以及</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与采购代理机构就有关投标的所有来往函电统一使用中文（特别规定除外）。</w:t>
            </w:r>
          </w:p>
        </w:tc>
      </w:tr>
      <w:tr>
        <w:tblPrEx>
          <w:tblCellMar>
            <w:top w:w="0" w:type="dxa"/>
            <w:left w:w="108" w:type="dxa"/>
            <w:bottom w:w="0" w:type="dxa"/>
            <w:right w:w="108" w:type="dxa"/>
          </w:tblCellMar>
        </w:tblPrEx>
        <w:trPr>
          <w:trHeight w:val="704"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14.1</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计量单位</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投标文件中使用的计量单位除招标文件中有特殊规定外，一律使用中国法定计量单位。</w:t>
            </w:r>
          </w:p>
        </w:tc>
      </w:tr>
      <w:tr>
        <w:tblPrEx>
          <w:tblCellMar>
            <w:top w:w="0" w:type="dxa"/>
            <w:left w:w="108" w:type="dxa"/>
            <w:bottom w:w="0" w:type="dxa"/>
            <w:right w:w="108" w:type="dxa"/>
          </w:tblCellMar>
        </w:tblPrEx>
        <w:trPr>
          <w:trHeight w:val="416"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15.1.4</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构成投标文件的其他资料</w:t>
            </w:r>
          </w:p>
        </w:tc>
        <w:tc>
          <w:tcPr>
            <w:tcW w:w="6493"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460" w:lineRule="exact"/>
              <w:textAlignment w:val="bottom"/>
              <w:rPr>
                <w:rFonts w:hint="eastAsia" w:ascii="宋体" w:hAnsi="宋体" w:cs="宋体"/>
                <w:bCs/>
                <w:color w:val="auto"/>
                <w:sz w:val="24"/>
                <w:szCs w:val="24"/>
                <w:highlight w:val="none"/>
              </w:rPr>
            </w:pPr>
            <w:r>
              <w:rPr>
                <w:rFonts w:hint="eastAsia" w:ascii="宋体" w:hAnsi="宋体" w:cs="宋体"/>
                <w:bCs/>
                <w:color w:val="auto"/>
                <w:sz w:val="24"/>
                <w:szCs w:val="24"/>
                <w:highlight w:val="none"/>
              </w:rPr>
              <w:t>1、第五章《采购</w:t>
            </w:r>
            <w:r>
              <w:rPr>
                <w:rFonts w:hint="eastAsia" w:ascii="宋体" w:hAnsi="宋体" w:cs="宋体"/>
                <w:bCs/>
                <w:color w:val="auto"/>
                <w:sz w:val="24"/>
                <w:szCs w:val="24"/>
                <w:highlight w:val="none"/>
                <w:lang w:val="en-US" w:eastAsia="zh-CN"/>
              </w:rPr>
              <w:t>需求</w:t>
            </w:r>
            <w:r>
              <w:rPr>
                <w:rFonts w:hint="eastAsia" w:ascii="宋体" w:hAnsi="宋体" w:cs="宋体"/>
                <w:bCs/>
                <w:color w:val="auto"/>
                <w:sz w:val="24"/>
                <w:szCs w:val="24"/>
                <w:highlight w:val="none"/>
              </w:rPr>
              <w:t>》中要求提供的其他资料；</w:t>
            </w:r>
          </w:p>
          <w:p>
            <w:pPr>
              <w:autoSpaceDE w:val="0"/>
              <w:autoSpaceDN w:val="0"/>
              <w:snapToGrid w:val="0"/>
              <w:spacing w:line="460" w:lineRule="exact"/>
              <w:textAlignment w:val="bottom"/>
              <w:rPr>
                <w:rFonts w:hint="eastAsia" w:ascii="宋体" w:hAnsi="宋体" w:cs="宋体"/>
                <w:color w:val="auto"/>
                <w:sz w:val="24"/>
                <w:szCs w:val="24"/>
                <w:highlight w:val="none"/>
              </w:rPr>
            </w:pPr>
            <w:r>
              <w:rPr>
                <w:rFonts w:hint="eastAsia" w:ascii="宋体" w:hAnsi="宋体" w:cs="宋体"/>
                <w:bCs/>
                <w:color w:val="auto"/>
                <w:sz w:val="24"/>
                <w:szCs w:val="24"/>
                <w:highlight w:val="none"/>
              </w:rPr>
              <w:t>2、招标文件中所涉及的相关资料及证明文件或</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认为必须提供的其他相关资料。</w:t>
            </w:r>
          </w:p>
        </w:tc>
      </w:tr>
      <w:tr>
        <w:tblPrEx>
          <w:tblCellMar>
            <w:top w:w="0" w:type="dxa"/>
            <w:left w:w="108" w:type="dxa"/>
            <w:bottom w:w="0" w:type="dxa"/>
            <w:right w:w="108" w:type="dxa"/>
          </w:tblCellMar>
        </w:tblPrEx>
        <w:trPr>
          <w:trHeight w:val="500"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从提交投标文件截止之日起90日历天。</w:t>
            </w:r>
          </w:p>
        </w:tc>
      </w:tr>
      <w:tr>
        <w:tblPrEx>
          <w:tblCellMar>
            <w:top w:w="0" w:type="dxa"/>
            <w:left w:w="108" w:type="dxa"/>
            <w:bottom w:w="0" w:type="dxa"/>
            <w:right w:w="108" w:type="dxa"/>
          </w:tblCellMar>
        </w:tblPrEx>
        <w:trPr>
          <w:trHeight w:val="523"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w:t>
            </w:r>
          </w:p>
        </w:tc>
        <w:tc>
          <w:tcPr>
            <w:tcW w:w="649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cs="仿宋"/>
                <w:b/>
                <w:bCs/>
                <w:color w:val="auto"/>
                <w:kern w:val="0"/>
                <w:sz w:val="24"/>
                <w:highlight w:val="none"/>
              </w:rPr>
            </w:pPr>
            <w:r>
              <w:rPr>
                <w:rFonts w:hint="eastAsia" w:cs="仿宋"/>
                <w:b/>
                <w:bCs/>
                <w:color w:val="auto"/>
                <w:kern w:val="0"/>
                <w:sz w:val="24"/>
                <w:highlight w:val="none"/>
              </w:rPr>
              <w:t>一、</w:t>
            </w:r>
            <w:r>
              <w:rPr>
                <w:rFonts w:hint="eastAsia" w:cs="仿宋"/>
                <w:b/>
                <w:bCs/>
                <w:color w:val="auto"/>
                <w:kern w:val="0"/>
                <w:sz w:val="24"/>
                <w:highlight w:val="none"/>
                <w:lang w:eastAsia="zh-CN"/>
              </w:rPr>
              <w:t>投标保证金</w:t>
            </w:r>
            <w:r>
              <w:rPr>
                <w:rFonts w:hint="eastAsia" w:cs="仿宋"/>
                <w:b/>
                <w:bCs/>
                <w:color w:val="auto"/>
                <w:kern w:val="0"/>
                <w:sz w:val="24"/>
                <w:highlight w:val="none"/>
              </w:rPr>
              <w:t>的提交方式</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snapToGrid w:val="0"/>
                <w:color w:val="auto"/>
                <w:kern w:val="0"/>
                <w:sz w:val="24"/>
                <w:highlight w:val="none"/>
              </w:rPr>
            </w:pPr>
            <w:r>
              <w:rPr>
                <w:rFonts w:hint="eastAsia" w:ascii="宋体" w:hAnsi="宋体" w:eastAsia="宋体" w:cs="Times New Roman"/>
                <w:snapToGrid w:val="0"/>
                <w:color w:val="auto"/>
                <w:kern w:val="0"/>
                <w:sz w:val="24"/>
                <w:highlight w:val="none"/>
                <w:lang w:eastAsia="zh-CN"/>
              </w:rPr>
              <w:t>投标保证金</w:t>
            </w:r>
            <w:r>
              <w:rPr>
                <w:rFonts w:hint="eastAsia" w:ascii="宋体" w:hAnsi="宋体" w:eastAsia="宋体" w:cs="Times New Roman"/>
                <w:snapToGrid w:val="0"/>
                <w:color w:val="auto"/>
                <w:kern w:val="0"/>
                <w:sz w:val="24"/>
                <w:highlight w:val="none"/>
                <w:lang w:eastAsia="zh-CN"/>
              </w:rPr>
              <w:t>的形式：支票、汇票、本票、保函、银行转账、保证保险</w:t>
            </w:r>
            <w:r>
              <w:rPr>
                <w:rFonts w:hint="eastAsia" w:ascii="宋体" w:hAnsi="宋体" w:eastAsia="宋体" w:cs="Times New Roman"/>
                <w:snapToGrid w:val="0"/>
                <w:color w:val="auto"/>
                <w:kern w:val="0"/>
                <w:sz w:val="24"/>
                <w:highlight w:val="none"/>
                <w:lang w:val="en-US" w:eastAsia="zh-CN"/>
              </w:rPr>
              <w:t>等非现金形式</w:t>
            </w:r>
            <w:r>
              <w:rPr>
                <w:rFonts w:hint="eastAsia" w:ascii="宋体" w:hAnsi="宋体" w:eastAsia="宋体" w:cs="Times New Roman"/>
                <w:snapToGrid w:val="0"/>
                <w:color w:val="auto"/>
                <w:kern w:val="0"/>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宋体" w:hAnsi="宋体" w:eastAsia="宋体" w:cs="Times New Roman"/>
                <w:snapToGrid w:val="0"/>
                <w:color w:val="auto"/>
                <w:kern w:val="0"/>
                <w:sz w:val="24"/>
                <w:highlight w:val="none"/>
                <w:lang w:val="en-US" w:eastAsia="zh-CN"/>
              </w:rPr>
            </w:pPr>
            <w:r>
              <w:rPr>
                <w:rFonts w:hint="eastAsia" w:ascii="宋体" w:hAnsi="宋体" w:eastAsia="宋体" w:cs="Times New Roman"/>
                <w:snapToGrid w:val="0"/>
                <w:color w:val="auto"/>
                <w:kern w:val="0"/>
                <w:sz w:val="24"/>
                <w:highlight w:val="none"/>
              </w:rPr>
              <w:t>石屏县2024年至2027年义务教育阶段学生营养餐食品食材采购及配送服务项目（一标段）</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snapToGrid w:val="0"/>
                <w:color w:val="auto"/>
                <w:kern w:val="0"/>
                <w:sz w:val="24"/>
                <w:highlight w:val="none"/>
              </w:rPr>
            </w:pPr>
            <w:r>
              <w:rPr>
                <w:rFonts w:hint="eastAsia" w:ascii="宋体" w:hAnsi="宋体" w:eastAsia="宋体" w:cs="Times New Roman"/>
                <w:snapToGrid w:val="0"/>
                <w:color w:val="auto"/>
                <w:kern w:val="0"/>
                <w:sz w:val="24"/>
                <w:highlight w:val="none"/>
              </w:rPr>
              <w:t>保证金金额：</w:t>
            </w:r>
            <w:r>
              <w:rPr>
                <w:rFonts w:hint="eastAsia" w:ascii="宋体" w:hAnsi="宋体" w:eastAsia="宋体" w:cs="Times New Roman"/>
                <w:snapToGrid w:val="0"/>
                <w:color w:val="auto"/>
                <w:kern w:val="0"/>
                <w:sz w:val="24"/>
                <w:highlight w:val="none"/>
                <w:lang w:val="en-US" w:eastAsia="zh-CN"/>
              </w:rPr>
              <w:t>50000</w:t>
            </w:r>
            <w:r>
              <w:rPr>
                <w:rFonts w:hint="eastAsia" w:ascii="宋体" w:hAnsi="宋体" w:eastAsia="宋体" w:cs="Times New Roman"/>
                <w:snapToGrid w:val="0"/>
                <w:color w:val="auto"/>
                <w:kern w:val="0"/>
                <w:sz w:val="24"/>
                <w:highlight w:val="none"/>
              </w:rPr>
              <w:t>.00（元）</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snapToGrid w:val="0"/>
                <w:color w:val="auto"/>
                <w:kern w:val="0"/>
                <w:sz w:val="24"/>
                <w:highlight w:val="none"/>
                <w:lang w:eastAsia="zh-CN"/>
              </w:rPr>
            </w:pPr>
            <w:r>
              <w:rPr>
                <w:rFonts w:hint="eastAsia" w:ascii="宋体" w:hAnsi="宋体" w:eastAsia="宋体" w:cs="Times New Roman"/>
                <w:snapToGrid w:val="0"/>
                <w:color w:val="auto"/>
                <w:kern w:val="0"/>
                <w:sz w:val="24"/>
                <w:highlight w:val="none"/>
              </w:rPr>
              <w:t>石屏县2024年至2027年义务教育阶段学生营养餐食品食材采购及配送服务项目（</w:t>
            </w:r>
            <w:r>
              <w:rPr>
                <w:rFonts w:hint="eastAsia" w:ascii="宋体" w:hAnsi="宋体" w:eastAsia="宋体" w:cs="Times New Roman"/>
                <w:snapToGrid w:val="0"/>
                <w:color w:val="auto"/>
                <w:kern w:val="0"/>
                <w:sz w:val="24"/>
                <w:highlight w:val="none"/>
                <w:lang w:val="en-US" w:eastAsia="zh-CN"/>
              </w:rPr>
              <w:t>二</w:t>
            </w:r>
            <w:r>
              <w:rPr>
                <w:rFonts w:hint="eastAsia" w:ascii="宋体" w:hAnsi="宋体" w:eastAsia="宋体" w:cs="Times New Roman"/>
                <w:snapToGrid w:val="0"/>
                <w:color w:val="auto"/>
                <w:kern w:val="0"/>
                <w:sz w:val="24"/>
                <w:highlight w:val="none"/>
              </w:rPr>
              <w:t>标段）</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snapToGrid w:val="0"/>
                <w:color w:val="auto"/>
                <w:kern w:val="0"/>
                <w:sz w:val="24"/>
                <w:highlight w:val="none"/>
              </w:rPr>
            </w:pPr>
            <w:r>
              <w:rPr>
                <w:rFonts w:hint="eastAsia" w:ascii="宋体" w:hAnsi="宋体" w:eastAsia="宋体" w:cs="Times New Roman"/>
                <w:snapToGrid w:val="0"/>
                <w:color w:val="auto"/>
                <w:kern w:val="0"/>
                <w:sz w:val="24"/>
                <w:highlight w:val="none"/>
              </w:rPr>
              <w:t>保证金金额：</w:t>
            </w:r>
            <w:r>
              <w:rPr>
                <w:rFonts w:hint="eastAsia" w:ascii="宋体" w:hAnsi="宋体" w:eastAsia="宋体" w:cs="Times New Roman"/>
                <w:snapToGrid w:val="0"/>
                <w:color w:val="auto"/>
                <w:kern w:val="0"/>
                <w:sz w:val="24"/>
                <w:highlight w:val="none"/>
                <w:lang w:val="en-US" w:eastAsia="zh-CN"/>
              </w:rPr>
              <w:t>50000</w:t>
            </w:r>
            <w:r>
              <w:rPr>
                <w:rFonts w:hint="eastAsia" w:ascii="宋体" w:hAnsi="宋体" w:eastAsia="宋体" w:cs="Times New Roman"/>
                <w:snapToGrid w:val="0"/>
                <w:color w:val="auto"/>
                <w:kern w:val="0"/>
                <w:sz w:val="24"/>
                <w:highlight w:val="none"/>
              </w:rPr>
              <w:t>.00（元）</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snapToGrid w:val="0"/>
                <w:color w:val="auto"/>
                <w:kern w:val="0"/>
                <w:sz w:val="24"/>
                <w:highlight w:val="none"/>
              </w:rPr>
            </w:pPr>
            <w:r>
              <w:rPr>
                <w:rFonts w:hint="eastAsia" w:ascii="宋体" w:hAnsi="宋体" w:eastAsia="宋体" w:cs="Times New Roman"/>
                <w:snapToGrid w:val="0"/>
                <w:color w:val="auto"/>
                <w:kern w:val="0"/>
                <w:sz w:val="24"/>
                <w:highlight w:val="none"/>
                <w:lang w:eastAsia="zh-CN"/>
              </w:rPr>
              <w:t>投标保证金</w:t>
            </w:r>
            <w:r>
              <w:rPr>
                <w:rFonts w:hint="eastAsia" w:ascii="宋体" w:hAnsi="宋体" w:eastAsia="宋体" w:cs="Times New Roman"/>
                <w:snapToGrid w:val="0"/>
                <w:color w:val="auto"/>
                <w:kern w:val="0"/>
                <w:sz w:val="24"/>
                <w:highlight w:val="none"/>
              </w:rPr>
              <w:t>按规定数额从</w:t>
            </w:r>
            <w:r>
              <w:rPr>
                <w:rFonts w:hint="eastAsia" w:ascii="宋体" w:hAnsi="宋体" w:eastAsia="宋体" w:cs="Times New Roman"/>
                <w:snapToGrid w:val="0"/>
                <w:color w:val="auto"/>
                <w:kern w:val="0"/>
                <w:sz w:val="24"/>
                <w:highlight w:val="none"/>
                <w:lang w:eastAsia="zh-CN"/>
              </w:rPr>
              <w:t>供应商</w:t>
            </w:r>
            <w:r>
              <w:rPr>
                <w:rFonts w:hint="eastAsia" w:ascii="宋体" w:hAnsi="宋体" w:eastAsia="宋体" w:cs="Times New Roman"/>
                <w:snapToGrid w:val="0"/>
                <w:color w:val="auto"/>
                <w:kern w:val="0"/>
                <w:sz w:val="24"/>
                <w:highlight w:val="none"/>
              </w:rPr>
              <w:t>基本账户直接</w:t>
            </w:r>
            <w:bookmarkStart w:id="742" w:name="_GoBack"/>
            <w:bookmarkEnd w:id="742"/>
            <w:r>
              <w:rPr>
                <w:rFonts w:hint="eastAsia" w:ascii="宋体" w:hAnsi="宋体" w:eastAsia="宋体" w:cs="Times New Roman"/>
                <w:snapToGrid w:val="0"/>
                <w:color w:val="auto"/>
                <w:kern w:val="0"/>
                <w:sz w:val="24"/>
                <w:highlight w:val="none"/>
              </w:rPr>
              <w:t>转至</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snapToGrid w:val="0"/>
                <w:color w:val="auto"/>
                <w:kern w:val="0"/>
                <w:sz w:val="24"/>
                <w:highlight w:val="none"/>
              </w:rPr>
            </w:pPr>
            <w:r>
              <w:rPr>
                <w:rFonts w:hint="eastAsia" w:ascii="宋体" w:hAnsi="宋体" w:eastAsia="宋体" w:cs="Times New Roman"/>
                <w:snapToGrid w:val="0"/>
                <w:color w:val="auto"/>
                <w:kern w:val="0"/>
                <w:sz w:val="24"/>
                <w:highlight w:val="none"/>
              </w:rPr>
              <w:t>户 名：</w:t>
            </w:r>
            <w:r>
              <w:rPr>
                <w:rFonts w:hint="eastAsia" w:ascii="宋体" w:hAnsi="宋体" w:eastAsia="宋体" w:cs="Times New Roman"/>
                <w:snapToGrid w:val="0"/>
                <w:color w:val="auto"/>
                <w:kern w:val="0"/>
                <w:sz w:val="24"/>
                <w:highlight w:val="none"/>
                <w:lang w:eastAsia="zh-CN"/>
              </w:rPr>
              <w:t>云南辰柯工程项目管理有限公司</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snapToGrid w:val="0"/>
                <w:color w:val="auto"/>
                <w:kern w:val="0"/>
                <w:sz w:val="24"/>
                <w:highlight w:val="none"/>
              </w:rPr>
            </w:pPr>
            <w:r>
              <w:rPr>
                <w:rFonts w:hint="eastAsia" w:ascii="宋体" w:hAnsi="宋体" w:eastAsia="宋体" w:cs="Times New Roman"/>
                <w:snapToGrid w:val="0"/>
                <w:color w:val="auto"/>
                <w:kern w:val="0"/>
                <w:sz w:val="24"/>
                <w:highlight w:val="none"/>
              </w:rPr>
              <w:t xml:space="preserve">开户银行：招商银行股份有限公司昆明翠湖支行  </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snapToGrid w:val="0"/>
                <w:color w:val="auto"/>
                <w:kern w:val="0"/>
                <w:sz w:val="24"/>
                <w:highlight w:val="none"/>
              </w:rPr>
            </w:pPr>
            <w:r>
              <w:rPr>
                <w:rFonts w:hint="eastAsia" w:ascii="宋体" w:hAnsi="宋体" w:eastAsia="宋体" w:cs="Times New Roman"/>
                <w:snapToGrid w:val="0"/>
                <w:color w:val="auto"/>
                <w:kern w:val="0"/>
                <w:sz w:val="24"/>
                <w:highlight w:val="none"/>
              </w:rPr>
              <w:t>银行账号：871907027010701</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宋体" w:hAnsi="宋体" w:eastAsia="宋体" w:cs="Times New Roman"/>
                <w:snapToGrid w:val="0"/>
                <w:color w:val="auto"/>
                <w:kern w:val="0"/>
                <w:sz w:val="24"/>
                <w:highlight w:val="none"/>
                <w:lang w:val="en-US"/>
              </w:rPr>
            </w:pPr>
            <w:r>
              <w:rPr>
                <w:rFonts w:hint="eastAsia" w:ascii="宋体" w:hAnsi="宋体" w:eastAsia="宋体" w:cs="Times New Roman"/>
                <w:snapToGrid w:val="0"/>
                <w:color w:val="auto"/>
                <w:kern w:val="0"/>
                <w:sz w:val="24"/>
                <w:highlight w:val="none"/>
                <w:lang w:val="en-US" w:eastAsia="zh-CN"/>
              </w:rPr>
              <w:t>采用</w:t>
            </w:r>
            <w:r>
              <w:rPr>
                <w:rFonts w:hint="eastAsia" w:ascii="宋体" w:hAnsi="宋体" w:eastAsia="宋体" w:cs="Times New Roman"/>
                <w:snapToGrid w:val="0"/>
                <w:color w:val="auto"/>
                <w:kern w:val="0"/>
                <w:sz w:val="24"/>
                <w:highlight w:val="none"/>
              </w:rPr>
              <w:t>银行转账时</w:t>
            </w:r>
            <w:r>
              <w:rPr>
                <w:rFonts w:hint="eastAsia" w:ascii="宋体" w:hAnsi="宋体" w:eastAsia="宋体" w:cs="Times New Roman"/>
                <w:snapToGrid w:val="0"/>
                <w:color w:val="auto"/>
                <w:kern w:val="0"/>
                <w:sz w:val="24"/>
                <w:highlight w:val="none"/>
                <w:lang w:val="en-US" w:eastAsia="zh-CN"/>
              </w:rPr>
              <w:t>可备</w:t>
            </w:r>
            <w:r>
              <w:rPr>
                <w:rFonts w:hint="eastAsia" w:ascii="宋体" w:hAnsi="宋体" w:eastAsia="宋体" w:cs="Times New Roman"/>
                <w:b w:val="0"/>
                <w:bCs w:val="0"/>
                <w:snapToGrid w:val="0"/>
                <w:color w:val="auto"/>
                <w:kern w:val="0"/>
                <w:sz w:val="24"/>
                <w:highlight w:val="none"/>
                <w:lang w:val="en-US" w:eastAsia="zh-CN"/>
              </w:rPr>
              <w:t>注</w:t>
            </w:r>
            <w:r>
              <w:rPr>
                <w:rFonts w:hint="eastAsia" w:ascii="宋体" w:hAnsi="宋体" w:eastAsia="宋体" w:cs="Times New Roman"/>
                <w:b/>
                <w:bCs/>
                <w:snapToGrid w:val="0"/>
                <w:color w:val="auto"/>
                <w:kern w:val="0"/>
                <w:sz w:val="24"/>
                <w:highlight w:val="none"/>
                <w:lang w:val="en-US" w:eastAsia="zh-CN"/>
              </w:rPr>
              <w:t>“</w:t>
            </w:r>
            <w:r>
              <w:rPr>
                <w:rFonts w:hint="eastAsia" w:ascii="宋体" w:hAnsi="宋体" w:eastAsia="宋体" w:cs="Times New Roman"/>
                <w:b/>
                <w:bCs/>
                <w:snapToGrid w:val="0"/>
                <w:color w:val="auto"/>
                <w:kern w:val="0"/>
                <w:sz w:val="24"/>
                <w:highlight w:val="none"/>
              </w:rPr>
              <w:t>石屏营养</w:t>
            </w:r>
            <w:r>
              <w:rPr>
                <w:rFonts w:hint="eastAsia" w:ascii="宋体" w:hAnsi="宋体" w:eastAsia="宋体" w:cs="Times New Roman"/>
                <w:b/>
                <w:bCs/>
                <w:snapToGrid w:val="0"/>
                <w:color w:val="auto"/>
                <w:kern w:val="0"/>
                <w:sz w:val="24"/>
                <w:highlight w:val="none"/>
                <w:u w:val="none"/>
              </w:rPr>
              <w:t>餐</w:t>
            </w:r>
            <w:r>
              <w:rPr>
                <w:rFonts w:hint="eastAsia" w:ascii="宋体" w:hAnsi="宋体" w:eastAsia="宋体" w:cs="Times New Roman"/>
                <w:b/>
                <w:bCs/>
                <w:snapToGrid w:val="0"/>
                <w:color w:val="auto"/>
                <w:kern w:val="0"/>
                <w:sz w:val="24"/>
                <w:highlight w:val="none"/>
              </w:rPr>
              <w:t>（</w:t>
            </w:r>
            <w:r>
              <w:rPr>
                <w:rFonts w:hint="eastAsia" w:ascii="宋体" w:hAnsi="宋体" w:eastAsia="宋体" w:cs="Times New Roman"/>
                <w:b/>
                <w:bCs/>
                <w:snapToGrid w:val="0"/>
                <w:color w:val="auto"/>
                <w:kern w:val="0"/>
                <w:sz w:val="24"/>
                <w:highlight w:val="none"/>
                <w:lang w:val="en-US" w:eastAsia="zh-CN"/>
              </w:rPr>
              <w:t xml:space="preserve">  </w:t>
            </w:r>
            <w:r>
              <w:rPr>
                <w:rFonts w:hint="eastAsia" w:ascii="宋体" w:hAnsi="宋体" w:eastAsia="宋体" w:cs="Times New Roman"/>
                <w:b/>
                <w:bCs/>
                <w:snapToGrid w:val="0"/>
                <w:color w:val="auto"/>
                <w:kern w:val="0"/>
                <w:sz w:val="24"/>
                <w:highlight w:val="none"/>
              </w:rPr>
              <w:t>标段）</w:t>
            </w:r>
            <w:r>
              <w:rPr>
                <w:rFonts w:hint="eastAsia" w:ascii="宋体" w:hAnsi="宋体" w:eastAsia="宋体" w:cs="Times New Roman"/>
                <w:b/>
                <w:bCs/>
                <w:snapToGrid w:val="0"/>
                <w:color w:val="auto"/>
                <w:kern w:val="0"/>
                <w:sz w:val="24"/>
                <w:highlight w:val="none"/>
                <w:lang w:val="en-US" w:eastAsia="zh-CN"/>
              </w:rPr>
              <w:t>投标保证金”</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snapToGrid w:val="0"/>
                <w:color w:val="auto"/>
                <w:kern w:val="0"/>
                <w:sz w:val="24"/>
                <w:highlight w:val="none"/>
              </w:rPr>
            </w:pPr>
            <w:r>
              <w:rPr>
                <w:rFonts w:hint="eastAsia" w:ascii="宋体" w:hAnsi="宋体" w:eastAsia="宋体" w:cs="Times New Roman"/>
                <w:snapToGrid w:val="0"/>
                <w:color w:val="auto"/>
                <w:kern w:val="0"/>
                <w:sz w:val="24"/>
                <w:highlight w:val="none"/>
                <w:lang w:eastAsia="zh-CN"/>
              </w:rPr>
              <w:t>投标保证金</w:t>
            </w:r>
            <w:r>
              <w:rPr>
                <w:rFonts w:hint="eastAsia" w:ascii="宋体" w:hAnsi="宋体" w:eastAsia="宋体" w:cs="Times New Roman"/>
                <w:snapToGrid w:val="0"/>
                <w:color w:val="auto"/>
                <w:kern w:val="0"/>
                <w:sz w:val="24"/>
                <w:highlight w:val="none"/>
              </w:rPr>
              <w:t>交纳说明：</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snapToGrid w:val="0"/>
                <w:color w:val="auto"/>
                <w:kern w:val="0"/>
                <w:sz w:val="24"/>
                <w:highlight w:val="none"/>
              </w:rPr>
            </w:pPr>
            <w:r>
              <w:rPr>
                <w:rFonts w:hint="eastAsia" w:ascii="宋体" w:hAnsi="宋体" w:eastAsia="宋体" w:cs="Times New Roman"/>
                <w:snapToGrid w:val="0"/>
                <w:color w:val="auto"/>
                <w:kern w:val="0"/>
                <w:sz w:val="24"/>
                <w:highlight w:val="none"/>
              </w:rPr>
              <w:t>1.电汇或网银方式交纳的，底单即为交纳凭证；</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Times New Roman"/>
                <w:snapToGrid w:val="0"/>
                <w:color w:val="auto"/>
                <w:kern w:val="0"/>
                <w:sz w:val="24"/>
                <w:highlight w:val="none"/>
              </w:rPr>
            </w:pPr>
            <w:r>
              <w:rPr>
                <w:rFonts w:hint="eastAsia" w:ascii="宋体" w:hAnsi="宋体" w:eastAsia="宋体" w:cs="Times New Roman"/>
                <w:snapToGrid w:val="0"/>
                <w:color w:val="auto"/>
                <w:kern w:val="0"/>
                <w:sz w:val="24"/>
                <w:highlight w:val="none"/>
              </w:rPr>
              <w:t>2.支票方式提交的，</w:t>
            </w:r>
            <w:r>
              <w:rPr>
                <w:rFonts w:hint="eastAsia" w:ascii="宋体" w:hAnsi="宋体" w:eastAsia="宋体" w:cs="Times New Roman"/>
                <w:snapToGrid w:val="0"/>
                <w:color w:val="auto"/>
                <w:kern w:val="0"/>
                <w:sz w:val="24"/>
                <w:highlight w:val="none"/>
                <w:lang w:eastAsia="zh-CN"/>
              </w:rPr>
              <w:t>供应商</w:t>
            </w:r>
            <w:r>
              <w:rPr>
                <w:rFonts w:hint="eastAsia" w:ascii="宋体" w:hAnsi="宋体" w:eastAsia="宋体" w:cs="Times New Roman"/>
                <w:snapToGrid w:val="0"/>
                <w:color w:val="auto"/>
                <w:kern w:val="0"/>
                <w:sz w:val="24"/>
                <w:highlight w:val="none"/>
              </w:rPr>
              <w:t>须自行进账，进账后回单即为缴纳凭证；</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cs="仿宋"/>
                <w:color w:val="auto"/>
                <w:kern w:val="0"/>
                <w:sz w:val="24"/>
                <w:highlight w:val="none"/>
              </w:rPr>
            </w:pPr>
            <w:r>
              <w:rPr>
                <w:rFonts w:hint="eastAsia" w:ascii="宋体" w:hAnsi="宋体" w:eastAsia="宋体" w:cs="Times New Roman"/>
                <w:snapToGrid w:val="0"/>
                <w:color w:val="auto"/>
                <w:kern w:val="0"/>
                <w:sz w:val="24"/>
                <w:highlight w:val="none"/>
              </w:rPr>
              <w:t>3.</w:t>
            </w:r>
            <w:r>
              <w:rPr>
                <w:rFonts w:hint="eastAsia" w:ascii="宋体" w:hAnsi="宋体" w:eastAsia="宋体" w:cs="Times New Roman"/>
                <w:snapToGrid w:val="0"/>
                <w:color w:val="auto"/>
                <w:kern w:val="0"/>
                <w:sz w:val="24"/>
                <w:highlight w:val="none"/>
                <w:lang w:eastAsia="zh-CN"/>
              </w:rPr>
              <w:t>供应商</w:t>
            </w:r>
            <w:r>
              <w:rPr>
                <w:rFonts w:hint="eastAsia" w:ascii="宋体" w:hAnsi="宋体" w:eastAsia="宋体" w:cs="Times New Roman"/>
                <w:snapToGrid w:val="0"/>
                <w:color w:val="auto"/>
                <w:kern w:val="0"/>
                <w:sz w:val="24"/>
                <w:highlight w:val="none"/>
              </w:rPr>
              <w:t>拟采用汇票、本票、保函、保证保险方式提交的，请提前联系采购代理机构。联系方式：13608853412。</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cs="仿宋"/>
                <w:b/>
                <w:bCs/>
                <w:color w:val="auto"/>
                <w:kern w:val="0"/>
                <w:sz w:val="24"/>
                <w:highlight w:val="none"/>
              </w:rPr>
            </w:pPr>
            <w:r>
              <w:rPr>
                <w:rFonts w:hint="eastAsia" w:cs="仿宋"/>
                <w:b/>
                <w:bCs/>
                <w:color w:val="auto"/>
                <w:kern w:val="0"/>
                <w:sz w:val="24"/>
                <w:highlight w:val="none"/>
              </w:rPr>
              <w:t>二、</w:t>
            </w:r>
            <w:r>
              <w:rPr>
                <w:rFonts w:hint="eastAsia" w:cs="仿宋"/>
                <w:b/>
                <w:bCs/>
                <w:color w:val="auto"/>
                <w:kern w:val="0"/>
                <w:sz w:val="24"/>
                <w:highlight w:val="none"/>
                <w:lang w:eastAsia="zh-CN"/>
              </w:rPr>
              <w:t>投标保证金</w:t>
            </w:r>
            <w:r>
              <w:rPr>
                <w:rFonts w:hint="eastAsia" w:cs="仿宋"/>
                <w:b/>
                <w:bCs/>
                <w:color w:val="auto"/>
                <w:kern w:val="0"/>
                <w:sz w:val="24"/>
                <w:highlight w:val="none"/>
              </w:rPr>
              <w:t>的提交时间</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cs="仿宋"/>
                <w:color w:val="auto"/>
                <w:kern w:val="0"/>
                <w:sz w:val="24"/>
                <w:highlight w:val="none"/>
              </w:rPr>
            </w:pPr>
            <w:r>
              <w:rPr>
                <w:rFonts w:hint="eastAsia" w:cs="仿宋"/>
                <w:color w:val="auto"/>
                <w:kern w:val="0"/>
                <w:sz w:val="24"/>
                <w:highlight w:val="none"/>
              </w:rPr>
              <w:t>保证金到账截止时间为响应文件提交截止时间，到账时间以实际到达专用账号时间为准，未按时到账的保证金视为未提交；采用保函方式提交保证金的，在响应文件提交截止时间前，</w:t>
            </w:r>
            <w:r>
              <w:rPr>
                <w:rFonts w:hint="eastAsia" w:cs="仿宋"/>
                <w:color w:val="auto"/>
                <w:kern w:val="0"/>
                <w:sz w:val="24"/>
                <w:highlight w:val="none"/>
                <w:lang w:eastAsia="zh-CN"/>
              </w:rPr>
              <w:t>供应商</w:t>
            </w:r>
            <w:r>
              <w:rPr>
                <w:rFonts w:hint="eastAsia" w:cs="仿宋"/>
                <w:color w:val="auto"/>
                <w:kern w:val="0"/>
                <w:sz w:val="24"/>
                <w:highlight w:val="none"/>
              </w:rPr>
              <w:t>应当提供有效的保函。</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cs="仿宋"/>
                <w:b/>
                <w:bCs/>
                <w:color w:val="auto"/>
                <w:kern w:val="0"/>
                <w:sz w:val="24"/>
                <w:highlight w:val="none"/>
              </w:rPr>
            </w:pPr>
            <w:r>
              <w:rPr>
                <w:rFonts w:hint="eastAsia" w:cs="仿宋"/>
                <w:b/>
                <w:bCs/>
                <w:color w:val="auto"/>
                <w:kern w:val="0"/>
                <w:sz w:val="24"/>
                <w:highlight w:val="none"/>
              </w:rPr>
              <w:t>三、保证金的退还</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cs="仿宋"/>
                <w:color w:val="auto"/>
                <w:kern w:val="0"/>
                <w:sz w:val="24"/>
                <w:highlight w:val="none"/>
              </w:rPr>
            </w:pPr>
            <w:r>
              <w:rPr>
                <w:rFonts w:hint="eastAsia" w:cs="仿宋"/>
                <w:color w:val="auto"/>
                <w:kern w:val="0"/>
                <w:sz w:val="24"/>
                <w:highlight w:val="none"/>
              </w:rPr>
              <w:t>（一）未</w:t>
            </w:r>
            <w:r>
              <w:rPr>
                <w:rFonts w:hint="eastAsia" w:cs="仿宋"/>
                <w:color w:val="auto"/>
                <w:kern w:val="0"/>
                <w:sz w:val="24"/>
                <w:highlight w:val="none"/>
                <w:lang w:val="en-US" w:eastAsia="zh-CN"/>
              </w:rPr>
              <w:t>中标</w:t>
            </w:r>
            <w:r>
              <w:rPr>
                <w:rFonts w:hint="eastAsia" w:cs="仿宋"/>
                <w:color w:val="auto"/>
                <w:kern w:val="0"/>
                <w:sz w:val="24"/>
                <w:highlight w:val="none"/>
              </w:rPr>
              <w:t>人的</w:t>
            </w:r>
            <w:r>
              <w:rPr>
                <w:rFonts w:hint="eastAsia" w:cs="仿宋"/>
                <w:color w:val="auto"/>
                <w:kern w:val="0"/>
                <w:sz w:val="24"/>
                <w:highlight w:val="none"/>
                <w:lang w:eastAsia="zh-CN"/>
              </w:rPr>
              <w:t>投标保证金</w:t>
            </w:r>
            <w:r>
              <w:rPr>
                <w:rFonts w:hint="eastAsia" w:cs="仿宋"/>
                <w:color w:val="auto"/>
                <w:kern w:val="0"/>
                <w:sz w:val="24"/>
                <w:highlight w:val="none"/>
              </w:rPr>
              <w:t>由采购代理机构业务人员直接办理</w:t>
            </w:r>
            <w:r>
              <w:rPr>
                <w:rFonts w:hint="eastAsia" w:cs="仿宋"/>
                <w:color w:val="auto"/>
                <w:kern w:val="0"/>
                <w:sz w:val="24"/>
                <w:highlight w:val="none"/>
                <w:lang w:eastAsia="zh-CN"/>
              </w:rPr>
              <w:t>投标保证金</w:t>
            </w:r>
            <w:r>
              <w:rPr>
                <w:rFonts w:hint="eastAsia" w:cs="仿宋"/>
                <w:color w:val="auto"/>
                <w:kern w:val="0"/>
                <w:sz w:val="24"/>
                <w:highlight w:val="none"/>
              </w:rPr>
              <w:t>的退还事宜，未成交人无需到采购代理机构现场办理；</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Times New Roman"/>
                <w:snapToGrid w:val="0"/>
                <w:color w:val="auto"/>
                <w:kern w:val="0"/>
                <w:sz w:val="24"/>
                <w:highlight w:val="none"/>
                <w:lang w:val="en-US" w:eastAsia="zh-CN"/>
              </w:rPr>
            </w:pPr>
            <w:r>
              <w:rPr>
                <w:rFonts w:hint="eastAsia" w:cs="仿宋"/>
                <w:color w:val="auto"/>
                <w:kern w:val="0"/>
                <w:sz w:val="24"/>
                <w:highlight w:val="none"/>
              </w:rPr>
              <w:t>（二）</w:t>
            </w:r>
            <w:r>
              <w:rPr>
                <w:rFonts w:hint="eastAsia" w:cs="仿宋"/>
                <w:color w:val="auto"/>
                <w:kern w:val="0"/>
                <w:sz w:val="24"/>
                <w:highlight w:val="none"/>
                <w:lang w:val="en-US" w:eastAsia="zh-CN"/>
              </w:rPr>
              <w:t>中标</w:t>
            </w:r>
            <w:r>
              <w:rPr>
                <w:rFonts w:hint="eastAsia" w:cs="仿宋"/>
                <w:color w:val="auto"/>
                <w:kern w:val="0"/>
                <w:sz w:val="24"/>
                <w:highlight w:val="none"/>
              </w:rPr>
              <w:t>人的</w:t>
            </w:r>
            <w:r>
              <w:rPr>
                <w:rFonts w:hint="eastAsia" w:cs="仿宋"/>
                <w:color w:val="auto"/>
                <w:kern w:val="0"/>
                <w:sz w:val="24"/>
                <w:highlight w:val="none"/>
                <w:lang w:eastAsia="zh-CN"/>
              </w:rPr>
              <w:t>投标保证金</w:t>
            </w:r>
            <w:r>
              <w:rPr>
                <w:rFonts w:hint="eastAsia" w:cs="仿宋"/>
                <w:color w:val="auto"/>
                <w:kern w:val="0"/>
                <w:sz w:val="24"/>
                <w:highlight w:val="none"/>
              </w:rPr>
              <w:t>在签订采购合同后联系采购代理机构业务人员办理</w:t>
            </w:r>
            <w:r>
              <w:rPr>
                <w:rFonts w:hint="eastAsia" w:cs="仿宋"/>
                <w:color w:val="auto"/>
                <w:kern w:val="0"/>
                <w:sz w:val="24"/>
                <w:highlight w:val="none"/>
                <w:lang w:eastAsia="zh-CN"/>
              </w:rPr>
              <w:t>投标保证金</w:t>
            </w:r>
            <w:r>
              <w:rPr>
                <w:rFonts w:hint="eastAsia" w:cs="仿宋"/>
                <w:color w:val="auto"/>
                <w:kern w:val="0"/>
                <w:sz w:val="24"/>
                <w:highlight w:val="none"/>
              </w:rPr>
              <w:t>的退还事宜，成交人无需到采购代理机构现场办理。</w:t>
            </w:r>
          </w:p>
        </w:tc>
      </w:tr>
      <w:tr>
        <w:tblPrEx>
          <w:tblCellMar>
            <w:top w:w="0" w:type="dxa"/>
            <w:left w:w="108" w:type="dxa"/>
            <w:bottom w:w="0" w:type="dxa"/>
            <w:right w:w="108" w:type="dxa"/>
          </w:tblCellMar>
        </w:tblPrEx>
        <w:trPr>
          <w:trHeight w:val="231"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20.4</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报价货币</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人民币，本项目填报下浮率。</w:t>
            </w:r>
          </w:p>
        </w:tc>
      </w:tr>
      <w:tr>
        <w:tblPrEx>
          <w:tblCellMar>
            <w:top w:w="0" w:type="dxa"/>
            <w:left w:w="108" w:type="dxa"/>
            <w:bottom w:w="0" w:type="dxa"/>
            <w:right w:w="108" w:type="dxa"/>
          </w:tblCellMar>
        </w:tblPrEx>
        <w:trPr>
          <w:trHeight w:val="623"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21.1</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投标文件的密封</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网上递交的响应文件应使用数字证书进行加密。</w:t>
            </w:r>
          </w:p>
        </w:tc>
      </w:tr>
      <w:tr>
        <w:tblPrEx>
          <w:tblCellMar>
            <w:top w:w="0" w:type="dxa"/>
            <w:left w:w="108" w:type="dxa"/>
            <w:bottom w:w="0" w:type="dxa"/>
            <w:right w:w="108" w:type="dxa"/>
          </w:tblCellMar>
        </w:tblPrEx>
        <w:trPr>
          <w:trHeight w:val="847"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22.1</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投标文件提交截止时间、开标时间和地点</w:t>
            </w:r>
          </w:p>
        </w:tc>
        <w:tc>
          <w:tcPr>
            <w:tcW w:w="6493" w:type="dxa"/>
            <w:tcBorders>
              <w:top w:val="single" w:color="auto" w:sz="4" w:space="0"/>
              <w:left w:val="single" w:color="auto" w:sz="4" w:space="0"/>
              <w:bottom w:val="single" w:color="auto" w:sz="4" w:space="0"/>
              <w:right w:val="single" w:color="auto" w:sz="4" w:space="0"/>
            </w:tcBorders>
            <w:vAlign w:val="center"/>
          </w:tcPr>
          <w:p>
            <w:pPr>
              <w:pStyle w:val="11"/>
              <w:spacing w:line="46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详见招标公告“四、提交投标文件截止时间、开标时间和地点”。</w:t>
            </w:r>
          </w:p>
        </w:tc>
      </w:tr>
      <w:tr>
        <w:tblPrEx>
          <w:tblCellMar>
            <w:top w:w="0" w:type="dxa"/>
            <w:left w:w="108" w:type="dxa"/>
            <w:bottom w:w="0" w:type="dxa"/>
            <w:right w:w="108" w:type="dxa"/>
          </w:tblCellMar>
        </w:tblPrEx>
        <w:trPr>
          <w:trHeight w:val="357"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22.4</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投标文件是否退还</w:t>
            </w:r>
          </w:p>
        </w:tc>
        <w:tc>
          <w:tcPr>
            <w:tcW w:w="6493" w:type="dxa"/>
            <w:tcBorders>
              <w:top w:val="single" w:color="auto" w:sz="4" w:space="0"/>
              <w:left w:val="single" w:color="auto" w:sz="4" w:space="0"/>
              <w:bottom w:val="single" w:color="auto" w:sz="4" w:space="0"/>
              <w:right w:val="single" w:color="auto" w:sz="4" w:space="0"/>
            </w:tcBorders>
            <w:vAlign w:val="center"/>
          </w:tcPr>
          <w:p>
            <w:pPr>
              <w:pStyle w:val="11"/>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否</w:t>
            </w:r>
          </w:p>
        </w:tc>
      </w:tr>
      <w:tr>
        <w:tblPrEx>
          <w:tblCellMar>
            <w:top w:w="0" w:type="dxa"/>
            <w:left w:w="108" w:type="dxa"/>
            <w:bottom w:w="0" w:type="dxa"/>
            <w:right w:w="108" w:type="dxa"/>
          </w:tblCellMar>
        </w:tblPrEx>
        <w:trPr>
          <w:trHeight w:val="121"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24.1</w:t>
            </w:r>
          </w:p>
        </w:tc>
        <w:tc>
          <w:tcPr>
            <w:tcW w:w="2149" w:type="dxa"/>
            <w:tcBorders>
              <w:top w:val="single" w:color="auto" w:sz="4" w:space="0"/>
              <w:left w:val="single" w:color="auto" w:sz="4" w:space="0"/>
              <w:bottom w:val="single" w:color="auto" w:sz="4" w:space="0"/>
              <w:right w:val="single" w:color="auto" w:sz="4" w:space="0"/>
            </w:tcBorders>
            <w:vAlign w:val="center"/>
          </w:tcPr>
          <w:p>
            <w:pPr>
              <w:pStyle w:val="11"/>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开标时间和地点</w:t>
            </w:r>
          </w:p>
        </w:tc>
        <w:tc>
          <w:tcPr>
            <w:tcW w:w="6493" w:type="dxa"/>
            <w:tcBorders>
              <w:top w:val="single" w:color="auto" w:sz="4" w:space="0"/>
              <w:left w:val="single" w:color="auto" w:sz="4" w:space="0"/>
              <w:bottom w:val="single" w:color="auto" w:sz="4" w:space="0"/>
              <w:right w:val="single" w:color="auto" w:sz="4" w:space="0"/>
            </w:tcBorders>
            <w:vAlign w:val="center"/>
          </w:tcPr>
          <w:p>
            <w:pPr>
              <w:pStyle w:val="11"/>
              <w:spacing w:line="460" w:lineRule="exact"/>
              <w:rPr>
                <w:rFonts w:hint="eastAsia" w:ascii="宋体" w:hAnsi="宋体" w:cs="宋体"/>
                <w:color w:val="auto"/>
                <w:sz w:val="24"/>
                <w:szCs w:val="24"/>
                <w:highlight w:val="none"/>
                <w:u w:val="single"/>
              </w:rPr>
            </w:pPr>
            <w:r>
              <w:rPr>
                <w:rFonts w:hint="eastAsia" w:ascii="宋体" w:hAnsi="宋体" w:cs="宋体"/>
                <w:b/>
                <w:bCs/>
                <w:color w:val="auto"/>
                <w:sz w:val="24"/>
                <w:szCs w:val="24"/>
                <w:highlight w:val="none"/>
              </w:rPr>
              <w:t>详见招标公告“四、提交投标文件截止时间、开标时间和地点”。</w:t>
            </w:r>
          </w:p>
        </w:tc>
      </w:tr>
      <w:tr>
        <w:tblPrEx>
          <w:tblCellMar>
            <w:top w:w="0" w:type="dxa"/>
            <w:left w:w="108" w:type="dxa"/>
            <w:bottom w:w="0" w:type="dxa"/>
            <w:right w:w="108" w:type="dxa"/>
          </w:tblCellMar>
        </w:tblPrEx>
        <w:trPr>
          <w:trHeight w:val="416"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25.2</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评标委员会由采购人代表和评审专家组成，成员人数为7人及以上单数，其中评审专家不得少于成员总数的三分之二。</w:t>
            </w:r>
          </w:p>
          <w:p>
            <w:pPr>
              <w:snapToGrid w:val="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评审专家确定方式：在云南省政府采购网评审专家库中随机抽取。</w:t>
            </w:r>
          </w:p>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注：特殊情况经审批后确定。</w:t>
            </w:r>
          </w:p>
        </w:tc>
      </w:tr>
      <w:tr>
        <w:tblPrEx>
          <w:tblCellMar>
            <w:top w:w="0" w:type="dxa"/>
            <w:left w:w="108" w:type="dxa"/>
            <w:bottom w:w="0" w:type="dxa"/>
            <w:right w:w="108" w:type="dxa"/>
          </w:tblCellMar>
        </w:tblPrEx>
        <w:trPr>
          <w:trHeight w:val="753"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25.5</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评标方法</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综合评分法。</w:t>
            </w:r>
          </w:p>
        </w:tc>
      </w:tr>
      <w:tr>
        <w:tblPrEx>
          <w:tblCellMar>
            <w:top w:w="0" w:type="dxa"/>
            <w:left w:w="108" w:type="dxa"/>
            <w:bottom w:w="0" w:type="dxa"/>
            <w:right w:w="108" w:type="dxa"/>
          </w:tblCellMar>
        </w:tblPrEx>
        <w:trPr>
          <w:trHeight w:val="505"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32.1</w:t>
            </w:r>
          </w:p>
        </w:tc>
        <w:tc>
          <w:tcPr>
            <w:tcW w:w="2149"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w:t>
            </w:r>
          </w:p>
        </w:tc>
        <w:tc>
          <w:tcPr>
            <w:tcW w:w="6493" w:type="dxa"/>
            <w:tcBorders>
              <w:top w:val="single" w:color="auto" w:sz="4" w:space="0"/>
              <w:left w:val="single" w:color="auto" w:sz="4" w:space="0"/>
              <w:bottom w:val="single" w:color="auto" w:sz="4" w:space="0"/>
              <w:right w:val="single" w:color="auto" w:sz="4" w:space="0"/>
            </w:tcBorders>
            <w:vAlign w:val="center"/>
          </w:tcPr>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履约保证金金额：合同价的5%。</w:t>
            </w:r>
          </w:p>
          <w:p>
            <w:pP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履约担保形式：支票、汇票、本票或者金融机构、担保机构出具的保函等非现金形式提交</w:t>
            </w:r>
            <w:r>
              <w:rPr>
                <w:rFonts w:hint="eastAsia" w:ascii="宋体" w:hAnsi="宋体" w:cs="宋体"/>
                <w:color w:val="auto"/>
                <w:sz w:val="24"/>
                <w:szCs w:val="24"/>
                <w:highlight w:val="none"/>
                <w:lang w:eastAsia="zh-CN"/>
              </w:rPr>
              <w:t>。</w:t>
            </w:r>
          </w:p>
        </w:tc>
      </w:tr>
      <w:tr>
        <w:tblPrEx>
          <w:tblCellMar>
            <w:top w:w="0" w:type="dxa"/>
            <w:left w:w="108" w:type="dxa"/>
            <w:bottom w:w="0" w:type="dxa"/>
            <w:right w:w="108" w:type="dxa"/>
          </w:tblCellMar>
        </w:tblPrEx>
        <w:trPr>
          <w:trHeight w:val="545" w:hRule="atLeast"/>
          <w:jc w:val="center"/>
        </w:trPr>
        <w:tc>
          <w:tcPr>
            <w:tcW w:w="9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33.1</w:t>
            </w:r>
          </w:p>
        </w:tc>
        <w:tc>
          <w:tcPr>
            <w:tcW w:w="214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lang w:eastAsia="zh-CN"/>
              </w:rPr>
              <w:t>中标服务费</w:t>
            </w:r>
          </w:p>
        </w:tc>
        <w:tc>
          <w:tcPr>
            <w:tcW w:w="6493"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代理服务收费</w:t>
            </w:r>
            <w:r>
              <w:rPr>
                <w:rFonts w:hint="eastAsia" w:ascii="宋体" w:hAnsi="宋体" w:cs="宋体"/>
                <w:color w:val="auto"/>
                <w:sz w:val="24"/>
                <w:szCs w:val="24"/>
                <w:highlight w:val="none"/>
                <w:lang w:val="en-US" w:eastAsia="zh-CN"/>
              </w:rPr>
              <w:t>参考</w:t>
            </w:r>
            <w:r>
              <w:rPr>
                <w:rFonts w:hint="eastAsia" w:ascii="宋体" w:hAnsi="宋体" w:cs="宋体"/>
                <w:color w:val="auto"/>
                <w:sz w:val="24"/>
                <w:szCs w:val="24"/>
                <w:highlight w:val="none"/>
              </w:rPr>
              <w:t>国家发展计划委员会《招标代理服务管理暂行办法》(计价格[2002]1980号)收费标准</w:t>
            </w:r>
            <w:r>
              <w:rPr>
                <w:rFonts w:hint="eastAsia" w:ascii="宋体" w:hAnsi="宋体" w:cs="宋体"/>
                <w:color w:val="auto"/>
                <w:sz w:val="24"/>
                <w:szCs w:val="24"/>
                <w:highlight w:val="none"/>
                <w:lang w:val="en-US" w:eastAsia="zh-CN"/>
              </w:rPr>
              <w:t>优惠后服务费：</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一标段：60000.00元；</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二标段：60000.00元；</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cs="宋体"/>
                <w:color w:val="auto"/>
                <w:highlight w:val="none"/>
              </w:rPr>
            </w:pPr>
            <w:r>
              <w:rPr>
                <w:rFonts w:hint="eastAsia" w:ascii="宋体" w:hAnsi="宋体" w:cs="宋体"/>
                <w:color w:val="auto"/>
                <w:sz w:val="24"/>
                <w:szCs w:val="24"/>
                <w:highlight w:val="none"/>
              </w:rPr>
              <w:t>由中标人向采购代理机构一次性付清中标服务费。</w:t>
            </w:r>
          </w:p>
        </w:tc>
      </w:tr>
      <w:tr>
        <w:tblPrEx>
          <w:tblCellMar>
            <w:top w:w="0" w:type="dxa"/>
            <w:left w:w="108" w:type="dxa"/>
            <w:bottom w:w="0" w:type="dxa"/>
            <w:right w:w="108" w:type="dxa"/>
          </w:tblCellMar>
        </w:tblPrEx>
        <w:trPr>
          <w:trHeight w:val="1456" w:hRule="atLeast"/>
          <w:jc w:val="center"/>
        </w:trPr>
        <w:tc>
          <w:tcPr>
            <w:tcW w:w="989"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cs="宋体"/>
                <w:color w:val="auto"/>
                <w:sz w:val="24"/>
                <w:szCs w:val="24"/>
                <w:highlight w:val="none"/>
              </w:rPr>
            </w:pPr>
          </w:p>
        </w:tc>
        <w:tc>
          <w:tcPr>
            <w:tcW w:w="8642" w:type="dxa"/>
            <w:gridSpan w:val="2"/>
            <w:tcBorders>
              <w:top w:val="single" w:color="auto" w:sz="4" w:space="0"/>
              <w:left w:val="single" w:color="auto" w:sz="4" w:space="0"/>
              <w:bottom w:val="single" w:color="auto" w:sz="4" w:space="0"/>
              <w:right w:val="single" w:color="auto" w:sz="4" w:space="0"/>
            </w:tcBorders>
            <w:vAlign w:val="center"/>
          </w:tcPr>
          <w:p>
            <w:pPr>
              <w:pStyle w:val="20"/>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合同追加：政府采购合同履行中，采购人需追加与合同标的相同</w:t>
            </w:r>
            <w:r>
              <w:rPr>
                <w:rFonts w:hint="eastAsia" w:ascii="宋体" w:hAnsi="宋体" w:cs="宋体"/>
                <w:color w:val="auto"/>
                <w:sz w:val="24"/>
                <w:szCs w:val="24"/>
                <w:highlight w:val="none"/>
                <w:lang w:val="en-US" w:eastAsia="zh-CN"/>
              </w:rPr>
              <w:t>服务</w:t>
            </w:r>
            <w:r>
              <w:rPr>
                <w:rFonts w:hint="eastAsia" w:ascii="宋体" w:hAnsi="宋体" w:cs="宋体"/>
                <w:color w:val="auto"/>
                <w:sz w:val="24"/>
                <w:szCs w:val="24"/>
                <w:highlight w:val="none"/>
              </w:rPr>
              <w:t>的，在不改变合同其他条款的前提下，可以与中标</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签订补充合同，但所有补充合同的采购金额变更不得超过原合同采购金额的10%，其中金额增加需办理合同追加手续。</w:t>
            </w:r>
          </w:p>
        </w:tc>
      </w:tr>
      <w:tr>
        <w:tblPrEx>
          <w:tblCellMar>
            <w:top w:w="0" w:type="dxa"/>
            <w:left w:w="108" w:type="dxa"/>
            <w:bottom w:w="0" w:type="dxa"/>
            <w:right w:w="108" w:type="dxa"/>
          </w:tblCellMar>
        </w:tblPrEx>
        <w:trPr>
          <w:trHeight w:val="884" w:hRule="atLeast"/>
          <w:jc w:val="center"/>
        </w:trPr>
        <w:tc>
          <w:tcPr>
            <w:tcW w:w="98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cs="宋体"/>
                <w:color w:val="auto"/>
                <w:sz w:val="24"/>
                <w:szCs w:val="24"/>
                <w:highlight w:val="none"/>
              </w:rPr>
            </w:pPr>
          </w:p>
        </w:tc>
        <w:tc>
          <w:tcPr>
            <w:tcW w:w="8642" w:type="dxa"/>
            <w:gridSpan w:val="2"/>
            <w:tcBorders>
              <w:top w:val="single" w:color="auto" w:sz="4" w:space="0"/>
              <w:left w:val="single" w:color="auto" w:sz="4" w:space="0"/>
              <w:bottom w:val="single" w:color="auto" w:sz="4" w:space="0"/>
              <w:right w:val="single" w:color="auto" w:sz="4" w:space="0"/>
            </w:tcBorders>
            <w:vAlign w:val="center"/>
          </w:tcPr>
          <w:p>
            <w:pPr>
              <w:pStyle w:val="20"/>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供应商</w:t>
            </w:r>
            <w:r>
              <w:rPr>
                <w:rFonts w:hint="eastAsia" w:ascii="宋体" w:hAnsi="宋体" w:cs="宋体"/>
                <w:b/>
                <w:color w:val="auto"/>
                <w:sz w:val="24"/>
                <w:szCs w:val="24"/>
                <w:highlight w:val="none"/>
              </w:rPr>
              <w:t>对应所投标（包）自行填写内容，一个</w:t>
            </w:r>
            <w:r>
              <w:rPr>
                <w:rFonts w:hint="eastAsia" w:ascii="宋体" w:hAnsi="宋体" w:cs="宋体"/>
                <w:b/>
                <w:color w:val="auto"/>
                <w:sz w:val="24"/>
                <w:szCs w:val="24"/>
                <w:highlight w:val="none"/>
                <w:lang w:eastAsia="zh-CN"/>
              </w:rPr>
              <w:t>供应商</w:t>
            </w:r>
            <w:r>
              <w:rPr>
                <w:rFonts w:hint="eastAsia" w:ascii="宋体" w:hAnsi="宋体" w:cs="宋体"/>
                <w:b/>
                <w:color w:val="auto"/>
                <w:sz w:val="24"/>
                <w:szCs w:val="24"/>
                <w:highlight w:val="none"/>
              </w:rPr>
              <w:t>投多个标（包）时，需按标（包）分别编制投标文件</w:t>
            </w:r>
            <w:r>
              <w:rPr>
                <w:rFonts w:hint="eastAsia" w:ascii="宋体" w:hAnsi="宋体" w:cs="宋体"/>
                <w:b/>
                <w:bCs/>
                <w:color w:val="auto"/>
                <w:sz w:val="24"/>
                <w:szCs w:val="24"/>
                <w:highlight w:val="none"/>
              </w:rPr>
              <w:t>。</w:t>
            </w:r>
          </w:p>
        </w:tc>
      </w:tr>
      <w:tr>
        <w:tblPrEx>
          <w:tblCellMar>
            <w:top w:w="0" w:type="dxa"/>
            <w:left w:w="108" w:type="dxa"/>
            <w:bottom w:w="0" w:type="dxa"/>
            <w:right w:w="108" w:type="dxa"/>
          </w:tblCellMar>
        </w:tblPrEx>
        <w:trPr>
          <w:trHeight w:val="1239" w:hRule="atLeast"/>
          <w:jc w:val="center"/>
        </w:trPr>
        <w:tc>
          <w:tcPr>
            <w:tcW w:w="989"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cs="宋体"/>
                <w:color w:val="auto"/>
                <w:sz w:val="24"/>
                <w:szCs w:val="24"/>
                <w:highlight w:val="none"/>
              </w:rPr>
            </w:pPr>
          </w:p>
        </w:tc>
        <w:tc>
          <w:tcPr>
            <w:tcW w:w="8642"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本项目招标类型为</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服务 </w:t>
            </w:r>
            <w:r>
              <w:rPr>
                <w:rFonts w:hint="eastAsia" w:ascii="宋体" w:hAnsi="宋体" w:cs="宋体"/>
                <w:color w:val="auto"/>
                <w:sz w:val="24"/>
                <w:szCs w:val="24"/>
                <w:highlight w:val="none"/>
              </w:rPr>
              <w:t>，招标文件中明确的所属行业为</w:t>
            </w:r>
            <w:r>
              <w:rPr>
                <w:rFonts w:hint="eastAsia" w:ascii="宋体" w:hAnsi="宋体" w:cs="宋体"/>
                <w:b/>
                <w:bCs/>
                <w:color w:val="auto"/>
                <w:sz w:val="24"/>
                <w:szCs w:val="24"/>
                <w:highlight w:val="none"/>
                <w:u w:val="single"/>
              </w:rPr>
              <w:t xml:space="preserve">  批发业  </w:t>
            </w:r>
            <w:r>
              <w:rPr>
                <w:rFonts w:hint="eastAsia" w:ascii="宋体" w:hAnsi="宋体" w:cs="宋体"/>
                <w:color w:val="auto"/>
                <w:sz w:val="24"/>
                <w:szCs w:val="24"/>
                <w:highlight w:val="none"/>
              </w:rPr>
              <w:t>。</w:t>
            </w:r>
          </w:p>
          <w:p>
            <w:pPr>
              <w:pStyle w:val="20"/>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rPr>
                <w:rFonts w:hint="eastAsia" w:ascii="宋体" w:hAnsi="宋体" w:cs="宋体"/>
                <w:color w:val="auto"/>
                <w:sz w:val="24"/>
                <w:szCs w:val="24"/>
                <w:highlight w:val="none"/>
              </w:rPr>
            </w:pPr>
            <w:r>
              <w:rPr>
                <w:rFonts w:hint="eastAsia" w:ascii="宋体" w:hAnsi="宋体" w:cs="宋体"/>
                <w:b/>
                <w:bCs/>
                <w:color w:val="auto"/>
                <w:sz w:val="24"/>
                <w:szCs w:val="24"/>
                <w:highlight w:val="none"/>
              </w:rPr>
              <w:t>批发业</w:t>
            </w:r>
            <w:r>
              <w:rPr>
                <w:rFonts w:hint="eastAsia" w:ascii="宋体" w:hAnsi="宋体" w:cs="宋体"/>
                <w:color w:val="auto"/>
                <w:sz w:val="24"/>
                <w:szCs w:val="24"/>
                <w:highlight w:val="none"/>
              </w:rPr>
              <w:t>划型标准为：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bl>
    <w:p>
      <w:pPr>
        <w:pStyle w:val="4"/>
        <w:rPr>
          <w:rFonts w:hint="eastAsia" w:ascii="宋体" w:hAnsi="宋体" w:cs="宋体"/>
          <w:color w:val="auto"/>
          <w:kern w:val="0"/>
          <w:highlight w:val="none"/>
        </w:rPr>
      </w:pPr>
      <w:r>
        <w:rPr>
          <w:rFonts w:hint="eastAsia" w:ascii="宋体" w:hAnsi="宋体" w:cs="宋体"/>
          <w:color w:val="auto"/>
          <w:kern w:val="0"/>
          <w:sz w:val="24"/>
          <w:szCs w:val="24"/>
          <w:highlight w:val="none"/>
        </w:rPr>
        <w:br w:type="page"/>
      </w:r>
    </w:p>
    <w:p>
      <w:pPr>
        <w:pStyle w:val="3"/>
        <w:spacing w:before="0" w:line="360" w:lineRule="exact"/>
        <w:ind w:firstLine="280"/>
        <w:jc w:val="center"/>
        <w:rPr>
          <w:rFonts w:hint="eastAsia" w:ascii="宋体" w:hAnsi="宋体" w:cs="宋体"/>
          <w:color w:val="auto"/>
          <w:sz w:val="28"/>
          <w:szCs w:val="28"/>
          <w:highlight w:val="none"/>
        </w:rPr>
      </w:pPr>
      <w:bookmarkStart w:id="101" w:name="_Toc18643"/>
      <w:bookmarkStart w:id="102" w:name="_Toc30725"/>
      <w:bookmarkStart w:id="103" w:name="_Toc12734"/>
      <w:bookmarkStart w:id="104" w:name="_Toc15377"/>
      <w:r>
        <w:rPr>
          <w:rFonts w:hint="eastAsia" w:ascii="宋体" w:hAnsi="宋体" w:cs="宋体"/>
          <w:color w:val="auto"/>
          <w:spacing w:val="0"/>
          <w:kern w:val="0"/>
          <w:sz w:val="28"/>
          <w:szCs w:val="28"/>
          <w:highlight w:val="none"/>
        </w:rPr>
        <w:t>一、</w:t>
      </w:r>
      <w:r>
        <w:rPr>
          <w:rFonts w:hint="eastAsia" w:ascii="宋体" w:hAnsi="宋体" w:cs="宋体"/>
          <w:color w:val="auto"/>
          <w:sz w:val="28"/>
          <w:szCs w:val="28"/>
          <w:highlight w:val="none"/>
        </w:rPr>
        <w:t>总则</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pPr>
        <w:pStyle w:val="5"/>
        <w:spacing w:before="0" w:after="0" w:line="440" w:lineRule="exact"/>
        <w:ind w:firstLine="0"/>
        <w:rPr>
          <w:rFonts w:hint="eastAsia" w:ascii="宋体" w:hAnsi="宋体" w:cs="宋体"/>
          <w:color w:val="auto"/>
          <w:szCs w:val="24"/>
          <w:highlight w:val="none"/>
        </w:rPr>
      </w:pPr>
      <w:bookmarkStart w:id="105" w:name="_Toc152042306"/>
      <w:bookmarkStart w:id="106" w:name="_Toc296602421"/>
      <w:bookmarkStart w:id="107" w:name="_Toc246996176"/>
      <w:bookmarkStart w:id="108" w:name="_Toc489145704"/>
      <w:bookmarkStart w:id="109" w:name="_Toc246996919"/>
      <w:bookmarkStart w:id="110" w:name="_Toc30823"/>
      <w:bookmarkStart w:id="111" w:name="_Toc152045530"/>
      <w:bookmarkStart w:id="112" w:name="_Toc247085690"/>
      <w:bookmarkStart w:id="113" w:name="_Toc179632547"/>
      <w:bookmarkStart w:id="114" w:name="_Toc144974498"/>
      <w:bookmarkStart w:id="115" w:name="_Toc3188"/>
      <w:bookmarkStart w:id="116" w:name="_Toc489197808"/>
      <w:r>
        <w:rPr>
          <w:rFonts w:hint="eastAsia" w:ascii="宋体" w:hAnsi="宋体" w:cs="宋体"/>
          <w:color w:val="auto"/>
          <w:szCs w:val="24"/>
          <w:highlight w:val="none"/>
        </w:rPr>
        <w:t>1. 项目概况</w:t>
      </w:r>
      <w:bookmarkEnd w:id="105"/>
      <w:bookmarkEnd w:id="106"/>
      <w:bookmarkEnd w:id="107"/>
      <w:bookmarkEnd w:id="108"/>
      <w:bookmarkEnd w:id="109"/>
      <w:bookmarkEnd w:id="110"/>
      <w:bookmarkEnd w:id="111"/>
      <w:bookmarkEnd w:id="112"/>
      <w:bookmarkEnd w:id="113"/>
      <w:bookmarkEnd w:id="114"/>
      <w:bookmarkEnd w:id="115"/>
      <w:bookmarkEnd w:id="116"/>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1.1根据《中华人民共和国政府采购法》《中华人民共和国政府采购法实施条例》《政府采购货物和服务招标投标管理办法》（财政部令第87号）等有关法律法规的规定，本项目已具备招标条件，现对本项目进行公开招标。</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 本项目采购人：详见《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1.3 本项目采购代理机构：详见《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1.4 本项目名称及</w:t>
      </w:r>
      <w:r>
        <w:rPr>
          <w:rFonts w:hint="eastAsia" w:ascii="宋体" w:hAnsi="宋体" w:cs="宋体"/>
          <w:color w:val="auto"/>
          <w:sz w:val="24"/>
          <w:szCs w:val="24"/>
          <w:highlight w:val="none"/>
          <w:lang w:eastAsia="zh-CN"/>
        </w:rPr>
        <w:t>项目编号</w:t>
      </w:r>
      <w:r>
        <w:rPr>
          <w:rFonts w:hint="eastAsia" w:ascii="宋体" w:hAnsi="宋体" w:cs="宋体"/>
          <w:color w:val="auto"/>
          <w:sz w:val="24"/>
          <w:szCs w:val="24"/>
          <w:highlight w:val="none"/>
        </w:rPr>
        <w:t>：详见《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1.5本项目标（包）划分：详见《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p>
    <w:p>
      <w:pPr>
        <w:pStyle w:val="5"/>
        <w:spacing w:before="0" w:after="0" w:line="440" w:lineRule="exact"/>
        <w:ind w:firstLine="0"/>
        <w:rPr>
          <w:rFonts w:hint="eastAsia" w:ascii="宋体" w:hAnsi="宋体" w:cs="宋体"/>
          <w:color w:val="auto"/>
          <w:szCs w:val="24"/>
          <w:highlight w:val="none"/>
        </w:rPr>
      </w:pPr>
      <w:bookmarkStart w:id="117" w:name="_Toc152042307"/>
      <w:bookmarkStart w:id="118" w:name="_Toc144974499"/>
      <w:bookmarkStart w:id="119" w:name="_Toc296602422"/>
      <w:bookmarkStart w:id="120" w:name="_Toc14150"/>
      <w:bookmarkStart w:id="121" w:name="_Toc11396"/>
      <w:bookmarkStart w:id="122" w:name="_Toc247085691"/>
      <w:bookmarkStart w:id="123" w:name="_Toc246996177"/>
      <w:bookmarkStart w:id="124" w:name="_Toc489145705"/>
      <w:bookmarkStart w:id="125" w:name="_Toc246996920"/>
      <w:bookmarkStart w:id="126" w:name="_Toc489197809"/>
      <w:bookmarkStart w:id="127" w:name="_Toc179632548"/>
      <w:bookmarkStart w:id="128" w:name="_Toc152045531"/>
      <w:r>
        <w:rPr>
          <w:rFonts w:hint="eastAsia" w:ascii="宋体" w:hAnsi="宋体" w:cs="宋体"/>
          <w:color w:val="auto"/>
          <w:szCs w:val="24"/>
          <w:highlight w:val="none"/>
        </w:rPr>
        <w:t>2. 资金来源</w:t>
      </w:r>
      <w:bookmarkEnd w:id="117"/>
      <w:bookmarkEnd w:id="118"/>
      <w:bookmarkEnd w:id="119"/>
      <w:bookmarkEnd w:id="120"/>
      <w:bookmarkEnd w:id="121"/>
      <w:bookmarkEnd w:id="122"/>
      <w:bookmarkEnd w:id="123"/>
      <w:bookmarkEnd w:id="124"/>
      <w:bookmarkEnd w:id="125"/>
      <w:bookmarkEnd w:id="126"/>
      <w:bookmarkEnd w:id="127"/>
      <w:bookmarkEnd w:id="128"/>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2.1资金来源：详见《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bookmarkStart w:id="129" w:name="_Toc152042308"/>
      <w:bookmarkStart w:id="130" w:name="_Toc296602423"/>
      <w:bookmarkStart w:id="131" w:name="_Toc246996178"/>
      <w:bookmarkStart w:id="132" w:name="_Toc152045532"/>
      <w:bookmarkStart w:id="133" w:name="_Toc179632549"/>
      <w:bookmarkStart w:id="134" w:name="_Toc246996921"/>
      <w:bookmarkStart w:id="135" w:name="_Toc144974500"/>
      <w:bookmarkStart w:id="136" w:name="_Toc247085692"/>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2.2预算金额：详见《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p>
    <w:p>
      <w:pPr>
        <w:pStyle w:val="5"/>
        <w:spacing w:before="0" w:after="0" w:line="440" w:lineRule="exact"/>
        <w:ind w:firstLine="0"/>
        <w:rPr>
          <w:rFonts w:hint="eastAsia" w:ascii="宋体" w:hAnsi="宋体" w:cs="宋体"/>
          <w:color w:val="auto"/>
          <w:szCs w:val="24"/>
          <w:highlight w:val="none"/>
        </w:rPr>
      </w:pPr>
      <w:bookmarkStart w:id="137" w:name="_Toc26019"/>
      <w:bookmarkStart w:id="138" w:name="_Toc489145706"/>
      <w:bookmarkStart w:id="139" w:name="_Toc19708"/>
      <w:bookmarkStart w:id="140" w:name="_Toc489197810"/>
      <w:r>
        <w:rPr>
          <w:rFonts w:hint="eastAsia" w:ascii="宋体" w:hAnsi="宋体" w:cs="宋体"/>
          <w:color w:val="auto"/>
          <w:szCs w:val="24"/>
          <w:highlight w:val="none"/>
        </w:rPr>
        <w:t>3.</w:t>
      </w:r>
      <w:bookmarkEnd w:id="129"/>
      <w:bookmarkEnd w:id="130"/>
      <w:bookmarkEnd w:id="131"/>
      <w:bookmarkEnd w:id="132"/>
      <w:bookmarkEnd w:id="133"/>
      <w:bookmarkEnd w:id="134"/>
      <w:bookmarkEnd w:id="135"/>
      <w:bookmarkEnd w:id="136"/>
      <w:bookmarkStart w:id="141" w:name="_Toc427056529"/>
      <w:bookmarkStart w:id="142" w:name="_Toc421541057"/>
      <w:bookmarkStart w:id="143" w:name="_Toc427056451"/>
      <w:r>
        <w:rPr>
          <w:rFonts w:hint="eastAsia" w:ascii="宋体" w:hAnsi="宋体" w:cs="宋体"/>
          <w:color w:val="auto"/>
          <w:szCs w:val="24"/>
          <w:highlight w:val="none"/>
        </w:rPr>
        <w:t xml:space="preserve"> 采购范围及履行期限、交货地点</w:t>
      </w:r>
      <w:bookmarkEnd w:id="137"/>
      <w:bookmarkEnd w:id="138"/>
      <w:bookmarkEnd w:id="139"/>
      <w:bookmarkEnd w:id="140"/>
      <w:bookmarkEnd w:id="141"/>
      <w:bookmarkEnd w:id="142"/>
      <w:bookmarkEnd w:id="143"/>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3.1本项目采购范围：详见《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3.2本项目履行期限、交货地点：详见《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p>
    <w:p>
      <w:pPr>
        <w:pStyle w:val="5"/>
        <w:spacing w:before="0" w:after="0" w:line="440" w:lineRule="exact"/>
        <w:ind w:firstLine="0"/>
        <w:rPr>
          <w:rFonts w:hint="eastAsia" w:ascii="宋体" w:hAnsi="宋体" w:cs="宋体"/>
          <w:color w:val="auto"/>
          <w:szCs w:val="24"/>
          <w:highlight w:val="none"/>
        </w:rPr>
      </w:pPr>
      <w:bookmarkStart w:id="144" w:name="_Toc28418"/>
      <w:bookmarkStart w:id="145" w:name="_Toc152045534"/>
      <w:bookmarkStart w:id="146" w:name="_Toc179632551"/>
      <w:bookmarkStart w:id="147" w:name="_Toc489197811"/>
      <w:bookmarkStart w:id="148" w:name="_Toc296602424"/>
      <w:bookmarkStart w:id="149" w:name="_Toc3225"/>
      <w:bookmarkStart w:id="150" w:name="_Toc152042310"/>
      <w:bookmarkStart w:id="151" w:name="_Toc144974502"/>
      <w:bookmarkStart w:id="152" w:name="_Toc489145707"/>
      <w:bookmarkStart w:id="153" w:name="_Toc246996922"/>
      <w:bookmarkStart w:id="154" w:name="_Toc246996179"/>
      <w:bookmarkStart w:id="155" w:name="_Toc247085693"/>
      <w:r>
        <w:rPr>
          <w:rFonts w:hint="eastAsia" w:ascii="宋体" w:hAnsi="宋体" w:cs="宋体"/>
          <w:bCs/>
          <w:color w:val="auto"/>
          <w:szCs w:val="24"/>
          <w:highlight w:val="none"/>
        </w:rPr>
        <w:t>★</w:t>
      </w:r>
      <w:r>
        <w:rPr>
          <w:rFonts w:hint="eastAsia" w:ascii="宋体" w:hAnsi="宋体" w:cs="宋体"/>
          <w:color w:val="auto"/>
          <w:szCs w:val="24"/>
          <w:highlight w:val="none"/>
        </w:rPr>
        <w:t xml:space="preserve">4. </w:t>
      </w:r>
      <w:r>
        <w:rPr>
          <w:rFonts w:hint="eastAsia" w:hAnsi="宋体" w:cs="宋体"/>
          <w:color w:val="auto"/>
          <w:szCs w:val="24"/>
          <w:highlight w:val="none"/>
          <w:lang w:eastAsia="zh-CN"/>
        </w:rPr>
        <w:t>供应商</w:t>
      </w:r>
      <w:r>
        <w:rPr>
          <w:rFonts w:hint="eastAsia" w:ascii="宋体" w:hAnsi="宋体" w:cs="宋体"/>
          <w:color w:val="auto"/>
          <w:szCs w:val="24"/>
          <w:highlight w:val="none"/>
        </w:rPr>
        <w:t>资格要求</w:t>
      </w:r>
      <w:bookmarkEnd w:id="144"/>
      <w:bookmarkEnd w:id="145"/>
      <w:bookmarkEnd w:id="146"/>
      <w:bookmarkEnd w:id="147"/>
      <w:bookmarkEnd w:id="148"/>
      <w:bookmarkEnd w:id="149"/>
      <w:bookmarkEnd w:id="150"/>
      <w:bookmarkEnd w:id="151"/>
      <w:bookmarkEnd w:id="152"/>
      <w:bookmarkEnd w:id="153"/>
      <w:bookmarkEnd w:id="154"/>
      <w:bookmarkEnd w:id="155"/>
    </w:p>
    <w:p>
      <w:pPr>
        <w:spacing w:line="360" w:lineRule="auto"/>
        <w:ind w:firstLine="420"/>
        <w:jc w:val="left"/>
        <w:rPr>
          <w:rFonts w:hint="eastAsia" w:ascii="宋体" w:hAnsi="宋体" w:cs="宋体"/>
          <w:color w:val="auto"/>
          <w:sz w:val="24"/>
          <w:szCs w:val="24"/>
          <w:highlight w:val="none"/>
        </w:rPr>
      </w:pPr>
      <w:bookmarkStart w:id="156" w:name="_Toc152042311"/>
      <w:bookmarkStart w:id="157" w:name="_Toc246996180"/>
      <w:bookmarkStart w:id="158" w:name="_Toc246996923"/>
      <w:bookmarkStart w:id="159" w:name="_Toc296602425"/>
      <w:bookmarkStart w:id="160" w:name="_Toc247085694"/>
      <w:bookmarkStart w:id="161" w:name="_Toc144974503"/>
      <w:bookmarkStart w:id="162" w:name="_Toc152045535"/>
      <w:bookmarkStart w:id="163" w:name="_Toc179632552"/>
      <w:r>
        <w:rPr>
          <w:rFonts w:hint="eastAsia" w:ascii="宋体" w:hAnsi="宋体" w:cs="宋体"/>
          <w:color w:val="auto"/>
          <w:sz w:val="24"/>
          <w:szCs w:val="24"/>
          <w:highlight w:val="none"/>
        </w:rPr>
        <w:t>4.1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资格要求：详见《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4.2落实政府采购政策需满足的资格要求：详见《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4.3采购人根据采购项目的特殊要求规定的特定条件：详见《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4.4是否接受联合体参加：详见《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4.5如</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为满足</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资格要求提供虚假材料，一经查实，视为未实质性响应招标文件，</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投标文件将按无效处理。</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4.6单位负责人为同一人或者存在直接控股、管理关系的不同</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，不得参加同一合同项下的政府采购活动。</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4.7</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不得直接或间接</w:t>
      </w:r>
      <w:r>
        <w:rPr>
          <w:rFonts w:hint="eastAsia" w:ascii="宋体" w:hAnsi="宋体" w:cs="宋体"/>
          <w:color w:val="auto"/>
          <w:sz w:val="24"/>
          <w:szCs w:val="24"/>
          <w:highlight w:val="none"/>
          <w:lang w:eastAsia="zh-CN"/>
        </w:rPr>
        <w:t>地</w:t>
      </w:r>
      <w:r>
        <w:rPr>
          <w:rFonts w:hint="eastAsia" w:ascii="宋体" w:hAnsi="宋体" w:cs="宋体"/>
          <w:color w:val="auto"/>
          <w:sz w:val="24"/>
          <w:szCs w:val="24"/>
          <w:highlight w:val="none"/>
        </w:rPr>
        <w:t>为采购项目提供整体设计、规范编制和项目管理、监理、检测等服务，不得与采购人、采购代理机构或其附属机构有任何关联。</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符合上述条件的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应承担投标及履约中应承担的全部责任与义务。</w:t>
      </w:r>
    </w:p>
    <w:p>
      <w:pPr>
        <w:pStyle w:val="5"/>
        <w:spacing w:before="0" w:after="0" w:line="440" w:lineRule="exact"/>
        <w:ind w:firstLine="0"/>
        <w:rPr>
          <w:rFonts w:hint="eastAsia" w:ascii="宋体" w:hAnsi="宋体" w:cs="宋体"/>
          <w:color w:val="auto"/>
          <w:szCs w:val="24"/>
          <w:highlight w:val="none"/>
        </w:rPr>
      </w:pPr>
      <w:bookmarkStart w:id="164" w:name="_Toc489197812"/>
      <w:bookmarkStart w:id="165" w:name="_Toc29363"/>
      <w:bookmarkStart w:id="166" w:name="_Toc489145708"/>
      <w:bookmarkStart w:id="167" w:name="_Toc9321"/>
      <w:r>
        <w:rPr>
          <w:rFonts w:hint="eastAsia" w:ascii="宋体" w:hAnsi="宋体" w:cs="宋体"/>
          <w:color w:val="auto"/>
          <w:szCs w:val="24"/>
          <w:highlight w:val="none"/>
        </w:rPr>
        <w:t>5. 费用承担</w:t>
      </w:r>
      <w:bookmarkEnd w:id="156"/>
      <w:bookmarkEnd w:id="157"/>
      <w:bookmarkEnd w:id="158"/>
      <w:bookmarkEnd w:id="159"/>
      <w:bookmarkEnd w:id="160"/>
      <w:bookmarkEnd w:id="161"/>
      <w:bookmarkEnd w:id="162"/>
      <w:bookmarkEnd w:id="163"/>
      <w:bookmarkEnd w:id="164"/>
      <w:bookmarkEnd w:id="165"/>
      <w:bookmarkEnd w:id="166"/>
      <w:bookmarkEnd w:id="167"/>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5.1不论投标结果如何，</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均应自行承担所有与准备和参加投标活动有关的全部费用，包括但不限于：代理费等；</w:t>
      </w:r>
    </w:p>
    <w:p>
      <w:pPr>
        <w:pStyle w:val="5"/>
        <w:spacing w:before="0" w:after="0" w:line="440" w:lineRule="exact"/>
        <w:ind w:firstLine="0"/>
        <w:rPr>
          <w:rFonts w:hint="eastAsia" w:ascii="宋体" w:hAnsi="宋体" w:cs="宋体"/>
          <w:color w:val="auto"/>
          <w:szCs w:val="24"/>
          <w:highlight w:val="none"/>
        </w:rPr>
      </w:pPr>
      <w:bookmarkStart w:id="168" w:name="_Toc489145709"/>
      <w:bookmarkStart w:id="169" w:name="_Toc489197813"/>
      <w:bookmarkStart w:id="170" w:name="_Toc12451"/>
      <w:bookmarkStart w:id="171" w:name="_Toc27632"/>
      <w:r>
        <w:rPr>
          <w:rFonts w:hint="eastAsia" w:ascii="宋体" w:hAnsi="宋体" w:cs="宋体"/>
          <w:color w:val="auto"/>
          <w:szCs w:val="24"/>
          <w:highlight w:val="none"/>
        </w:rPr>
        <w:t>6. 现场考察</w:t>
      </w:r>
      <w:bookmarkEnd w:id="168"/>
      <w:bookmarkEnd w:id="169"/>
      <w:bookmarkEnd w:id="170"/>
      <w:bookmarkEnd w:id="171"/>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 </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须知前附表规定组织现场考察的，采购人按《</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须知前附表》规定的时间、集中地点组织潜在</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 xml:space="preserve">进行现场考察。 </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6.2现场考察所发生的费用由潜在</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自理。</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6.3 除采购人的原因外，潜在</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自行负责在现场考察中所发生的人员伤亡和财产损失。</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6.4 采购人在现场考察中介绍的项目场地和相关的周边环境情况，供潜在</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在编制投标文件时参考，采购人不对潜在</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据此作出的判断和决策负责。</w:t>
      </w:r>
    </w:p>
    <w:p>
      <w:pPr>
        <w:pStyle w:val="5"/>
        <w:spacing w:before="0" w:after="0" w:line="440" w:lineRule="exact"/>
        <w:ind w:firstLine="0"/>
        <w:rPr>
          <w:rFonts w:hint="eastAsia" w:ascii="宋体" w:hAnsi="宋体" w:cs="宋体"/>
          <w:color w:val="auto"/>
          <w:szCs w:val="24"/>
          <w:highlight w:val="none"/>
        </w:rPr>
      </w:pPr>
      <w:bookmarkStart w:id="172" w:name="_Toc28579"/>
      <w:bookmarkStart w:id="173" w:name="_Toc489145710"/>
      <w:bookmarkStart w:id="174" w:name="_Toc25213"/>
      <w:bookmarkStart w:id="175" w:name="_Toc489197814"/>
      <w:r>
        <w:rPr>
          <w:rFonts w:hint="eastAsia" w:ascii="宋体" w:hAnsi="宋体" w:cs="宋体"/>
          <w:color w:val="auto"/>
          <w:szCs w:val="24"/>
          <w:highlight w:val="none"/>
        </w:rPr>
        <w:t>7. 开标前答疑会</w:t>
      </w:r>
      <w:bookmarkEnd w:id="172"/>
      <w:bookmarkEnd w:id="173"/>
      <w:bookmarkEnd w:id="174"/>
      <w:bookmarkEnd w:id="175"/>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须知前附表规定召开开标前答疑会的，采购人按《</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须知前附表》规定的时间和地点召开开标前答疑会，书面澄清潜在</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提出的问题。</w:t>
      </w:r>
    </w:p>
    <w:p>
      <w:pPr>
        <w:pStyle w:val="5"/>
        <w:spacing w:before="0" w:after="0" w:line="440" w:lineRule="exact"/>
        <w:ind w:firstLine="0"/>
        <w:rPr>
          <w:rFonts w:hint="eastAsia" w:ascii="宋体" w:hAnsi="宋体" w:cs="宋体"/>
          <w:color w:val="auto"/>
          <w:szCs w:val="24"/>
          <w:highlight w:val="none"/>
        </w:rPr>
      </w:pPr>
      <w:bookmarkStart w:id="176" w:name="_Toc34"/>
      <w:bookmarkStart w:id="177" w:name="_Toc30176"/>
      <w:bookmarkStart w:id="178" w:name="_Toc489197815"/>
      <w:bookmarkStart w:id="179" w:name="_Toc489145711"/>
      <w:r>
        <w:rPr>
          <w:rFonts w:hint="eastAsia" w:ascii="宋体" w:hAnsi="宋体" w:cs="宋体"/>
          <w:color w:val="auto"/>
          <w:szCs w:val="24"/>
          <w:highlight w:val="none"/>
        </w:rPr>
        <w:t>8.质疑</w:t>
      </w:r>
      <w:bookmarkEnd w:id="176"/>
      <w:bookmarkEnd w:id="177"/>
      <w:bookmarkEnd w:id="178"/>
      <w:bookmarkEnd w:id="179"/>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8.1供应商认为招标文件、采购过程、中标结果使自己的权益受到损害的，可以在知道或者应知其权益受到损害之日起7个工作日内，</w:t>
      </w:r>
      <w:r>
        <w:rPr>
          <w:rFonts w:hint="eastAsia" w:ascii="宋体" w:hAnsi="宋体" w:eastAsia="宋体" w:cs="宋体"/>
          <w:b/>
          <w:bCs/>
          <w:color w:val="auto"/>
          <w:sz w:val="24"/>
          <w:szCs w:val="24"/>
          <w:highlight w:val="none"/>
        </w:rPr>
        <w:t>以书面形式一次性向采购人、采购代理机构提出质疑</w:t>
      </w:r>
      <w:r>
        <w:rPr>
          <w:rFonts w:hint="eastAsia" w:ascii="宋体" w:hAnsi="宋体" w:cs="宋体"/>
          <w:color w:val="auto"/>
          <w:sz w:val="24"/>
          <w:szCs w:val="24"/>
          <w:highlight w:val="none"/>
        </w:rPr>
        <w:t>。供应商应在法定质疑期内一次性提出针对同一采购程序环节的质疑，否则采购人、采购代理机构有权拒收。</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8.2招标文件第二章《</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须知》8.1条中”知道或者应知其权益受到损害之日”是指：</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（一）对可以质疑的采购文件提出质疑的，为收到采购文件之日或者采购文件公告期限届满之日；</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（二）对采购过程提出质疑的，为各采购程序环节结束之日；</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（三）对中标或者成交结果提出质疑的，为中标或者成交结果公告期限届满之日。</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8.3</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可以委托代理人进行质疑。其授权委托书应当载明代理人的姓名或者名称、代理事项、具体权限、期限和相关事项。</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为自然人的，应当由本人签字；</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为法人或者其他组织的，应当由法定代表人（负责人）、主要负责人签字或者盖章，并加盖公章。代理人提出质疑，应当提交供应商签署的授权委托书。</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提出质疑的供应商应当是参与所质疑项目采购活动的供应商。</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8.4</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提出质疑应符合《政府采购质疑和投诉办法》（中华人民共和国财政部令第94号）和财政部《政府采购供应商质疑函范本》的规定。</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提出质疑应当提交质疑函和必要的证明材料。质疑函应当包括下列内容：</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（一）供应商的姓名或者名称、地址、邮编、联系人及联系电话；</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（二）质疑项目的名称、编号；</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（三）具体、明确的质疑事项和与质疑事项相关的请求；</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（四）事实依据；</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（五）必要的法律依据；</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（六）提出质疑的日期。</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为自然人的，应当由本人签字；</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为法人或者其他组织的，应当由法定代表人（负责人）、主要负责人，或者其授权代表签字或者盖章，并加盖公章。</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8.5</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不得捏造事实、提供虚假材料或者以非法手段取得证明材料。</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8.6质疑函应当使用中文。相关当事人提供外文书证或者外国语视听资料的，应当附有中文译本，由翻译机构盖章或者翻译人员签名。</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8.7采购人、采购代理机构将在收到</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质疑函后七个工作日内作出答复，但质疑答复的内容不涉及商业秘密。</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8.8</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对评审过程、中标结果提出质疑的，采购人、采购代理机构可以组织原评标委员会协助答复质疑。质疑答复导致中标结果改变的，采购人或者采购代理机构会将有关情况书面报告本级财政部门。</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8.9接收质疑函的方式：书面方式；接收质疑函的部门：云南辰柯工程项目管理有限公司；联系人、联系电话：梅工 13608853412；通讯地址：云南省昆明市官渡区关上街道云南城投大厦A座6-B、6-D室。</w:t>
      </w:r>
    </w:p>
    <w:p>
      <w:pPr>
        <w:pStyle w:val="5"/>
        <w:spacing w:before="0" w:after="0" w:line="440" w:lineRule="exact"/>
        <w:ind w:firstLine="0"/>
        <w:rPr>
          <w:rFonts w:hint="eastAsia" w:ascii="宋体" w:hAnsi="宋体" w:cs="宋体"/>
          <w:color w:val="auto"/>
          <w:szCs w:val="24"/>
          <w:highlight w:val="none"/>
        </w:rPr>
      </w:pPr>
      <w:bookmarkStart w:id="180" w:name="_Toc489145712"/>
      <w:bookmarkStart w:id="181" w:name="_Toc489197816"/>
      <w:bookmarkStart w:id="182" w:name="_Toc15501"/>
      <w:bookmarkStart w:id="183" w:name="_Toc15635"/>
      <w:r>
        <w:rPr>
          <w:rFonts w:hint="eastAsia" w:ascii="宋体" w:hAnsi="宋体" w:cs="宋体"/>
          <w:color w:val="auto"/>
          <w:szCs w:val="24"/>
          <w:highlight w:val="none"/>
        </w:rPr>
        <w:t>9.投诉</w:t>
      </w:r>
      <w:bookmarkEnd w:id="180"/>
      <w:bookmarkEnd w:id="181"/>
      <w:bookmarkEnd w:id="182"/>
      <w:bookmarkEnd w:id="183"/>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9.1投诉必须首先经过质疑程序。质疑供应商对采购人、采购代理机构的答复不满意，或者采购人、采购代理机构未在规定时间内作出答复的，可以在答复期满后十五个工作日内书面向财政部门提起投诉。</w:t>
      </w:r>
    </w:p>
    <w:p>
      <w:pPr>
        <w:pStyle w:val="3"/>
        <w:spacing w:before="0" w:line="440" w:lineRule="exact"/>
        <w:jc w:val="center"/>
        <w:rPr>
          <w:rFonts w:hint="eastAsia" w:ascii="宋体" w:hAnsi="宋体" w:cs="宋体"/>
          <w:color w:val="auto"/>
          <w:sz w:val="24"/>
          <w:szCs w:val="24"/>
          <w:highlight w:val="none"/>
        </w:rPr>
      </w:pPr>
      <w:bookmarkStart w:id="184" w:name="_Toc401342135"/>
      <w:bookmarkStart w:id="185" w:name="_Toc3492"/>
      <w:bookmarkStart w:id="186" w:name="_Toc489145713"/>
      <w:bookmarkStart w:id="187" w:name="_Toc4016"/>
      <w:bookmarkStart w:id="188" w:name="_Toc296602432"/>
      <w:bookmarkStart w:id="189" w:name="_Toc378239171"/>
      <w:bookmarkStart w:id="190" w:name="_Toc246996930"/>
      <w:bookmarkStart w:id="191" w:name="_Toc247085701"/>
      <w:bookmarkStart w:id="192" w:name="_Toc152045542"/>
      <w:bookmarkStart w:id="193" w:name="_Toc179632560"/>
      <w:bookmarkStart w:id="194" w:name="_Toc378239079"/>
      <w:bookmarkStart w:id="195" w:name="_Toc246996187"/>
      <w:bookmarkStart w:id="196" w:name="_Toc488633605"/>
      <w:bookmarkStart w:id="197" w:name="_Toc480817644"/>
      <w:bookmarkStart w:id="198" w:name="_Toc17348"/>
      <w:bookmarkStart w:id="199" w:name="_Toc11990"/>
      <w:bookmarkStart w:id="200" w:name="_Toc15239"/>
      <w:bookmarkStart w:id="201" w:name="_Toc152042318"/>
      <w:bookmarkStart w:id="202" w:name="_Toc489197817"/>
      <w:bookmarkStart w:id="203" w:name="_Toc144974510"/>
      <w:bookmarkStart w:id="204" w:name="_Toc378239352"/>
      <w:r>
        <w:rPr>
          <w:rFonts w:hint="eastAsia" w:ascii="宋体" w:hAnsi="宋体" w:cs="宋体"/>
          <w:color w:val="auto"/>
          <w:sz w:val="24"/>
          <w:szCs w:val="24"/>
          <w:highlight w:val="none"/>
        </w:rPr>
        <w:t>二、招标文件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pPr>
        <w:pStyle w:val="5"/>
        <w:spacing w:before="0" w:after="0" w:line="440" w:lineRule="exact"/>
        <w:ind w:firstLine="0"/>
        <w:rPr>
          <w:rFonts w:hint="eastAsia" w:ascii="宋体" w:hAnsi="宋体" w:cs="宋体"/>
          <w:color w:val="auto"/>
          <w:szCs w:val="24"/>
          <w:highlight w:val="none"/>
        </w:rPr>
      </w:pPr>
      <w:bookmarkStart w:id="205" w:name="_Toc489197818"/>
      <w:bookmarkStart w:id="206" w:name="_Toc489145714"/>
      <w:bookmarkStart w:id="207" w:name="_Toc144974511"/>
      <w:bookmarkStart w:id="208" w:name="_Toc246996188"/>
      <w:bookmarkStart w:id="209" w:name="_Toc296602433"/>
      <w:bookmarkStart w:id="210" w:name="_Toc179632561"/>
      <w:bookmarkStart w:id="211" w:name="_Toc247085702"/>
      <w:bookmarkStart w:id="212" w:name="_Toc152045543"/>
      <w:bookmarkStart w:id="213" w:name="_Toc246996931"/>
      <w:bookmarkStart w:id="214" w:name="_Toc152042319"/>
      <w:bookmarkStart w:id="215" w:name="_Toc28971"/>
      <w:bookmarkStart w:id="216" w:name="_Toc26647"/>
      <w:bookmarkStart w:id="217" w:name="_Toc24874"/>
      <w:r>
        <w:rPr>
          <w:rFonts w:hint="eastAsia" w:ascii="宋体" w:hAnsi="宋体" w:cs="宋体"/>
          <w:color w:val="auto"/>
          <w:szCs w:val="24"/>
          <w:highlight w:val="none"/>
        </w:rPr>
        <w:t>10.</w:t>
      </w:r>
      <w:bookmarkEnd w:id="205"/>
      <w:bookmarkEnd w:id="206"/>
      <w:r>
        <w:rPr>
          <w:rFonts w:hint="eastAsia" w:ascii="宋体" w:hAnsi="宋体" w:cs="宋体"/>
          <w:color w:val="auto"/>
          <w:szCs w:val="24"/>
          <w:highlight w:val="none"/>
        </w:rPr>
        <w:t xml:space="preserve"> </w:t>
      </w:r>
      <w:bookmarkEnd w:id="207"/>
      <w:bookmarkEnd w:id="208"/>
      <w:bookmarkEnd w:id="209"/>
      <w:bookmarkEnd w:id="210"/>
      <w:bookmarkEnd w:id="211"/>
      <w:bookmarkEnd w:id="212"/>
      <w:bookmarkEnd w:id="213"/>
      <w:bookmarkEnd w:id="214"/>
      <w:bookmarkStart w:id="218" w:name="_Toc489145715"/>
      <w:bookmarkStart w:id="219" w:name="_Toc489197819"/>
      <w:r>
        <w:rPr>
          <w:rFonts w:hint="eastAsia" w:ascii="宋体" w:hAnsi="宋体" w:cs="宋体"/>
          <w:color w:val="auto"/>
          <w:szCs w:val="24"/>
          <w:highlight w:val="none"/>
        </w:rPr>
        <w:t>招标文件的组成</w:t>
      </w:r>
      <w:bookmarkEnd w:id="215"/>
      <w:bookmarkEnd w:id="216"/>
      <w:bookmarkEnd w:id="217"/>
      <w:bookmarkEnd w:id="218"/>
      <w:bookmarkEnd w:id="219"/>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10.1采购人要求提供的</w:t>
      </w:r>
      <w:r>
        <w:rPr>
          <w:rFonts w:hint="eastAsia" w:ascii="宋体" w:hAnsi="宋体" w:cs="宋体"/>
          <w:color w:val="auto"/>
          <w:kern w:val="0"/>
          <w:sz w:val="24"/>
          <w:szCs w:val="24"/>
          <w:highlight w:val="none"/>
        </w:rPr>
        <w:t>货物、工程或者服务、</w:t>
      </w:r>
      <w:r>
        <w:rPr>
          <w:rFonts w:hint="eastAsia" w:ascii="宋体" w:hAnsi="宋体" w:cs="宋体"/>
          <w:color w:val="auto"/>
          <w:sz w:val="24"/>
          <w:szCs w:val="24"/>
          <w:highlight w:val="none"/>
        </w:rPr>
        <w:t>采购过程及合同条款在招标文件中均有说明，招标文件共六章，各章的内容如下：</w:t>
      </w:r>
    </w:p>
    <w:p>
      <w:pPr>
        <w:spacing w:line="360" w:lineRule="auto"/>
        <w:ind w:left="50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第一章  招标公告</w:t>
      </w:r>
    </w:p>
    <w:p>
      <w:pPr>
        <w:spacing w:line="360" w:lineRule="auto"/>
        <w:ind w:left="50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第二章  </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w:t>
      </w:r>
    </w:p>
    <w:p>
      <w:pPr>
        <w:spacing w:line="360" w:lineRule="auto"/>
        <w:ind w:left="50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第三章  合同书样式及主要条款</w:t>
      </w:r>
    </w:p>
    <w:p>
      <w:pPr>
        <w:spacing w:line="360" w:lineRule="auto"/>
        <w:ind w:left="50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第四章  投标文件格式</w:t>
      </w:r>
    </w:p>
    <w:p>
      <w:pPr>
        <w:spacing w:line="360" w:lineRule="auto"/>
        <w:ind w:left="502"/>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第五章  采购</w:t>
      </w:r>
      <w:r>
        <w:rPr>
          <w:rFonts w:hint="eastAsia" w:ascii="宋体" w:hAnsi="宋体" w:cs="宋体"/>
          <w:color w:val="auto"/>
          <w:sz w:val="24"/>
          <w:szCs w:val="24"/>
          <w:highlight w:val="none"/>
          <w:lang w:val="en-US" w:eastAsia="zh-CN"/>
        </w:rPr>
        <w:t>需求</w:t>
      </w:r>
    </w:p>
    <w:p>
      <w:pPr>
        <w:spacing w:line="360" w:lineRule="auto"/>
        <w:ind w:left="50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第六章  评标办法（综合评分法）</w:t>
      </w:r>
    </w:p>
    <w:p>
      <w:pPr>
        <w:pStyle w:val="5"/>
        <w:spacing w:before="0" w:after="0" w:line="440" w:lineRule="exact"/>
        <w:ind w:firstLine="0"/>
        <w:rPr>
          <w:rFonts w:hint="eastAsia" w:ascii="宋体" w:hAnsi="宋体" w:cs="宋体"/>
          <w:color w:val="auto"/>
          <w:szCs w:val="24"/>
          <w:highlight w:val="none"/>
        </w:rPr>
      </w:pPr>
      <w:bookmarkStart w:id="220" w:name="_Toc489197820"/>
      <w:bookmarkStart w:id="221" w:name="_Toc7034"/>
      <w:bookmarkStart w:id="222" w:name="_Toc296602434"/>
      <w:bookmarkStart w:id="223" w:name="_Toc246996932"/>
      <w:bookmarkStart w:id="224" w:name="_Toc246996189"/>
      <w:bookmarkStart w:id="225" w:name="_Toc23110"/>
      <w:bookmarkStart w:id="226" w:name="_Toc152045544"/>
      <w:bookmarkStart w:id="227" w:name="_Toc144974512"/>
      <w:bookmarkStart w:id="228" w:name="_Toc152042320"/>
      <w:bookmarkStart w:id="229" w:name="_Toc21346"/>
      <w:bookmarkStart w:id="230" w:name="_Toc179632562"/>
      <w:bookmarkStart w:id="231" w:name="_Toc247085703"/>
      <w:bookmarkStart w:id="232" w:name="_Toc489145716"/>
      <w:r>
        <w:rPr>
          <w:rFonts w:hint="eastAsia" w:ascii="宋体" w:hAnsi="宋体" w:cs="宋体"/>
          <w:color w:val="auto"/>
          <w:szCs w:val="24"/>
          <w:highlight w:val="none"/>
        </w:rPr>
        <w:t>11. 招标文件的询问、澄清、修改</w:t>
      </w:r>
      <w:bookmarkEnd w:id="220"/>
      <w:bookmarkEnd w:id="221"/>
      <w:bookmarkEnd w:id="222"/>
      <w:bookmarkEnd w:id="223"/>
      <w:bookmarkEnd w:id="224"/>
      <w:bookmarkEnd w:id="225"/>
      <w:bookmarkEnd w:id="226"/>
      <w:bookmarkEnd w:id="227"/>
      <w:bookmarkEnd w:id="228"/>
      <w:bookmarkEnd w:id="229"/>
      <w:bookmarkEnd w:id="230"/>
      <w:bookmarkEnd w:id="231"/>
      <w:bookmarkEnd w:id="232"/>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11.1</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应认真核查招标文件，如有疑问的，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可以在投标截止时间前，凭企业数字证书（CA）登录“政采云”平台，以在线形式要求采购代理机构澄清，截止时间后送达的澄清要求概不接受。</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采购人、采购代理机构可以对已发出的招标文件进行必要的澄清或者修改，澄清或者修改的内容作为招标文件的组成部分。采购人、采购代理机构将同时发布澄清、修改文件进行说明以保证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，不足15日的，采购人或者采购代理机构将顺延提交投标文件的截止时间。</w:t>
      </w:r>
    </w:p>
    <w:p>
      <w:pPr>
        <w:pStyle w:val="3"/>
        <w:spacing w:before="0" w:line="440" w:lineRule="exact"/>
        <w:jc w:val="center"/>
        <w:rPr>
          <w:rFonts w:hint="eastAsia" w:ascii="宋体" w:hAnsi="宋体" w:cs="宋体"/>
          <w:color w:val="auto"/>
          <w:sz w:val="28"/>
          <w:szCs w:val="28"/>
          <w:highlight w:val="none"/>
        </w:rPr>
      </w:pPr>
      <w:bookmarkStart w:id="233" w:name="_Toc152045546"/>
      <w:bookmarkStart w:id="234" w:name="_Toc489145717"/>
      <w:bookmarkStart w:id="235" w:name="_Toc378239172"/>
      <w:bookmarkStart w:id="236" w:name="_Toc401342136"/>
      <w:bookmarkStart w:id="237" w:name="_Toc144974514"/>
      <w:bookmarkStart w:id="238" w:name="_Toc179632564"/>
      <w:bookmarkStart w:id="239" w:name="_Toc489197821"/>
      <w:bookmarkStart w:id="240" w:name="_Toc2518"/>
      <w:bookmarkStart w:id="241" w:name="_Toc488633606"/>
      <w:bookmarkStart w:id="242" w:name="_Toc10991"/>
      <w:bookmarkStart w:id="243" w:name="_Toc296602436"/>
      <w:bookmarkStart w:id="244" w:name="_Toc480817645"/>
      <w:bookmarkStart w:id="245" w:name="_Toc152042322"/>
      <w:bookmarkStart w:id="246" w:name="_Toc246996191"/>
      <w:bookmarkStart w:id="247" w:name="_Toc17484"/>
      <w:bookmarkStart w:id="248" w:name="_Toc29509"/>
      <w:bookmarkStart w:id="249" w:name="_Toc378239080"/>
      <w:bookmarkStart w:id="250" w:name="_Toc378239353"/>
      <w:bookmarkStart w:id="251" w:name="_Toc246996934"/>
      <w:bookmarkStart w:id="252" w:name="_Toc247085705"/>
      <w:bookmarkStart w:id="253" w:name="_Toc13890"/>
      <w:r>
        <w:rPr>
          <w:rFonts w:hint="eastAsia" w:ascii="宋体" w:hAnsi="宋体" w:cs="宋体"/>
          <w:color w:val="auto"/>
          <w:sz w:val="28"/>
          <w:szCs w:val="28"/>
          <w:highlight w:val="none"/>
        </w:rPr>
        <w:t>三、投标文件</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pPr>
        <w:pStyle w:val="5"/>
        <w:spacing w:line="440" w:lineRule="exact"/>
        <w:ind w:firstLine="0"/>
        <w:rPr>
          <w:rFonts w:hint="eastAsia" w:ascii="宋体" w:hAnsi="宋体" w:cs="宋体"/>
          <w:color w:val="auto"/>
          <w:szCs w:val="24"/>
          <w:highlight w:val="none"/>
        </w:rPr>
      </w:pPr>
      <w:bookmarkStart w:id="254" w:name="_Toc30796"/>
      <w:bookmarkStart w:id="255" w:name="_Toc2280"/>
      <w:bookmarkStart w:id="256" w:name="_Toc489197822"/>
      <w:bookmarkStart w:id="257" w:name="_Toc19203"/>
      <w:bookmarkStart w:id="258" w:name="_Toc489145718"/>
      <w:r>
        <w:rPr>
          <w:rFonts w:hint="eastAsia" w:ascii="宋体" w:hAnsi="宋体" w:cs="宋体"/>
          <w:color w:val="auto"/>
          <w:szCs w:val="24"/>
          <w:highlight w:val="none"/>
        </w:rPr>
        <w:t>12. 投标文件编写注意事项</w:t>
      </w:r>
      <w:bookmarkEnd w:id="254"/>
      <w:bookmarkEnd w:id="255"/>
      <w:bookmarkEnd w:id="256"/>
      <w:bookmarkEnd w:id="257"/>
      <w:bookmarkEnd w:id="258"/>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 </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应仔细阅读招标文件，在完全了解采购内容、技术性能要求和商务条件后，根据招标文件要求编写投标文件。</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12.2 对招标文件提出的实质性要求和条件作出响应是指</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的投标文件必须对招标文件中规定的实质性要求和条件作出满足或者优于原要求和条件的承诺，并提供相应的证明材料。</w:t>
      </w:r>
    </w:p>
    <w:p>
      <w:pPr>
        <w:pStyle w:val="5"/>
        <w:spacing w:line="440" w:lineRule="exact"/>
        <w:ind w:firstLine="0"/>
        <w:rPr>
          <w:rFonts w:hint="eastAsia" w:ascii="宋体" w:hAnsi="宋体" w:cs="宋体"/>
          <w:color w:val="auto"/>
          <w:szCs w:val="24"/>
          <w:highlight w:val="none"/>
        </w:rPr>
      </w:pPr>
      <w:bookmarkStart w:id="259" w:name="_Toc1822"/>
      <w:bookmarkStart w:id="260" w:name="_Toc19335"/>
      <w:bookmarkStart w:id="261" w:name="_Toc489197823"/>
      <w:bookmarkStart w:id="262" w:name="_Toc10077"/>
      <w:bookmarkStart w:id="263" w:name="_Toc489145719"/>
      <w:r>
        <w:rPr>
          <w:rFonts w:hint="eastAsia" w:ascii="宋体" w:hAnsi="宋体" w:cs="宋体"/>
          <w:color w:val="auto"/>
          <w:szCs w:val="24"/>
          <w:highlight w:val="none"/>
        </w:rPr>
        <w:t>13. 语言文字</w:t>
      </w:r>
      <w:bookmarkEnd w:id="259"/>
      <w:bookmarkEnd w:id="260"/>
      <w:bookmarkEnd w:id="261"/>
      <w:bookmarkEnd w:id="262"/>
      <w:bookmarkEnd w:id="263"/>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13.1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的投标文件以及</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与采购代理机构就有关投标的所有来往函电统一使用中文（特别规定除外）。</w:t>
      </w:r>
    </w:p>
    <w:p>
      <w:pPr>
        <w:pStyle w:val="5"/>
        <w:spacing w:line="440" w:lineRule="exact"/>
        <w:ind w:firstLine="0"/>
        <w:rPr>
          <w:rFonts w:hint="eastAsia" w:ascii="宋体" w:hAnsi="宋体" w:cs="宋体"/>
          <w:color w:val="auto"/>
          <w:szCs w:val="24"/>
          <w:highlight w:val="none"/>
        </w:rPr>
      </w:pPr>
      <w:bookmarkStart w:id="264" w:name="_Toc489145720"/>
      <w:bookmarkStart w:id="265" w:name="_Toc489197824"/>
      <w:bookmarkStart w:id="266" w:name="_Toc881"/>
      <w:bookmarkStart w:id="267" w:name="_Toc27690"/>
      <w:bookmarkStart w:id="268" w:name="_Toc23313"/>
      <w:r>
        <w:rPr>
          <w:rFonts w:hint="eastAsia" w:ascii="宋体" w:hAnsi="宋体" w:cs="宋体"/>
          <w:color w:val="auto"/>
          <w:szCs w:val="24"/>
          <w:highlight w:val="none"/>
        </w:rPr>
        <w:t>14. 计量单位</w:t>
      </w:r>
      <w:bookmarkEnd w:id="264"/>
      <w:bookmarkEnd w:id="265"/>
      <w:bookmarkEnd w:id="266"/>
      <w:bookmarkEnd w:id="267"/>
      <w:bookmarkEnd w:id="268"/>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14.1投标文件中使用的计量单位除招标文件中有特殊规定外，一律使用中国法定计量单位。</w:t>
      </w:r>
    </w:p>
    <w:p>
      <w:pPr>
        <w:pStyle w:val="5"/>
        <w:spacing w:before="0" w:after="0" w:line="440" w:lineRule="exact"/>
        <w:ind w:firstLine="0"/>
        <w:rPr>
          <w:rFonts w:hint="eastAsia" w:ascii="宋体" w:hAnsi="宋体" w:cs="宋体"/>
          <w:color w:val="auto"/>
          <w:szCs w:val="24"/>
          <w:highlight w:val="none"/>
        </w:rPr>
      </w:pPr>
      <w:bookmarkStart w:id="269" w:name="_Toc247085706"/>
      <w:bookmarkStart w:id="270" w:name="_Toc152045547"/>
      <w:bookmarkStart w:id="271" w:name="_Toc9918"/>
      <w:bookmarkStart w:id="272" w:name="_Toc246996192"/>
      <w:bookmarkStart w:id="273" w:name="_Toc144974515"/>
      <w:bookmarkStart w:id="274" w:name="_Toc489145721"/>
      <w:bookmarkStart w:id="275" w:name="_Toc26671"/>
      <w:bookmarkStart w:id="276" w:name="_Toc296602437"/>
      <w:bookmarkStart w:id="277" w:name="_Toc179632565"/>
      <w:bookmarkStart w:id="278" w:name="_Toc152042323"/>
      <w:bookmarkStart w:id="279" w:name="_Toc23534"/>
      <w:bookmarkStart w:id="280" w:name="_Toc489197825"/>
      <w:bookmarkStart w:id="281" w:name="_Toc246996935"/>
      <w:r>
        <w:rPr>
          <w:rFonts w:hint="eastAsia" w:ascii="宋体" w:hAnsi="宋体" w:cs="宋体"/>
          <w:color w:val="auto"/>
          <w:szCs w:val="24"/>
          <w:highlight w:val="none"/>
        </w:rPr>
        <w:t>15. 投标文件的组成</w:t>
      </w:r>
      <w:bookmarkEnd w:id="269"/>
      <w:bookmarkEnd w:id="270"/>
      <w:bookmarkEnd w:id="271"/>
      <w:bookmarkEnd w:id="272"/>
      <w:bookmarkEnd w:id="273"/>
      <w:bookmarkEnd w:id="274"/>
      <w:bookmarkEnd w:id="275"/>
      <w:bookmarkEnd w:id="276"/>
      <w:bookmarkEnd w:id="277"/>
      <w:bookmarkEnd w:id="278"/>
      <w:bookmarkEnd w:id="279"/>
      <w:bookmarkEnd w:id="280"/>
      <w:bookmarkEnd w:id="281"/>
    </w:p>
    <w:p>
      <w:pPr>
        <w:spacing w:line="360" w:lineRule="auto"/>
        <w:ind w:left="50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15.1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编写的投标文件应由下列部分构成，并按第四章《投标文件格式》要求填写。</w:t>
      </w:r>
    </w:p>
    <w:p>
      <w:pPr>
        <w:spacing w:line="360" w:lineRule="auto"/>
        <w:ind w:left="50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15.1.1资格证明部分；</w:t>
      </w:r>
    </w:p>
    <w:p>
      <w:pPr>
        <w:spacing w:line="360" w:lineRule="auto"/>
        <w:ind w:left="50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15.1.2报价和商务部分；</w:t>
      </w:r>
    </w:p>
    <w:p>
      <w:pPr>
        <w:spacing w:line="360" w:lineRule="auto"/>
        <w:ind w:left="50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15.1.3技术部分；</w:t>
      </w:r>
    </w:p>
    <w:p>
      <w:pPr>
        <w:spacing w:line="360" w:lineRule="auto"/>
        <w:ind w:left="50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15.1.4构成投标文件的其他资料；</w:t>
      </w:r>
    </w:p>
    <w:p>
      <w:pPr>
        <w:pStyle w:val="5"/>
        <w:spacing w:before="0" w:after="0" w:line="440" w:lineRule="exact"/>
        <w:ind w:firstLine="0"/>
        <w:rPr>
          <w:rFonts w:hint="eastAsia" w:ascii="宋体" w:hAnsi="宋体" w:cs="宋体"/>
          <w:color w:val="auto"/>
          <w:szCs w:val="24"/>
          <w:highlight w:val="none"/>
        </w:rPr>
      </w:pPr>
      <w:bookmarkStart w:id="282" w:name="_Toc10590"/>
      <w:bookmarkStart w:id="283" w:name="_Toc13672"/>
      <w:bookmarkStart w:id="284" w:name="_Toc489145722"/>
      <w:bookmarkStart w:id="285" w:name="_Toc489197826"/>
      <w:bookmarkStart w:id="286" w:name="_Toc21523"/>
      <w:r>
        <w:rPr>
          <w:rFonts w:hint="eastAsia" w:ascii="宋体" w:hAnsi="宋体" w:cs="宋体"/>
          <w:bCs/>
          <w:color w:val="auto"/>
          <w:szCs w:val="24"/>
          <w:highlight w:val="none"/>
        </w:rPr>
        <w:t>★</w:t>
      </w:r>
      <w:r>
        <w:rPr>
          <w:rFonts w:hint="eastAsia" w:ascii="宋体" w:hAnsi="宋体" w:cs="宋体"/>
          <w:color w:val="auto"/>
          <w:szCs w:val="24"/>
          <w:highlight w:val="none"/>
        </w:rPr>
        <w:t>16. 投标文件的格式要求</w:t>
      </w:r>
      <w:bookmarkEnd w:id="282"/>
      <w:bookmarkEnd w:id="283"/>
      <w:bookmarkEnd w:id="284"/>
      <w:bookmarkEnd w:id="285"/>
      <w:bookmarkEnd w:id="286"/>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16.1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应按第四章《投标文件格式》提供的格式完整地填写，未按招标文件规定格式填写的投标文件按无效投标处理。</w:t>
      </w:r>
    </w:p>
    <w:p>
      <w:pPr>
        <w:pStyle w:val="5"/>
        <w:spacing w:before="0" w:after="0" w:line="440" w:lineRule="exact"/>
        <w:ind w:firstLine="0"/>
        <w:rPr>
          <w:rFonts w:hint="eastAsia" w:ascii="宋体" w:hAnsi="宋体" w:cs="宋体"/>
          <w:color w:val="auto"/>
          <w:szCs w:val="24"/>
          <w:highlight w:val="none"/>
        </w:rPr>
      </w:pPr>
      <w:bookmarkStart w:id="287" w:name="_Toc9510"/>
      <w:bookmarkStart w:id="288" w:name="_Toc3134"/>
      <w:bookmarkStart w:id="289" w:name="_Toc489197827"/>
      <w:bookmarkStart w:id="290" w:name="_Toc21161"/>
      <w:bookmarkStart w:id="291" w:name="_Toc489145723"/>
      <w:r>
        <w:rPr>
          <w:rFonts w:hint="eastAsia" w:ascii="宋体" w:hAnsi="宋体" w:cs="宋体"/>
          <w:color w:val="auto"/>
          <w:szCs w:val="24"/>
          <w:highlight w:val="none"/>
        </w:rPr>
        <w:t>★17投标有效期</w:t>
      </w:r>
      <w:bookmarkEnd w:id="287"/>
      <w:bookmarkEnd w:id="288"/>
      <w:bookmarkEnd w:id="289"/>
      <w:bookmarkEnd w:id="290"/>
      <w:bookmarkEnd w:id="291"/>
    </w:p>
    <w:p>
      <w:pPr>
        <w:spacing w:line="360" w:lineRule="auto"/>
        <w:ind w:firstLine="480" w:firstLineChars="200"/>
        <w:jc w:val="left"/>
        <w:rPr>
          <w:rFonts w:hint="eastAsia" w:ascii="宋体" w:hAnsi="宋体" w:cs="宋体"/>
          <w:color w:val="auto"/>
          <w:sz w:val="24"/>
          <w:szCs w:val="24"/>
          <w:highlight w:val="none"/>
        </w:rPr>
      </w:pPr>
      <w:bookmarkStart w:id="292" w:name="_Toc144974517"/>
      <w:bookmarkStart w:id="293" w:name="_Toc246996194"/>
      <w:bookmarkStart w:id="294" w:name="_Toc179632567"/>
      <w:bookmarkStart w:id="295" w:name="_Toc296602439"/>
      <w:bookmarkStart w:id="296" w:name="_Toc152042325"/>
      <w:bookmarkStart w:id="297" w:name="_Toc246996937"/>
      <w:bookmarkStart w:id="298" w:name="_Toc247085708"/>
      <w:bookmarkStart w:id="299" w:name="_Toc152045549"/>
      <w:r>
        <w:rPr>
          <w:rFonts w:hint="eastAsia" w:ascii="宋体" w:hAnsi="宋体" w:cs="宋体"/>
          <w:color w:val="auto"/>
          <w:sz w:val="24"/>
          <w:szCs w:val="24"/>
          <w:highlight w:val="none"/>
        </w:rPr>
        <w:t>17.1在《</w:t>
      </w:r>
      <w:bookmarkEnd w:id="292"/>
      <w:bookmarkEnd w:id="293"/>
      <w:bookmarkEnd w:id="294"/>
      <w:bookmarkEnd w:id="295"/>
      <w:bookmarkEnd w:id="296"/>
      <w:bookmarkEnd w:id="297"/>
      <w:bookmarkEnd w:id="298"/>
      <w:bookmarkEnd w:id="299"/>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须知前附表》规定的有效期内，</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不得要求撤销或修改其投标文件。</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17.2 因特殊情况需要延长投标文件有效期的，采购代理机构以书面形式通知所有</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延长有效期。</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同意延长的，应相应延长其投标文件中所有内容及投标保证金（若有）的有效期，但不得要求或被允许修改或撤销其投标文件；</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拒绝延长的，其投标文件失效，但</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有权收回其投标保证金（若有）。</w:t>
      </w:r>
    </w:p>
    <w:p>
      <w:pPr>
        <w:pStyle w:val="5"/>
        <w:spacing w:before="0" w:after="0" w:line="440" w:lineRule="exact"/>
        <w:ind w:firstLine="0"/>
        <w:rPr>
          <w:rFonts w:hint="eastAsia" w:ascii="宋体" w:hAnsi="宋体" w:cs="宋体"/>
          <w:color w:val="auto"/>
          <w:szCs w:val="24"/>
          <w:highlight w:val="none"/>
        </w:rPr>
      </w:pPr>
      <w:bookmarkStart w:id="300" w:name="_Toc18672"/>
      <w:bookmarkStart w:id="301" w:name="_Toc489145724"/>
      <w:bookmarkStart w:id="302" w:name="_Toc23848"/>
      <w:bookmarkStart w:id="303" w:name="_Toc18006"/>
      <w:bookmarkStart w:id="304" w:name="_Toc489197828"/>
      <w:r>
        <w:rPr>
          <w:rFonts w:hint="eastAsia" w:ascii="宋体" w:hAnsi="宋体" w:cs="宋体"/>
          <w:color w:val="auto"/>
          <w:szCs w:val="24"/>
          <w:highlight w:val="none"/>
        </w:rPr>
        <w:t>18.投标保证金</w:t>
      </w:r>
      <w:bookmarkEnd w:id="300"/>
      <w:bookmarkEnd w:id="301"/>
      <w:bookmarkEnd w:id="302"/>
      <w:bookmarkEnd w:id="303"/>
      <w:bookmarkEnd w:id="304"/>
    </w:p>
    <w:p>
      <w:pPr>
        <w:spacing w:line="400" w:lineRule="exact"/>
        <w:ind w:left="50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bookmarkStart w:id="305" w:name="_Toc296602440"/>
      <w:bookmarkStart w:id="306" w:name="_Toc179632568"/>
      <w:bookmarkStart w:id="307" w:name="_Toc152045550"/>
      <w:bookmarkStart w:id="308" w:name="_Toc246996195"/>
      <w:bookmarkStart w:id="309" w:name="_Toc144974518"/>
      <w:bookmarkStart w:id="310" w:name="_Toc152042326"/>
      <w:bookmarkStart w:id="311" w:name="_Toc247085709"/>
      <w:bookmarkStart w:id="312" w:name="_Toc246996938"/>
      <w:r>
        <w:rPr>
          <w:rFonts w:hint="eastAsia" w:ascii="宋体" w:hAnsi="宋体" w:cs="宋体"/>
          <w:color w:val="auto"/>
          <w:sz w:val="24"/>
          <w:szCs w:val="24"/>
          <w:highlight w:val="none"/>
        </w:rPr>
        <w:t>8.1</w:t>
      </w:r>
      <w:bookmarkEnd w:id="305"/>
      <w:bookmarkEnd w:id="306"/>
      <w:bookmarkEnd w:id="307"/>
      <w:bookmarkEnd w:id="308"/>
      <w:bookmarkEnd w:id="309"/>
      <w:bookmarkEnd w:id="310"/>
      <w:bookmarkEnd w:id="311"/>
      <w:bookmarkEnd w:id="312"/>
      <w:r>
        <w:rPr>
          <w:rFonts w:hint="eastAsia" w:ascii="宋体" w:hAnsi="宋体" w:cs="宋体"/>
          <w:color w:val="auto"/>
          <w:sz w:val="24"/>
          <w:szCs w:val="24"/>
          <w:highlight w:val="none"/>
        </w:rPr>
        <w:t>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p>
    <w:p>
      <w:pPr>
        <w:pStyle w:val="5"/>
        <w:spacing w:before="0" w:after="0"/>
        <w:ind w:firstLine="0"/>
        <w:rPr>
          <w:rFonts w:hint="eastAsia" w:ascii="宋体" w:hAnsi="宋体" w:cs="宋体"/>
          <w:color w:val="auto"/>
          <w:szCs w:val="24"/>
          <w:highlight w:val="none"/>
        </w:rPr>
      </w:pPr>
      <w:bookmarkStart w:id="313" w:name="_Toc489145725"/>
      <w:bookmarkStart w:id="314" w:name="_Toc21360"/>
      <w:bookmarkStart w:id="315" w:name="_Toc30548"/>
      <w:bookmarkStart w:id="316" w:name="_Toc489197829"/>
      <w:bookmarkStart w:id="317" w:name="_Toc3551"/>
      <w:r>
        <w:rPr>
          <w:rFonts w:hint="eastAsia" w:ascii="宋体" w:hAnsi="宋体" w:cs="宋体"/>
          <w:color w:val="auto"/>
          <w:szCs w:val="24"/>
          <w:highlight w:val="none"/>
        </w:rPr>
        <w:t>19.投标文件的编制</w:t>
      </w:r>
      <w:bookmarkEnd w:id="313"/>
      <w:bookmarkEnd w:id="314"/>
      <w:bookmarkEnd w:id="315"/>
      <w:bookmarkEnd w:id="316"/>
      <w:bookmarkEnd w:id="317"/>
      <w:bookmarkStart w:id="318" w:name="_Toc296602442"/>
    </w:p>
    <w:bookmarkEnd w:id="318"/>
    <w:p>
      <w:pPr>
        <w:spacing w:line="400" w:lineRule="exact"/>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19.1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应对应所投标段编制投标文件，电子投标文件应使用《云南省政府采购投标文件编制系统》制作（电子投标文件格式为*.ZCTBJ）。</w:t>
      </w:r>
    </w:p>
    <w:p>
      <w:pPr>
        <w:spacing w:line="400" w:lineRule="exact"/>
        <w:ind w:firstLine="482" w:firstLineChars="200"/>
        <w:jc w:val="left"/>
        <w:rPr>
          <w:rFonts w:hint="eastAsia" w:ascii="宋体" w:hAnsi="宋体" w:cs="宋体"/>
          <w:color w:val="auto"/>
          <w:sz w:val="24"/>
          <w:szCs w:val="24"/>
          <w:highlight w:val="none"/>
        </w:rPr>
      </w:pPr>
      <w:r>
        <w:rPr>
          <w:rFonts w:hint="eastAsia" w:ascii="宋体" w:hAnsi="宋体" w:cs="宋体"/>
          <w:b/>
          <w:bCs/>
          <w:color w:val="auto"/>
          <w:sz w:val="24"/>
          <w:szCs w:val="24"/>
          <w:highlight w:val="none"/>
        </w:rPr>
        <w:t>一家</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投多个标（包）时，需按标（包）分别编制投标文件。</w:t>
      </w:r>
      <w:r>
        <w:rPr>
          <w:rFonts w:hint="eastAsia" w:ascii="宋体" w:hAnsi="宋体" w:cs="宋体"/>
          <w:color w:val="auto"/>
          <w:sz w:val="24"/>
          <w:szCs w:val="24"/>
          <w:highlight w:val="none"/>
        </w:rPr>
        <w:t>编制要求见附件《电子投标文件编制及报送要求》。</w:t>
      </w:r>
    </w:p>
    <w:p>
      <w:pPr>
        <w:spacing w:line="400" w:lineRule="exact"/>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19.1开标时无法读取导入或解密，其投标文件将不予受理。</w:t>
      </w:r>
    </w:p>
    <w:p>
      <w:pPr>
        <w:spacing w:line="400" w:lineRule="exact"/>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19.2如</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提交的电子投标文件不符合编制要求的，其投标文件将不予受理。</w:t>
      </w:r>
    </w:p>
    <w:p>
      <w:pPr>
        <w:spacing w:line="400" w:lineRule="exact"/>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19.</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投标文件中提供的资料，内容必须清晰可辨，若内容模糊，无法辨识，均视为未提供。</w:t>
      </w:r>
    </w:p>
    <w:p>
      <w:pPr>
        <w:spacing w:line="400" w:lineRule="exact"/>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19.</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关键内容字迹潦草、表达不清、未按要求填写而导致非唯一理解，视为未实质性响应招标文件的投标文件。</w:t>
      </w:r>
    </w:p>
    <w:p>
      <w:pPr>
        <w:spacing w:line="400" w:lineRule="exact"/>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19.</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投标文件的格式要求</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应按第四章”投标文件格式”提供的格式完整地填写，未提供格式的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自行拟定。</w:t>
      </w:r>
    </w:p>
    <w:p>
      <w:pPr>
        <w:spacing w:line="400" w:lineRule="exact"/>
        <w:ind w:firstLine="480" w:firstLineChars="200"/>
        <w:jc w:val="left"/>
        <w:rPr>
          <w:rFonts w:hint="eastAsia" w:ascii="宋体" w:hAnsi="宋体" w:cs="宋体"/>
          <w:color w:val="auto"/>
          <w:sz w:val="24"/>
          <w:szCs w:val="24"/>
          <w:highlight w:val="none"/>
        </w:rPr>
      </w:pPr>
      <w:bookmarkStart w:id="319" w:name="_Toc21617"/>
      <w:bookmarkStart w:id="320" w:name="_Toc3360"/>
      <w:bookmarkStart w:id="321" w:name="_Toc489145726"/>
      <w:bookmarkStart w:id="322" w:name="_Toc489197830"/>
      <w:r>
        <w:rPr>
          <w:rFonts w:hint="eastAsia" w:ascii="宋体" w:hAnsi="宋体" w:cs="宋体"/>
          <w:color w:val="auto"/>
          <w:sz w:val="24"/>
          <w:szCs w:val="24"/>
          <w:highlight w:val="none"/>
        </w:rPr>
        <w:t>20.投标报价</w:t>
      </w:r>
      <w:bookmarkEnd w:id="319"/>
      <w:bookmarkEnd w:id="320"/>
      <w:bookmarkEnd w:id="321"/>
      <w:bookmarkEnd w:id="322"/>
      <w:bookmarkStart w:id="323" w:name="_Toc86124056"/>
      <w:bookmarkStart w:id="324" w:name="_Toc482343737"/>
      <w:bookmarkStart w:id="325" w:name="_Toc470507051"/>
      <w:bookmarkStart w:id="326" w:name="_Toc432106486"/>
      <w:bookmarkStart w:id="327" w:name="_Toc383175485"/>
      <w:bookmarkStart w:id="328" w:name="_Toc432194837"/>
      <w:bookmarkStart w:id="329" w:name="_Toc383175063"/>
      <w:bookmarkStart w:id="330" w:name="_Toc329810197"/>
      <w:bookmarkStart w:id="331" w:name="_Toc383175287"/>
    </w:p>
    <w:bookmarkEnd w:id="323"/>
    <w:bookmarkEnd w:id="324"/>
    <w:bookmarkEnd w:id="325"/>
    <w:bookmarkEnd w:id="326"/>
    <w:bookmarkEnd w:id="327"/>
    <w:bookmarkEnd w:id="328"/>
    <w:bookmarkEnd w:id="329"/>
    <w:bookmarkEnd w:id="330"/>
    <w:bookmarkEnd w:id="331"/>
    <w:p>
      <w:pPr>
        <w:spacing w:line="400" w:lineRule="exact"/>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★20.1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必须对所投标段（包）内所有内容进行完整唯一报价，不得缺项、漏项，否则该标段（包）投标文件将按无效处理。</w:t>
      </w:r>
    </w:p>
    <w:p>
      <w:pPr>
        <w:pStyle w:val="11"/>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szCs w:val="24"/>
          <w:highlight w:val="none"/>
        </w:rPr>
        <w:t>20.2</w:t>
      </w:r>
      <w:r>
        <w:rPr>
          <w:rFonts w:hint="eastAsia" w:ascii="宋体" w:hAnsi="宋体" w:cs="宋体"/>
          <w:color w:val="auto"/>
          <w:sz w:val="24"/>
          <w:highlight w:val="none"/>
        </w:rPr>
        <w:t>本项目以下浮率方式报价，保留小数点后两位，第三位四舍五入。</w:t>
      </w:r>
    </w:p>
    <w:p>
      <w:pPr>
        <w:pStyle w:val="11"/>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20.3报价折扣应充分考虑食品原材料采购费、</w:t>
      </w:r>
      <w:r>
        <w:rPr>
          <w:rFonts w:hint="eastAsia" w:ascii="宋体" w:hAnsi="宋体" w:cs="宋体"/>
          <w:color w:val="auto"/>
          <w:sz w:val="24"/>
          <w:szCs w:val="24"/>
          <w:highlight w:val="none"/>
        </w:rPr>
        <w:t>人工费、配送费、运杂费、仓储费、售后服务、车辆使用相关</w:t>
      </w:r>
      <w:r>
        <w:rPr>
          <w:rFonts w:hint="eastAsia" w:hAnsi="宋体" w:cs="宋体"/>
          <w:color w:val="auto"/>
          <w:sz w:val="24"/>
          <w:szCs w:val="24"/>
          <w:highlight w:val="none"/>
          <w:lang w:eastAsia="zh-CN"/>
        </w:rPr>
        <w:t>费用</w:t>
      </w:r>
      <w:r>
        <w:rPr>
          <w:rFonts w:hint="eastAsia" w:ascii="宋体" w:hAnsi="宋体" w:cs="宋体"/>
          <w:color w:val="auto"/>
          <w:sz w:val="24"/>
          <w:szCs w:val="24"/>
          <w:highlight w:val="none"/>
        </w:rPr>
        <w:t>、保险、验收、检测、利润、税金等</w:t>
      </w:r>
      <w:r>
        <w:rPr>
          <w:rFonts w:hint="eastAsia" w:ascii="宋体" w:hAnsi="宋体" w:cs="宋体"/>
          <w:color w:val="auto"/>
          <w:sz w:val="24"/>
          <w:highlight w:val="none"/>
        </w:rPr>
        <w:t>一切可能发生的费用。</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20.4报价货币：人民币，本项目填报下浮率。</w:t>
      </w:r>
    </w:p>
    <w:p>
      <w:pPr>
        <w:spacing w:line="360" w:lineRule="auto"/>
        <w:ind w:firstLine="480" w:firstLineChars="200"/>
        <w:rPr>
          <w:rFonts w:hint="eastAsia" w:ascii="宋体" w:hAnsi="宋体" w:cs="宋体"/>
          <w:color w:val="auto"/>
          <w:highlight w:val="none"/>
        </w:rPr>
      </w:pPr>
      <w:r>
        <w:rPr>
          <w:rFonts w:hint="eastAsia" w:ascii="宋体" w:hAnsi="宋体" w:cs="宋体"/>
          <w:color w:val="auto"/>
          <w:sz w:val="24"/>
          <w:szCs w:val="24"/>
          <w:highlight w:val="none"/>
        </w:rPr>
        <w:t>20.5</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不得哄抬报价，也不应低于成本价报价，评标委员会认为</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的报价明显低于其他通过符合性审查</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的报价，有可能影响产品质量或者不能诚信履约的，应当要求其在评标现场合理的时间内提供书面说明，必要时提交相关证明材料；</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不能证明其报价合理性的，评标委员会应当将其作为无效投标处理。</w:t>
      </w:r>
    </w:p>
    <w:p>
      <w:pPr>
        <w:spacing w:line="4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20.7备品备件，□不包含在投标报价中</w:t>
      </w:r>
    </w:p>
    <w:p>
      <w:pPr>
        <w:spacing w:line="360" w:lineRule="auto"/>
        <w:ind w:firstLine="2160" w:firstLineChars="9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eq \o\ac(</w:instrText>
      </w:r>
      <w:r>
        <w:rPr>
          <w:rFonts w:hint="eastAsia" w:ascii="宋体" w:hAnsi="宋体" w:cs="宋体"/>
          <w:color w:val="auto"/>
          <w:position w:val="-4"/>
          <w:sz w:val="36"/>
          <w:szCs w:val="24"/>
          <w:highlight w:val="none"/>
        </w:rPr>
        <w:instrText xml:space="preserve">□,</w:instrText>
      </w:r>
      <w:r>
        <w:rPr>
          <w:rFonts w:hint="eastAsia" w:ascii="宋体" w:hAnsi="宋体" w:cs="宋体"/>
          <w:color w:val="auto"/>
          <w:sz w:val="25"/>
          <w:szCs w:val="24"/>
          <w:highlight w:val="none"/>
        </w:rPr>
        <w:instrText xml:space="preserve">√</w:instrText>
      </w:r>
      <w:r>
        <w:rPr>
          <w:rFonts w:hint="eastAsia" w:ascii="宋体" w:hAnsi="宋体" w:cs="宋体"/>
          <w:color w:val="auto"/>
          <w:sz w:val="24"/>
          <w:szCs w:val="24"/>
          <w:highlight w:val="none"/>
        </w:rPr>
        <w:instrText xml:space="preserve">)</w:instrTex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包含在投标报价中</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20.8</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应保证其提供的货物或者服务是全新的，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保证其提供的货物或者服务在采购人使用期间不受第三方可能提出的所有权、用益物权、担保物权、占有等一切涉及物权及知识产权、商标权、专利权、著作权等相关权利的起诉，并承担货物装运过程中的一切风险。</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20.9合同价格认定</w:t>
      </w:r>
    </w:p>
    <w:p>
      <w:pPr>
        <w:spacing w:line="360" w:lineRule="auto"/>
        <w:ind w:firstLine="488"/>
        <w:rPr>
          <w:rFonts w:hint="eastAsia" w:ascii="宋体" w:hAnsi="宋体" w:cs="宋体"/>
          <w:color w:val="auto"/>
          <w:sz w:val="24"/>
          <w:szCs w:val="24"/>
          <w:highlight w:val="none"/>
        </w:rPr>
      </w:pPr>
      <w:r>
        <w:rPr>
          <w:rFonts w:hint="eastAsia" w:ascii="宋体" w:hAnsi="宋体" w:cs="宋体"/>
          <w:color w:val="auto"/>
          <w:sz w:val="24"/>
          <w:szCs w:val="24"/>
          <w:highlight w:val="none"/>
        </w:rPr>
        <w:t>根据配送学校所提供的订单，由甲方与乙方根据各自掌握的当地市场同期同类零售价格的基础上，双方协商同意的价格为认定价格，实际结算价=认定价格*（1-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所报下浮率）*实际供应数量。原则上所有食品食材的价格必须低于石屏县主城区农贸市场、大型商超同类食品食材的平均零售价格。</w:t>
      </w:r>
    </w:p>
    <w:p>
      <w:pPr>
        <w:spacing w:line="360" w:lineRule="auto"/>
        <w:ind w:firstLine="488"/>
        <w:rPr>
          <w:rFonts w:hint="eastAsia" w:ascii="宋体" w:hAnsi="宋体" w:cs="宋体"/>
          <w:color w:val="auto"/>
          <w:sz w:val="24"/>
          <w:szCs w:val="24"/>
          <w:highlight w:val="none"/>
        </w:rPr>
      </w:pPr>
      <w:r>
        <w:rPr>
          <w:rFonts w:hint="eastAsia" w:ascii="宋体" w:hAnsi="宋体" w:cs="宋体"/>
          <w:color w:val="auto"/>
          <w:sz w:val="24"/>
          <w:szCs w:val="24"/>
          <w:highlight w:val="none"/>
        </w:rPr>
        <w:t>甲乙双方确定的认定价格，对本标段内各配送学校均相同，实行同标同价。</w:t>
      </w:r>
    </w:p>
    <w:p>
      <w:pPr>
        <w:spacing w:line="360" w:lineRule="auto"/>
        <w:ind w:firstLine="488"/>
        <w:rPr>
          <w:rFonts w:hint="eastAsia" w:ascii="宋体" w:hAnsi="宋体" w:cs="宋体"/>
          <w:color w:val="auto"/>
          <w:sz w:val="24"/>
          <w:szCs w:val="24"/>
          <w:highlight w:val="none"/>
        </w:rPr>
      </w:pPr>
      <w:r>
        <w:rPr>
          <w:rFonts w:hint="eastAsia" w:ascii="宋体" w:hAnsi="宋体" w:cs="宋体"/>
          <w:color w:val="auto"/>
          <w:sz w:val="24"/>
          <w:szCs w:val="24"/>
          <w:highlight w:val="none"/>
        </w:rPr>
        <w:t>20.10询价定价</w:t>
      </w:r>
    </w:p>
    <w:p>
      <w:pPr>
        <w:spacing w:line="360" w:lineRule="auto"/>
        <w:ind w:firstLine="488"/>
        <w:rPr>
          <w:rFonts w:hint="eastAsia" w:ascii="宋体" w:hAnsi="宋体" w:cs="宋体"/>
          <w:color w:val="auto"/>
          <w:sz w:val="24"/>
          <w:szCs w:val="24"/>
          <w:highlight w:val="none"/>
        </w:rPr>
      </w:pPr>
      <w:r>
        <w:rPr>
          <w:rFonts w:hint="eastAsia" w:ascii="宋体" w:hAnsi="宋体" w:cs="宋体"/>
          <w:color w:val="auto"/>
          <w:sz w:val="24"/>
          <w:szCs w:val="24"/>
          <w:highlight w:val="none"/>
        </w:rPr>
        <w:t>若甲乙双方所掌握的价格不一致时，双方共同在石屏县主城区范围内选取三处农贸市场、大型商超进行询价，询价后以平均价作为认定价格，并结合</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所报下浮率进行结算。</w:t>
      </w:r>
    </w:p>
    <w:p>
      <w:pPr>
        <w:spacing w:line="360" w:lineRule="auto"/>
        <w:ind w:firstLine="488"/>
        <w:rPr>
          <w:rFonts w:hint="eastAsia" w:ascii="宋体" w:hAnsi="宋体" w:cs="宋体"/>
          <w:color w:val="auto"/>
          <w:sz w:val="24"/>
          <w:szCs w:val="24"/>
          <w:highlight w:val="none"/>
        </w:rPr>
      </w:pPr>
      <w:r>
        <w:rPr>
          <w:rFonts w:hint="eastAsia" w:ascii="宋体" w:hAnsi="宋体" w:cs="宋体"/>
          <w:color w:val="auto"/>
          <w:sz w:val="24"/>
          <w:szCs w:val="24"/>
          <w:highlight w:val="none"/>
        </w:rPr>
        <w:t>20.11价格调整</w:t>
      </w:r>
    </w:p>
    <w:p>
      <w:pPr>
        <w:spacing w:line="360" w:lineRule="auto"/>
        <w:ind w:firstLine="488"/>
        <w:rPr>
          <w:rFonts w:hint="eastAsia" w:ascii="宋体" w:hAnsi="宋体" w:cs="宋体"/>
          <w:color w:val="auto"/>
          <w:sz w:val="24"/>
          <w:szCs w:val="24"/>
          <w:highlight w:val="none"/>
        </w:rPr>
      </w:pPr>
      <w:r>
        <w:rPr>
          <w:rFonts w:hint="eastAsia" w:ascii="宋体" w:hAnsi="宋体" w:cs="宋体"/>
          <w:color w:val="auto"/>
          <w:sz w:val="24"/>
          <w:szCs w:val="24"/>
          <w:highlight w:val="none"/>
        </w:rPr>
        <w:t>订单在执行周期中因市场价格波动引起的价格上涨或下跌超过10%（含）时，应按认定价格（结合下浮率）执行完本周期后，在下一周期执行双方重新认定的价格。</w:t>
      </w:r>
    </w:p>
    <w:p>
      <w:pPr>
        <w:spacing w:line="360" w:lineRule="auto"/>
        <w:ind w:firstLine="488"/>
        <w:rPr>
          <w:rFonts w:hint="eastAsia" w:ascii="宋体" w:hAnsi="宋体" w:cs="宋体"/>
          <w:color w:val="auto"/>
          <w:sz w:val="24"/>
          <w:szCs w:val="24"/>
          <w:highlight w:val="none"/>
        </w:rPr>
      </w:pPr>
      <w:r>
        <w:rPr>
          <w:rFonts w:hint="eastAsia" w:ascii="宋体" w:hAnsi="宋体" w:cs="宋体"/>
          <w:color w:val="auto"/>
          <w:sz w:val="24"/>
          <w:szCs w:val="24"/>
          <w:highlight w:val="none"/>
        </w:rPr>
        <w:t>供需其中一方提出调价申请时，由甲乙双方重新开展市场询价定价。</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20.12</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应须知本项目的潜在风险，一旦中标，则需按照招标文件给定条件履行采购合同的最终执行价格，并考虑了应承担的风险。</w:t>
      </w:r>
    </w:p>
    <w:p>
      <w:pPr>
        <w:rPr>
          <w:rFonts w:hint="eastAsia" w:ascii="宋体" w:hAnsi="宋体" w:cs="宋体"/>
          <w:color w:val="auto"/>
          <w:highlight w:val="none"/>
        </w:rPr>
      </w:pPr>
    </w:p>
    <w:p>
      <w:pPr>
        <w:pStyle w:val="3"/>
        <w:spacing w:before="0" w:line="440" w:lineRule="exact"/>
        <w:ind w:firstLine="240"/>
        <w:jc w:val="center"/>
        <w:rPr>
          <w:rFonts w:hint="eastAsia" w:ascii="宋体" w:hAnsi="宋体" w:cs="宋体"/>
          <w:color w:val="auto"/>
          <w:sz w:val="28"/>
          <w:szCs w:val="28"/>
          <w:highlight w:val="none"/>
        </w:rPr>
      </w:pPr>
      <w:bookmarkStart w:id="332" w:name="_Toc488633607"/>
      <w:bookmarkStart w:id="333" w:name="_Toc1347"/>
      <w:bookmarkStart w:id="334" w:name="_Toc489197831"/>
      <w:bookmarkStart w:id="335" w:name="_Toc489145727"/>
      <w:bookmarkStart w:id="336" w:name="_Toc18527"/>
      <w:bookmarkStart w:id="337" w:name="_Toc28558"/>
      <w:bookmarkStart w:id="338" w:name="_Toc30322"/>
      <w:bookmarkStart w:id="339" w:name="_Toc22145"/>
      <w:r>
        <w:rPr>
          <w:rFonts w:hint="eastAsia" w:ascii="宋体" w:hAnsi="宋体" w:cs="宋体"/>
          <w:color w:val="auto"/>
          <w:sz w:val="28"/>
          <w:szCs w:val="28"/>
          <w:highlight w:val="none"/>
        </w:rPr>
        <w:t>四、投标</w:t>
      </w:r>
      <w:bookmarkEnd w:id="332"/>
      <w:bookmarkEnd w:id="333"/>
      <w:bookmarkEnd w:id="334"/>
      <w:bookmarkEnd w:id="335"/>
      <w:bookmarkEnd w:id="336"/>
      <w:bookmarkEnd w:id="337"/>
      <w:bookmarkEnd w:id="338"/>
      <w:bookmarkEnd w:id="339"/>
    </w:p>
    <w:p>
      <w:pPr>
        <w:pStyle w:val="5"/>
        <w:spacing w:before="0" w:after="0" w:line="440" w:lineRule="exact"/>
        <w:ind w:firstLine="0"/>
        <w:rPr>
          <w:rFonts w:hint="eastAsia" w:ascii="宋体" w:hAnsi="宋体" w:cs="宋体"/>
          <w:color w:val="auto"/>
          <w:szCs w:val="24"/>
          <w:highlight w:val="none"/>
        </w:rPr>
      </w:pPr>
      <w:bookmarkStart w:id="340" w:name="_Toc16906"/>
      <w:bookmarkStart w:id="341" w:name="_Toc29336"/>
      <w:bookmarkStart w:id="342" w:name="_Toc489145728"/>
      <w:bookmarkStart w:id="343" w:name="_Toc1940"/>
      <w:bookmarkStart w:id="344" w:name="_Toc489197832"/>
      <w:bookmarkStart w:id="345" w:name="_Toc489197833"/>
      <w:bookmarkStart w:id="346" w:name="_Toc31792"/>
      <w:bookmarkStart w:id="347" w:name="_Toc489145729"/>
      <w:bookmarkStart w:id="348" w:name="_Toc3972"/>
      <w:bookmarkStart w:id="349" w:name="_Toc247085715"/>
      <w:bookmarkStart w:id="350" w:name="_Toc246996201"/>
      <w:bookmarkStart w:id="351" w:name="_Toc152042333"/>
      <w:bookmarkStart w:id="352" w:name="_Toc179632575"/>
      <w:bookmarkStart w:id="353" w:name="_Toc152045557"/>
      <w:bookmarkStart w:id="354" w:name="_Toc246996944"/>
      <w:bookmarkStart w:id="355" w:name="_Toc144974525"/>
      <w:r>
        <w:rPr>
          <w:rFonts w:hint="eastAsia" w:ascii="宋体" w:hAnsi="宋体" w:cs="宋体"/>
          <w:color w:val="auto"/>
          <w:szCs w:val="24"/>
          <w:highlight w:val="none"/>
        </w:rPr>
        <w:t>21. 投标文</w:t>
      </w:r>
      <w:bookmarkStart w:id="356" w:name="_Toc378239354"/>
      <w:bookmarkStart w:id="357" w:name="_Toc480817646"/>
      <w:bookmarkStart w:id="358" w:name="_Toc401342137"/>
      <w:bookmarkStart w:id="359" w:name="_Toc4707"/>
      <w:bookmarkStart w:id="360" w:name="_Toc378239173"/>
      <w:bookmarkStart w:id="361" w:name="_Toc296602443"/>
      <w:bookmarkStart w:id="362" w:name="_Toc378239081"/>
      <w:r>
        <w:rPr>
          <w:rFonts w:hint="eastAsia" w:ascii="宋体" w:hAnsi="宋体" w:cs="宋体"/>
          <w:color w:val="auto"/>
          <w:szCs w:val="24"/>
          <w:highlight w:val="none"/>
        </w:rPr>
        <w:t>件的密封</w:t>
      </w:r>
      <w:bookmarkEnd w:id="356"/>
      <w:bookmarkEnd w:id="357"/>
      <w:bookmarkEnd w:id="358"/>
      <w:bookmarkEnd w:id="359"/>
      <w:bookmarkEnd w:id="360"/>
      <w:bookmarkEnd w:id="361"/>
      <w:bookmarkEnd w:id="362"/>
      <w:r>
        <w:rPr>
          <w:rFonts w:hint="eastAsia" w:ascii="宋体" w:hAnsi="宋体" w:cs="宋体"/>
          <w:color w:val="auto"/>
          <w:szCs w:val="24"/>
          <w:highlight w:val="none"/>
        </w:rPr>
        <w:t>和</w:t>
      </w:r>
      <w:bookmarkStart w:id="363" w:name="_Toc296602444"/>
      <w:bookmarkStart w:id="364" w:name="_Toc152042332"/>
      <w:bookmarkStart w:id="365" w:name="_Toc246996943"/>
      <w:bookmarkStart w:id="366" w:name="_Toc144974524"/>
      <w:bookmarkStart w:id="367" w:name="_Toc246996200"/>
      <w:bookmarkStart w:id="368" w:name="_Toc179632574"/>
      <w:bookmarkStart w:id="369" w:name="_Toc247085714"/>
      <w:bookmarkStart w:id="370" w:name="_Toc152045556"/>
      <w:r>
        <w:rPr>
          <w:rFonts w:hint="eastAsia" w:ascii="宋体" w:hAnsi="宋体" w:cs="宋体"/>
          <w:color w:val="auto"/>
          <w:szCs w:val="24"/>
          <w:highlight w:val="none"/>
        </w:rPr>
        <w:t>标记</w:t>
      </w:r>
      <w:bookmarkEnd w:id="340"/>
      <w:bookmarkEnd w:id="341"/>
      <w:bookmarkEnd w:id="342"/>
      <w:bookmarkEnd w:id="343"/>
      <w:bookmarkEnd w:id="344"/>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21.1</w:t>
      </w:r>
      <w:bookmarkEnd w:id="363"/>
      <w:bookmarkEnd w:id="364"/>
      <w:bookmarkEnd w:id="365"/>
      <w:bookmarkEnd w:id="366"/>
      <w:bookmarkEnd w:id="367"/>
      <w:bookmarkEnd w:id="368"/>
      <w:bookmarkEnd w:id="369"/>
      <w:bookmarkEnd w:id="370"/>
      <w:r>
        <w:rPr>
          <w:rFonts w:hint="eastAsia" w:ascii="宋体" w:hAnsi="宋体" w:cs="宋体"/>
          <w:color w:val="auto"/>
          <w:sz w:val="24"/>
          <w:szCs w:val="24"/>
          <w:highlight w:val="none"/>
        </w:rPr>
        <w:t>投标文件的密封：见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p>
    <w:p>
      <w:pPr>
        <w:pStyle w:val="5"/>
        <w:spacing w:before="0" w:after="0" w:line="440" w:lineRule="exact"/>
        <w:ind w:firstLine="0"/>
        <w:rPr>
          <w:rFonts w:hint="eastAsia" w:ascii="宋体" w:hAnsi="宋体" w:cs="宋体"/>
          <w:color w:val="auto"/>
          <w:szCs w:val="24"/>
          <w:highlight w:val="none"/>
        </w:rPr>
      </w:pPr>
      <w:bookmarkStart w:id="371" w:name="_Toc26989"/>
      <w:r>
        <w:rPr>
          <w:rFonts w:hint="eastAsia" w:ascii="宋体" w:hAnsi="宋体" w:cs="宋体"/>
          <w:color w:val="auto"/>
          <w:szCs w:val="24"/>
          <w:highlight w:val="none"/>
        </w:rPr>
        <w:t>22. 投标文件的提交</w:t>
      </w:r>
      <w:bookmarkEnd w:id="345"/>
      <w:bookmarkEnd w:id="346"/>
      <w:bookmarkEnd w:id="347"/>
      <w:bookmarkEnd w:id="348"/>
      <w:bookmarkEnd w:id="371"/>
    </w:p>
    <w:bookmarkEnd w:id="349"/>
    <w:bookmarkEnd w:id="350"/>
    <w:bookmarkEnd w:id="351"/>
    <w:bookmarkEnd w:id="352"/>
    <w:bookmarkEnd w:id="353"/>
    <w:bookmarkEnd w:id="354"/>
    <w:bookmarkEnd w:id="355"/>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22.</w:t>
      </w:r>
      <w:r>
        <w:rPr>
          <w:rFonts w:hint="eastAsia" w:ascii="宋体" w:hAnsi="宋体" w:eastAsia="宋体" w:cs="宋体"/>
          <w:color w:val="auto"/>
          <w:sz w:val="24"/>
          <w:szCs w:val="24"/>
          <w:highlight w:val="none"/>
        </w:rPr>
        <w:t>1投标文件提交截止时间、开标时间和地点：见</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.2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应当在招标文件要求提交投标文件的截止时间前，将投标文件密封上传。</w:t>
      </w:r>
    </w:p>
    <w:p>
      <w:pPr>
        <w:pStyle w:val="5"/>
        <w:spacing w:before="0" w:after="0" w:line="440" w:lineRule="exact"/>
        <w:ind w:firstLine="0"/>
        <w:rPr>
          <w:rFonts w:hint="eastAsia" w:ascii="宋体" w:hAnsi="宋体" w:cs="宋体"/>
          <w:color w:val="auto"/>
          <w:szCs w:val="24"/>
          <w:highlight w:val="none"/>
        </w:rPr>
      </w:pPr>
      <w:bookmarkStart w:id="372" w:name="_Toc31701"/>
      <w:bookmarkStart w:id="373" w:name="_Toc408"/>
      <w:bookmarkStart w:id="374" w:name="_Toc15876"/>
      <w:bookmarkStart w:id="375" w:name="_Toc489197834"/>
      <w:bookmarkStart w:id="376" w:name="_Toc489145730"/>
      <w:r>
        <w:rPr>
          <w:rFonts w:hint="eastAsia" w:ascii="宋体" w:hAnsi="宋体" w:cs="宋体"/>
          <w:color w:val="auto"/>
          <w:szCs w:val="24"/>
          <w:highlight w:val="none"/>
        </w:rPr>
        <w:t>23. 投标文件的补充、</w:t>
      </w:r>
      <w:bookmarkStart w:id="377" w:name="_Toc246996945"/>
      <w:bookmarkStart w:id="378" w:name="_Toc246996202"/>
      <w:bookmarkStart w:id="379" w:name="_Toc247085716"/>
      <w:bookmarkStart w:id="380" w:name="_Toc296602446"/>
      <w:bookmarkStart w:id="381" w:name="_Toc152045558"/>
      <w:bookmarkStart w:id="382" w:name="_Toc152042334"/>
      <w:bookmarkStart w:id="383" w:name="_Toc144974526"/>
      <w:bookmarkStart w:id="384" w:name="_Toc179632576"/>
      <w:r>
        <w:rPr>
          <w:rFonts w:hint="eastAsia" w:ascii="宋体" w:hAnsi="宋体" w:cs="宋体"/>
          <w:color w:val="auto"/>
          <w:szCs w:val="24"/>
          <w:highlight w:val="none"/>
        </w:rPr>
        <w:t>修改或者撤回</w:t>
      </w:r>
      <w:bookmarkEnd w:id="372"/>
      <w:bookmarkEnd w:id="373"/>
      <w:bookmarkEnd w:id="374"/>
      <w:bookmarkEnd w:id="375"/>
      <w:bookmarkEnd w:id="376"/>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23</w:t>
      </w:r>
      <w:bookmarkEnd w:id="377"/>
      <w:bookmarkEnd w:id="378"/>
      <w:bookmarkEnd w:id="379"/>
      <w:bookmarkEnd w:id="380"/>
      <w:bookmarkEnd w:id="381"/>
      <w:bookmarkEnd w:id="382"/>
      <w:bookmarkEnd w:id="383"/>
      <w:bookmarkEnd w:id="384"/>
      <w:r>
        <w:rPr>
          <w:rFonts w:hint="eastAsia" w:ascii="宋体" w:hAnsi="宋体" w:cs="宋体"/>
          <w:color w:val="auto"/>
          <w:sz w:val="24"/>
          <w:szCs w:val="24"/>
          <w:highlight w:val="none"/>
        </w:rPr>
        <w:t>.1在提交投标文件截止时间前，</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可以补充、修改或者撤回已在网上提交的电子投标文件，无须书面形式通知采购人、采购代理机构。补充、修改的电子投标文件应按照《电子投标文件编制及报送要求》规定进行编制、密封、标记和提交。</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在投标截止时间前撤回已提交的投标文件的，采购人或者采购代理机构将自收到</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撤回通知之日起５个工作日内，退还已收取的投标保证金（若有），但因</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自身原因导致无法及时退还的除外。</w:t>
      </w:r>
    </w:p>
    <w:p>
      <w:pPr>
        <w:pStyle w:val="3"/>
        <w:spacing w:before="0" w:line="440" w:lineRule="exact"/>
        <w:jc w:val="center"/>
        <w:rPr>
          <w:rFonts w:hint="eastAsia" w:ascii="宋体" w:hAnsi="宋体" w:cs="宋体"/>
          <w:color w:val="auto"/>
          <w:sz w:val="28"/>
          <w:szCs w:val="28"/>
          <w:highlight w:val="none"/>
        </w:rPr>
      </w:pPr>
      <w:bookmarkStart w:id="385" w:name="_Toc4732"/>
      <w:bookmarkStart w:id="386" w:name="_Toc488633608"/>
      <w:bookmarkStart w:id="387" w:name="_Toc489197835"/>
      <w:bookmarkStart w:id="388" w:name="_Toc5975"/>
      <w:bookmarkStart w:id="389" w:name="_Toc10809"/>
      <w:bookmarkStart w:id="390" w:name="_Toc16219"/>
      <w:bookmarkStart w:id="391" w:name="_Toc489145731"/>
      <w:bookmarkStart w:id="392" w:name="_Toc7864"/>
      <w:r>
        <w:rPr>
          <w:rFonts w:hint="eastAsia" w:ascii="宋体" w:hAnsi="宋体" w:cs="宋体"/>
          <w:color w:val="auto"/>
          <w:sz w:val="28"/>
          <w:szCs w:val="28"/>
          <w:highlight w:val="none"/>
        </w:rPr>
        <w:t>五、开标</w:t>
      </w:r>
      <w:bookmarkEnd w:id="385"/>
      <w:bookmarkEnd w:id="386"/>
      <w:bookmarkEnd w:id="387"/>
      <w:bookmarkEnd w:id="388"/>
      <w:bookmarkEnd w:id="389"/>
      <w:bookmarkEnd w:id="390"/>
      <w:bookmarkEnd w:id="391"/>
      <w:bookmarkEnd w:id="392"/>
    </w:p>
    <w:p>
      <w:pPr>
        <w:pStyle w:val="5"/>
        <w:spacing w:before="0" w:after="0" w:line="440" w:lineRule="exact"/>
        <w:ind w:firstLine="0"/>
        <w:rPr>
          <w:rFonts w:hint="eastAsia" w:ascii="宋体" w:hAnsi="宋体" w:cs="宋体"/>
          <w:color w:val="auto"/>
          <w:szCs w:val="24"/>
          <w:highlight w:val="none"/>
        </w:rPr>
      </w:pPr>
      <w:bookmarkStart w:id="393" w:name="_Toc489197836"/>
      <w:bookmarkStart w:id="394" w:name="_Toc13533"/>
      <w:bookmarkStart w:id="395" w:name="_Toc7274"/>
      <w:bookmarkStart w:id="396" w:name="_Toc489145732"/>
      <w:bookmarkStart w:id="397" w:name="_Toc26193"/>
      <w:r>
        <w:rPr>
          <w:rFonts w:hint="eastAsia" w:ascii="宋体" w:hAnsi="宋体" w:cs="宋体"/>
          <w:color w:val="auto"/>
          <w:szCs w:val="24"/>
          <w:highlight w:val="none"/>
        </w:rPr>
        <w:t>24. 开标</w:t>
      </w:r>
      <w:bookmarkEnd w:id="393"/>
      <w:bookmarkEnd w:id="394"/>
      <w:bookmarkEnd w:id="395"/>
      <w:bookmarkEnd w:id="396"/>
      <w:bookmarkEnd w:id="397"/>
    </w:p>
    <w:p>
      <w:pPr>
        <w:spacing w:line="360" w:lineRule="auto"/>
        <w:ind w:firstLine="480" w:firstLineChars="200"/>
        <w:jc w:val="left"/>
        <w:rPr>
          <w:rFonts w:hint="eastAsia" w:ascii="宋体" w:hAnsi="宋体" w:eastAsia="宋体" w:cs="宋体"/>
          <w:color w:val="auto"/>
          <w:sz w:val="24"/>
          <w:szCs w:val="24"/>
          <w:highlight w:val="none"/>
        </w:rPr>
      </w:pPr>
      <w:bookmarkStart w:id="398" w:name="_Toc152045559"/>
      <w:bookmarkStart w:id="399" w:name="_Toc29395"/>
      <w:bookmarkStart w:id="400" w:name="_Toc378239355"/>
      <w:bookmarkStart w:id="401" w:name="_Toc246996203"/>
      <w:bookmarkStart w:id="402" w:name="_Toc144974527"/>
      <w:bookmarkStart w:id="403" w:name="_Toc246996946"/>
      <w:bookmarkStart w:id="404" w:name="_Toc401342138"/>
      <w:bookmarkStart w:id="405" w:name="_Toc152042335"/>
      <w:bookmarkStart w:id="406" w:name="_Toc179632577"/>
      <w:bookmarkStart w:id="407" w:name="_Toc480817647"/>
      <w:bookmarkStart w:id="408" w:name="_Toc378239174"/>
      <w:bookmarkStart w:id="409" w:name="_Toc296602447"/>
      <w:bookmarkStart w:id="410" w:name="_Toc247085717"/>
      <w:bookmarkStart w:id="411" w:name="_Toc378239082"/>
      <w:r>
        <w:rPr>
          <w:rFonts w:hint="eastAsia" w:ascii="宋体" w:hAnsi="宋体" w:cs="宋体"/>
          <w:color w:val="auto"/>
          <w:sz w:val="24"/>
          <w:szCs w:val="24"/>
          <w:highlight w:val="none"/>
        </w:rPr>
        <w:t>24.1</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开标时间和地点：见</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w:t>
      </w:r>
    </w:p>
    <w:p>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24.2</w:t>
      </w:r>
      <w:r>
        <w:rPr>
          <w:rFonts w:hint="eastAsia" w:ascii="宋体" w:hAnsi="宋体" w:eastAsia="宋体" w:cs="宋体"/>
          <w:color w:val="auto"/>
          <w:sz w:val="24"/>
          <w:szCs w:val="24"/>
          <w:highlight w:val="none"/>
          <w:lang w:val="en-US" w:eastAsia="zh-CN"/>
        </w:rPr>
        <w:t xml:space="preserve"> 采购代理机构</w:t>
      </w:r>
      <w:r>
        <w:rPr>
          <w:rFonts w:hint="eastAsia" w:ascii="宋体" w:hAnsi="宋体" w:eastAsia="宋体" w:cs="宋体"/>
          <w:color w:val="auto"/>
          <w:sz w:val="24"/>
          <w:szCs w:val="24"/>
          <w:highlight w:val="none"/>
        </w:rPr>
        <w:t>将在“</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须知前附表”规定的投标截止时间通过电子交易平台组织投标文件解密，采购机构依托电子交易平台发起开始解密指令，供应商的法定代表人或其委托代理人须携带加密时所用的 CA 锁按平台提示和采购文件的规定登录到“政采云”平台电子开标大厅签到，并在发起解密指令之时起 60 分钟内完成对电子投标文件在线解密，未在规定时间进行解密的视为撤回投标文件。发起解密指令之时起5分钟内供应商还未进行解密的，代理机构可通知供应商，供应商未预留联系方式或预留联系方式无效，导致代理机构无法联系到供应商进行解密的，视为撤回投标文件。（解密异常情况处理：如供应商成功解密响应文件，但未在“政采云”电子开标大厅参加开标的，视同认可开标过程和结果，由此产生的后果由供应商自行负责</w:t>
      </w:r>
      <w:r>
        <w:rPr>
          <w:rFonts w:hint="eastAsia" w:ascii="宋体" w:hAnsi="宋体" w:eastAsia="宋体" w:cs="宋体"/>
          <w:color w:val="auto"/>
          <w:sz w:val="24"/>
          <w:szCs w:val="24"/>
          <w:highlight w:val="none"/>
          <w:lang w:eastAsia="zh-CN"/>
        </w:rPr>
        <w:t>）。</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24.</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 xml:space="preserve"> 开标程序</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（1）开标会由采购代理机构主持，主持人宣布开标会议开始；</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（2）介绍参加开标会的人员名单；</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（3）宣布唱标、监标和记录人员名单；</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（4）开标：顺序按照政采云平台自动提取所有供应商的顺序当众开标。主持人宣布开启电子投标文件后，供应商按照上述开标顺序，使用供应商编制投标文件时的加密数字证书对投标文件进行解密；</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（5）唱标：由系统宣读供应商在其电子投标文件中承诺的投标报价、交货期等内容； （5）开标结束。</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投标文件报价出现前后不一致的，按照下列规定修正：</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（1）投标文件中开标一览表（报价表）内容与投标文件中相应内容不一致的，以开标一览表（报价表）为准；</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（5）同时出现两种以上不一致的，按照前款规定的顺序修正。修正后的报价按照招标文件规定并经</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确认后产生约束力，</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不确认的，其投标无效。</w:t>
      </w:r>
    </w:p>
    <w:p>
      <w:pPr>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24.</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 xml:space="preserve"> </w:t>
      </w:r>
      <w:r>
        <w:rPr>
          <w:rFonts w:hint="eastAsia" w:ascii="宋体" w:hAnsi="宋体" w:eastAsia="宋体" w:cs="宋体"/>
          <w:color w:val="auto"/>
          <w:sz w:val="24"/>
          <w:szCs w:val="24"/>
          <w:highlight w:val="none"/>
        </w:rPr>
        <w:t>电子交易活动的中止</w:t>
      </w:r>
    </w:p>
    <w:p>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24.5.1</w:t>
      </w:r>
      <w:r>
        <w:rPr>
          <w:rFonts w:hint="eastAsia" w:ascii="宋体" w:hAnsi="宋体" w:eastAsia="宋体" w:cs="宋体"/>
          <w:color w:val="auto"/>
          <w:sz w:val="24"/>
          <w:szCs w:val="24"/>
          <w:highlight w:val="none"/>
        </w:rPr>
        <w:t>采购过程中出现以下情形，导致电子交易平台无法正常运行，或者无法保证电子交易的公平、公正和安全时，采购代理机构可中止电子交易活动：</w:t>
      </w:r>
    </w:p>
    <w:p>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（1）电子交易平台发生故障而无法登录访问的；</w:t>
      </w:r>
    </w:p>
    <w:p>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（2）电子交易平台应用或数据库出现错误，不能进行正常操作的；</w:t>
      </w:r>
    </w:p>
    <w:p>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（3）电子交易平台发现严重安全漏洞，有潜在泄密危险的；</w:t>
      </w:r>
    </w:p>
    <w:p>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（4）病毒发作导致不能进行正常操作的；</w:t>
      </w:r>
    </w:p>
    <w:p>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（5）其他无法保证电子交易的公平、公正和安全的情况。</w:t>
      </w:r>
    </w:p>
    <w:p>
      <w:pPr>
        <w:spacing w:line="360" w:lineRule="auto"/>
        <w:ind w:firstLine="420"/>
        <w:jc w:val="left"/>
        <w:rPr>
          <w:rFonts w:hint="eastAsia"/>
          <w:color w:val="auto"/>
          <w:highlight w:val="none"/>
        </w:rPr>
      </w:pPr>
      <w:r>
        <w:rPr>
          <w:rFonts w:hint="eastAsia" w:ascii="宋体" w:hAnsi="宋体" w:eastAsia="宋体" w:cs="宋体"/>
          <w:color w:val="auto"/>
          <w:sz w:val="24"/>
          <w:szCs w:val="24"/>
          <w:highlight w:val="none"/>
          <w:lang w:val="en-US" w:eastAsia="zh-CN"/>
        </w:rPr>
        <w:t xml:space="preserve">24.5.2 </w:t>
      </w:r>
      <w:r>
        <w:rPr>
          <w:rFonts w:hint="eastAsia" w:ascii="宋体" w:hAnsi="宋体" w:eastAsia="宋体" w:cs="宋体"/>
          <w:color w:val="auto"/>
          <w:sz w:val="24"/>
          <w:szCs w:val="24"/>
          <w:highlight w:val="none"/>
        </w:rPr>
        <w:t>出现27.</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pPr>
        <w:pStyle w:val="3"/>
        <w:spacing w:before="0" w:line="440" w:lineRule="exact"/>
        <w:jc w:val="center"/>
        <w:rPr>
          <w:rFonts w:hint="eastAsia" w:ascii="宋体" w:hAnsi="宋体" w:cs="宋体"/>
          <w:color w:val="auto"/>
          <w:sz w:val="28"/>
          <w:szCs w:val="28"/>
          <w:highlight w:val="none"/>
        </w:rPr>
      </w:pPr>
      <w:bookmarkStart w:id="412" w:name="_Toc6617"/>
      <w:bookmarkStart w:id="413" w:name="_Toc2003"/>
      <w:bookmarkStart w:id="414" w:name="_Toc489197837"/>
      <w:bookmarkStart w:id="415" w:name="_Toc489145733"/>
      <w:bookmarkStart w:id="416" w:name="_Toc19477"/>
      <w:bookmarkStart w:id="417" w:name="_Toc488633609"/>
      <w:bookmarkStart w:id="418" w:name="_Toc22217"/>
      <w:bookmarkStart w:id="419" w:name="_Toc10512"/>
      <w:r>
        <w:rPr>
          <w:rFonts w:hint="eastAsia" w:ascii="宋体" w:hAnsi="宋体" w:cs="宋体"/>
          <w:color w:val="auto"/>
          <w:sz w:val="28"/>
          <w:szCs w:val="28"/>
          <w:highlight w:val="none"/>
        </w:rPr>
        <w:t>六、评标</w:t>
      </w:r>
      <w:bookmarkEnd w:id="412"/>
      <w:bookmarkEnd w:id="413"/>
      <w:bookmarkEnd w:id="414"/>
      <w:bookmarkEnd w:id="415"/>
      <w:bookmarkEnd w:id="416"/>
      <w:bookmarkEnd w:id="417"/>
      <w:bookmarkEnd w:id="418"/>
      <w:bookmarkEnd w:id="419"/>
    </w:p>
    <w:p>
      <w:pPr>
        <w:pStyle w:val="5"/>
        <w:spacing w:before="0" w:after="0" w:line="440" w:lineRule="exact"/>
        <w:ind w:firstLine="0"/>
        <w:rPr>
          <w:rFonts w:hint="eastAsia" w:ascii="宋体" w:hAnsi="宋体" w:cs="宋体"/>
          <w:color w:val="auto"/>
          <w:szCs w:val="24"/>
          <w:highlight w:val="none"/>
        </w:rPr>
      </w:pPr>
      <w:bookmarkStart w:id="420" w:name="_Toc639"/>
      <w:bookmarkStart w:id="421" w:name="_Toc489145734"/>
      <w:bookmarkStart w:id="422" w:name="_Toc12853"/>
      <w:bookmarkStart w:id="423" w:name="_Toc24364"/>
      <w:bookmarkStart w:id="424" w:name="_Toc489197838"/>
      <w:r>
        <w:rPr>
          <w:rFonts w:hint="eastAsia" w:ascii="宋体" w:hAnsi="宋体" w:cs="宋体"/>
          <w:color w:val="auto"/>
          <w:szCs w:val="24"/>
          <w:highlight w:val="none"/>
        </w:rPr>
        <w:t>25. 评标</w:t>
      </w:r>
      <w:bookmarkEnd w:id="420"/>
      <w:bookmarkEnd w:id="421"/>
      <w:bookmarkEnd w:id="422"/>
      <w:bookmarkEnd w:id="423"/>
      <w:bookmarkEnd w:id="424"/>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bookmarkStart w:id="425" w:name="_Toc296602451"/>
      <w:bookmarkStart w:id="426" w:name="_Toc378239356"/>
      <w:bookmarkStart w:id="427" w:name="_Toc480817648"/>
      <w:bookmarkStart w:id="428" w:name="_Toc179632580"/>
      <w:bookmarkStart w:id="429" w:name="_Toc247085720"/>
      <w:bookmarkStart w:id="430" w:name="_Toc1045"/>
      <w:bookmarkStart w:id="431" w:name="_Toc378239083"/>
      <w:bookmarkStart w:id="432" w:name="_Toc246996206"/>
      <w:bookmarkStart w:id="433" w:name="_Toc246996949"/>
      <w:bookmarkStart w:id="434" w:name="_Toc378239175"/>
      <w:bookmarkStart w:id="435" w:name="_Toc152045562"/>
      <w:bookmarkStart w:id="436" w:name="_Toc401342139"/>
      <w:bookmarkStart w:id="437" w:name="_Toc152042338"/>
      <w:bookmarkStart w:id="438" w:name="_Toc144974530"/>
      <w:r>
        <w:rPr>
          <w:rFonts w:hint="eastAsia" w:ascii="宋体" w:hAnsi="宋体" w:cs="宋体"/>
          <w:color w:val="auto"/>
          <w:sz w:val="24"/>
          <w:szCs w:val="24"/>
          <w:highlight w:val="none"/>
        </w:rPr>
        <w:t>25.1</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r>
        <w:rPr>
          <w:rFonts w:hint="eastAsia" w:ascii="宋体" w:hAnsi="宋体" w:cs="宋体"/>
          <w:color w:val="auto"/>
          <w:sz w:val="24"/>
          <w:szCs w:val="24"/>
          <w:highlight w:val="none"/>
        </w:rPr>
        <w:t>开</w:t>
      </w:r>
      <w:bookmarkStart w:id="439" w:name="_Toc246996207"/>
      <w:bookmarkStart w:id="440" w:name="_Toc144974531"/>
      <w:bookmarkStart w:id="441" w:name="_Toc152042339"/>
      <w:bookmarkStart w:id="442" w:name="_Toc179632581"/>
      <w:bookmarkStart w:id="443" w:name="_Toc296602452"/>
      <w:bookmarkStart w:id="444" w:name="_Toc152045563"/>
      <w:bookmarkStart w:id="445" w:name="_Toc247085721"/>
      <w:bookmarkStart w:id="446" w:name="_Toc246996950"/>
      <w:r>
        <w:rPr>
          <w:rFonts w:hint="eastAsia" w:ascii="宋体" w:hAnsi="宋体" w:cs="宋体"/>
          <w:color w:val="auto"/>
          <w:sz w:val="24"/>
          <w:szCs w:val="24"/>
          <w:highlight w:val="none"/>
        </w:rPr>
        <w:t>标结束后，采</w:t>
      </w:r>
      <w:bookmarkEnd w:id="439"/>
      <w:bookmarkEnd w:id="440"/>
      <w:bookmarkEnd w:id="441"/>
      <w:bookmarkEnd w:id="442"/>
      <w:bookmarkEnd w:id="443"/>
      <w:bookmarkEnd w:id="444"/>
      <w:bookmarkEnd w:id="445"/>
      <w:bookmarkEnd w:id="446"/>
      <w:r>
        <w:rPr>
          <w:rFonts w:hint="eastAsia" w:ascii="宋体" w:hAnsi="宋体" w:cs="宋体"/>
          <w:color w:val="auto"/>
          <w:sz w:val="24"/>
          <w:szCs w:val="24"/>
          <w:highlight w:val="none"/>
        </w:rPr>
        <w:t>购人或者采购代理机构将根据招标文件规定，依法对</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的资格进行审查。合格</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不足3家的，不得评标。</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25.2评标委员会由采购人代表和评审专家组成，成员人数为7人及以上单数，其中评审专家不得少于成员总数的三分之二，随机从云南省政府采购专家库中随机抽取。评标委员会应当推选主任，但采购人代表不得担任评标委员会主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25.3采购人委派代表参加评标委员会的，要向采购代理机构出具授权函。除授权代表外，采购人可以委派纪检监察等相关人员进入</w:t>
      </w:r>
      <w:r>
        <w:rPr>
          <w:rFonts w:hint="eastAsia" w:ascii="宋体" w:hAnsi="宋体" w:cs="宋体"/>
          <w:color w:val="auto"/>
          <w:sz w:val="24"/>
          <w:szCs w:val="24"/>
          <w:highlight w:val="none"/>
          <w:lang w:val="en-US" w:eastAsia="zh-CN"/>
        </w:rPr>
        <w:t>监督室</w:t>
      </w:r>
      <w:r>
        <w:rPr>
          <w:rFonts w:hint="eastAsia" w:ascii="宋体" w:hAnsi="宋体" w:cs="宋体"/>
          <w:color w:val="auto"/>
          <w:sz w:val="24"/>
          <w:szCs w:val="24"/>
          <w:highlight w:val="none"/>
        </w:rPr>
        <w:t>，对评审工作实施监督。</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25.4评标活动遵循公平</w:t>
      </w:r>
      <w:bookmarkStart w:id="447" w:name="_Toc144974533"/>
      <w:bookmarkStart w:id="448" w:name="_Toc152045565"/>
      <w:bookmarkStart w:id="449" w:name="_Toc296602454"/>
      <w:bookmarkStart w:id="450" w:name="_Toc179632583"/>
      <w:bookmarkStart w:id="451" w:name="_Toc247085723"/>
      <w:bookmarkStart w:id="452" w:name="_Toc246996209"/>
      <w:bookmarkStart w:id="453" w:name="_Toc246996952"/>
      <w:bookmarkStart w:id="454" w:name="_Toc152042341"/>
      <w:r>
        <w:rPr>
          <w:rFonts w:hint="eastAsia" w:ascii="宋体" w:hAnsi="宋体" w:cs="宋体"/>
          <w:color w:val="auto"/>
          <w:sz w:val="24"/>
          <w:szCs w:val="24"/>
          <w:highlight w:val="none"/>
        </w:rPr>
        <w:t>、公正、科学和择优的原则。</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25.5本项目按”</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须知前附表”规定的评标办法评标。评标委员会各成员</w:t>
      </w:r>
      <w:bookmarkEnd w:id="447"/>
      <w:bookmarkEnd w:id="448"/>
      <w:bookmarkEnd w:id="449"/>
      <w:bookmarkEnd w:id="450"/>
      <w:bookmarkEnd w:id="451"/>
      <w:bookmarkEnd w:id="452"/>
      <w:bookmarkEnd w:id="453"/>
      <w:bookmarkEnd w:id="454"/>
      <w:r>
        <w:rPr>
          <w:rFonts w:hint="eastAsia" w:ascii="宋体" w:hAnsi="宋体" w:cs="宋体"/>
          <w:color w:val="auto"/>
          <w:sz w:val="24"/>
          <w:szCs w:val="24"/>
          <w:highlight w:val="none"/>
        </w:rPr>
        <w:t>根据政府采购法律法规按照招标文件规定的评标办法和标准，独立对符合性审查合格的投标文件进行商务和技术评估，综合比较与评价，并汇总每个</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的得分。招标文件中没有规定的方法、评审因素和标准，不作为评标依据。</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25.6评标过程的保密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bookmarkStart w:id="455" w:name="_Toc417913976"/>
      <w:r>
        <w:rPr>
          <w:rFonts w:hint="eastAsia" w:ascii="宋体" w:hAnsi="宋体" w:cs="宋体"/>
          <w:color w:val="auto"/>
          <w:sz w:val="24"/>
          <w:szCs w:val="24"/>
          <w:highlight w:val="none"/>
        </w:rPr>
        <w:t>25.6.1评标在严格</w:t>
      </w:r>
      <w:bookmarkEnd w:id="455"/>
      <w:r>
        <w:rPr>
          <w:rFonts w:hint="eastAsia" w:ascii="宋体" w:hAnsi="宋体" w:cs="宋体"/>
          <w:color w:val="auto"/>
          <w:sz w:val="24"/>
          <w:szCs w:val="24"/>
          <w:highlight w:val="none"/>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25.6.2任何单位和个人不得非法干预、影响评审工作。采购人、采购代理机构和评审委员会在评审工作中，依法相互监督和制约，并自觉接受财政部门的监督。对非法干预评审工作等违法违规行为，将及时向财政部门报告。</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25.7投标文件中出现含义不明确、同类问题表述不一致或者有明显文字和计算错误的内容，评标委员会将以书面形式要求</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作出必要的澄清、说明或者补正。</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的澄清、说明或者补正应当采用书面形式，并加盖公章，或者由法定代表人（负责人）或其授权的代表签字。</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的澄清、说明或者补正不得超出投标文件的范围或者改变投标文件的实质性内容。</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25.8本项目共设一标段、二标段，共2个标段。</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可根据自身情况报名两个标包，可同时中标。</w:t>
      </w:r>
    </w:p>
    <w:p>
      <w:pPr>
        <w:pStyle w:val="5"/>
        <w:spacing w:before="0" w:after="0" w:line="440" w:lineRule="exact"/>
        <w:ind w:firstLine="0"/>
        <w:rPr>
          <w:rFonts w:hint="eastAsia" w:ascii="宋体" w:hAnsi="宋体" w:cs="宋体"/>
          <w:color w:val="auto"/>
          <w:szCs w:val="24"/>
          <w:highlight w:val="none"/>
        </w:rPr>
      </w:pPr>
      <w:bookmarkStart w:id="456" w:name="_Toc18669"/>
      <w:bookmarkStart w:id="457" w:name="_Toc12274"/>
      <w:bookmarkStart w:id="458" w:name="_Toc489197839"/>
      <w:bookmarkStart w:id="459" w:name="_Toc15359"/>
      <w:bookmarkStart w:id="460" w:name="_Toc489145735"/>
      <w:r>
        <w:rPr>
          <w:rFonts w:hint="eastAsia" w:ascii="宋体" w:hAnsi="宋体" w:cs="宋体"/>
          <w:color w:val="auto"/>
          <w:szCs w:val="24"/>
          <w:highlight w:val="none"/>
        </w:rPr>
        <w:t>★26.有下列情形之一的，视为</w:t>
      </w:r>
      <w:r>
        <w:rPr>
          <w:rFonts w:hint="eastAsia" w:hAnsi="宋体" w:cs="宋体"/>
          <w:color w:val="auto"/>
          <w:szCs w:val="24"/>
          <w:highlight w:val="none"/>
          <w:lang w:eastAsia="zh-CN"/>
        </w:rPr>
        <w:t>供应商</w:t>
      </w:r>
      <w:r>
        <w:rPr>
          <w:rFonts w:hint="eastAsia" w:ascii="宋体" w:hAnsi="宋体" w:cs="宋体"/>
          <w:color w:val="auto"/>
          <w:szCs w:val="24"/>
          <w:highlight w:val="none"/>
        </w:rPr>
        <w:t>串通投标，其投标无效：</w:t>
      </w:r>
      <w:bookmarkEnd w:id="456"/>
      <w:bookmarkEnd w:id="457"/>
      <w:bookmarkEnd w:id="458"/>
      <w:bookmarkEnd w:id="459"/>
      <w:bookmarkEnd w:id="460"/>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（一）不同</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的投标文件由同一单位或者个人编制；</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（二）不同</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委托同一单位或者个人办理投标事宜；</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（三）不同</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的投标文件载明的项目管理成员或者联系人员为同一人；</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（四）不同</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的投标文件异常一致或者投标报价呈规律性差异；</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（五）不同</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的投标文件相互混装；</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（六）不同</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的投标保证金从同一单位或者个人的账户转出。</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应当遵循公平竞争的原则，不得恶意串通，不得妨碍其他</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的竞争行为，不得损害采购人或者其他</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的合法权益。</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在评标过程中发现</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有上述情形的，评标委员会应当认定其投标无效，并书面报告本级财政部门。</w:t>
      </w:r>
    </w:p>
    <w:p>
      <w:pPr>
        <w:pStyle w:val="5"/>
        <w:spacing w:before="0" w:after="0" w:line="440" w:lineRule="exact"/>
        <w:ind w:firstLine="0"/>
        <w:rPr>
          <w:rFonts w:hint="eastAsia" w:ascii="宋体" w:hAnsi="宋体" w:cs="宋体"/>
          <w:color w:val="auto"/>
          <w:szCs w:val="24"/>
          <w:highlight w:val="none"/>
        </w:rPr>
      </w:pPr>
      <w:bookmarkStart w:id="461" w:name="_Toc489197840"/>
      <w:bookmarkStart w:id="462" w:name="_Toc12865"/>
      <w:bookmarkStart w:id="463" w:name="_Toc489145736"/>
      <w:bookmarkStart w:id="464" w:name="_Toc1072"/>
      <w:bookmarkStart w:id="465" w:name="_Toc23006"/>
      <w:r>
        <w:rPr>
          <w:rFonts w:hint="eastAsia" w:ascii="宋体" w:hAnsi="宋体" w:cs="宋体"/>
          <w:color w:val="auto"/>
          <w:szCs w:val="24"/>
          <w:highlight w:val="none"/>
        </w:rPr>
        <w:t>★27.</w:t>
      </w:r>
      <w:r>
        <w:rPr>
          <w:rFonts w:hint="eastAsia" w:ascii="宋体" w:hAnsi="宋体" w:cs="宋体"/>
          <w:b w:val="0"/>
          <w:color w:val="auto"/>
          <w:kern w:val="0"/>
          <w:szCs w:val="24"/>
          <w:highlight w:val="none"/>
        </w:rPr>
        <w:t xml:space="preserve"> </w:t>
      </w:r>
      <w:r>
        <w:rPr>
          <w:rFonts w:hint="eastAsia" w:hAnsi="宋体" w:cs="宋体"/>
          <w:color w:val="auto"/>
          <w:szCs w:val="24"/>
          <w:highlight w:val="none"/>
          <w:lang w:eastAsia="zh-CN"/>
        </w:rPr>
        <w:t>供应商</w:t>
      </w:r>
      <w:r>
        <w:rPr>
          <w:rFonts w:hint="eastAsia" w:ascii="宋体" w:hAnsi="宋体" w:cs="宋体"/>
          <w:color w:val="auto"/>
          <w:szCs w:val="24"/>
          <w:highlight w:val="none"/>
        </w:rPr>
        <w:t>存在下列情</w:t>
      </w:r>
      <w:bookmarkStart w:id="466" w:name="_Toc417913977"/>
      <w:r>
        <w:rPr>
          <w:rFonts w:hint="eastAsia" w:ascii="宋体" w:hAnsi="宋体" w:cs="宋体"/>
          <w:color w:val="auto"/>
          <w:szCs w:val="24"/>
          <w:highlight w:val="none"/>
        </w:rPr>
        <w:t>况之一的，投标无效：</w:t>
      </w:r>
      <w:bookmarkEnd w:id="461"/>
      <w:bookmarkEnd w:id="462"/>
      <w:bookmarkEnd w:id="463"/>
      <w:bookmarkEnd w:id="464"/>
      <w:bookmarkEnd w:id="465"/>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w:t>
      </w:r>
      <w:bookmarkEnd w:id="466"/>
      <w:r>
        <w:rPr>
          <w:rFonts w:hint="eastAsia" w:ascii="宋体" w:hAnsi="宋体" w:cs="宋体"/>
          <w:color w:val="auto"/>
          <w:sz w:val="24"/>
          <w:szCs w:val="24"/>
          <w:highlight w:val="none"/>
        </w:rPr>
        <w:t>投标文件未按招标文件要求签署、盖章的；</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（二）不具备招标文件中规定的资格要求的；</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（三）报价超过招标文件中规定的预算金额或者最高限价的；</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（四）投标文件含有采购人不能接受的附加条件的；</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（五）</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对所投标（包）内所有内容</w:t>
      </w:r>
      <w:r>
        <w:rPr>
          <w:rFonts w:hint="eastAsia" w:ascii="宋体" w:hAnsi="宋体" w:cs="宋体"/>
          <w:color w:val="auto"/>
          <w:sz w:val="24"/>
          <w:szCs w:val="24"/>
          <w:highlight w:val="none"/>
          <w:lang w:val="en-US" w:eastAsia="zh-CN"/>
        </w:rPr>
        <w:t>没有</w:t>
      </w:r>
      <w:r>
        <w:rPr>
          <w:rFonts w:hint="eastAsia" w:ascii="宋体" w:hAnsi="宋体" w:cs="宋体"/>
          <w:color w:val="auto"/>
          <w:sz w:val="24"/>
          <w:szCs w:val="24"/>
          <w:highlight w:val="none"/>
        </w:rPr>
        <w:t>作出完整唯一的投标报价，存在缺项、漏项的。</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（六）法律法规和招标文件规定的其他无效情形。</w:t>
      </w:r>
    </w:p>
    <w:p>
      <w:pPr>
        <w:pStyle w:val="5"/>
        <w:spacing w:before="0" w:after="0" w:line="440" w:lineRule="exact"/>
        <w:ind w:firstLine="0"/>
        <w:rPr>
          <w:rFonts w:hint="eastAsia" w:ascii="宋体" w:hAnsi="宋体" w:cs="宋体"/>
          <w:color w:val="auto"/>
          <w:szCs w:val="24"/>
          <w:highlight w:val="none"/>
        </w:rPr>
      </w:pPr>
      <w:bookmarkStart w:id="467" w:name="_Toc19110"/>
      <w:bookmarkStart w:id="468" w:name="_Toc25933"/>
      <w:bookmarkStart w:id="469" w:name="_Toc8075"/>
      <w:bookmarkStart w:id="470" w:name="_Toc489197841"/>
      <w:bookmarkStart w:id="471" w:name="_Toc489145737"/>
      <w:r>
        <w:rPr>
          <w:rFonts w:hint="eastAsia" w:ascii="宋体" w:hAnsi="宋体" w:cs="宋体"/>
          <w:color w:val="auto"/>
          <w:szCs w:val="24"/>
          <w:highlight w:val="none"/>
        </w:rPr>
        <w:t>28. 在招标采购中，出现下列情形之一的，应予废标：</w:t>
      </w:r>
      <w:bookmarkEnd w:id="467"/>
      <w:bookmarkEnd w:id="468"/>
      <w:bookmarkEnd w:id="469"/>
      <w:bookmarkEnd w:id="470"/>
      <w:bookmarkEnd w:id="471"/>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（一）符合专业条件的供应商或者对招标文件作实质响应的供应商不足三家的；</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（二）出现影响采购公正的违法、违规行为的；</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（三）</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的报价均超过了采购预算，采购人不能支付的；</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（四）因重大变故，采购任务取消的。</w:t>
      </w:r>
    </w:p>
    <w:p>
      <w:pPr>
        <w:spacing w:line="360" w:lineRule="auto"/>
        <w:ind w:left="420" w:leftChars="200" w:firstLine="120" w:firstLineChars="50"/>
        <w:jc w:val="left"/>
        <w:rPr>
          <w:rFonts w:hint="eastAsia" w:ascii="宋体" w:hAnsi="宋体" w:cs="宋体"/>
          <w:color w:val="auto"/>
          <w:szCs w:val="21"/>
          <w:highlight w:val="none"/>
        </w:rPr>
      </w:pPr>
      <w:r>
        <w:rPr>
          <w:rFonts w:hint="eastAsia" w:ascii="宋体" w:hAnsi="宋体" w:cs="宋体"/>
          <w:color w:val="auto"/>
          <w:sz w:val="24"/>
          <w:szCs w:val="24"/>
          <w:highlight w:val="none"/>
        </w:rPr>
        <w:t>废标后，采购人应当将废标理由通知所有</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w:t>
      </w:r>
    </w:p>
    <w:p>
      <w:pPr>
        <w:pStyle w:val="3"/>
        <w:spacing w:before="0" w:line="440" w:lineRule="exact"/>
        <w:jc w:val="center"/>
        <w:rPr>
          <w:rFonts w:hint="eastAsia" w:ascii="宋体" w:hAnsi="宋体" w:cs="宋体"/>
          <w:color w:val="auto"/>
          <w:sz w:val="28"/>
          <w:szCs w:val="28"/>
          <w:highlight w:val="none"/>
        </w:rPr>
      </w:pPr>
      <w:bookmarkStart w:id="472" w:name="_Toc489145738"/>
      <w:bookmarkStart w:id="473" w:name="_Toc19861"/>
      <w:bookmarkStart w:id="474" w:name="_Toc31816"/>
      <w:bookmarkStart w:id="475" w:name="_Toc7311"/>
      <w:bookmarkStart w:id="476" w:name="_Toc11049"/>
      <w:bookmarkStart w:id="477" w:name="_Toc489197842"/>
      <w:bookmarkStart w:id="478" w:name="_Toc488633610"/>
      <w:bookmarkStart w:id="479" w:name="_Toc9642"/>
      <w:r>
        <w:rPr>
          <w:rFonts w:hint="eastAsia" w:ascii="宋体" w:hAnsi="宋体" w:cs="宋体"/>
          <w:color w:val="auto"/>
          <w:sz w:val="28"/>
          <w:szCs w:val="28"/>
          <w:highlight w:val="none"/>
        </w:rPr>
        <w:t>七、中标结果</w:t>
      </w:r>
      <w:bookmarkEnd w:id="472"/>
      <w:bookmarkEnd w:id="473"/>
      <w:bookmarkEnd w:id="474"/>
      <w:bookmarkEnd w:id="475"/>
      <w:bookmarkEnd w:id="476"/>
      <w:bookmarkEnd w:id="477"/>
      <w:bookmarkEnd w:id="478"/>
      <w:bookmarkEnd w:id="479"/>
    </w:p>
    <w:p>
      <w:pPr>
        <w:pStyle w:val="5"/>
        <w:spacing w:before="0" w:after="0" w:line="440" w:lineRule="exact"/>
        <w:ind w:firstLine="0"/>
        <w:rPr>
          <w:rFonts w:hint="eastAsia" w:ascii="宋体" w:hAnsi="宋体" w:cs="宋体"/>
          <w:color w:val="auto"/>
          <w:szCs w:val="24"/>
          <w:highlight w:val="none"/>
        </w:rPr>
      </w:pPr>
      <w:bookmarkStart w:id="480" w:name="_Toc9974"/>
      <w:bookmarkStart w:id="481" w:name="_Toc489145739"/>
      <w:bookmarkStart w:id="482" w:name="_Toc17008"/>
      <w:bookmarkStart w:id="483" w:name="_Toc489197843"/>
      <w:bookmarkStart w:id="484" w:name="_Toc8190"/>
      <w:r>
        <w:rPr>
          <w:rFonts w:hint="eastAsia" w:ascii="宋体" w:hAnsi="宋体" w:cs="宋体"/>
          <w:color w:val="auto"/>
          <w:szCs w:val="24"/>
          <w:highlight w:val="none"/>
        </w:rPr>
        <w:t>29. 中</w:t>
      </w:r>
      <w:bookmarkStart w:id="485" w:name="_Toc144974534"/>
      <w:bookmarkStart w:id="486" w:name="_Toc152042342"/>
      <w:bookmarkStart w:id="487" w:name="_Toc246996210"/>
      <w:bookmarkStart w:id="488" w:name="_Toc296602455"/>
      <w:bookmarkStart w:id="489" w:name="_Toc401342140"/>
      <w:bookmarkStart w:id="490" w:name="_Toc179632584"/>
      <w:bookmarkStart w:id="491" w:name="_Toc378239084"/>
      <w:bookmarkStart w:id="492" w:name="_Toc152045566"/>
      <w:bookmarkStart w:id="493" w:name="_Toc378239176"/>
      <w:bookmarkStart w:id="494" w:name="_Toc378239357"/>
      <w:bookmarkStart w:id="495" w:name="_Toc247085724"/>
      <w:bookmarkStart w:id="496" w:name="_Toc246996953"/>
      <w:bookmarkStart w:id="497" w:name="_Toc13517"/>
      <w:bookmarkStart w:id="498" w:name="_Toc480817649"/>
      <w:r>
        <w:rPr>
          <w:rFonts w:hint="eastAsia" w:ascii="宋体" w:hAnsi="宋体" w:cs="宋体"/>
          <w:color w:val="auto"/>
          <w:szCs w:val="24"/>
          <w:highlight w:val="none"/>
        </w:rPr>
        <w:t>标</w:t>
      </w:r>
      <w:bookmarkEnd w:id="485"/>
      <w:bookmarkEnd w:id="486"/>
      <w:bookmarkEnd w:id="487"/>
      <w:bookmarkEnd w:id="488"/>
      <w:bookmarkEnd w:id="489"/>
      <w:bookmarkEnd w:id="490"/>
      <w:bookmarkEnd w:id="491"/>
      <w:bookmarkEnd w:id="492"/>
      <w:bookmarkEnd w:id="493"/>
      <w:bookmarkEnd w:id="494"/>
      <w:bookmarkEnd w:id="495"/>
      <w:bookmarkEnd w:id="496"/>
      <w:r>
        <w:rPr>
          <w:rFonts w:hint="eastAsia" w:ascii="宋体" w:hAnsi="宋体" w:cs="宋体"/>
          <w:color w:val="auto"/>
          <w:szCs w:val="24"/>
          <w:highlight w:val="none"/>
        </w:rPr>
        <w:t>人的</w:t>
      </w:r>
      <w:bookmarkEnd w:id="497"/>
      <w:bookmarkEnd w:id="498"/>
      <w:r>
        <w:rPr>
          <w:rFonts w:hint="eastAsia" w:ascii="宋体" w:hAnsi="宋体" w:cs="宋体"/>
          <w:color w:val="auto"/>
          <w:szCs w:val="24"/>
          <w:highlight w:val="none"/>
        </w:rPr>
        <w:t>确</w:t>
      </w:r>
      <w:bookmarkStart w:id="499" w:name="_Toc246996954"/>
      <w:bookmarkStart w:id="500" w:name="_Toc246996211"/>
      <w:bookmarkStart w:id="501" w:name="_Toc144974535"/>
      <w:bookmarkStart w:id="502" w:name="_Toc296602456"/>
      <w:bookmarkStart w:id="503" w:name="_Toc152042343"/>
      <w:bookmarkStart w:id="504" w:name="_Toc247085725"/>
      <w:bookmarkStart w:id="505" w:name="_Toc152045567"/>
      <w:bookmarkStart w:id="506" w:name="_Toc179632585"/>
      <w:r>
        <w:rPr>
          <w:rFonts w:hint="eastAsia" w:ascii="宋体" w:hAnsi="宋体" w:cs="宋体"/>
          <w:color w:val="auto"/>
          <w:szCs w:val="24"/>
          <w:highlight w:val="none"/>
        </w:rPr>
        <w:t>定</w:t>
      </w:r>
      <w:bookmarkEnd w:id="480"/>
      <w:bookmarkEnd w:id="481"/>
      <w:bookmarkEnd w:id="482"/>
      <w:bookmarkEnd w:id="483"/>
      <w:bookmarkEnd w:id="484"/>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Start w:id="507" w:name="_Toc417913979"/>
      <w:r>
        <w:rPr>
          <w:rFonts w:hint="eastAsia" w:ascii="宋体" w:hAnsi="宋体" w:cs="宋体"/>
          <w:color w:val="auto"/>
          <w:sz w:val="24"/>
          <w:szCs w:val="24"/>
          <w:highlight w:val="none"/>
        </w:rPr>
        <w:t>9.1采购代理机构应</w:t>
      </w:r>
      <w:bookmarkEnd w:id="499"/>
      <w:bookmarkEnd w:id="500"/>
      <w:bookmarkEnd w:id="501"/>
      <w:bookmarkEnd w:id="502"/>
      <w:bookmarkEnd w:id="503"/>
      <w:bookmarkEnd w:id="504"/>
      <w:bookmarkEnd w:id="505"/>
      <w:bookmarkEnd w:id="506"/>
      <w:bookmarkEnd w:id="507"/>
      <w:r>
        <w:rPr>
          <w:rFonts w:hint="eastAsia" w:ascii="宋体" w:hAnsi="宋体" w:cs="宋体"/>
          <w:color w:val="auto"/>
          <w:sz w:val="24"/>
          <w:szCs w:val="24"/>
          <w:highlight w:val="none"/>
        </w:rPr>
        <w:t>当在评标结束后2个工作日内将评标报告送采购人。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29.2采购人应当自收到评标报告之日起5个工作日内，在评标报告确定的中标候选人名单中按顺序确定中标人。</w:t>
      </w:r>
    </w:p>
    <w:p>
      <w:pPr>
        <w:pStyle w:val="5"/>
        <w:spacing w:before="0" w:after="0" w:line="440" w:lineRule="exact"/>
        <w:ind w:firstLine="0"/>
        <w:rPr>
          <w:rFonts w:hint="eastAsia" w:ascii="宋体" w:hAnsi="宋体" w:cs="宋体"/>
          <w:color w:val="auto"/>
          <w:szCs w:val="24"/>
          <w:highlight w:val="none"/>
        </w:rPr>
      </w:pPr>
      <w:bookmarkStart w:id="508" w:name="_Toc12093"/>
      <w:bookmarkStart w:id="509" w:name="_Toc12919"/>
      <w:bookmarkStart w:id="510" w:name="_Toc9573"/>
      <w:bookmarkStart w:id="511" w:name="_Toc489145740"/>
      <w:bookmarkStart w:id="512" w:name="_Toc489197844"/>
      <w:r>
        <w:rPr>
          <w:rFonts w:hint="eastAsia" w:ascii="宋体" w:hAnsi="宋体" w:cs="宋体"/>
          <w:color w:val="auto"/>
          <w:szCs w:val="24"/>
          <w:highlight w:val="none"/>
        </w:rPr>
        <w:t>30. 中标通知书</w:t>
      </w:r>
      <w:bookmarkEnd w:id="508"/>
      <w:bookmarkEnd w:id="509"/>
      <w:bookmarkEnd w:id="510"/>
      <w:bookmarkEnd w:id="511"/>
      <w:bookmarkEnd w:id="512"/>
    </w:p>
    <w:p>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bookmarkStart w:id="513" w:name="_Toc246996955"/>
      <w:bookmarkStart w:id="514" w:name="_Toc296602458"/>
      <w:bookmarkStart w:id="515" w:name="_Toc144974536"/>
      <w:bookmarkStart w:id="516" w:name="_Toc246996212"/>
      <w:bookmarkStart w:id="517" w:name="_Toc247085726"/>
      <w:bookmarkStart w:id="518" w:name="_Toc152042344"/>
      <w:bookmarkStart w:id="519" w:name="_Toc152045568"/>
      <w:bookmarkStart w:id="520" w:name="_Toc179632586"/>
      <w:r>
        <w:rPr>
          <w:rFonts w:hint="eastAsia" w:ascii="宋体" w:hAnsi="宋体" w:cs="宋体"/>
          <w:color w:val="auto"/>
          <w:sz w:val="24"/>
          <w:szCs w:val="24"/>
          <w:highlight w:val="none"/>
        </w:rPr>
        <w:t>30.1中标人确定之</w:t>
      </w:r>
      <w:bookmarkEnd w:id="513"/>
      <w:bookmarkEnd w:id="514"/>
      <w:bookmarkEnd w:id="515"/>
      <w:bookmarkEnd w:id="516"/>
      <w:bookmarkEnd w:id="517"/>
      <w:bookmarkEnd w:id="518"/>
      <w:bookmarkEnd w:id="519"/>
      <w:bookmarkEnd w:id="520"/>
      <w:r>
        <w:rPr>
          <w:rFonts w:hint="eastAsia" w:ascii="宋体" w:hAnsi="宋体" w:cs="宋体"/>
          <w:color w:val="auto"/>
          <w:sz w:val="24"/>
          <w:szCs w:val="24"/>
          <w:highlight w:val="none"/>
        </w:rPr>
        <w:t>日起</w:t>
      </w:r>
      <w:bookmarkStart w:id="521" w:name="_Toc296602460"/>
      <w:bookmarkStart w:id="522" w:name="_Toc152042346"/>
      <w:bookmarkStart w:id="523" w:name="_Toc246996214"/>
      <w:bookmarkStart w:id="524" w:name="_Toc246996957"/>
      <w:bookmarkStart w:id="525" w:name="_Toc152045570"/>
      <w:bookmarkStart w:id="526" w:name="_Toc144974538"/>
      <w:bookmarkStart w:id="527" w:name="_Toc179632588"/>
      <w:bookmarkStart w:id="528" w:name="_Toc247085728"/>
      <w:r>
        <w:rPr>
          <w:rFonts w:hint="eastAsia" w:ascii="宋体" w:hAnsi="宋体" w:cs="宋体"/>
          <w:color w:val="auto"/>
          <w:sz w:val="24"/>
          <w:szCs w:val="24"/>
          <w:highlight w:val="none"/>
        </w:rPr>
        <w:t>2个工作日内，采购代理机构在发布招标公告同一媒体上公告中标结果，中标公告期限为1个工作日，同时向中标人发出中标通知书。</w:t>
      </w:r>
    </w:p>
    <w:p>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30.2中标通知书是合同的一个组成部分。</w:t>
      </w:r>
    </w:p>
    <w:p>
      <w:pPr>
        <w:pStyle w:val="5"/>
        <w:pageBreakBefore w:val="0"/>
        <w:widowControl w:val="0"/>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宋体" w:hAnsi="宋体" w:cs="宋体"/>
          <w:color w:val="auto"/>
          <w:szCs w:val="24"/>
          <w:highlight w:val="none"/>
        </w:rPr>
      </w:pPr>
      <w:bookmarkStart w:id="529" w:name="_Toc10412"/>
      <w:bookmarkStart w:id="530" w:name="_Toc12166"/>
      <w:bookmarkStart w:id="531" w:name="_Toc26711"/>
      <w:bookmarkStart w:id="532" w:name="_Toc489197845"/>
      <w:bookmarkStart w:id="533" w:name="_Toc489145741"/>
      <w:r>
        <w:rPr>
          <w:rFonts w:hint="eastAsia" w:ascii="宋体" w:hAnsi="宋体" w:cs="宋体"/>
          <w:color w:val="auto"/>
          <w:szCs w:val="24"/>
          <w:highlight w:val="none"/>
        </w:rPr>
        <w:t>31. 签订合同</w:t>
      </w:r>
      <w:bookmarkEnd w:id="529"/>
      <w:bookmarkEnd w:id="530"/>
      <w:bookmarkEnd w:id="531"/>
      <w:bookmarkEnd w:id="532"/>
      <w:bookmarkEnd w:id="533"/>
    </w:p>
    <w:p>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31.1采购人应当自中</w:t>
      </w:r>
      <w:bookmarkEnd w:id="521"/>
      <w:bookmarkEnd w:id="522"/>
      <w:bookmarkEnd w:id="523"/>
      <w:bookmarkEnd w:id="524"/>
      <w:bookmarkEnd w:id="525"/>
      <w:bookmarkEnd w:id="526"/>
      <w:bookmarkEnd w:id="527"/>
      <w:bookmarkEnd w:id="528"/>
      <w:r>
        <w:rPr>
          <w:rFonts w:hint="eastAsia" w:ascii="宋体" w:hAnsi="宋体" w:cs="宋体"/>
          <w:color w:val="auto"/>
          <w:sz w:val="24"/>
          <w:szCs w:val="24"/>
          <w:highlight w:val="none"/>
        </w:rPr>
        <w:t>标通知书发出之日起30日内，按照招标文件和中标人投标文件的规定，与中标人签订书面合同。所签订的合同不得对招标文件确定的事项和中标人投标文件作实质性修改。</w:t>
      </w:r>
    </w:p>
    <w:p>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31.2中标通知书发出后，中标人无正当理由放弃中标或拒签合同的，采购人取消其中标资格，其投标保证金不予退还（若有时）；给采购人造成的损失超过投标保证金数额的，中标人还应当对超过部分予以赔偿。</w:t>
      </w:r>
    </w:p>
    <w:p>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31.4政府采购合同应当包括采购人与中标人的名称和住所、标的、数量、质量、价款或者报酬、履行期限及地点和方式、验收要求、违约责任、解决争议的方法等内容。</w:t>
      </w:r>
    </w:p>
    <w:p>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31.5政府采购合同履行中，采购人需追加与合同标的相同的货物、工程或者服务的，在不改变合同其他条款的前提下，可以与中标人协商签订补充合同，但所有补充合同的采购金额不得超过原合同采购金额的10%。</w:t>
      </w:r>
    </w:p>
    <w:p>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31.6除采购人与中标人在合同中另行商定将中标项目的非主体、非关键性工作分包或中标人在分包意向协议约定分包的，中标人在实施过程中将中标项目分包的，采购人取消其中标资格，其投标保证金不予退还（若有时）；给采购人造成的损失超过投标保证金数额的，中标人还应当对超过部分予以赔偿。</w:t>
      </w:r>
    </w:p>
    <w:p>
      <w:pPr>
        <w:pStyle w:val="5"/>
        <w:ind w:firstLine="0"/>
        <w:rPr>
          <w:rFonts w:hint="eastAsia" w:ascii="宋体" w:hAnsi="宋体" w:cs="宋体"/>
          <w:color w:val="auto"/>
          <w:szCs w:val="24"/>
          <w:highlight w:val="none"/>
        </w:rPr>
      </w:pPr>
      <w:bookmarkStart w:id="534" w:name="_Toc489197846"/>
      <w:bookmarkStart w:id="535" w:name="_Toc26318"/>
      <w:bookmarkStart w:id="536" w:name="_Toc9194"/>
      <w:bookmarkStart w:id="537" w:name="_Toc489145742"/>
      <w:bookmarkStart w:id="538" w:name="_Toc26144"/>
      <w:r>
        <w:rPr>
          <w:rFonts w:hint="eastAsia" w:ascii="宋体" w:hAnsi="宋体" w:cs="宋体"/>
          <w:color w:val="auto"/>
          <w:szCs w:val="24"/>
          <w:highlight w:val="none"/>
        </w:rPr>
        <w:t>32. 履约保证金</w:t>
      </w:r>
      <w:bookmarkEnd w:id="534"/>
      <w:bookmarkEnd w:id="535"/>
      <w:bookmarkEnd w:id="536"/>
      <w:bookmarkEnd w:id="537"/>
      <w:bookmarkEnd w:id="538"/>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w:t>
      </w:r>
      <w:bookmarkStart w:id="539" w:name="_Toc417913982"/>
      <w:r>
        <w:rPr>
          <w:rFonts w:hint="eastAsia" w:ascii="宋体" w:hAnsi="宋体" w:cs="宋体"/>
          <w:color w:val="auto"/>
          <w:sz w:val="24"/>
          <w:szCs w:val="24"/>
          <w:highlight w:val="none"/>
        </w:rPr>
        <w:t>2.1签</w:t>
      </w:r>
      <w:bookmarkEnd w:id="539"/>
      <w:r>
        <w:rPr>
          <w:rFonts w:hint="eastAsia" w:ascii="宋体" w:hAnsi="宋体" w:cs="宋体"/>
          <w:color w:val="auto"/>
          <w:sz w:val="24"/>
          <w:szCs w:val="24"/>
          <w:highlight w:val="none"/>
        </w:rPr>
        <w:t>订合同前，中标人应按《</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须知前附表》上确定的履约保证金的金额及形式，向采购人提交履约保证金，联合体中标的，其履约保证金由牵头人递交。否则，视为放弃中标项目，投标保证金将不予退还。</w:t>
      </w:r>
    </w:p>
    <w:p>
      <w:pPr>
        <w:spacing w:line="360" w:lineRule="auto"/>
        <w:ind w:firstLine="480" w:firstLineChars="200"/>
        <w:jc w:val="left"/>
        <w:rPr>
          <w:rFonts w:hint="eastAsia" w:ascii="宋体" w:hAnsi="宋体" w:cs="宋体"/>
          <w:color w:val="auto"/>
          <w:szCs w:val="21"/>
          <w:highlight w:val="none"/>
        </w:rPr>
      </w:pPr>
      <w:r>
        <w:rPr>
          <w:rFonts w:hint="eastAsia" w:ascii="宋体" w:hAnsi="宋体" w:cs="宋体"/>
          <w:color w:val="auto"/>
          <w:sz w:val="24"/>
          <w:szCs w:val="24"/>
          <w:highlight w:val="none"/>
        </w:rPr>
        <w:t>32.2签订合同后，如中标人不按双方签订合同约定履约，则没收其全部履约保证金，给采购人造成的损失超过履约保证金数额的，中标人还应当对超过部分予以赔偿。</w:t>
      </w:r>
    </w:p>
    <w:p>
      <w:pPr>
        <w:rPr>
          <w:rFonts w:hint="eastAsia" w:ascii="宋体" w:hAnsi="宋体" w:cs="宋体"/>
          <w:color w:val="auto"/>
          <w:sz w:val="28"/>
          <w:szCs w:val="28"/>
          <w:highlight w:val="none"/>
        </w:rPr>
      </w:pPr>
      <w:bookmarkStart w:id="540" w:name="_Toc489145743"/>
      <w:bookmarkStart w:id="541" w:name="_Toc3381"/>
      <w:bookmarkStart w:id="542" w:name="_Toc489197847"/>
      <w:bookmarkStart w:id="543" w:name="_Toc26237"/>
      <w:bookmarkStart w:id="544" w:name="_Toc488633611"/>
      <w:r>
        <w:rPr>
          <w:rFonts w:hint="eastAsia" w:ascii="宋体" w:hAnsi="宋体" w:cs="宋体"/>
          <w:color w:val="auto"/>
          <w:sz w:val="28"/>
          <w:szCs w:val="28"/>
          <w:highlight w:val="none"/>
        </w:rPr>
        <w:br w:type="page"/>
      </w:r>
    </w:p>
    <w:p>
      <w:pPr>
        <w:pStyle w:val="3"/>
        <w:spacing w:before="0" w:line="440" w:lineRule="exact"/>
        <w:jc w:val="center"/>
        <w:rPr>
          <w:rFonts w:hint="eastAsia" w:ascii="宋体" w:hAnsi="宋体" w:cs="宋体"/>
          <w:color w:val="auto"/>
          <w:sz w:val="28"/>
          <w:szCs w:val="28"/>
          <w:highlight w:val="none"/>
        </w:rPr>
      </w:pPr>
      <w:bookmarkStart w:id="545" w:name="_Toc20350"/>
      <w:bookmarkStart w:id="546" w:name="_Toc20598"/>
      <w:bookmarkStart w:id="547" w:name="_Toc14707"/>
      <w:r>
        <w:rPr>
          <w:rFonts w:hint="eastAsia" w:ascii="宋体" w:hAnsi="宋体" w:cs="宋体"/>
          <w:color w:val="auto"/>
          <w:sz w:val="28"/>
          <w:szCs w:val="28"/>
          <w:highlight w:val="none"/>
        </w:rPr>
        <w:t>八、其他事项</w:t>
      </w:r>
      <w:bookmarkEnd w:id="540"/>
      <w:bookmarkEnd w:id="541"/>
      <w:bookmarkEnd w:id="542"/>
      <w:bookmarkEnd w:id="543"/>
      <w:bookmarkEnd w:id="544"/>
      <w:bookmarkEnd w:id="545"/>
      <w:bookmarkEnd w:id="546"/>
      <w:bookmarkEnd w:id="547"/>
    </w:p>
    <w:p>
      <w:pPr>
        <w:pStyle w:val="5"/>
        <w:ind w:firstLine="0"/>
        <w:rPr>
          <w:rFonts w:hint="eastAsia" w:hAnsi="宋体" w:cs="宋体"/>
          <w:color w:val="auto"/>
          <w:szCs w:val="24"/>
          <w:highlight w:val="none"/>
          <w:lang w:eastAsia="zh-CN"/>
        </w:rPr>
      </w:pPr>
      <w:bookmarkStart w:id="548" w:name="_Toc982"/>
      <w:bookmarkStart w:id="549" w:name="_Toc489197848"/>
      <w:bookmarkStart w:id="550" w:name="_Toc6345"/>
      <w:bookmarkStart w:id="551" w:name="_Toc3466"/>
      <w:bookmarkStart w:id="552" w:name="_Toc489145744"/>
      <w:r>
        <w:rPr>
          <w:rFonts w:hint="eastAsia" w:ascii="宋体" w:hAnsi="宋体" w:cs="宋体"/>
          <w:color w:val="auto"/>
          <w:szCs w:val="24"/>
          <w:highlight w:val="none"/>
        </w:rPr>
        <w:t xml:space="preserve">33. </w:t>
      </w:r>
      <w:bookmarkEnd w:id="548"/>
      <w:bookmarkEnd w:id="549"/>
      <w:bookmarkEnd w:id="550"/>
      <w:bookmarkEnd w:id="551"/>
      <w:bookmarkEnd w:id="552"/>
      <w:r>
        <w:rPr>
          <w:rFonts w:hint="eastAsia" w:hAnsi="宋体" w:cs="宋体"/>
          <w:color w:val="auto"/>
          <w:szCs w:val="24"/>
          <w:highlight w:val="none"/>
          <w:lang w:eastAsia="zh-CN"/>
        </w:rPr>
        <w:t>中标服务费</w:t>
      </w:r>
    </w:p>
    <w:p>
      <w:pPr>
        <w:spacing w:line="360" w:lineRule="auto"/>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p>
    <w:p>
      <w:pPr>
        <w:pStyle w:val="5"/>
        <w:ind w:firstLine="0"/>
        <w:rPr>
          <w:rFonts w:hint="eastAsia" w:ascii="宋体" w:hAnsi="宋体" w:cs="宋体"/>
          <w:color w:val="auto"/>
          <w:szCs w:val="24"/>
          <w:highlight w:val="none"/>
        </w:rPr>
      </w:pPr>
      <w:bookmarkStart w:id="553" w:name="_Toc29381"/>
      <w:bookmarkStart w:id="554" w:name="_Toc12317"/>
      <w:bookmarkStart w:id="555" w:name="_Toc489197849"/>
      <w:bookmarkStart w:id="556" w:name="_Toc489145745"/>
      <w:bookmarkStart w:id="557" w:name="_Toc22455"/>
      <w:r>
        <w:rPr>
          <w:rFonts w:hint="eastAsia" w:ascii="宋体" w:hAnsi="宋体" w:cs="宋体"/>
          <w:color w:val="auto"/>
          <w:szCs w:val="24"/>
          <w:highlight w:val="none"/>
        </w:rPr>
        <w:t>34. 招标文件编制依据</w:t>
      </w:r>
      <w:bookmarkEnd w:id="553"/>
      <w:bookmarkEnd w:id="554"/>
      <w:bookmarkEnd w:id="555"/>
      <w:bookmarkEnd w:id="556"/>
      <w:bookmarkEnd w:id="557"/>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34.1本招标文件根据《中华人民共和国政府采购法》《中华人民共和国政府采购法实施条例》《政府采购货物和服务招标投标管理办法》（财政部令第87号）等有关法律法规编制，解释权属于采购人、采购代理机构。</w:t>
      </w:r>
    </w:p>
    <w:p>
      <w:pPr>
        <w:pStyle w:val="5"/>
        <w:ind w:firstLine="0"/>
        <w:rPr>
          <w:rFonts w:hint="eastAsia" w:ascii="宋体" w:hAnsi="宋体" w:cs="宋体"/>
          <w:color w:val="auto"/>
          <w:szCs w:val="24"/>
          <w:highlight w:val="none"/>
        </w:rPr>
      </w:pPr>
      <w:bookmarkStart w:id="558" w:name="_Toc489197850"/>
      <w:bookmarkStart w:id="559" w:name="_Toc3198"/>
      <w:bookmarkStart w:id="560" w:name="_Toc8988"/>
      <w:bookmarkStart w:id="561" w:name="_Toc489145746"/>
      <w:bookmarkStart w:id="562" w:name="_Toc12548"/>
      <w:r>
        <w:rPr>
          <w:rFonts w:hint="eastAsia" w:ascii="宋体" w:hAnsi="宋体" w:cs="宋体"/>
          <w:color w:val="auto"/>
          <w:szCs w:val="24"/>
          <w:highlight w:val="none"/>
        </w:rPr>
        <w:t>35. 需要补充的其他内容</w:t>
      </w:r>
      <w:bookmarkEnd w:id="558"/>
      <w:bookmarkEnd w:id="559"/>
      <w:bookmarkEnd w:id="560"/>
      <w:bookmarkEnd w:id="561"/>
      <w:bookmarkEnd w:id="562"/>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35.1关于中小企业：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35.1.1中小微企业执行《关于印发〈政府采购促进中小企业发展管理办法〉的通知》（财库〔2020〕46号）、《财政部关于进一步加大政府采购支持中小企业力度的通知》云财采〔2022〕9号。</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35.1.2符合中小企业划分标准的个体工商户，在政府采购活动中视同中小企业。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根据《关于印发中小企业划型标准规定的通知》精神（工信部联企业〔2011〕300号），各行业划型标准为：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（十六）其他未列明行业。从业人员300人以下的为中小微型企业。其中，从业人员100人及以上的为中型企业；从业人员10人及以上的为小型企业；从业人员10人以下的为微型企业。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本项目所有标段属于的行业划分为：批发业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填写《中小企业声明函》时可对应填写，行业标准划分，以有关部门即时发布的最新标准为准。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35.1.3中、小、微型企业的须提供《中小企业声明函》，如不为中、小、微型企业的可不需填写。</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35.2关于监狱企业：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35.2.2监狱企业参加政府采购活动时，应当提供由省级以上监狱管理局、戒毒管理局（含新疆生产建设兵团）出具的属于监狱企业的证明文件。</w:t>
      </w:r>
    </w:p>
    <w:p>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35.2.3监狱企业等同于中小微企业。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35.3关于残疾人福利性单位：</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35.3.1根据《三部门联合发布关于促进残疾人就业政府采购政策的通知》（财库〔2017〕141号）的规定，享受政府采购支持政策的残疾人福利性单位应当同时满足以下条件：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（一）安置的残疾人占本单位在职职工人数的比例不低于25%（含25%），并且安置的残疾人人数不少于10人（含10人）；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（二）依法与安置的每位残疾人签订了一年以上（含一年）的劳动合同或服务协议；</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（三）为安置的每位残疾人按月足额缴纳了基本养老保险、基本医疗保险、失业保险、工伤保险和生育保险等社会保险费；</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（四）通过银行等金融机构向安置的每位残疾人，按月支付了不低于单位所在区县适用的经省级人民政府批准的月最低工资标准的工资；</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35.3.2符合条件的残疾人福利性单位在参加政府采购活动时，应当按《三部门联合发布关于促进残疾人就业政府采购政策的通知》（财库〔2017〕141号）提供规定的《残疾人福利性单位声明函》，并对声明的真实性负责，若提供的《残疾人福利性单位声明函》与事实不符的，依照《政府采购法》第七十七条第一款的规定追究法律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35.3.3残疾人福利性单位等同于中小微企业。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35.4其他需要补充的其他内容：详见《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w:t>
      </w:r>
      <w:bookmarkStart w:id="563" w:name="_Toc152042355"/>
      <w:bookmarkStart w:id="564" w:name="_Toc144974546"/>
    </w:p>
    <w:p>
      <w:pPr>
        <w:spacing w:line="360" w:lineRule="auto"/>
        <w:ind w:left="420" w:leftChars="200"/>
        <w:jc w:val="left"/>
        <w:rPr>
          <w:rFonts w:hint="eastAsia" w:ascii="宋体" w:hAnsi="宋体" w:cs="宋体"/>
          <w:color w:val="auto"/>
          <w:szCs w:val="21"/>
          <w:highlight w:val="none"/>
        </w:rPr>
      </w:pPr>
    </w:p>
    <w:bookmarkEnd w:id="563"/>
    <w:bookmarkEnd w:id="564"/>
    <w:p>
      <w:pPr>
        <w:widowControl/>
        <w:jc w:val="left"/>
        <w:rPr>
          <w:rFonts w:hint="eastAsia" w:ascii="宋体" w:hAnsi="宋体" w:cs="宋体"/>
          <w:color w:val="auto"/>
          <w:szCs w:val="32"/>
          <w:highlight w:val="none"/>
        </w:rPr>
      </w:pPr>
      <w:bookmarkStart w:id="565" w:name="_Toc489145747"/>
      <w:bookmarkStart w:id="566" w:name="_Toc489197851"/>
    </w:p>
    <w:p>
      <w:pPr>
        <w:pStyle w:val="2"/>
        <w:rPr>
          <w:rStyle w:val="27"/>
          <w:rFonts w:hint="eastAsia" w:ascii="宋体" w:hAnsi="宋体" w:cs="宋体"/>
          <w:b/>
          <w:color w:val="auto"/>
          <w:highlight w:val="none"/>
        </w:rPr>
      </w:pPr>
      <w:bookmarkStart w:id="567" w:name="_Toc28828"/>
      <w:bookmarkStart w:id="568" w:name="_Toc15526"/>
      <w:bookmarkStart w:id="569" w:name="_Toc13601"/>
      <w:r>
        <w:rPr>
          <w:rStyle w:val="27"/>
          <w:rFonts w:hint="eastAsia" w:ascii="宋体" w:hAnsi="宋体" w:cs="宋体"/>
          <w:b/>
          <w:color w:val="auto"/>
          <w:highlight w:val="none"/>
        </w:rPr>
        <w:t>第三章 合同书样式及主要条款</w:t>
      </w:r>
      <w:bookmarkEnd w:id="567"/>
      <w:bookmarkEnd w:id="568"/>
      <w:bookmarkEnd w:id="569"/>
    </w:p>
    <w:p>
      <w:pPr>
        <w:pStyle w:val="3"/>
        <w:jc w:val="center"/>
        <w:rPr>
          <w:rFonts w:hint="eastAsia" w:ascii="宋体" w:hAnsi="宋体" w:cs="宋体"/>
          <w:b w:val="0"/>
          <w:color w:val="auto"/>
          <w:sz w:val="28"/>
          <w:szCs w:val="28"/>
          <w:highlight w:val="none"/>
        </w:rPr>
      </w:pPr>
      <w:bookmarkStart w:id="570" w:name="_Toc481694842"/>
      <w:bookmarkStart w:id="571" w:name="_Toc488633613"/>
      <w:bookmarkStart w:id="572" w:name="_Toc213141091"/>
      <w:bookmarkStart w:id="573" w:name="_Toc21991"/>
      <w:bookmarkStart w:id="574" w:name="_Toc489197852"/>
      <w:bookmarkStart w:id="575" w:name="_Toc26720"/>
      <w:bookmarkStart w:id="576" w:name="_Toc489145748"/>
      <w:bookmarkStart w:id="577" w:name="_Toc16876"/>
      <w:bookmarkStart w:id="578" w:name="_Toc27740"/>
      <w:bookmarkStart w:id="579" w:name="_Toc19314"/>
      <w:r>
        <w:rPr>
          <w:rFonts w:hint="eastAsia" w:ascii="宋体" w:hAnsi="宋体" w:cs="宋体"/>
          <w:b w:val="0"/>
          <w:color w:val="auto"/>
          <w:sz w:val="28"/>
          <w:szCs w:val="28"/>
          <w:highlight w:val="none"/>
        </w:rPr>
        <w:t>合同条款前附表</w:t>
      </w:r>
      <w:bookmarkEnd w:id="570"/>
      <w:bookmarkEnd w:id="571"/>
      <w:bookmarkEnd w:id="572"/>
      <w:bookmarkEnd w:id="573"/>
      <w:bookmarkEnd w:id="574"/>
      <w:bookmarkEnd w:id="575"/>
      <w:bookmarkEnd w:id="576"/>
      <w:bookmarkEnd w:id="577"/>
      <w:bookmarkEnd w:id="578"/>
      <w:bookmarkEnd w:id="579"/>
    </w:p>
    <w:bookmarkEnd w:id="565"/>
    <w:bookmarkEnd w:id="566"/>
    <w:tbl>
      <w:tblPr>
        <w:tblStyle w:val="21"/>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81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96" w:type="dxa"/>
            <w:vAlign w:val="center"/>
          </w:tcPr>
          <w:p>
            <w:pPr>
              <w:pStyle w:val="11"/>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8145" w:type="dxa"/>
            <w:vAlign w:val="center"/>
          </w:tcPr>
          <w:p>
            <w:pPr>
              <w:pStyle w:val="11"/>
              <w:spacing w:line="360" w:lineRule="auto"/>
              <w:ind w:firstLine="241" w:firstLineChars="1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796" w:type="dxa"/>
            <w:vAlign w:val="center"/>
          </w:tcPr>
          <w:p>
            <w:pPr>
              <w:pStyle w:val="11"/>
              <w:spacing w:line="360" w:lineRule="auto"/>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8145" w:type="dxa"/>
            <w:vAlign w:val="center"/>
          </w:tcPr>
          <w:p>
            <w:pPr>
              <w:pStyle w:val="11"/>
              <w:spacing w:line="360" w:lineRule="auto"/>
              <w:ind w:firstLine="241" w:firstLineChars="100"/>
              <w:jc w:val="left"/>
              <w:rPr>
                <w:rFonts w:hint="eastAsia" w:ascii="宋体" w:hAnsi="宋体" w:cs="宋体"/>
                <w:color w:val="auto"/>
                <w:sz w:val="24"/>
                <w:highlight w:val="none"/>
              </w:rPr>
            </w:pPr>
            <w:r>
              <w:rPr>
                <w:rFonts w:hint="eastAsia" w:ascii="宋体" w:hAnsi="宋体" w:cs="宋体"/>
                <w:b/>
                <w:bCs/>
                <w:color w:val="auto"/>
                <w:sz w:val="24"/>
                <w:highlight w:val="none"/>
              </w:rPr>
              <w:t>履行期限：</w:t>
            </w:r>
            <w:r>
              <w:rPr>
                <w:rFonts w:hint="eastAsia" w:ascii="宋体" w:hAnsi="宋体" w:cs="宋体"/>
                <w:color w:val="auto"/>
                <w:sz w:val="24"/>
                <w:highlight w:val="none"/>
              </w:rPr>
              <w:t>三年（本次项目执行“一招三年”，即在年度预算能保障的前提下，采购人可以签订不超过三年履行期限的政府采购合同，合同一年一签）</w:t>
            </w:r>
          </w:p>
          <w:p>
            <w:pPr>
              <w:pStyle w:val="11"/>
              <w:spacing w:line="360" w:lineRule="auto"/>
              <w:ind w:firstLine="241" w:firstLineChars="100"/>
              <w:jc w:val="left"/>
              <w:rPr>
                <w:rFonts w:hint="eastAsia" w:ascii="宋体" w:hAnsi="宋体" w:cs="宋体"/>
                <w:color w:val="auto"/>
                <w:sz w:val="24"/>
                <w:highlight w:val="none"/>
              </w:rPr>
            </w:pPr>
            <w:r>
              <w:rPr>
                <w:rFonts w:hint="eastAsia" w:ascii="宋体" w:hAnsi="宋体" w:cs="宋体"/>
                <w:b/>
                <w:bCs/>
                <w:color w:val="auto"/>
                <w:sz w:val="24"/>
                <w:highlight w:val="none"/>
              </w:rPr>
              <w:t>交货地点：</w:t>
            </w:r>
            <w:r>
              <w:rPr>
                <w:rFonts w:hint="eastAsia" w:ascii="宋体" w:hAnsi="宋体" w:cs="宋体"/>
                <w:color w:val="auto"/>
                <w:sz w:val="24"/>
                <w:highlight w:val="none"/>
              </w:rPr>
              <w:t>各标段对应的学校地点。</w:t>
            </w:r>
          </w:p>
          <w:p>
            <w:pPr>
              <w:pStyle w:val="11"/>
              <w:spacing w:line="360" w:lineRule="auto"/>
              <w:ind w:firstLine="241" w:firstLineChars="100"/>
              <w:jc w:val="left"/>
              <w:rPr>
                <w:rFonts w:hint="eastAsia" w:ascii="宋体" w:hAnsi="宋体" w:cs="宋体"/>
                <w:color w:val="auto"/>
                <w:sz w:val="24"/>
                <w:highlight w:val="none"/>
              </w:rPr>
            </w:pPr>
            <w:r>
              <w:rPr>
                <w:rFonts w:hint="eastAsia" w:ascii="宋体" w:hAnsi="宋体" w:cs="宋体"/>
                <w:b/>
                <w:bCs/>
                <w:color w:val="auto"/>
                <w:sz w:val="24"/>
                <w:highlight w:val="none"/>
              </w:rPr>
              <w:t>质量要求：</w:t>
            </w:r>
            <w:r>
              <w:rPr>
                <w:rFonts w:hint="eastAsia" w:ascii="宋体" w:hAnsi="宋体" w:cs="宋体"/>
                <w:color w:val="auto"/>
                <w:sz w:val="24"/>
                <w:highlight w:val="none"/>
              </w:rPr>
              <w:t>符合《中华人民共和国产品质量法》、《中华人民共和国农产品质量安全法》、《中华人民共和国消费者权益保护法》和相关质量检测检验标准及地方的相关法律法规要求及采购人需求。</w:t>
            </w:r>
          </w:p>
          <w:p>
            <w:pPr>
              <w:pStyle w:val="11"/>
              <w:spacing w:line="360" w:lineRule="auto"/>
              <w:ind w:firstLine="241" w:firstLineChars="100"/>
              <w:jc w:val="left"/>
              <w:rPr>
                <w:rFonts w:hint="eastAsia" w:ascii="宋体" w:hAnsi="宋体" w:cs="宋体"/>
                <w:color w:val="auto"/>
                <w:highlight w:val="none"/>
              </w:rPr>
            </w:pPr>
            <w:r>
              <w:rPr>
                <w:rFonts w:hint="eastAsia" w:ascii="宋体" w:hAnsi="宋体" w:cs="宋体"/>
                <w:b/>
                <w:bCs/>
                <w:color w:val="auto"/>
                <w:sz w:val="24"/>
                <w:highlight w:val="none"/>
              </w:rPr>
              <w:t>配送方式：</w:t>
            </w:r>
            <w:r>
              <w:rPr>
                <w:rFonts w:hint="eastAsia" w:ascii="宋体" w:hAnsi="宋体" w:cs="宋体"/>
                <w:color w:val="auto"/>
                <w:sz w:val="24"/>
                <w:highlight w:val="none"/>
              </w:rPr>
              <w:t>根据不同产品类别及学校规模，在满足学生就餐需要的前提下，按时配送到学校库房</w:t>
            </w:r>
            <w:r>
              <w:rPr>
                <w:rFonts w:hint="eastAsia" w:ascii="宋体" w:hAnsi="宋体" w:eastAsia="宋体" w:cs="宋体"/>
                <w:color w:val="auto"/>
                <w:sz w:val="24"/>
                <w:highlight w:val="none"/>
              </w:rPr>
              <w:t>，具体配送时间及次数与学校商</w:t>
            </w:r>
            <w:r>
              <w:rPr>
                <w:rFonts w:hint="eastAsia" w:ascii="宋体" w:hAnsi="宋体" w:cs="宋体"/>
                <w:color w:val="auto"/>
                <w:sz w:val="24"/>
                <w:highlight w:val="none"/>
              </w:rPr>
              <w:t>议，但必须确保学校食品新鲜、优质、安全可靠。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796" w:type="dxa"/>
            <w:vAlign w:val="center"/>
          </w:tcPr>
          <w:p>
            <w:pPr>
              <w:pStyle w:val="11"/>
              <w:spacing w:line="360" w:lineRule="auto"/>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8145" w:type="dxa"/>
            <w:vAlign w:val="center"/>
          </w:tcPr>
          <w:p>
            <w:pPr>
              <w:pStyle w:val="11"/>
              <w:spacing w:line="400" w:lineRule="exact"/>
              <w:ind w:left="210" w:leftChars="1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履约保证金金额：合同价的5%。</w:t>
            </w:r>
          </w:p>
          <w:p>
            <w:pPr>
              <w:pStyle w:val="11"/>
              <w:spacing w:line="400" w:lineRule="exact"/>
              <w:ind w:firstLine="240" w:firstLineChars="100"/>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履约担保形式：支票、汇票、本票或者金融机构、担保机构出具的保函等非现金形式提交</w:t>
            </w:r>
            <w:r>
              <w:rPr>
                <w:rFonts w:hint="eastAsia" w:hAnsi="宋体" w:cs="宋体"/>
                <w:bCs/>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6" w:type="dxa"/>
            <w:vAlign w:val="center"/>
          </w:tcPr>
          <w:p>
            <w:pPr>
              <w:pStyle w:val="11"/>
              <w:spacing w:line="360" w:lineRule="auto"/>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8145" w:type="dxa"/>
            <w:vAlign w:val="center"/>
          </w:tcPr>
          <w:p>
            <w:pPr>
              <w:pStyle w:val="11"/>
              <w:spacing w:line="360" w:lineRule="auto"/>
              <w:ind w:firstLine="241" w:firstLineChars="100"/>
              <w:jc w:val="left"/>
              <w:rPr>
                <w:rFonts w:hint="eastAsia" w:ascii="宋体" w:hAnsi="宋体" w:cs="宋体"/>
                <w:b/>
                <w:bCs/>
                <w:color w:val="auto"/>
                <w:sz w:val="24"/>
                <w:highlight w:val="none"/>
              </w:rPr>
            </w:pPr>
            <w:r>
              <w:rPr>
                <w:rFonts w:hint="eastAsia" w:ascii="宋体" w:hAnsi="宋体" w:cs="宋体"/>
                <w:b/>
                <w:bCs/>
                <w:color w:val="auto"/>
                <w:sz w:val="24"/>
                <w:szCs w:val="24"/>
                <w:highlight w:val="none"/>
              </w:rPr>
              <w:t>合同款项支付：配送的食材经学校验收合格后，每月结算一次，按中标优惠下浮率结算。次月5日内由学校、供应商共同核实配送量后办齐相关付款手续（清单、发票等），于10日前由学校将款项支付至中标供应商账户，节假日顺延，严禁发生现金交易。</w:t>
            </w:r>
          </w:p>
        </w:tc>
      </w:tr>
    </w:tbl>
    <w:p>
      <w:pPr>
        <w:rPr>
          <w:rFonts w:hint="eastAsia" w:ascii="宋体" w:hAnsi="宋体" w:cs="宋体"/>
          <w:b/>
          <w:bCs/>
          <w:color w:val="auto"/>
          <w:sz w:val="24"/>
          <w:highlight w:val="none"/>
        </w:rPr>
      </w:pPr>
      <w:r>
        <w:rPr>
          <w:rFonts w:hint="eastAsia" w:ascii="宋体" w:hAnsi="宋体" w:cs="宋体"/>
          <w:b/>
          <w:bCs/>
          <w:color w:val="auto"/>
          <w:sz w:val="24"/>
          <w:highlight w:val="none"/>
        </w:rPr>
        <w:br w:type="page"/>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（合同封皮须用”云南省政府采购网”系统生成为准）</w:t>
      </w:r>
    </w:p>
    <w:p>
      <w:pPr>
        <w:pStyle w:val="9"/>
        <w:rPr>
          <w:rFonts w:hint="eastAsia" w:ascii="宋体" w:hAnsi="宋体" w:cs="宋体"/>
          <w:color w:val="auto"/>
          <w:highlight w:val="none"/>
        </w:rPr>
      </w:pP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合同编号：                  合同自编号：          </w:t>
      </w:r>
      <w:r>
        <w:rPr>
          <w:rFonts w:hint="eastAsia" w:ascii="宋体" w:hAnsi="宋体" w:cs="宋体"/>
          <w:color w:val="auto"/>
          <w:sz w:val="24"/>
          <w:szCs w:val="24"/>
          <w:highlight w:val="none"/>
          <w:lang w:eastAsia="zh-CN"/>
        </w:rPr>
        <w:t>项目编号</w:t>
      </w:r>
      <w:r>
        <w:rPr>
          <w:rFonts w:hint="eastAsia" w:ascii="宋体" w:hAnsi="宋体" w:cs="宋体"/>
          <w:color w:val="auto"/>
          <w:sz w:val="24"/>
          <w:szCs w:val="24"/>
          <w:highlight w:val="none"/>
        </w:rPr>
        <w:t xml:space="preserve">： </w:t>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pPr>
        <w:spacing w:after="240"/>
        <w:rPr>
          <w:rFonts w:hint="eastAsia" w:ascii="宋体" w:hAnsi="宋体" w:cs="宋体"/>
          <w:color w:val="auto"/>
          <w:sz w:val="24"/>
          <w:szCs w:val="24"/>
          <w:highlight w:val="none"/>
        </w:rPr>
      </w:pPr>
      <w:r>
        <w:rPr>
          <w:rFonts w:hint="eastAsia" w:ascii="宋体" w:hAnsi="宋体" w:cs="宋体"/>
          <w:color w:val="auto"/>
          <w:sz w:val="24"/>
          <w:szCs w:val="24"/>
          <w:highlight w:val="none"/>
        </w:rPr>
        <w:t>●本合同须加盖甲乙双方骑缝章有效</w:t>
      </w:r>
    </w:p>
    <w:p>
      <w:pPr>
        <w:snapToGrid w:val="0"/>
        <w:spacing w:after="24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 </w:t>
      </w:r>
    </w:p>
    <w:p>
      <w:pPr>
        <w:snapToGrid w:val="0"/>
        <w:spacing w:after="240"/>
        <w:jc w:val="center"/>
        <w:rPr>
          <w:rFonts w:hint="eastAsia" w:ascii="宋体" w:hAnsi="宋体" w:cs="宋体"/>
          <w:color w:val="auto"/>
          <w:sz w:val="39"/>
          <w:szCs w:val="39"/>
          <w:highlight w:val="none"/>
        </w:rPr>
      </w:pPr>
      <w:r>
        <w:rPr>
          <w:rFonts w:hint="eastAsia" w:ascii="宋体" w:hAnsi="宋体" w:cs="宋体"/>
          <w:color w:val="auto"/>
          <w:sz w:val="39"/>
          <w:szCs w:val="39"/>
          <w:highlight w:val="none"/>
        </w:rPr>
        <w:t xml:space="preserve"> </w:t>
      </w:r>
    </w:p>
    <w:p>
      <w:pPr>
        <w:snapToGrid w:val="0"/>
        <w:spacing w:after="240"/>
        <w:jc w:val="center"/>
        <w:rPr>
          <w:rFonts w:hint="eastAsia" w:ascii="宋体" w:hAnsi="宋体" w:cs="宋体"/>
          <w:color w:val="auto"/>
          <w:sz w:val="18"/>
          <w:szCs w:val="18"/>
          <w:highlight w:val="none"/>
        </w:rPr>
      </w:pPr>
      <w:r>
        <w:rPr>
          <w:rFonts w:hint="eastAsia" w:ascii="宋体" w:hAnsi="宋体" w:cs="宋体"/>
          <w:color w:val="auto"/>
          <w:sz w:val="39"/>
          <w:szCs w:val="39"/>
          <w:highlight w:val="none"/>
        </w:rPr>
        <w:t>云南省省级政府采购</w:t>
      </w:r>
    </w:p>
    <w:p>
      <w:pPr>
        <w:snapToGrid w:val="0"/>
        <w:spacing w:after="240"/>
        <w:jc w:val="center"/>
        <w:rPr>
          <w:rFonts w:hint="eastAsia" w:ascii="宋体" w:hAnsi="宋体" w:cs="宋体"/>
          <w:color w:val="auto"/>
          <w:sz w:val="18"/>
          <w:szCs w:val="18"/>
          <w:highlight w:val="none"/>
        </w:rPr>
      </w:pPr>
      <w:r>
        <w:rPr>
          <w:rFonts w:hint="eastAsia" w:ascii="宋体" w:hAnsi="宋体" w:cs="宋体"/>
          <w:color w:val="auto"/>
          <w:sz w:val="33"/>
          <w:szCs w:val="33"/>
          <w:highlight w:val="none"/>
        </w:rPr>
        <w:t>（委托采购）</w:t>
      </w:r>
      <w:r>
        <w:rPr>
          <w:rFonts w:hint="eastAsia" w:ascii="宋体" w:hAnsi="宋体" w:cs="宋体"/>
          <w:color w:val="auto"/>
          <w:sz w:val="18"/>
          <w:szCs w:val="18"/>
          <w:highlight w:val="none"/>
        </w:rPr>
        <w:t xml:space="preserve"> </w:t>
      </w:r>
    </w:p>
    <w:p>
      <w:pPr>
        <w:snapToGrid w:val="0"/>
        <w:spacing w:after="240"/>
        <w:jc w:val="center"/>
        <w:rPr>
          <w:rFonts w:hint="eastAsia" w:ascii="宋体" w:hAnsi="宋体" w:cs="宋体"/>
          <w:color w:val="auto"/>
          <w:sz w:val="39"/>
          <w:szCs w:val="39"/>
          <w:highlight w:val="none"/>
        </w:rPr>
      </w:pPr>
      <w:r>
        <w:rPr>
          <w:rFonts w:hint="eastAsia" w:ascii="宋体" w:hAnsi="宋体" w:cs="宋体"/>
          <w:color w:val="auto"/>
          <w:sz w:val="39"/>
          <w:szCs w:val="39"/>
          <w:highlight w:val="none"/>
        </w:rPr>
        <w:t xml:space="preserve"> </w:t>
      </w:r>
    </w:p>
    <w:p>
      <w:pPr>
        <w:snapToGrid w:val="0"/>
        <w:spacing w:after="240" w:line="900" w:lineRule="exact"/>
        <w:jc w:val="center"/>
        <w:rPr>
          <w:rFonts w:hint="eastAsia" w:ascii="宋体" w:hAnsi="宋体" w:cs="宋体"/>
          <w:color w:val="auto"/>
          <w:sz w:val="18"/>
          <w:szCs w:val="18"/>
          <w:highlight w:val="none"/>
        </w:rPr>
      </w:pPr>
      <w:r>
        <w:rPr>
          <w:rFonts w:hint="eastAsia" w:ascii="宋体" w:hAnsi="宋体" w:cs="宋体"/>
          <w:color w:val="auto"/>
          <w:sz w:val="63"/>
          <w:szCs w:val="63"/>
          <w:highlight w:val="none"/>
        </w:rPr>
        <w:t>合</w:t>
      </w:r>
      <w:r>
        <w:rPr>
          <w:rFonts w:hint="eastAsia" w:ascii="宋体" w:hAnsi="宋体" w:cs="宋体"/>
          <w:color w:val="auto"/>
          <w:sz w:val="18"/>
          <w:szCs w:val="18"/>
          <w:highlight w:val="none"/>
        </w:rPr>
        <w:t xml:space="preserve"> </w:t>
      </w:r>
    </w:p>
    <w:p>
      <w:pP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pPr>
        <w:snapToGrid w:val="0"/>
        <w:spacing w:after="240" w:line="900" w:lineRule="exact"/>
        <w:jc w:val="center"/>
        <w:rPr>
          <w:rFonts w:hint="eastAsia" w:ascii="宋体" w:hAnsi="宋体" w:cs="宋体"/>
          <w:color w:val="auto"/>
          <w:sz w:val="63"/>
          <w:szCs w:val="63"/>
          <w:highlight w:val="none"/>
        </w:rPr>
      </w:pPr>
      <w:r>
        <w:rPr>
          <w:rFonts w:hint="eastAsia" w:ascii="宋体" w:hAnsi="宋体" w:cs="宋体"/>
          <w:color w:val="auto"/>
          <w:sz w:val="63"/>
          <w:szCs w:val="63"/>
          <w:highlight w:val="none"/>
        </w:rPr>
        <w:t>同</w:t>
      </w:r>
    </w:p>
    <w:p>
      <w:pP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pPr>
        <w:snapToGrid w:val="0"/>
        <w:spacing w:after="240" w:line="900" w:lineRule="exact"/>
        <w:jc w:val="center"/>
        <w:rPr>
          <w:rFonts w:hint="eastAsia" w:ascii="宋体" w:hAnsi="宋体" w:cs="宋体"/>
          <w:color w:val="auto"/>
          <w:sz w:val="18"/>
          <w:szCs w:val="18"/>
          <w:highlight w:val="none"/>
        </w:rPr>
      </w:pPr>
      <w:r>
        <w:rPr>
          <w:rFonts w:hint="eastAsia" w:ascii="宋体" w:hAnsi="宋体" w:cs="宋体"/>
          <w:color w:val="auto"/>
          <w:sz w:val="63"/>
          <w:szCs w:val="63"/>
          <w:highlight w:val="none"/>
        </w:rPr>
        <w:t>书</w:t>
      </w:r>
      <w:r>
        <w:rPr>
          <w:rFonts w:hint="eastAsia" w:ascii="宋体" w:hAnsi="宋体" w:cs="宋体"/>
          <w:color w:val="auto"/>
          <w:sz w:val="18"/>
          <w:szCs w:val="18"/>
          <w:highlight w:val="none"/>
        </w:rPr>
        <w:t xml:space="preserve"> </w:t>
      </w:r>
    </w:p>
    <w:p>
      <w:pPr>
        <w:snapToGrid w:val="0"/>
        <w:spacing w:after="240"/>
        <w:jc w:val="center"/>
        <w:rPr>
          <w:rFonts w:hint="eastAsia" w:ascii="宋体" w:hAnsi="宋体" w:cs="宋体"/>
          <w:b/>
          <w:bCs/>
          <w:color w:val="auto"/>
          <w:sz w:val="27"/>
          <w:szCs w:val="27"/>
          <w:highlight w:val="none"/>
        </w:rPr>
      </w:pPr>
      <w:r>
        <w:rPr>
          <w:rFonts w:hint="eastAsia" w:ascii="宋体" w:hAnsi="宋体" w:cs="宋体"/>
          <w:b/>
          <w:bCs/>
          <w:color w:val="auto"/>
          <w:sz w:val="27"/>
          <w:szCs w:val="27"/>
          <w:highlight w:val="none"/>
        </w:rPr>
        <w:t xml:space="preserve"> </w:t>
      </w:r>
    </w:p>
    <w:p>
      <w:pPr>
        <w:snapToGrid w:val="0"/>
        <w:spacing w:after="240"/>
        <w:jc w:val="center"/>
        <w:rPr>
          <w:rFonts w:hint="eastAsia" w:ascii="宋体" w:hAnsi="宋体" w:cs="宋体"/>
          <w:b/>
          <w:bCs/>
          <w:color w:val="auto"/>
          <w:sz w:val="27"/>
          <w:szCs w:val="27"/>
          <w:highlight w:val="none"/>
        </w:rPr>
      </w:pPr>
      <w:r>
        <w:rPr>
          <w:rFonts w:hint="eastAsia" w:ascii="宋体" w:hAnsi="宋体" w:cs="宋体"/>
          <w:b/>
          <w:bCs/>
          <w:color w:val="auto"/>
          <w:sz w:val="27"/>
          <w:szCs w:val="27"/>
          <w:highlight w:val="none"/>
        </w:rPr>
        <w:t xml:space="preserve"> </w:t>
      </w:r>
    </w:p>
    <w:p>
      <w:pPr>
        <w:snapToGrid w:val="0"/>
        <w:spacing w:after="240"/>
        <w:ind w:firstLine="2667" w:firstLineChars="984"/>
        <w:rPr>
          <w:rFonts w:hint="eastAsia" w:ascii="宋体" w:hAnsi="宋体" w:cs="宋体"/>
          <w:color w:val="auto"/>
          <w:sz w:val="18"/>
          <w:szCs w:val="18"/>
          <w:highlight w:val="none"/>
        </w:rPr>
      </w:pPr>
      <w:r>
        <w:rPr>
          <w:rFonts w:hint="eastAsia" w:ascii="宋体" w:hAnsi="宋体" w:cs="宋体"/>
          <w:b/>
          <w:bCs/>
          <w:color w:val="auto"/>
          <w:sz w:val="27"/>
          <w:szCs w:val="27"/>
          <w:highlight w:val="none"/>
        </w:rPr>
        <w:t xml:space="preserve">签订地点： </w:t>
      </w:r>
      <w:r>
        <w:rPr>
          <w:rFonts w:hint="eastAsia" w:ascii="宋体" w:hAnsi="宋体" w:cs="宋体"/>
          <w:color w:val="auto"/>
          <w:sz w:val="18"/>
          <w:szCs w:val="18"/>
          <w:highlight w:val="none"/>
        </w:rPr>
        <w:t xml:space="preserve"> </w:t>
      </w:r>
    </w:p>
    <w:p>
      <w:pPr>
        <w:snapToGrid w:val="0"/>
        <w:spacing w:after="240"/>
        <w:ind w:firstLine="2667" w:firstLineChars="984"/>
        <w:rPr>
          <w:rFonts w:hint="eastAsia" w:ascii="宋体" w:hAnsi="宋体" w:cs="宋体"/>
          <w:b/>
          <w:bCs/>
          <w:color w:val="auto"/>
          <w:sz w:val="27"/>
          <w:szCs w:val="27"/>
          <w:highlight w:val="none"/>
        </w:rPr>
      </w:pPr>
    </w:p>
    <w:p>
      <w:pPr>
        <w:snapToGrid w:val="0"/>
        <w:spacing w:after="240"/>
        <w:jc w:val="center"/>
        <w:rPr>
          <w:rFonts w:hint="eastAsia" w:ascii="宋体" w:hAnsi="宋体" w:cs="宋体"/>
          <w:b/>
          <w:bCs/>
          <w:color w:val="auto"/>
          <w:sz w:val="27"/>
          <w:szCs w:val="27"/>
          <w:highlight w:val="none"/>
        </w:rPr>
      </w:pPr>
      <w:r>
        <w:rPr>
          <w:rFonts w:hint="eastAsia" w:ascii="宋体" w:hAnsi="宋体" w:cs="宋体"/>
          <w:b/>
          <w:bCs/>
          <w:color w:val="auto"/>
          <w:sz w:val="27"/>
          <w:szCs w:val="27"/>
          <w:highlight w:val="none"/>
        </w:rPr>
        <w:t>云南省财政厅  制</w:t>
      </w:r>
    </w:p>
    <w:p>
      <w:pPr>
        <w:tabs>
          <w:tab w:val="left" w:pos="4460"/>
        </w:tabs>
        <w:spacing w:line="263" w:lineRule="exact"/>
        <w:ind w:left="1600"/>
        <w:rPr>
          <w:rFonts w:hint="eastAsia" w:ascii="宋体" w:hAnsi="宋体" w:cs="宋体"/>
          <w:b/>
          <w:bCs/>
          <w:color w:val="auto"/>
          <w:sz w:val="27"/>
          <w:szCs w:val="27"/>
          <w:highlight w:val="none"/>
        </w:rPr>
      </w:pPr>
      <w:r>
        <w:rPr>
          <w:rFonts w:hint="eastAsia" w:ascii="宋体" w:hAnsi="宋体" w:cs="宋体"/>
          <w:b/>
          <w:bCs/>
          <w:color w:val="auto"/>
          <w:sz w:val="27"/>
          <w:szCs w:val="27"/>
          <w:highlight w:val="none"/>
        </w:rPr>
        <w:br w:type="page"/>
      </w:r>
    </w:p>
    <w:p>
      <w:pPr>
        <w:tabs>
          <w:tab w:val="left" w:pos="4460"/>
        </w:tabs>
        <w:spacing w:line="263" w:lineRule="exact"/>
        <w:ind w:left="1600"/>
        <w:rPr>
          <w:rFonts w:hint="eastAsia" w:ascii="宋体" w:hAnsi="宋体" w:cs="宋体"/>
          <w:color w:val="auto"/>
          <w:sz w:val="20"/>
          <w:highlight w:val="none"/>
        </w:rPr>
      </w:pPr>
      <w:r>
        <w:rPr>
          <w:rFonts w:hint="eastAsia" w:ascii="宋体" w:hAnsi="宋体" w:cs="宋体"/>
          <w:b/>
          <w:bCs/>
          <w:color w:val="auto"/>
          <w:sz w:val="23"/>
          <w:szCs w:val="23"/>
          <w:highlight w:val="none"/>
        </w:rPr>
        <w:t xml:space="preserve">甲方（采购人公章）名称： </w:t>
      </w:r>
    </w:p>
    <w:p>
      <w:pPr>
        <w:spacing w:line="223" w:lineRule="exact"/>
        <w:rPr>
          <w:rFonts w:hint="eastAsia" w:ascii="宋体" w:hAnsi="宋体" w:cs="宋体"/>
          <w:color w:val="auto"/>
          <w:sz w:val="20"/>
          <w:highlight w:val="none"/>
        </w:rPr>
      </w:pPr>
    </w:p>
    <w:p>
      <w:pPr>
        <w:tabs>
          <w:tab w:val="left" w:pos="2180"/>
        </w:tabs>
        <w:spacing w:line="274" w:lineRule="exact"/>
        <w:ind w:left="1600"/>
        <w:rPr>
          <w:rFonts w:hint="eastAsia" w:ascii="宋体" w:hAnsi="宋体" w:cs="宋体"/>
          <w:color w:val="auto"/>
          <w:sz w:val="24"/>
          <w:szCs w:val="24"/>
          <w:highlight w:val="none"/>
        </w:rPr>
      </w:pPr>
      <w:r>
        <w:rPr>
          <w:rFonts w:hint="eastAsia" w:ascii="宋体" w:hAnsi="宋体" w:cs="宋体"/>
          <w:color w:val="auto"/>
          <w:sz w:val="24"/>
          <w:szCs w:val="24"/>
          <w:highlight w:val="none"/>
        </w:rPr>
        <w:t>地</w:t>
      </w:r>
      <w:r>
        <w:rPr>
          <w:rFonts w:hint="eastAsia" w:ascii="宋体" w:hAnsi="宋体" w:cs="宋体"/>
          <w:color w:val="auto"/>
          <w:sz w:val="24"/>
          <w:szCs w:val="24"/>
          <w:highlight w:val="none"/>
        </w:rPr>
        <w:tab/>
      </w:r>
      <w:r>
        <w:rPr>
          <w:rFonts w:hint="eastAsia" w:ascii="宋体" w:hAnsi="宋体" w:cs="宋体"/>
          <w:color w:val="auto"/>
          <w:sz w:val="24"/>
          <w:szCs w:val="24"/>
          <w:highlight w:val="none"/>
        </w:rPr>
        <w:t>址：</w:t>
      </w:r>
    </w:p>
    <w:p>
      <w:pPr>
        <w:tabs>
          <w:tab w:val="left" w:pos="2180"/>
        </w:tabs>
        <w:spacing w:line="274" w:lineRule="exact"/>
        <w:ind w:left="1600"/>
        <w:rPr>
          <w:rFonts w:hint="eastAsia" w:ascii="宋体" w:hAnsi="宋体" w:cs="宋体"/>
          <w:color w:val="auto"/>
          <w:sz w:val="24"/>
          <w:szCs w:val="24"/>
          <w:highlight w:val="none"/>
        </w:rPr>
      </w:pPr>
    </w:p>
    <w:p>
      <w:pPr>
        <w:tabs>
          <w:tab w:val="left" w:pos="2180"/>
        </w:tabs>
        <w:spacing w:line="274" w:lineRule="exact"/>
        <w:ind w:left="1600"/>
        <w:rPr>
          <w:rFonts w:hint="eastAsia" w:ascii="宋体" w:hAnsi="宋体" w:cs="宋体"/>
          <w:color w:val="auto"/>
          <w:sz w:val="24"/>
          <w:szCs w:val="24"/>
          <w:highlight w:val="none"/>
        </w:rPr>
      </w:pPr>
      <w:r>
        <w:rPr>
          <w:rFonts w:hint="eastAsia" w:ascii="宋体" w:hAnsi="宋体" w:cs="宋体"/>
          <w:color w:val="auto"/>
          <w:sz w:val="24"/>
          <w:szCs w:val="24"/>
          <w:highlight w:val="none"/>
        </w:rPr>
        <w:t>邮</w:t>
      </w:r>
      <w:r>
        <w:rPr>
          <w:rFonts w:hint="eastAsia" w:ascii="宋体" w:hAnsi="宋体" w:cs="宋体"/>
          <w:color w:val="auto"/>
          <w:sz w:val="24"/>
          <w:szCs w:val="24"/>
          <w:highlight w:val="none"/>
        </w:rPr>
        <w:tab/>
      </w:r>
      <w:r>
        <w:rPr>
          <w:rFonts w:hint="eastAsia" w:ascii="宋体" w:hAnsi="宋体" w:cs="宋体"/>
          <w:color w:val="auto"/>
          <w:sz w:val="24"/>
          <w:szCs w:val="24"/>
          <w:highlight w:val="none"/>
        </w:rPr>
        <w:t>编：</w:t>
      </w:r>
    </w:p>
    <w:p>
      <w:pPr>
        <w:tabs>
          <w:tab w:val="left" w:pos="2180"/>
        </w:tabs>
        <w:spacing w:line="274" w:lineRule="exact"/>
        <w:ind w:left="1600"/>
        <w:rPr>
          <w:rFonts w:hint="eastAsia" w:ascii="宋体" w:hAnsi="宋体" w:cs="宋体"/>
          <w:color w:val="auto"/>
          <w:sz w:val="24"/>
          <w:szCs w:val="24"/>
          <w:highlight w:val="none"/>
        </w:rPr>
      </w:pPr>
    </w:p>
    <w:p>
      <w:pPr>
        <w:tabs>
          <w:tab w:val="left" w:pos="2180"/>
        </w:tabs>
        <w:spacing w:line="274" w:lineRule="exact"/>
        <w:ind w:left="16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法定代表人或委托代理人：</w:t>
      </w:r>
    </w:p>
    <w:p>
      <w:pPr>
        <w:tabs>
          <w:tab w:val="left" w:pos="2180"/>
        </w:tabs>
        <w:spacing w:line="274" w:lineRule="exact"/>
        <w:ind w:left="1600"/>
        <w:rPr>
          <w:rFonts w:hint="eastAsia" w:ascii="宋体" w:hAnsi="宋体" w:cs="宋体"/>
          <w:color w:val="auto"/>
          <w:sz w:val="24"/>
          <w:szCs w:val="24"/>
          <w:highlight w:val="none"/>
        </w:rPr>
      </w:pPr>
    </w:p>
    <w:p>
      <w:pPr>
        <w:tabs>
          <w:tab w:val="left" w:pos="2180"/>
        </w:tabs>
        <w:spacing w:line="274" w:lineRule="exact"/>
        <w:ind w:left="1600"/>
        <w:rPr>
          <w:rFonts w:hint="eastAsia" w:ascii="宋体" w:hAnsi="宋体" w:cs="宋体"/>
          <w:color w:val="auto"/>
          <w:sz w:val="24"/>
          <w:szCs w:val="24"/>
          <w:highlight w:val="none"/>
        </w:rPr>
      </w:pPr>
      <w:r>
        <w:rPr>
          <w:rFonts w:hint="eastAsia" w:ascii="宋体" w:hAnsi="宋体" w:cs="宋体"/>
          <w:color w:val="auto"/>
          <w:sz w:val="24"/>
          <w:szCs w:val="24"/>
          <w:highlight w:val="none"/>
        </w:rPr>
        <w:t>项目（技术）负责人：</w:t>
      </w:r>
    </w:p>
    <w:p>
      <w:pPr>
        <w:tabs>
          <w:tab w:val="left" w:pos="2180"/>
        </w:tabs>
        <w:spacing w:line="274" w:lineRule="exact"/>
        <w:ind w:left="1600"/>
        <w:rPr>
          <w:rFonts w:hint="eastAsia" w:ascii="宋体" w:hAnsi="宋体" w:cs="宋体"/>
          <w:color w:val="auto"/>
          <w:sz w:val="24"/>
          <w:szCs w:val="24"/>
          <w:highlight w:val="none"/>
        </w:rPr>
      </w:pPr>
    </w:p>
    <w:p>
      <w:pPr>
        <w:tabs>
          <w:tab w:val="left" w:pos="2180"/>
        </w:tabs>
        <w:spacing w:line="274" w:lineRule="exact"/>
        <w:ind w:left="1600"/>
        <w:rPr>
          <w:rFonts w:hint="eastAsia" w:ascii="宋体" w:hAnsi="宋体" w:cs="宋体"/>
          <w:color w:val="auto"/>
          <w:sz w:val="24"/>
          <w:szCs w:val="24"/>
          <w:highlight w:val="none"/>
        </w:rPr>
      </w:pPr>
      <w:r>
        <w:rPr>
          <w:rFonts w:hint="eastAsia" w:ascii="宋体" w:hAnsi="宋体" w:cs="宋体"/>
          <w:color w:val="auto"/>
          <w:sz w:val="24"/>
          <w:szCs w:val="24"/>
          <w:highlight w:val="none"/>
        </w:rPr>
        <w:t>签订日期：</w:t>
      </w:r>
    </w:p>
    <w:p>
      <w:pPr>
        <w:spacing w:line="200" w:lineRule="exact"/>
        <w:rPr>
          <w:rFonts w:hint="eastAsia" w:ascii="宋体" w:hAnsi="宋体" w:cs="宋体"/>
          <w:color w:val="auto"/>
          <w:sz w:val="20"/>
          <w:highlight w:val="none"/>
        </w:rPr>
      </w:pPr>
    </w:p>
    <w:p>
      <w:pPr>
        <w:spacing w:line="200" w:lineRule="exact"/>
        <w:rPr>
          <w:rFonts w:hint="eastAsia" w:ascii="宋体" w:hAnsi="宋体" w:cs="宋体"/>
          <w:color w:val="auto"/>
          <w:sz w:val="20"/>
          <w:highlight w:val="none"/>
        </w:rPr>
      </w:pPr>
    </w:p>
    <w:p>
      <w:pPr>
        <w:pStyle w:val="9"/>
        <w:rPr>
          <w:rFonts w:hint="eastAsia" w:ascii="宋体" w:hAnsi="宋体" w:cs="宋体"/>
          <w:color w:val="auto"/>
          <w:highlight w:val="none"/>
        </w:rPr>
      </w:pPr>
    </w:p>
    <w:p>
      <w:pPr>
        <w:spacing w:line="214" w:lineRule="exact"/>
        <w:rPr>
          <w:rFonts w:hint="eastAsia" w:ascii="宋体" w:hAnsi="宋体" w:cs="宋体"/>
          <w:color w:val="auto"/>
          <w:sz w:val="20"/>
          <w:highlight w:val="none"/>
        </w:rPr>
      </w:pPr>
    </w:p>
    <w:p>
      <w:pPr>
        <w:tabs>
          <w:tab w:val="left" w:pos="4460"/>
        </w:tabs>
        <w:spacing w:line="274" w:lineRule="exact"/>
        <w:ind w:left="1600"/>
        <w:rPr>
          <w:rFonts w:hint="eastAsia" w:ascii="宋体" w:hAnsi="宋体" w:cs="宋体"/>
          <w:b/>
          <w:bCs/>
          <w:color w:val="auto"/>
          <w:sz w:val="20"/>
          <w:highlight w:val="none"/>
        </w:rPr>
      </w:pPr>
      <w:r>
        <w:rPr>
          <w:rFonts w:hint="eastAsia" w:ascii="宋体" w:hAnsi="宋体" w:cs="宋体"/>
          <w:b/>
          <w:bCs/>
          <w:color w:val="auto"/>
          <w:sz w:val="24"/>
          <w:szCs w:val="24"/>
          <w:highlight w:val="none"/>
        </w:rPr>
        <w:t>乙方（供应商公章）名称：</w:t>
      </w:r>
    </w:p>
    <w:p>
      <w:pPr>
        <w:spacing w:line="223" w:lineRule="exact"/>
        <w:rPr>
          <w:rFonts w:hint="eastAsia" w:ascii="宋体" w:hAnsi="宋体" w:cs="宋体"/>
          <w:color w:val="auto"/>
          <w:sz w:val="20"/>
          <w:highlight w:val="none"/>
        </w:rPr>
      </w:pPr>
    </w:p>
    <w:p>
      <w:pPr>
        <w:tabs>
          <w:tab w:val="left" w:pos="2180"/>
        </w:tabs>
        <w:spacing w:line="274" w:lineRule="exact"/>
        <w:ind w:left="1600"/>
        <w:rPr>
          <w:rFonts w:hint="eastAsia" w:ascii="宋体" w:hAnsi="宋体" w:cs="宋体"/>
          <w:color w:val="auto"/>
          <w:sz w:val="24"/>
          <w:szCs w:val="24"/>
          <w:highlight w:val="none"/>
        </w:rPr>
      </w:pPr>
      <w:r>
        <w:rPr>
          <w:rFonts w:hint="eastAsia" w:ascii="宋体" w:hAnsi="宋体" w:cs="宋体"/>
          <w:color w:val="auto"/>
          <w:sz w:val="24"/>
          <w:szCs w:val="24"/>
          <w:highlight w:val="none"/>
        </w:rPr>
        <w:t>地</w:t>
      </w:r>
      <w:r>
        <w:rPr>
          <w:rFonts w:hint="eastAsia" w:ascii="宋体" w:hAnsi="宋体" w:cs="宋体"/>
          <w:color w:val="auto"/>
          <w:sz w:val="24"/>
          <w:szCs w:val="24"/>
          <w:highlight w:val="none"/>
        </w:rPr>
        <w:tab/>
      </w:r>
      <w:r>
        <w:rPr>
          <w:rFonts w:hint="eastAsia" w:ascii="宋体" w:hAnsi="宋体" w:cs="宋体"/>
          <w:color w:val="auto"/>
          <w:sz w:val="24"/>
          <w:szCs w:val="24"/>
          <w:highlight w:val="none"/>
        </w:rPr>
        <w:t>址：</w:t>
      </w:r>
    </w:p>
    <w:p>
      <w:pPr>
        <w:tabs>
          <w:tab w:val="left" w:pos="2180"/>
        </w:tabs>
        <w:spacing w:line="274" w:lineRule="exact"/>
        <w:ind w:left="1600"/>
        <w:rPr>
          <w:rFonts w:hint="eastAsia" w:ascii="宋体" w:hAnsi="宋体" w:cs="宋体"/>
          <w:color w:val="auto"/>
          <w:sz w:val="24"/>
          <w:szCs w:val="24"/>
          <w:highlight w:val="none"/>
        </w:rPr>
      </w:pPr>
    </w:p>
    <w:p>
      <w:pPr>
        <w:tabs>
          <w:tab w:val="left" w:pos="2180"/>
        </w:tabs>
        <w:spacing w:line="274" w:lineRule="exact"/>
        <w:ind w:left="1600"/>
        <w:rPr>
          <w:rFonts w:hint="eastAsia" w:ascii="宋体" w:hAnsi="宋体" w:cs="宋体"/>
          <w:color w:val="auto"/>
          <w:sz w:val="24"/>
          <w:szCs w:val="24"/>
          <w:highlight w:val="none"/>
        </w:rPr>
      </w:pPr>
      <w:r>
        <w:rPr>
          <w:rFonts w:hint="eastAsia" w:ascii="宋体" w:hAnsi="宋体" w:cs="宋体"/>
          <w:color w:val="auto"/>
          <w:sz w:val="24"/>
          <w:szCs w:val="24"/>
          <w:highlight w:val="none"/>
        </w:rPr>
        <w:t>邮</w:t>
      </w:r>
      <w:r>
        <w:rPr>
          <w:rFonts w:hint="eastAsia" w:ascii="宋体" w:hAnsi="宋体" w:cs="宋体"/>
          <w:color w:val="auto"/>
          <w:sz w:val="24"/>
          <w:szCs w:val="24"/>
          <w:highlight w:val="none"/>
        </w:rPr>
        <w:tab/>
      </w:r>
      <w:r>
        <w:rPr>
          <w:rFonts w:hint="eastAsia" w:ascii="宋体" w:hAnsi="宋体" w:cs="宋体"/>
          <w:color w:val="auto"/>
          <w:sz w:val="24"/>
          <w:szCs w:val="24"/>
          <w:highlight w:val="none"/>
        </w:rPr>
        <w:t>编：</w:t>
      </w:r>
    </w:p>
    <w:p>
      <w:pPr>
        <w:tabs>
          <w:tab w:val="left" w:pos="2180"/>
        </w:tabs>
        <w:spacing w:line="274" w:lineRule="exact"/>
        <w:ind w:left="1600"/>
        <w:rPr>
          <w:rFonts w:hint="eastAsia" w:ascii="宋体" w:hAnsi="宋体" w:cs="宋体"/>
          <w:color w:val="auto"/>
          <w:sz w:val="24"/>
          <w:szCs w:val="24"/>
          <w:highlight w:val="none"/>
        </w:rPr>
      </w:pPr>
    </w:p>
    <w:p>
      <w:pPr>
        <w:tabs>
          <w:tab w:val="left" w:pos="2180"/>
        </w:tabs>
        <w:spacing w:line="274" w:lineRule="exact"/>
        <w:ind w:left="16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法定代表人或委托代理人：</w:t>
      </w:r>
    </w:p>
    <w:p>
      <w:pPr>
        <w:tabs>
          <w:tab w:val="left" w:pos="2180"/>
        </w:tabs>
        <w:spacing w:line="274" w:lineRule="exact"/>
        <w:ind w:left="1600"/>
        <w:rPr>
          <w:rFonts w:hint="eastAsia" w:ascii="宋体" w:hAnsi="宋体" w:cs="宋体"/>
          <w:color w:val="auto"/>
          <w:sz w:val="24"/>
          <w:szCs w:val="24"/>
          <w:highlight w:val="none"/>
        </w:rPr>
      </w:pPr>
    </w:p>
    <w:p>
      <w:pPr>
        <w:tabs>
          <w:tab w:val="left" w:pos="2180"/>
        </w:tabs>
        <w:spacing w:line="274" w:lineRule="exact"/>
        <w:ind w:left="1600"/>
        <w:rPr>
          <w:rFonts w:hint="eastAsia" w:ascii="宋体" w:hAnsi="宋体" w:cs="宋体"/>
          <w:color w:val="auto"/>
          <w:sz w:val="24"/>
          <w:szCs w:val="24"/>
          <w:highlight w:val="none"/>
        </w:rPr>
      </w:pPr>
      <w:r>
        <w:rPr>
          <w:rFonts w:hint="eastAsia" w:ascii="宋体" w:hAnsi="宋体" w:cs="宋体"/>
          <w:color w:val="auto"/>
          <w:sz w:val="24"/>
          <w:szCs w:val="24"/>
          <w:highlight w:val="none"/>
        </w:rPr>
        <w:t>电</w:t>
      </w:r>
      <w:r>
        <w:rPr>
          <w:rFonts w:hint="eastAsia" w:ascii="宋体" w:hAnsi="宋体" w:cs="宋体"/>
          <w:color w:val="auto"/>
          <w:sz w:val="24"/>
          <w:szCs w:val="24"/>
          <w:highlight w:val="none"/>
        </w:rPr>
        <w:tab/>
      </w:r>
      <w:r>
        <w:rPr>
          <w:rFonts w:hint="eastAsia" w:ascii="宋体" w:hAnsi="宋体" w:cs="宋体"/>
          <w:color w:val="auto"/>
          <w:sz w:val="24"/>
          <w:szCs w:val="24"/>
          <w:highlight w:val="none"/>
        </w:rPr>
        <w:t>话：</w:t>
      </w:r>
    </w:p>
    <w:p>
      <w:pPr>
        <w:tabs>
          <w:tab w:val="left" w:pos="2180"/>
        </w:tabs>
        <w:spacing w:line="274" w:lineRule="exact"/>
        <w:ind w:left="1600"/>
        <w:rPr>
          <w:rFonts w:hint="eastAsia" w:ascii="宋体" w:hAnsi="宋体" w:cs="宋体"/>
          <w:color w:val="auto"/>
          <w:sz w:val="24"/>
          <w:szCs w:val="24"/>
          <w:highlight w:val="none"/>
        </w:rPr>
      </w:pPr>
    </w:p>
    <w:p>
      <w:pPr>
        <w:tabs>
          <w:tab w:val="left" w:pos="2180"/>
        </w:tabs>
        <w:spacing w:line="274" w:lineRule="exact"/>
        <w:ind w:left="1600"/>
        <w:rPr>
          <w:rFonts w:hint="eastAsia" w:ascii="宋体" w:hAnsi="宋体" w:cs="宋体"/>
          <w:color w:val="auto"/>
          <w:sz w:val="24"/>
          <w:szCs w:val="24"/>
          <w:highlight w:val="none"/>
        </w:rPr>
      </w:pPr>
      <w:r>
        <w:rPr>
          <w:rFonts w:hint="eastAsia" w:ascii="宋体" w:hAnsi="宋体" w:cs="宋体"/>
          <w:color w:val="auto"/>
          <w:sz w:val="24"/>
          <w:szCs w:val="24"/>
          <w:highlight w:val="none"/>
        </w:rPr>
        <w:t>签订日期：</w:t>
      </w:r>
    </w:p>
    <w:p>
      <w:pPr>
        <w:tabs>
          <w:tab w:val="left" w:pos="4460"/>
        </w:tabs>
        <w:spacing w:line="274" w:lineRule="exact"/>
        <w:ind w:left="1600"/>
        <w:rPr>
          <w:rFonts w:hint="eastAsia" w:ascii="宋体" w:hAnsi="宋体" w:cs="宋体"/>
          <w:b/>
          <w:bCs/>
          <w:color w:val="auto"/>
          <w:sz w:val="24"/>
          <w:szCs w:val="24"/>
          <w:highlight w:val="none"/>
        </w:rPr>
      </w:pPr>
    </w:p>
    <w:p>
      <w:pPr>
        <w:tabs>
          <w:tab w:val="left" w:pos="4460"/>
        </w:tabs>
        <w:spacing w:line="274" w:lineRule="exact"/>
        <w:ind w:left="1600"/>
        <w:rPr>
          <w:rFonts w:hint="eastAsia" w:ascii="宋体" w:hAnsi="宋体" w:cs="宋体"/>
          <w:b/>
          <w:bCs/>
          <w:color w:val="auto"/>
          <w:sz w:val="24"/>
          <w:szCs w:val="24"/>
          <w:highlight w:val="none"/>
        </w:rPr>
      </w:pPr>
    </w:p>
    <w:p>
      <w:pPr>
        <w:pStyle w:val="9"/>
        <w:rPr>
          <w:rFonts w:hint="eastAsia" w:ascii="宋体" w:hAnsi="宋体" w:cs="宋体"/>
          <w:color w:val="auto"/>
          <w:highlight w:val="none"/>
        </w:rPr>
      </w:pPr>
    </w:p>
    <w:p>
      <w:pPr>
        <w:tabs>
          <w:tab w:val="left" w:pos="4460"/>
        </w:tabs>
        <w:spacing w:line="274" w:lineRule="exact"/>
        <w:ind w:left="16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丙方（鉴证方公章）名称：</w:t>
      </w:r>
    </w:p>
    <w:p>
      <w:pPr>
        <w:tabs>
          <w:tab w:val="left" w:pos="2180"/>
        </w:tabs>
        <w:spacing w:line="274" w:lineRule="exact"/>
        <w:ind w:left="1600"/>
        <w:rPr>
          <w:rFonts w:hint="eastAsia" w:ascii="宋体" w:hAnsi="宋体" w:cs="宋体"/>
          <w:color w:val="auto"/>
          <w:sz w:val="24"/>
          <w:szCs w:val="24"/>
          <w:highlight w:val="none"/>
        </w:rPr>
      </w:pPr>
    </w:p>
    <w:p>
      <w:pPr>
        <w:tabs>
          <w:tab w:val="left" w:pos="2180"/>
        </w:tabs>
        <w:spacing w:line="274" w:lineRule="exact"/>
        <w:ind w:left="1600"/>
        <w:rPr>
          <w:rFonts w:hint="eastAsia" w:ascii="宋体" w:hAnsi="宋体" w:cs="宋体"/>
          <w:color w:val="auto"/>
          <w:sz w:val="24"/>
          <w:szCs w:val="24"/>
          <w:highlight w:val="none"/>
        </w:rPr>
      </w:pPr>
      <w:r>
        <w:rPr>
          <w:rFonts w:hint="eastAsia" w:ascii="宋体" w:hAnsi="宋体" w:cs="宋体"/>
          <w:color w:val="auto"/>
          <w:sz w:val="24"/>
          <w:szCs w:val="24"/>
          <w:highlight w:val="none"/>
        </w:rPr>
        <w:t>地</w:t>
      </w:r>
      <w:r>
        <w:rPr>
          <w:rFonts w:hint="eastAsia" w:ascii="宋体" w:hAnsi="宋体" w:cs="宋体"/>
          <w:color w:val="auto"/>
          <w:sz w:val="24"/>
          <w:szCs w:val="24"/>
          <w:highlight w:val="none"/>
        </w:rPr>
        <w:tab/>
      </w:r>
      <w:r>
        <w:rPr>
          <w:rFonts w:hint="eastAsia" w:ascii="宋体" w:hAnsi="宋体" w:cs="宋体"/>
          <w:color w:val="auto"/>
          <w:sz w:val="24"/>
          <w:szCs w:val="24"/>
          <w:highlight w:val="none"/>
        </w:rPr>
        <w:t>址：</w:t>
      </w:r>
    </w:p>
    <w:p>
      <w:pPr>
        <w:tabs>
          <w:tab w:val="left" w:pos="2180"/>
        </w:tabs>
        <w:spacing w:line="274" w:lineRule="exact"/>
        <w:ind w:left="1600"/>
        <w:rPr>
          <w:rFonts w:hint="eastAsia" w:ascii="宋体" w:hAnsi="宋体" w:cs="宋体"/>
          <w:color w:val="auto"/>
          <w:sz w:val="24"/>
          <w:szCs w:val="24"/>
          <w:highlight w:val="none"/>
        </w:rPr>
      </w:pPr>
    </w:p>
    <w:p>
      <w:pPr>
        <w:tabs>
          <w:tab w:val="left" w:pos="2180"/>
        </w:tabs>
        <w:spacing w:line="274" w:lineRule="exact"/>
        <w:ind w:left="1600"/>
        <w:rPr>
          <w:rFonts w:hint="eastAsia" w:ascii="宋体" w:hAnsi="宋体" w:cs="宋体"/>
          <w:color w:val="auto"/>
          <w:sz w:val="24"/>
          <w:szCs w:val="24"/>
          <w:highlight w:val="none"/>
        </w:rPr>
      </w:pPr>
      <w:r>
        <w:rPr>
          <w:rFonts w:hint="eastAsia" w:ascii="宋体" w:hAnsi="宋体" w:cs="宋体"/>
          <w:color w:val="auto"/>
          <w:sz w:val="24"/>
          <w:szCs w:val="24"/>
          <w:highlight w:val="none"/>
        </w:rPr>
        <w:t>邮</w:t>
      </w:r>
      <w:r>
        <w:rPr>
          <w:rFonts w:hint="eastAsia" w:ascii="宋体" w:hAnsi="宋体" w:cs="宋体"/>
          <w:color w:val="auto"/>
          <w:sz w:val="24"/>
          <w:szCs w:val="24"/>
          <w:highlight w:val="none"/>
        </w:rPr>
        <w:tab/>
      </w:r>
      <w:r>
        <w:rPr>
          <w:rFonts w:hint="eastAsia" w:ascii="宋体" w:hAnsi="宋体" w:cs="宋体"/>
          <w:color w:val="auto"/>
          <w:sz w:val="24"/>
          <w:szCs w:val="24"/>
          <w:highlight w:val="none"/>
        </w:rPr>
        <w:t>编：</w:t>
      </w:r>
    </w:p>
    <w:p>
      <w:pPr>
        <w:tabs>
          <w:tab w:val="left" w:pos="2180"/>
        </w:tabs>
        <w:spacing w:line="274" w:lineRule="exact"/>
        <w:ind w:left="1600"/>
        <w:rPr>
          <w:rFonts w:hint="eastAsia" w:ascii="宋体" w:hAnsi="宋体" w:cs="宋体"/>
          <w:color w:val="auto"/>
          <w:sz w:val="24"/>
          <w:szCs w:val="24"/>
          <w:highlight w:val="none"/>
        </w:rPr>
      </w:pPr>
    </w:p>
    <w:p>
      <w:pPr>
        <w:tabs>
          <w:tab w:val="left" w:pos="2180"/>
        </w:tabs>
        <w:spacing w:line="274" w:lineRule="exact"/>
        <w:ind w:left="16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法定代表人或委托代理人：</w:t>
      </w:r>
    </w:p>
    <w:p>
      <w:pPr>
        <w:tabs>
          <w:tab w:val="left" w:pos="2180"/>
        </w:tabs>
        <w:spacing w:line="274" w:lineRule="exact"/>
        <w:ind w:left="1600"/>
        <w:rPr>
          <w:rFonts w:hint="eastAsia" w:ascii="宋体" w:hAnsi="宋体" w:cs="宋体"/>
          <w:color w:val="auto"/>
          <w:sz w:val="24"/>
          <w:szCs w:val="24"/>
          <w:highlight w:val="none"/>
        </w:rPr>
      </w:pPr>
    </w:p>
    <w:p>
      <w:pPr>
        <w:tabs>
          <w:tab w:val="left" w:pos="2180"/>
        </w:tabs>
        <w:spacing w:line="274" w:lineRule="exact"/>
        <w:ind w:left="1600"/>
        <w:rPr>
          <w:rFonts w:hint="eastAsia" w:ascii="宋体" w:hAnsi="宋体" w:cs="宋体"/>
          <w:color w:val="auto"/>
          <w:sz w:val="24"/>
          <w:szCs w:val="24"/>
          <w:highlight w:val="none"/>
        </w:rPr>
      </w:pPr>
      <w:r>
        <w:rPr>
          <w:rFonts w:hint="eastAsia" w:ascii="宋体" w:hAnsi="宋体" w:cs="宋体"/>
          <w:color w:val="auto"/>
          <w:sz w:val="24"/>
          <w:szCs w:val="24"/>
          <w:highlight w:val="none"/>
        </w:rPr>
        <w:t>电</w:t>
      </w:r>
      <w:r>
        <w:rPr>
          <w:rFonts w:hint="eastAsia" w:ascii="宋体" w:hAnsi="宋体" w:cs="宋体"/>
          <w:color w:val="auto"/>
          <w:sz w:val="24"/>
          <w:szCs w:val="24"/>
          <w:highlight w:val="none"/>
        </w:rPr>
        <w:tab/>
      </w:r>
      <w:r>
        <w:rPr>
          <w:rFonts w:hint="eastAsia" w:ascii="宋体" w:hAnsi="宋体" w:cs="宋体"/>
          <w:color w:val="auto"/>
          <w:sz w:val="24"/>
          <w:szCs w:val="24"/>
          <w:highlight w:val="none"/>
        </w:rPr>
        <w:t>话：</w:t>
      </w:r>
    </w:p>
    <w:p>
      <w:pPr>
        <w:tabs>
          <w:tab w:val="left" w:pos="2180"/>
        </w:tabs>
        <w:spacing w:line="274" w:lineRule="exact"/>
        <w:ind w:left="1600"/>
        <w:rPr>
          <w:rFonts w:hint="eastAsia" w:ascii="宋体" w:hAnsi="宋体" w:cs="宋体"/>
          <w:color w:val="auto"/>
          <w:sz w:val="24"/>
          <w:szCs w:val="24"/>
          <w:highlight w:val="none"/>
        </w:rPr>
      </w:pPr>
    </w:p>
    <w:p>
      <w:pPr>
        <w:tabs>
          <w:tab w:val="left" w:pos="2180"/>
        </w:tabs>
        <w:spacing w:line="274" w:lineRule="exact"/>
        <w:ind w:left="1600"/>
        <w:rPr>
          <w:rFonts w:hint="eastAsia" w:ascii="宋体" w:hAnsi="宋体" w:cs="宋体"/>
          <w:color w:val="auto"/>
          <w:sz w:val="24"/>
          <w:szCs w:val="24"/>
          <w:highlight w:val="none"/>
        </w:rPr>
      </w:pPr>
      <w:r>
        <w:rPr>
          <w:rFonts w:hint="eastAsia" w:ascii="宋体" w:hAnsi="宋体" w:cs="宋体"/>
          <w:color w:val="auto"/>
          <w:sz w:val="24"/>
          <w:szCs w:val="24"/>
          <w:highlight w:val="none"/>
        </w:rPr>
        <w:t>签订日期：</w:t>
      </w:r>
    </w:p>
    <w:p>
      <w:pPr>
        <w:spacing w:line="360" w:lineRule="auto"/>
        <w:ind w:firstLine="643" w:firstLineChars="200"/>
        <w:jc w:val="left"/>
        <w:rPr>
          <w:rFonts w:hint="eastAsia" w:ascii="宋体" w:hAnsi="宋体" w:cs="宋体"/>
          <w:color w:val="auto"/>
          <w:sz w:val="24"/>
          <w:highlight w:val="none"/>
        </w:rPr>
      </w:pPr>
      <w:r>
        <w:rPr>
          <w:rFonts w:hint="eastAsia" w:ascii="宋体" w:hAnsi="宋体" w:cs="宋体"/>
          <w:b/>
          <w:bCs/>
          <w:color w:val="auto"/>
          <w:sz w:val="32"/>
          <w:szCs w:val="32"/>
          <w:highlight w:val="none"/>
        </w:rPr>
        <w:br w:type="page"/>
      </w:r>
      <w:r>
        <w:rPr>
          <w:rFonts w:hint="eastAsia" w:ascii="宋体" w:hAnsi="宋体" w:cs="宋体"/>
          <w:color w:val="auto"/>
          <w:sz w:val="24"/>
          <w:highlight w:val="none"/>
        </w:rPr>
        <w:t>根据《中华人民共和国食品安全法》、《中华人民共和国民法典》及其他有关法律法规的相关规定，甲乙双方在平等、自愿、公平、诚实，守信的基础上，根据石屏县2024年至2027年义务教育阶段学生营养餐食品食材采购及配送服务项目进行的公开招标结果，达成和签订以下协议，并由双方共同恪守。</w:t>
      </w:r>
    </w:p>
    <w:p>
      <w:pPr>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一、供应食材品种、质量要求、规格型号、产地、制造商名</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（一）食材品种：</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（二）质量要求：</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（三）规格型号：</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（四）产地：</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（五）制造商</w:t>
      </w:r>
      <w:r>
        <w:rPr>
          <w:rFonts w:hint="eastAsia" w:ascii="宋体" w:hAnsi="宋体" w:cs="宋体"/>
          <w:color w:val="auto"/>
          <w:sz w:val="24"/>
          <w:highlight w:val="none"/>
          <w:lang w:eastAsia="zh-CN"/>
        </w:rPr>
        <w:t>名称</w:t>
      </w:r>
      <w:r>
        <w:rPr>
          <w:rFonts w:hint="eastAsia" w:ascii="宋体" w:hAnsi="宋体" w:cs="宋体"/>
          <w:color w:val="auto"/>
          <w:sz w:val="24"/>
          <w:highlight w:val="none"/>
        </w:rPr>
        <w:t>：</w:t>
      </w:r>
    </w:p>
    <w:p>
      <w:pPr>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二、送达时间、地点、送货要求</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（一）送货时间：详见采购需求</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（二）送货地点：详见采购需求</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（三）送货要求</w:t>
      </w:r>
    </w:p>
    <w:p>
      <w:pPr>
        <w:spacing w:line="360" w:lineRule="auto"/>
        <w:ind w:left="420" w:leftChars="0" w:firstLine="420" w:firstLineChars="0"/>
        <w:jc w:val="left"/>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u w:val="single"/>
        </w:rPr>
        <w:t xml:space="preserve">                 </w:t>
      </w:r>
    </w:p>
    <w:p>
      <w:pPr>
        <w:spacing w:line="360" w:lineRule="auto"/>
        <w:ind w:left="420" w:leftChars="0" w:firstLine="420" w:firstLineChars="0"/>
        <w:jc w:val="left"/>
        <w:rPr>
          <w:rFonts w:hint="eastAsia" w:ascii="宋体" w:hAnsi="宋体" w:cs="宋体"/>
          <w:color w:val="auto"/>
          <w:sz w:val="24"/>
          <w:highlight w:val="none"/>
          <w:u w:val="singl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w:t>
      </w:r>
    </w:p>
    <w:p>
      <w:pPr>
        <w:spacing w:line="360" w:lineRule="auto"/>
        <w:ind w:left="420" w:leftChars="0" w:firstLine="420" w:firstLineChars="0"/>
        <w:jc w:val="left"/>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u w:val="single"/>
        </w:rPr>
        <w:t xml:space="preserve">                 </w:t>
      </w:r>
    </w:p>
    <w:p>
      <w:pPr>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三、服务期限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合同履行期限：三年（本次项目执行“一招三年</w:t>
      </w:r>
      <w:r>
        <w:rPr>
          <w:rFonts w:hint="eastAsia" w:ascii="宋体" w:hAnsi="宋体" w:eastAsia="宋体" w:cs="宋体"/>
          <w:color w:val="auto"/>
          <w:spacing w:val="-1"/>
          <w:sz w:val="24"/>
          <w:szCs w:val="24"/>
          <w:highlight w:val="none"/>
        </w:rPr>
        <w:t>”</w:t>
      </w:r>
      <w:r>
        <w:rPr>
          <w:rFonts w:hint="eastAsia" w:ascii="宋体" w:hAnsi="宋体" w:cs="宋体"/>
          <w:color w:val="auto"/>
          <w:spacing w:val="-1"/>
          <w:sz w:val="24"/>
          <w:szCs w:val="24"/>
          <w:highlight w:val="none"/>
        </w:rPr>
        <w:t>，即在年度预算能保障的前提下，采购人可以签订不超过三年履行期限的政府采购合同，合同一年一签）。</w:t>
      </w:r>
    </w:p>
    <w:p>
      <w:pPr>
        <w:spacing w:line="360" w:lineRule="auto"/>
        <w:ind w:firstLine="361" w:firstLineChars="150"/>
        <w:jc w:val="left"/>
        <w:rPr>
          <w:rFonts w:hint="eastAsia" w:ascii="宋体" w:hAnsi="宋体" w:cs="宋体"/>
          <w:b/>
          <w:color w:val="auto"/>
          <w:sz w:val="24"/>
          <w:highlight w:val="none"/>
        </w:rPr>
      </w:pPr>
      <w:r>
        <w:rPr>
          <w:rFonts w:hint="eastAsia" w:ascii="宋体" w:hAnsi="宋体" w:cs="宋体"/>
          <w:b/>
          <w:color w:val="auto"/>
          <w:sz w:val="24"/>
          <w:highlight w:val="none"/>
        </w:rPr>
        <w:t xml:space="preserve"> 四、交货验收方法、地点</w:t>
      </w:r>
    </w:p>
    <w:p>
      <w:pPr>
        <w:spacing w:line="360" w:lineRule="auto"/>
        <w:ind w:firstLine="482" w:firstLineChars="200"/>
        <w:jc w:val="left"/>
        <w:rPr>
          <w:rFonts w:hint="eastAsia" w:ascii="宋体" w:hAnsi="宋体" w:cs="宋体"/>
          <w:b/>
          <w:bCs/>
          <w:color w:val="auto"/>
          <w:sz w:val="24"/>
          <w:highlight w:val="none"/>
        </w:rPr>
      </w:pPr>
      <w:r>
        <w:rPr>
          <w:rFonts w:hint="eastAsia" w:ascii="宋体" w:hAnsi="宋体" w:cs="宋体"/>
          <w:b/>
          <w:bCs/>
          <w:color w:val="auto"/>
          <w:sz w:val="24"/>
          <w:highlight w:val="none"/>
        </w:rPr>
        <w:t>（一）验收方法</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u w:val="single"/>
        </w:rPr>
        <w:t>甲方按产品质量及索证要求，现场过磅、验收货物，质量要求、品种、规格和数量不符的，及时通知乙方退货并补给合格货源，保证甲方正常使用</w:t>
      </w:r>
      <w:r>
        <w:rPr>
          <w:rFonts w:hint="eastAsia" w:ascii="宋体" w:hAnsi="宋体" w:cs="宋体"/>
          <w:color w:val="auto"/>
          <w:sz w:val="24"/>
          <w:highlight w:val="none"/>
        </w:rPr>
        <w:t>。</w:t>
      </w:r>
    </w:p>
    <w:p>
      <w:pPr>
        <w:spacing w:line="360" w:lineRule="auto"/>
        <w:ind w:firstLine="482" w:firstLineChars="200"/>
        <w:jc w:val="left"/>
        <w:rPr>
          <w:rFonts w:hint="eastAsia" w:ascii="宋体" w:hAnsi="宋体" w:cs="宋体"/>
          <w:b/>
          <w:bCs/>
          <w:color w:val="auto"/>
          <w:sz w:val="24"/>
          <w:highlight w:val="none"/>
        </w:rPr>
      </w:pPr>
      <w:r>
        <w:rPr>
          <w:rFonts w:hint="eastAsia" w:ascii="宋体" w:hAnsi="宋体" w:cs="宋体"/>
          <w:b/>
          <w:bCs/>
          <w:color w:val="auto"/>
          <w:sz w:val="24"/>
          <w:highlight w:val="none"/>
        </w:rPr>
        <w:t>（二）验收标准</w:t>
      </w:r>
    </w:p>
    <w:p>
      <w:pPr>
        <w:spacing w:line="360" w:lineRule="auto"/>
        <w:ind w:firstLine="480" w:firstLineChars="200"/>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按照采购需求质量要求执行  </w:t>
      </w:r>
      <w:r>
        <w:rPr>
          <w:rFonts w:hint="eastAsia" w:ascii="宋体" w:hAnsi="宋体" w:cs="宋体"/>
          <w:color w:val="auto"/>
          <w:sz w:val="24"/>
          <w:highlight w:val="none"/>
        </w:rPr>
        <w:t>。</w:t>
      </w:r>
    </w:p>
    <w:p>
      <w:pPr>
        <w:spacing w:line="360" w:lineRule="auto"/>
        <w:ind w:firstLine="482" w:firstLineChars="200"/>
        <w:jc w:val="left"/>
        <w:rPr>
          <w:rFonts w:hint="eastAsia" w:ascii="宋体" w:hAnsi="宋体" w:cs="宋体"/>
          <w:b/>
          <w:bCs/>
          <w:color w:val="auto"/>
          <w:sz w:val="24"/>
          <w:highlight w:val="none"/>
        </w:rPr>
      </w:pPr>
      <w:r>
        <w:rPr>
          <w:rFonts w:hint="eastAsia" w:ascii="宋体" w:hAnsi="宋体" w:cs="宋体"/>
          <w:b/>
          <w:bCs/>
          <w:color w:val="auto"/>
          <w:sz w:val="24"/>
          <w:highlight w:val="none"/>
        </w:rPr>
        <w:t>（三）验收地点</w:t>
      </w:r>
    </w:p>
    <w:p>
      <w:pPr>
        <w:spacing w:line="360" w:lineRule="auto"/>
        <w:ind w:firstLine="480" w:firstLineChars="200"/>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各标段对应的学校地点的指定区域   </w:t>
      </w:r>
      <w:r>
        <w:rPr>
          <w:rFonts w:hint="eastAsia" w:ascii="宋体" w:hAnsi="宋体" w:cs="宋体"/>
          <w:color w:val="auto"/>
          <w:sz w:val="24"/>
          <w:highlight w:val="none"/>
        </w:rPr>
        <w:t>。</w:t>
      </w:r>
    </w:p>
    <w:p>
      <w:pPr>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五、结算方法及期限</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六、合同价格及调价</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（一）合同价格认定</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根据配送学校所提供的订单，由甲方与乙方根据各自掌握的当地市场同期同类零售价格的基础上，双方协商同意的价格为认定价格，实际结算价=认定价格*（1-</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所报下浮率）*实际供应数量。原则上所有食品食材的价格必须低于石屏县主城区农贸市场、大型商超同类食品食材的平均零售价格。</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甲乙双方确定的认定价格，对本标段内各配送学校均相同，实行同标同价。</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（二）询价定价</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若甲乙双方所掌握的价格不一致时，双方共同在石屏县主城区范围内选取三处农贸市场、大型商超进行询价，询价后以平均价作为认定价格，并结合</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所报下浮率进行结算。</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（三）价格调整</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订单在执行周期中因市场价格波动引起的价格上涨或下跌超过10%（含）时，应按认定价格（结合下浮率）执行完本周期后，在下一周期执行双方重新认定的价格。</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供需其中一方提出调价申请时，由甲乙双方重新开展市场询价定价。</w:t>
      </w:r>
    </w:p>
    <w:p>
      <w:pPr>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lang w:val="en-US" w:eastAsia="zh-CN"/>
        </w:rPr>
        <w:t>七</w:t>
      </w:r>
      <w:r>
        <w:rPr>
          <w:rFonts w:hint="eastAsia" w:ascii="宋体" w:hAnsi="宋体" w:cs="宋体"/>
          <w:b/>
          <w:color w:val="auto"/>
          <w:sz w:val="24"/>
          <w:highlight w:val="none"/>
        </w:rPr>
        <w:t>、甲乙双方的责任</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（一）甲方责任</w:t>
      </w:r>
    </w:p>
    <w:p>
      <w:pPr>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 xml:space="preserve"> l、协议履行期间，在乙方保证甲方供货要求及产品价格的情况下，甲方不得再向其他单位和个人采购本协议约定的货物。</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2、甲方建立食品索证制度，向乙方索取食品的检验合格或者化验单，并进行验收。甲方需做好索证登记工作，加强食品库房管理。</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3、遵守协议约定，按周结算回款规定。</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（二）乙方责任</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l、乙方必须持有企业法人营业执照、税务登记证、食品经营许可证（或食品流通许可证），且经营状况良好。</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2、乙方所供的食品，必须符合食品卫生和质量标准，如出现食品卫生质量问题，乙方无条件退货或换货，并承担全部经济责任和相应法律责任。</w:t>
      </w:r>
    </w:p>
    <w:p>
      <w:pPr>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 xml:space="preserve"> 3、乙方在供货时不得提供以下食品：</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 无品名、产地、厂名、生产日期、保质期及中文标识及原料说明的定型包装食品。</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 超过保质期限或不符合食品标签规定的定型包装食品。</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 腐败变质、霉变、生虫、污秽不洁、混有异物或者其他感官性状异常，含有毒、有害物质污染，可能对人体健康有害的食品。</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 病死或者死因不明的水产品、畜、禽和制品等。</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xml:space="preserve">    (5) 添加国家明令禁止的非食用物质的产品。</w:t>
      </w:r>
    </w:p>
    <w:p>
      <w:pPr>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 xml:space="preserve"> (6) 以上其他不符合食品卫生标准和要求的食品。</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4、每次提供1份留样、检疫（肉禽）报告，农药残留符合国家标准。</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5、乙方必须根据甲方提供的品种、规格、品牌、数量送货，并在甲方规定的时间内及时送到。</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 6、乙方不得将专营权转让或转包给其他供应商。</w:t>
      </w:r>
    </w:p>
    <w:p>
      <w:pPr>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八</w:t>
      </w:r>
      <w:r>
        <w:rPr>
          <w:rFonts w:hint="eastAsia" w:ascii="宋体" w:hAnsi="宋体" w:cs="宋体"/>
          <w:b/>
          <w:color w:val="auto"/>
          <w:sz w:val="24"/>
          <w:highlight w:val="none"/>
        </w:rPr>
        <w:t>、违约责任</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 1、乙方违反以上协议，甲方有权取消乙方的供货资格并终止本协议。</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 2、乙方不按甲方提出的品种、规格、品牌、数量供货（市场无货除外），造成影响和危害的，甲方有权取消乙方的供货资格并终止本协议。乙方不按甲方规定的时间供货影响甲方正常营业的，必须承担甲方因此而造成的一切经济损失；</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 3、乙方供应的产品没有达到质量标准，甲方可无条件拒收，因此造成的损失由乙方承担。</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 4、乙方供货的包装不符合协议中有关规定，发货前需返修或重新包装的，乙方应负责返修或重新包装，并承担由此造成的经济损失。因包装不合格给甲方造成损失的，乙方应负责赔偿。</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 5、乙方超出甲方采购计划供货时，甲方可拒收，因此造成的损失由乙方自行负责。</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 6、因乙方所供应食品存在质量问题，引起食物中毒、食源性疾病等事故，由乙方负全部经济责任和相应法律责任。</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 7、甲方在协议执行中违约退货的，应偿付乙方退货部分货款总值</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的违约金。</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 8、甲方无故不按协议规定付款的，从结算次日开始按银行同期活期存款利率与应付款乘积支付给乙方逾期付款违约金。</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 9、乙方人员进入甲方指定送货点，须遵守甲方的相关管理规定，若在管理人员提醒后仍违反规定，则甲方有权取消乙方的供货资格并终止本协议。</w:t>
      </w:r>
    </w:p>
    <w:p>
      <w:pPr>
        <w:spacing w:line="360" w:lineRule="auto"/>
        <w:ind w:firstLine="482" w:firstLineChars="200"/>
        <w:jc w:val="lef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九、突出机制</w:t>
      </w:r>
    </w:p>
    <w:p>
      <w:pPr>
        <w:spacing w:line="360" w:lineRule="auto"/>
        <w:ind w:firstLine="42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定期退出机制</w:t>
      </w:r>
    </w:p>
    <w:p>
      <w:pPr>
        <w:pStyle w:val="11"/>
        <w:spacing w:line="360" w:lineRule="auto"/>
        <w:ind w:left="210" w:leftChars="100" w:firstLine="418" w:firstLineChars="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每学期结束</w:t>
      </w:r>
      <w:r>
        <w:rPr>
          <w:rFonts w:hint="eastAsia" w:ascii="宋体" w:hAnsi="宋体" w:cs="宋体"/>
          <w:color w:val="auto"/>
          <w:sz w:val="24"/>
          <w:szCs w:val="24"/>
          <w:highlight w:val="none"/>
          <w:lang w:eastAsia="zh-CN"/>
        </w:rPr>
        <w:t>前，石屏县教育体育局对中标人进行考核，中标人两学期考核平均分</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eastAsia="zh-CN"/>
        </w:rPr>
        <w:t>80分，且石屏县教育体育局、各学校对中标人</w:t>
      </w:r>
      <w:r>
        <w:rPr>
          <w:rFonts w:hint="eastAsia" w:ascii="宋体" w:hAnsi="宋体" w:cs="宋体"/>
          <w:color w:val="auto"/>
          <w:sz w:val="24"/>
          <w:szCs w:val="24"/>
          <w:highlight w:val="none"/>
          <w:lang w:val="en-US" w:eastAsia="zh-CN"/>
        </w:rPr>
        <w:t>第</w:t>
      </w:r>
      <w:r>
        <w:rPr>
          <w:rFonts w:hint="eastAsia" w:ascii="宋体" w:hAnsi="宋体" w:cs="宋体"/>
          <w:color w:val="auto"/>
          <w:sz w:val="24"/>
          <w:szCs w:val="24"/>
          <w:highlight w:val="none"/>
          <w:lang w:eastAsia="zh-CN"/>
        </w:rPr>
        <w:t>一年的产品和服务质量满意，无重大异议，续签第二年合同。两学期考核平均分</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eastAsia="zh-CN"/>
        </w:rPr>
        <w:t>80分，石屏县教育体育局不</w:t>
      </w:r>
      <w:r>
        <w:rPr>
          <w:rFonts w:hint="eastAsia" w:ascii="宋体" w:hAnsi="宋体" w:cs="宋体"/>
          <w:color w:val="auto"/>
          <w:sz w:val="24"/>
          <w:szCs w:val="24"/>
          <w:highlight w:val="none"/>
        </w:rPr>
        <w:t>续签第二年合同</w:t>
      </w:r>
      <w:r>
        <w:rPr>
          <w:rFonts w:hint="eastAsia" w:ascii="宋体" w:hAnsi="宋体" w:cs="宋体"/>
          <w:color w:val="auto"/>
          <w:sz w:val="24"/>
          <w:szCs w:val="24"/>
          <w:highlight w:val="none"/>
          <w:lang w:eastAsia="zh-CN"/>
        </w:rPr>
        <w:t>，中标人自动退出，石屏县教育体育局不承担</w:t>
      </w:r>
      <w:r>
        <w:rPr>
          <w:rFonts w:hint="eastAsia" w:ascii="宋体" w:hAnsi="宋体" w:cs="宋体"/>
          <w:color w:val="auto"/>
          <w:sz w:val="24"/>
          <w:szCs w:val="24"/>
          <w:highlight w:val="none"/>
        </w:rPr>
        <w:t>相应赔偿责任，包括</w:t>
      </w:r>
      <w:r>
        <w:rPr>
          <w:rFonts w:hint="eastAsia" w:ascii="宋体" w:hAnsi="宋体" w:cs="宋体"/>
          <w:color w:val="auto"/>
          <w:sz w:val="24"/>
          <w:szCs w:val="24"/>
          <w:highlight w:val="none"/>
          <w:lang w:eastAsia="zh-CN"/>
        </w:rPr>
        <w:t>但</w:t>
      </w:r>
      <w:r>
        <w:rPr>
          <w:rFonts w:hint="eastAsia" w:ascii="宋体" w:hAnsi="宋体" w:cs="宋体"/>
          <w:color w:val="auto"/>
          <w:sz w:val="24"/>
          <w:szCs w:val="24"/>
          <w:highlight w:val="none"/>
        </w:rPr>
        <w:t>不限于经济、民事、刑事责任。</w:t>
      </w:r>
    </w:p>
    <w:p>
      <w:pPr>
        <w:spacing w:line="360" w:lineRule="auto"/>
        <w:ind w:firstLine="42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不定期退出机制</w:t>
      </w:r>
    </w:p>
    <w:p>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石屏县教育体育局或学校发现中标人有违反下列情形之一，无严重后果，影响不恶劣时，</w:t>
      </w:r>
      <w:r>
        <w:rPr>
          <w:rFonts w:hint="eastAsia" w:ascii="宋体" w:hAnsi="宋体" w:cs="宋体"/>
          <w:color w:val="auto"/>
          <w:sz w:val="24"/>
          <w:szCs w:val="24"/>
          <w:highlight w:val="none"/>
        </w:rPr>
        <w:t>第</w:t>
      </w:r>
      <w:r>
        <w:rPr>
          <w:rFonts w:hint="eastAsia" w:ascii="宋体" w:hAnsi="宋体" w:cs="宋体"/>
          <w:color w:val="auto"/>
          <w:sz w:val="24"/>
          <w:szCs w:val="24"/>
          <w:highlight w:val="none"/>
          <w:lang w:val="en-US" w:eastAsia="zh-CN"/>
        </w:rPr>
        <w:t>一次发现，学校有权拒付当月货款，由此所造成的损失由中标人自行承担，责令限期整改。第二次发现，罚中标人给检举学校当月货款3倍违约金，石屏县教育体育局从中标人质量保证金和安全保证金中扣减。第三次发现，石屏县教育体育局对中标人实行资格退出机制，提前3个日历天以书面形式通知中标人解除合同。石屏县教育体育局体育局或学校发现中标人有违反下列情形之一，产生严重后果，造成恶劣影响，石屏县教育体育局当天以书面形式通知中标人解除合同。</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资质条件发生重大变化，未如实报告相关部门的；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供货出现质量问题，采取隐瞒手段继续供应的；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（3）以次充好，骗取差价及因</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责任发生粮油食品质量问题，导致粮油食品安全事故的；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（4）虚开税务发票，发生偷税、漏税行为的；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（5）恶意掺杂使假、有意短斤少两等违法违规行为的；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（6）未经</w:t>
      </w:r>
      <w:r>
        <w:rPr>
          <w:rFonts w:hint="eastAsia" w:ascii="宋体" w:hAnsi="宋体" w:cs="宋体"/>
          <w:color w:val="auto"/>
          <w:sz w:val="24"/>
          <w:szCs w:val="24"/>
          <w:highlight w:val="none"/>
          <w:lang w:eastAsia="zh-CN"/>
        </w:rPr>
        <w:t>县教育体育局、学校</w:t>
      </w:r>
      <w:r>
        <w:rPr>
          <w:rFonts w:hint="eastAsia" w:ascii="宋体" w:hAnsi="宋体" w:cs="宋体"/>
          <w:color w:val="auto"/>
          <w:sz w:val="24"/>
          <w:szCs w:val="24"/>
          <w:highlight w:val="none"/>
        </w:rPr>
        <w:t>同意，擅自提高供应价格的；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（7）有故意迟供、拒供、断供行为的；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（8）私自串换供应品种或降低供应质量的；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（9）与学校相关人员勾结谋取不正当利益的；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（10）向学校供应超过保质期或保质期不足7天的粮油的；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（11）向学校供应无生产许可证、产品说明书粮油的；</w:t>
      </w:r>
    </w:p>
    <w:p>
      <w:pPr>
        <w:spacing w:line="360" w:lineRule="auto"/>
        <w:ind w:firstLine="480" w:firstLineChars="200"/>
        <w:rPr>
          <w:rFonts w:hint="eastAsia"/>
          <w:color w:val="auto"/>
          <w:highlight w:val="none"/>
        </w:rPr>
      </w:pPr>
      <w:r>
        <w:rPr>
          <w:rFonts w:hint="eastAsia" w:ascii="宋体" w:hAnsi="宋体" w:cs="宋体"/>
          <w:color w:val="auto"/>
          <w:sz w:val="24"/>
          <w:szCs w:val="24"/>
          <w:highlight w:val="none"/>
        </w:rPr>
        <w:t>（12）其他违反国家有关法律、法规规定的行为。</w:t>
      </w:r>
    </w:p>
    <w:p>
      <w:pPr>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十</w:t>
      </w:r>
      <w:r>
        <w:rPr>
          <w:rFonts w:hint="eastAsia" w:ascii="宋体" w:hAnsi="宋体" w:cs="宋体"/>
          <w:b/>
          <w:color w:val="auto"/>
          <w:sz w:val="24"/>
          <w:highlight w:val="none"/>
        </w:rPr>
        <w:t>、争议解决方式</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 本协议在执行中如发生争议，双方协商解决，协商不成，可向项目所在地人民法院提起诉讼。</w:t>
      </w:r>
    </w:p>
    <w:p>
      <w:pPr>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十一</w:t>
      </w:r>
      <w:r>
        <w:rPr>
          <w:rFonts w:hint="eastAsia" w:ascii="宋体" w:hAnsi="宋体" w:cs="宋体"/>
          <w:b/>
          <w:color w:val="auto"/>
          <w:sz w:val="24"/>
          <w:highlight w:val="none"/>
        </w:rPr>
        <w:t>、其他约定</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1、甲、乙双方的任何一方因不可抗拒致使本合同不能履行或不能完全履行时，应尽快书面通知对方，经双方另行协商，可延期履行、部分履行或不履行，并根据情况部分或全部</w:t>
      </w:r>
      <w:r>
        <w:rPr>
          <w:rFonts w:hint="eastAsia" w:ascii="宋体" w:hAnsi="宋体" w:cs="宋体"/>
          <w:color w:val="auto"/>
          <w:sz w:val="24"/>
          <w:highlight w:val="none"/>
          <w:lang w:eastAsia="zh-CN"/>
        </w:rPr>
        <w:t>免于</w:t>
      </w:r>
      <w:r>
        <w:rPr>
          <w:rFonts w:hint="eastAsia" w:ascii="宋体" w:hAnsi="宋体" w:cs="宋体"/>
          <w:color w:val="auto"/>
          <w:sz w:val="24"/>
          <w:highlight w:val="none"/>
        </w:rPr>
        <w:t>承担违约责任。</w:t>
      </w:r>
    </w:p>
    <w:p>
      <w:pPr>
        <w:spacing w:line="360" w:lineRule="auto"/>
        <w:ind w:firstLine="480" w:firstLineChars="2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2、因法律修改、政策调整，导致本合同需要终止，甲方不承担任何违约责任。</w:t>
      </w:r>
    </w:p>
    <w:p>
      <w:pPr>
        <w:spacing w:line="360" w:lineRule="auto"/>
        <w:ind w:firstLine="480" w:firstLineChars="200"/>
        <w:jc w:val="lef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3、在本合同签订的基础上，乙方与</w:t>
      </w:r>
      <w:r>
        <w:rPr>
          <w:rFonts w:hint="eastAsia" w:ascii="宋体" w:hAnsi="宋体" w:cs="宋体"/>
          <w:color w:val="auto"/>
          <w:sz w:val="24"/>
          <w:highlight w:val="none"/>
        </w:rPr>
        <w:t>配送服务相关学校</w:t>
      </w:r>
      <w:r>
        <w:rPr>
          <w:rFonts w:hint="eastAsia" w:ascii="宋体" w:hAnsi="宋体" w:cs="宋体"/>
          <w:color w:val="auto"/>
          <w:sz w:val="24"/>
          <w:highlight w:val="none"/>
          <w:lang w:val="en-US" w:eastAsia="zh-CN"/>
        </w:rPr>
        <w:t>另行签订具体配送合同。</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针对本项目购买累计赔付金额不低于500万元人民币的食品安全责任保险。</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、本协议一式肆份，甲方叁份，乙方壹份。</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、本协议有效期从</w:t>
      </w:r>
      <w:r>
        <w:rPr>
          <w:rFonts w:hint="eastAsia" w:ascii="宋体" w:hAnsi="宋体" w:cs="宋体"/>
          <w:color w:val="auto"/>
          <w:sz w:val="24"/>
          <w:highlight w:val="none"/>
          <w:u w:val="single"/>
        </w:rPr>
        <w:t xml:space="preserve">     年    月   日</w:t>
      </w:r>
      <w:r>
        <w:rPr>
          <w:rFonts w:hint="eastAsia" w:ascii="宋体" w:hAnsi="宋体" w:cs="宋体"/>
          <w:color w:val="auto"/>
          <w:sz w:val="24"/>
          <w:highlight w:val="none"/>
        </w:rPr>
        <w:t>至</w:t>
      </w:r>
      <w:r>
        <w:rPr>
          <w:rFonts w:hint="eastAsia" w:ascii="宋体" w:hAnsi="宋体" w:cs="宋体"/>
          <w:color w:val="auto"/>
          <w:sz w:val="24"/>
          <w:highlight w:val="none"/>
          <w:u w:val="single"/>
        </w:rPr>
        <w:t xml:space="preserve">     年    月   日</w:t>
      </w:r>
      <w:r>
        <w:rPr>
          <w:rFonts w:hint="eastAsia" w:ascii="宋体" w:hAnsi="宋体" w:cs="宋体"/>
          <w:color w:val="auto"/>
          <w:sz w:val="24"/>
          <w:highlight w:val="none"/>
        </w:rPr>
        <w:t>止。</w:t>
      </w:r>
    </w:p>
    <w:p>
      <w:pPr>
        <w:spacing w:line="360" w:lineRule="auto"/>
        <w:ind w:firstLine="482" w:firstLineChars="200"/>
        <w:jc w:val="left"/>
        <w:rPr>
          <w:rFonts w:hint="eastAsia" w:ascii="宋体" w:hAnsi="宋体" w:cs="宋体"/>
          <w:b/>
          <w:bCs/>
          <w:color w:val="auto"/>
          <w:sz w:val="24"/>
          <w:highlight w:val="none"/>
        </w:rPr>
      </w:pPr>
      <w:r>
        <w:rPr>
          <w:rFonts w:hint="eastAsia" w:ascii="宋体" w:hAnsi="宋体" w:cs="宋体"/>
          <w:b/>
          <w:bCs/>
          <w:color w:val="auto"/>
          <w:sz w:val="24"/>
          <w:highlight w:val="none"/>
        </w:rPr>
        <w:t>注：委托代理人签订合同时，应提供法定代表人身份证明书、法定代表人授权委托书原件，作为合同组成部分。</w:t>
      </w:r>
    </w:p>
    <w:p>
      <w:pPr>
        <w:spacing w:line="360" w:lineRule="auto"/>
        <w:ind w:firstLine="482" w:firstLineChars="200"/>
        <w:jc w:val="center"/>
        <w:rPr>
          <w:rFonts w:hint="eastAsia" w:ascii="宋体" w:hAnsi="宋体" w:cs="宋体"/>
          <w:b/>
          <w:bCs/>
          <w:color w:val="auto"/>
          <w:sz w:val="24"/>
          <w:highlight w:val="none"/>
          <w:lang w:val="en-US" w:eastAsia="zh-CN"/>
        </w:rPr>
      </w:pPr>
    </w:p>
    <w:p>
      <w:pPr>
        <w:spacing w:line="360" w:lineRule="auto"/>
        <w:ind w:firstLine="480" w:firstLineChars="200"/>
        <w:jc w:val="center"/>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在项目签订时合同，可对非实质性条款进行调整。</w:t>
      </w:r>
    </w:p>
    <w:p>
      <w:pPr>
        <w:rPr>
          <w:rFonts w:hint="eastAsia" w:ascii="宋体" w:hAnsi="宋体" w:cs="宋体"/>
          <w:color w:val="auto"/>
          <w:highlight w:val="none"/>
        </w:rPr>
      </w:pPr>
    </w:p>
    <w:p>
      <w:pPr>
        <w:widowControl/>
        <w:jc w:val="left"/>
        <w:rPr>
          <w:rFonts w:hint="eastAsia" w:ascii="宋体" w:hAnsi="宋体" w:cs="宋体"/>
          <w:b/>
          <w:color w:val="auto"/>
          <w:spacing w:val="20"/>
          <w:kern w:val="44"/>
          <w:sz w:val="32"/>
          <w:szCs w:val="21"/>
          <w:highlight w:val="none"/>
        </w:rPr>
      </w:pPr>
      <w:bookmarkStart w:id="580" w:name="_Toc489197853"/>
      <w:bookmarkStart w:id="581" w:name="_Toc489145749"/>
    </w:p>
    <w:p>
      <w:pPr>
        <w:rPr>
          <w:rFonts w:hint="eastAsia" w:ascii="宋体" w:hAnsi="宋体" w:cs="宋体"/>
          <w:color w:val="auto"/>
          <w:highlight w:val="none"/>
        </w:rPr>
      </w:pPr>
      <w:bookmarkStart w:id="582" w:name="_Toc26299"/>
      <w:r>
        <w:rPr>
          <w:rFonts w:hint="eastAsia" w:ascii="宋体" w:hAnsi="宋体" w:cs="宋体"/>
          <w:color w:val="auto"/>
          <w:highlight w:val="none"/>
        </w:rPr>
        <w:br w:type="page"/>
      </w:r>
    </w:p>
    <w:p>
      <w:pPr>
        <w:pStyle w:val="2"/>
        <w:rPr>
          <w:rFonts w:hint="eastAsia" w:ascii="宋体" w:hAnsi="宋体" w:cs="宋体"/>
          <w:color w:val="auto"/>
          <w:highlight w:val="none"/>
        </w:rPr>
      </w:pPr>
      <w:bookmarkStart w:id="583" w:name="_Toc31884"/>
      <w:bookmarkStart w:id="584" w:name="_Toc3860"/>
      <w:bookmarkStart w:id="585" w:name="_Toc13592"/>
      <w:r>
        <w:rPr>
          <w:rFonts w:hint="eastAsia" w:ascii="宋体" w:hAnsi="宋体" w:cs="宋体"/>
          <w:color w:val="auto"/>
          <w:highlight w:val="none"/>
        </w:rPr>
        <w:t>第四章  投标文件格式</w:t>
      </w:r>
      <w:bookmarkEnd w:id="580"/>
      <w:bookmarkEnd w:id="581"/>
      <w:bookmarkEnd w:id="582"/>
      <w:bookmarkEnd w:id="583"/>
      <w:bookmarkEnd w:id="584"/>
      <w:bookmarkEnd w:id="585"/>
    </w:p>
    <w:p>
      <w:pPr>
        <w:widowControl/>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pPr>
        <w:pStyle w:val="11"/>
        <w:jc w:val="center"/>
        <w:rPr>
          <w:rFonts w:hint="eastAsia" w:ascii="宋体" w:hAnsi="宋体" w:cs="宋体"/>
          <w:b/>
          <w:color w:val="auto"/>
          <w:sz w:val="28"/>
          <w:szCs w:val="28"/>
          <w:highlight w:val="none"/>
          <w:u w:val="single"/>
        </w:rPr>
      </w:pPr>
      <w:r>
        <w:rPr>
          <w:rFonts w:hint="eastAsia" w:ascii="宋体" w:hAnsi="宋体" w:cs="宋体"/>
          <w:b/>
          <w:bCs/>
          <w:color w:val="auto"/>
          <w:sz w:val="52"/>
          <w:szCs w:val="52"/>
          <w:highlight w:val="none"/>
        </w:rPr>
        <w:t>石屏县2024年至2027年义务教育阶段学生营养餐食品食材采购及配送服务项目</w:t>
      </w:r>
    </w:p>
    <w:p>
      <w:pPr>
        <w:pStyle w:val="11"/>
        <w:spacing w:line="500" w:lineRule="exact"/>
        <w:jc w:val="center"/>
        <w:rPr>
          <w:rFonts w:hint="eastAsia" w:ascii="宋体" w:hAnsi="宋体" w:cs="宋体"/>
          <w:b/>
          <w:color w:val="auto"/>
          <w:sz w:val="36"/>
          <w:szCs w:val="36"/>
          <w:highlight w:val="none"/>
        </w:rPr>
      </w:pPr>
    </w:p>
    <w:p>
      <w:pPr>
        <w:pStyle w:val="11"/>
        <w:spacing w:line="500" w:lineRule="exact"/>
        <w:jc w:val="center"/>
        <w:rPr>
          <w:rFonts w:hint="eastAsia" w:ascii="宋体" w:hAnsi="宋体" w:cs="宋体"/>
          <w:b/>
          <w:color w:val="auto"/>
          <w:sz w:val="36"/>
          <w:szCs w:val="36"/>
          <w:highlight w:val="none"/>
        </w:rPr>
      </w:pPr>
    </w:p>
    <w:p>
      <w:pPr>
        <w:pStyle w:val="11"/>
        <w:spacing w:line="500" w:lineRule="exact"/>
        <w:jc w:val="center"/>
        <w:rPr>
          <w:rFonts w:hint="eastAsia" w:ascii="宋体" w:hAnsi="宋体" w:cs="宋体"/>
          <w:b/>
          <w:color w:val="auto"/>
          <w:sz w:val="36"/>
          <w:szCs w:val="36"/>
          <w:highlight w:val="none"/>
        </w:rPr>
      </w:pPr>
    </w:p>
    <w:p>
      <w:pPr>
        <w:pStyle w:val="11"/>
        <w:spacing w:line="480" w:lineRule="auto"/>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投 标 文 件</w:t>
      </w:r>
    </w:p>
    <w:p>
      <w:pPr>
        <w:rPr>
          <w:rFonts w:hint="eastAsia" w:ascii="宋体" w:hAnsi="宋体" w:cs="宋体"/>
          <w:color w:val="auto"/>
          <w:highlight w:val="none"/>
        </w:rPr>
      </w:pPr>
    </w:p>
    <w:p>
      <w:pPr>
        <w:rPr>
          <w:rFonts w:hint="eastAsia" w:ascii="宋体" w:hAnsi="宋体" w:cs="宋体"/>
          <w:color w:val="auto"/>
          <w:highlight w:val="none"/>
        </w:rPr>
      </w:pPr>
    </w:p>
    <w:p>
      <w:pPr>
        <w:rPr>
          <w:rFonts w:hint="eastAsia" w:ascii="宋体" w:hAnsi="宋体" w:cs="宋体"/>
          <w:color w:val="auto"/>
          <w:highlight w:val="none"/>
        </w:rPr>
      </w:pPr>
    </w:p>
    <w:p>
      <w:pPr>
        <w:rPr>
          <w:rFonts w:hint="eastAsia" w:ascii="宋体" w:hAnsi="宋体" w:cs="宋体"/>
          <w:color w:val="auto"/>
          <w:highlight w:val="none"/>
        </w:rPr>
      </w:pPr>
    </w:p>
    <w:p>
      <w:pPr>
        <w:pStyle w:val="11"/>
        <w:spacing w:line="500" w:lineRule="exact"/>
        <w:jc w:val="center"/>
        <w:rPr>
          <w:rFonts w:hint="eastAsia" w:ascii="宋体" w:hAnsi="宋体" w:cs="宋体"/>
          <w:b/>
          <w:color w:val="auto"/>
          <w:sz w:val="36"/>
          <w:szCs w:val="36"/>
          <w:highlight w:val="none"/>
        </w:rPr>
      </w:pPr>
      <w:r>
        <w:rPr>
          <w:rFonts w:hint="eastAsia" w:hAnsi="宋体" w:cs="宋体"/>
          <w:b/>
          <w:color w:val="auto"/>
          <w:sz w:val="36"/>
          <w:szCs w:val="36"/>
          <w:highlight w:val="none"/>
          <w:lang w:eastAsia="zh-CN"/>
        </w:rPr>
        <w:t>项目编号</w:t>
      </w:r>
      <w:r>
        <w:rPr>
          <w:rFonts w:hint="eastAsia" w:ascii="宋体" w:hAnsi="宋体" w:cs="宋体"/>
          <w:b/>
          <w:color w:val="auto"/>
          <w:sz w:val="36"/>
          <w:szCs w:val="36"/>
          <w:highlight w:val="none"/>
        </w:rPr>
        <w:t>：</w:t>
      </w:r>
    </w:p>
    <w:p>
      <w:pPr>
        <w:pStyle w:val="11"/>
        <w:spacing w:line="500" w:lineRule="exact"/>
        <w:jc w:val="center"/>
        <w:rPr>
          <w:rFonts w:hint="eastAsia" w:ascii="宋体" w:hAnsi="宋体" w:cs="宋体"/>
          <w:b/>
          <w:color w:val="auto"/>
          <w:sz w:val="36"/>
          <w:szCs w:val="36"/>
          <w:highlight w:val="none"/>
        </w:rPr>
      </w:pPr>
    </w:p>
    <w:p>
      <w:pPr>
        <w:pStyle w:val="11"/>
        <w:spacing w:line="500" w:lineRule="exact"/>
        <w:ind w:left="-619" w:leftChars="-295" w:right="-313" w:rightChars="-149"/>
        <w:jc w:val="center"/>
        <w:rPr>
          <w:rFonts w:hint="default" w:hAnsi="宋体" w:cs="宋体"/>
          <w:b/>
          <w:bCs/>
          <w:color w:val="auto"/>
          <w:sz w:val="32"/>
          <w:szCs w:val="32"/>
          <w:highlight w:val="none"/>
          <w:u w:val="single"/>
          <w:lang w:val="en-US" w:eastAsia="zh-CN"/>
        </w:rPr>
      </w:pPr>
      <w:r>
        <w:rPr>
          <w:rFonts w:hint="eastAsia" w:ascii="宋体" w:hAnsi="宋体" w:cs="宋体"/>
          <w:b/>
          <w:bCs/>
          <w:color w:val="auto"/>
          <w:sz w:val="32"/>
          <w:szCs w:val="32"/>
          <w:highlight w:val="none"/>
        </w:rPr>
        <w:t>标（包）：</w:t>
      </w:r>
      <w:r>
        <w:rPr>
          <w:rFonts w:hint="eastAsia" w:ascii="宋体" w:hAnsi="宋体" w:cs="宋体"/>
          <w:b/>
          <w:bCs/>
          <w:color w:val="auto"/>
          <w:sz w:val="32"/>
          <w:szCs w:val="32"/>
          <w:highlight w:val="none"/>
          <w:u w:val="single"/>
        </w:rPr>
        <w:t xml:space="preserve"> </w:t>
      </w:r>
      <w:r>
        <w:rPr>
          <w:rFonts w:hint="eastAsia" w:hAnsi="宋体" w:cs="宋体"/>
          <w:b/>
          <w:bCs/>
          <w:color w:val="auto"/>
          <w:sz w:val="32"/>
          <w:szCs w:val="32"/>
          <w:highlight w:val="none"/>
          <w:u w:val="single"/>
          <w:lang w:val="en-US" w:eastAsia="zh-CN"/>
        </w:rPr>
        <w:t xml:space="preserve">石屏县2024年至2027年义务教育阶段学生营养餐食品食材采购及配送服务项目（    标段） </w:t>
      </w:r>
    </w:p>
    <w:p>
      <w:pPr>
        <w:pStyle w:val="11"/>
        <w:spacing w:line="500" w:lineRule="exact"/>
        <w:ind w:left="-619" w:leftChars="-295" w:right="-313" w:rightChars="-149"/>
        <w:jc w:val="center"/>
        <w:rPr>
          <w:rFonts w:hint="eastAsia" w:hAnsi="宋体" w:cs="宋体"/>
          <w:b/>
          <w:bCs/>
          <w:color w:val="auto"/>
          <w:sz w:val="32"/>
          <w:szCs w:val="32"/>
          <w:highlight w:val="none"/>
          <w:u w:val="single"/>
          <w:lang w:val="en-US" w:eastAsia="zh-CN"/>
        </w:rPr>
      </w:pPr>
    </w:p>
    <w:p>
      <w:pPr>
        <w:pStyle w:val="11"/>
        <w:spacing w:line="500" w:lineRule="exact"/>
        <w:jc w:val="center"/>
        <w:rPr>
          <w:rFonts w:hint="eastAsia" w:ascii="宋体" w:hAnsi="宋体" w:cs="宋体"/>
          <w:b/>
          <w:color w:val="auto"/>
          <w:sz w:val="72"/>
          <w:szCs w:val="72"/>
          <w:highlight w:val="none"/>
        </w:rPr>
      </w:pPr>
    </w:p>
    <w:p>
      <w:pPr>
        <w:pStyle w:val="11"/>
        <w:spacing w:line="500" w:lineRule="exact"/>
        <w:jc w:val="center"/>
        <w:rPr>
          <w:rFonts w:hint="eastAsia" w:ascii="宋体" w:hAnsi="宋体" w:cs="宋体"/>
          <w:b/>
          <w:color w:val="auto"/>
          <w:sz w:val="72"/>
          <w:szCs w:val="72"/>
          <w:highlight w:val="none"/>
        </w:rPr>
      </w:pPr>
    </w:p>
    <w:p>
      <w:pPr>
        <w:pStyle w:val="11"/>
        <w:spacing w:line="500" w:lineRule="exact"/>
        <w:jc w:val="center"/>
        <w:rPr>
          <w:rFonts w:hint="eastAsia" w:ascii="宋体" w:hAnsi="宋体" w:cs="宋体"/>
          <w:b/>
          <w:color w:val="auto"/>
          <w:sz w:val="72"/>
          <w:szCs w:val="72"/>
          <w:highlight w:val="none"/>
        </w:rPr>
      </w:pPr>
    </w:p>
    <w:p>
      <w:pPr>
        <w:pStyle w:val="11"/>
        <w:spacing w:line="500" w:lineRule="exact"/>
        <w:jc w:val="center"/>
        <w:rPr>
          <w:rFonts w:hint="eastAsia" w:ascii="宋体" w:hAnsi="宋体" w:cs="宋体"/>
          <w:b/>
          <w:color w:val="auto"/>
          <w:sz w:val="72"/>
          <w:szCs w:val="72"/>
          <w:highlight w:val="none"/>
        </w:rPr>
      </w:pPr>
    </w:p>
    <w:p>
      <w:pPr>
        <w:pStyle w:val="11"/>
        <w:spacing w:line="500" w:lineRule="exact"/>
        <w:jc w:val="center"/>
        <w:rPr>
          <w:rFonts w:hint="eastAsia" w:ascii="宋体" w:hAnsi="宋体" w:cs="宋体"/>
          <w:b/>
          <w:color w:val="auto"/>
          <w:sz w:val="72"/>
          <w:szCs w:val="72"/>
          <w:highlight w:val="none"/>
        </w:rPr>
      </w:pPr>
    </w:p>
    <w:p>
      <w:pPr>
        <w:pStyle w:val="11"/>
        <w:spacing w:line="500" w:lineRule="exact"/>
        <w:jc w:val="center"/>
        <w:rPr>
          <w:rFonts w:hint="eastAsia" w:ascii="宋体" w:hAnsi="宋体" w:cs="宋体"/>
          <w:b/>
          <w:color w:val="auto"/>
          <w:sz w:val="72"/>
          <w:szCs w:val="72"/>
          <w:highlight w:val="none"/>
        </w:rPr>
      </w:pPr>
    </w:p>
    <w:p>
      <w:pPr>
        <w:pStyle w:val="11"/>
        <w:spacing w:line="500" w:lineRule="exact"/>
        <w:rPr>
          <w:rFonts w:hint="eastAsia" w:ascii="宋体" w:hAnsi="宋体" w:cs="宋体"/>
          <w:b/>
          <w:color w:val="auto"/>
          <w:sz w:val="72"/>
          <w:szCs w:val="72"/>
          <w:highlight w:val="none"/>
        </w:rPr>
      </w:pPr>
    </w:p>
    <w:p>
      <w:pPr>
        <w:spacing w:line="360" w:lineRule="auto"/>
        <w:jc w:val="center"/>
        <w:rPr>
          <w:rFonts w:hint="eastAsia" w:ascii="宋体" w:hAnsi="宋体" w:cs="宋体"/>
          <w:b/>
          <w:bCs/>
          <w:color w:val="auto"/>
          <w:sz w:val="32"/>
          <w:szCs w:val="22"/>
          <w:highlight w:val="none"/>
        </w:rPr>
      </w:pPr>
      <w:r>
        <w:rPr>
          <w:rFonts w:hint="eastAsia" w:ascii="宋体" w:hAnsi="宋体" w:cs="宋体"/>
          <w:b/>
          <w:bCs/>
          <w:color w:val="auto"/>
          <w:sz w:val="32"/>
          <w:szCs w:val="22"/>
          <w:highlight w:val="none"/>
          <w:lang w:eastAsia="zh-CN"/>
        </w:rPr>
        <w:t>供应商</w:t>
      </w:r>
      <w:r>
        <w:rPr>
          <w:rFonts w:hint="eastAsia" w:ascii="宋体" w:hAnsi="宋体" w:cs="宋体"/>
          <w:b/>
          <w:bCs/>
          <w:color w:val="auto"/>
          <w:sz w:val="32"/>
          <w:szCs w:val="22"/>
          <w:highlight w:val="none"/>
        </w:rPr>
        <w:t>全称：</w:t>
      </w:r>
      <w:r>
        <w:rPr>
          <w:rFonts w:hint="eastAsia" w:ascii="宋体" w:hAnsi="宋体" w:cs="宋体"/>
          <w:b/>
          <w:bCs/>
          <w:color w:val="auto"/>
          <w:sz w:val="32"/>
          <w:szCs w:val="22"/>
          <w:highlight w:val="none"/>
          <w:u w:val="single"/>
        </w:rPr>
        <w:t xml:space="preserve">                        </w:t>
      </w:r>
      <w:r>
        <w:rPr>
          <w:rFonts w:hint="eastAsia" w:ascii="宋体" w:hAnsi="宋体" w:cs="宋体"/>
          <w:b/>
          <w:bCs/>
          <w:color w:val="auto"/>
          <w:sz w:val="32"/>
          <w:szCs w:val="22"/>
          <w:highlight w:val="none"/>
        </w:rPr>
        <w:t>(加盖电子公章)</w:t>
      </w:r>
    </w:p>
    <w:p>
      <w:pPr>
        <w:pStyle w:val="11"/>
        <w:spacing w:line="500" w:lineRule="exact"/>
        <w:jc w:val="center"/>
        <w:rPr>
          <w:rFonts w:hint="eastAsia" w:ascii="宋体" w:hAnsi="宋体" w:cs="宋体"/>
          <w:b/>
          <w:bCs/>
          <w:color w:val="auto"/>
          <w:sz w:val="32"/>
          <w:szCs w:val="22"/>
          <w:highlight w:val="none"/>
        </w:rPr>
      </w:pPr>
      <w:r>
        <w:rPr>
          <w:rFonts w:hint="eastAsia" w:ascii="宋体" w:hAnsi="宋体" w:cs="宋体"/>
          <w:b/>
          <w:bCs/>
          <w:color w:val="auto"/>
          <w:sz w:val="32"/>
          <w:szCs w:val="22"/>
          <w:highlight w:val="none"/>
        </w:rPr>
        <w:t>法定代表人（负责人）：</w:t>
      </w:r>
      <w:r>
        <w:rPr>
          <w:rFonts w:hint="eastAsia" w:ascii="宋体" w:hAnsi="宋体" w:cs="宋体"/>
          <w:b/>
          <w:bCs/>
          <w:color w:val="auto"/>
          <w:sz w:val="32"/>
          <w:szCs w:val="22"/>
          <w:highlight w:val="none"/>
          <w:u w:val="single"/>
        </w:rPr>
        <w:t xml:space="preserve">           </w:t>
      </w:r>
      <w:r>
        <w:rPr>
          <w:rFonts w:hint="eastAsia" w:ascii="宋体" w:hAnsi="宋体" w:cs="宋体"/>
          <w:b/>
          <w:bCs/>
          <w:color w:val="auto"/>
          <w:sz w:val="32"/>
          <w:szCs w:val="22"/>
          <w:highlight w:val="none"/>
        </w:rPr>
        <w:t>（电子签名或签章）</w:t>
      </w:r>
    </w:p>
    <w:p>
      <w:pPr>
        <w:pStyle w:val="11"/>
        <w:spacing w:line="500" w:lineRule="exact"/>
        <w:jc w:val="center"/>
        <w:rPr>
          <w:rFonts w:hint="eastAsia" w:ascii="宋体" w:hAnsi="宋体" w:cs="宋体"/>
          <w:b/>
          <w:bCs/>
          <w:color w:val="auto"/>
          <w:sz w:val="32"/>
          <w:szCs w:val="22"/>
          <w:highlight w:val="none"/>
        </w:rPr>
      </w:pPr>
      <w:r>
        <w:rPr>
          <w:rFonts w:hint="eastAsia" w:ascii="宋体" w:hAnsi="宋体" w:cs="宋体"/>
          <w:b/>
          <w:bCs/>
          <w:color w:val="auto"/>
          <w:sz w:val="32"/>
          <w:szCs w:val="22"/>
          <w:highlight w:val="none"/>
          <w:u w:val="single"/>
        </w:rPr>
        <w:t xml:space="preserve">     </w:t>
      </w:r>
      <w:r>
        <w:rPr>
          <w:rFonts w:hint="eastAsia" w:ascii="宋体" w:hAnsi="宋体" w:cs="宋体"/>
          <w:b/>
          <w:bCs/>
          <w:color w:val="auto"/>
          <w:sz w:val="32"/>
          <w:szCs w:val="22"/>
          <w:highlight w:val="none"/>
        </w:rPr>
        <w:t>年</w:t>
      </w:r>
      <w:r>
        <w:rPr>
          <w:rFonts w:hint="eastAsia" w:ascii="宋体" w:hAnsi="宋体" w:cs="宋体"/>
          <w:b/>
          <w:bCs/>
          <w:color w:val="auto"/>
          <w:sz w:val="32"/>
          <w:szCs w:val="22"/>
          <w:highlight w:val="none"/>
          <w:u w:val="single"/>
        </w:rPr>
        <w:t xml:space="preserve">     </w:t>
      </w:r>
      <w:r>
        <w:rPr>
          <w:rFonts w:hint="eastAsia" w:ascii="宋体" w:hAnsi="宋体" w:cs="宋体"/>
          <w:b/>
          <w:bCs/>
          <w:color w:val="auto"/>
          <w:sz w:val="32"/>
          <w:szCs w:val="22"/>
          <w:highlight w:val="none"/>
        </w:rPr>
        <w:t>月</w:t>
      </w:r>
      <w:r>
        <w:rPr>
          <w:rFonts w:hint="eastAsia" w:ascii="宋体" w:hAnsi="宋体" w:cs="宋体"/>
          <w:b/>
          <w:bCs/>
          <w:color w:val="auto"/>
          <w:sz w:val="32"/>
          <w:szCs w:val="22"/>
          <w:highlight w:val="none"/>
          <w:u w:val="single"/>
        </w:rPr>
        <w:t xml:space="preserve">    </w:t>
      </w:r>
      <w:r>
        <w:rPr>
          <w:rFonts w:hint="eastAsia" w:ascii="宋体" w:hAnsi="宋体" w:cs="宋体"/>
          <w:b/>
          <w:bCs/>
          <w:color w:val="auto"/>
          <w:sz w:val="32"/>
          <w:szCs w:val="22"/>
          <w:highlight w:val="none"/>
        </w:rPr>
        <w:t>日</w:t>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pPr>
        <w:pStyle w:val="3"/>
        <w:keepNext/>
        <w:keepLines/>
        <w:pageBreakBefore w:val="0"/>
        <w:widowControl w:val="0"/>
        <w:kinsoku/>
        <w:wordWrap/>
        <w:overflowPunct/>
        <w:topLinePunct w:val="0"/>
        <w:autoSpaceDE/>
        <w:autoSpaceDN/>
        <w:bidi w:val="0"/>
        <w:adjustRightInd/>
        <w:snapToGrid/>
        <w:jc w:val="center"/>
        <w:textAlignment w:val="auto"/>
        <w:outlineLvl w:val="1"/>
        <w:rPr>
          <w:rFonts w:hint="eastAsia" w:ascii="宋体" w:hAnsi="宋体" w:cs="宋体"/>
          <w:color w:val="auto"/>
          <w:sz w:val="32"/>
          <w:szCs w:val="21"/>
          <w:highlight w:val="none"/>
        </w:rPr>
      </w:pPr>
      <w:bookmarkStart w:id="586" w:name="_Toc489197867"/>
      <w:bookmarkStart w:id="587" w:name="_Toc488633628"/>
      <w:bookmarkStart w:id="588" w:name="_Toc481694856"/>
      <w:bookmarkStart w:id="589" w:name="_Toc213141103"/>
      <w:bookmarkStart w:id="590" w:name="_Toc489145763"/>
      <w:bookmarkStart w:id="591" w:name="_Toc30005"/>
      <w:bookmarkStart w:id="592" w:name="_Toc20534"/>
      <w:bookmarkStart w:id="593" w:name="_Toc20481"/>
      <w:bookmarkStart w:id="594" w:name="_Toc18537"/>
      <w:bookmarkStart w:id="595" w:name="_Toc28635"/>
      <w:r>
        <w:rPr>
          <w:rFonts w:hint="eastAsia" w:ascii="宋体" w:hAnsi="宋体" w:cs="宋体"/>
          <w:color w:val="auto"/>
          <w:sz w:val="32"/>
          <w:szCs w:val="21"/>
          <w:highlight w:val="none"/>
        </w:rPr>
        <w:t>格式1：资格证明</w:t>
      </w:r>
      <w:bookmarkEnd w:id="586"/>
      <w:bookmarkEnd w:id="587"/>
      <w:bookmarkEnd w:id="588"/>
      <w:bookmarkEnd w:id="589"/>
      <w:bookmarkEnd w:id="590"/>
      <w:r>
        <w:rPr>
          <w:rFonts w:hint="eastAsia" w:ascii="宋体" w:hAnsi="宋体" w:cs="宋体"/>
          <w:color w:val="auto"/>
          <w:sz w:val="32"/>
          <w:szCs w:val="21"/>
          <w:highlight w:val="none"/>
        </w:rPr>
        <w:t>部分</w:t>
      </w:r>
      <w:bookmarkEnd w:id="591"/>
      <w:bookmarkEnd w:id="592"/>
      <w:bookmarkEnd w:id="593"/>
      <w:bookmarkEnd w:id="594"/>
      <w:bookmarkEnd w:id="595"/>
    </w:p>
    <w:p>
      <w:pPr>
        <w:pStyle w:val="11"/>
        <w:rPr>
          <w:rFonts w:hint="eastAsia" w:ascii="宋体" w:hAnsi="宋体" w:cs="宋体"/>
          <w:color w:val="auto"/>
          <w:sz w:val="24"/>
          <w:szCs w:val="24"/>
          <w:highlight w:val="none"/>
        </w:rPr>
      </w:pPr>
    </w:p>
    <w:p>
      <w:pPr>
        <w:pStyle w:val="11"/>
        <w:spacing w:line="360" w:lineRule="auto"/>
        <w:ind w:left="420" w:hanging="42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hAnsi="宋体" w:cs="宋体"/>
          <w:color w:val="auto"/>
          <w:sz w:val="24"/>
          <w:szCs w:val="24"/>
          <w:highlight w:val="none"/>
          <w:lang w:eastAsia="zh-CN"/>
        </w:rPr>
        <w:t>供应商</w:t>
      </w:r>
      <w:r>
        <w:rPr>
          <w:rFonts w:hint="eastAsia" w:ascii="宋体" w:hAnsi="宋体" w:cs="宋体"/>
          <w:color w:val="auto"/>
          <w:sz w:val="24"/>
          <w:szCs w:val="24"/>
          <w:highlight w:val="none"/>
        </w:rPr>
        <w:t>应填写和提交格式规定的有关资料。</w:t>
      </w:r>
    </w:p>
    <w:p>
      <w:pPr>
        <w:pStyle w:val="11"/>
        <w:spacing w:line="360" w:lineRule="auto"/>
        <w:ind w:left="420" w:hanging="420"/>
        <w:rPr>
          <w:rFonts w:hint="eastAsia" w:ascii="宋体" w:hAnsi="宋体" w:cs="宋体"/>
          <w:color w:val="auto"/>
          <w:sz w:val="24"/>
          <w:szCs w:val="24"/>
          <w:highlight w:val="none"/>
        </w:rPr>
      </w:pPr>
      <w:r>
        <w:rPr>
          <w:rFonts w:hint="eastAsia" w:ascii="宋体" w:hAnsi="宋体" w:cs="宋体"/>
          <w:color w:val="auto"/>
          <w:sz w:val="24"/>
          <w:szCs w:val="24"/>
          <w:highlight w:val="none"/>
        </w:rPr>
        <w:t>2.所附格式要求填写的全部内容都必须填写。</w:t>
      </w:r>
    </w:p>
    <w:p>
      <w:pPr>
        <w:pStyle w:val="11"/>
        <w:spacing w:line="360" w:lineRule="auto"/>
        <w:ind w:left="420" w:hanging="420"/>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hAnsi="宋体" w:cs="宋体"/>
          <w:color w:val="auto"/>
          <w:sz w:val="24"/>
          <w:szCs w:val="24"/>
          <w:highlight w:val="none"/>
          <w:lang w:eastAsia="zh-CN"/>
        </w:rPr>
        <w:t>供应商</w:t>
      </w:r>
      <w:r>
        <w:rPr>
          <w:rFonts w:hint="eastAsia" w:ascii="宋体" w:hAnsi="宋体" w:cs="宋体"/>
          <w:color w:val="auto"/>
          <w:sz w:val="24"/>
          <w:szCs w:val="24"/>
          <w:highlight w:val="none"/>
        </w:rPr>
        <w:t>应保证全部声明和填写的内容是真实的和正确的。</w:t>
      </w:r>
    </w:p>
    <w:p>
      <w:pPr>
        <w:pStyle w:val="11"/>
        <w:tabs>
          <w:tab w:val="left" w:pos="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hAnsi="宋体" w:cs="宋体"/>
          <w:color w:val="auto"/>
          <w:sz w:val="24"/>
          <w:szCs w:val="24"/>
          <w:highlight w:val="none"/>
          <w:lang w:eastAsia="zh-CN"/>
        </w:rPr>
        <w:t>供应商</w:t>
      </w:r>
      <w:r>
        <w:rPr>
          <w:rFonts w:hint="eastAsia" w:ascii="宋体" w:hAnsi="宋体" w:cs="宋体"/>
          <w:color w:val="auto"/>
          <w:sz w:val="24"/>
          <w:szCs w:val="24"/>
          <w:highlight w:val="none"/>
        </w:rPr>
        <w:t>提交的材料将被保密，但不退还。</w:t>
      </w:r>
    </w:p>
    <w:p>
      <w:pPr>
        <w:widowControl/>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格式1-1：</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28"/>
          <w:szCs w:val="21"/>
          <w:highlight w:val="none"/>
        </w:rPr>
      </w:pPr>
      <w:bookmarkStart w:id="596" w:name="_Toc489197871"/>
      <w:bookmarkStart w:id="597" w:name="_Toc213141108"/>
      <w:bookmarkStart w:id="598" w:name="_Toc489145767"/>
      <w:bookmarkStart w:id="599" w:name="_Toc503214142"/>
      <w:bookmarkStart w:id="600" w:name="_Toc488633632"/>
      <w:bookmarkStart w:id="601" w:name="_Toc481694860"/>
      <w:bookmarkStart w:id="602" w:name="_Toc18800"/>
      <w:bookmarkStart w:id="603" w:name="_Toc684"/>
      <w:bookmarkStart w:id="604" w:name="_Toc9759"/>
      <w:r>
        <w:rPr>
          <w:rFonts w:hint="eastAsia" w:hAnsi="宋体" w:cs="宋体"/>
          <w:color w:val="auto"/>
          <w:sz w:val="28"/>
          <w:szCs w:val="21"/>
          <w:highlight w:val="none"/>
          <w:lang w:eastAsia="zh-CN"/>
        </w:rPr>
        <w:t>供应商</w:t>
      </w:r>
      <w:r>
        <w:rPr>
          <w:rFonts w:hint="eastAsia" w:ascii="宋体" w:hAnsi="宋体" w:cs="宋体"/>
          <w:color w:val="auto"/>
          <w:sz w:val="28"/>
          <w:szCs w:val="21"/>
          <w:highlight w:val="none"/>
        </w:rPr>
        <w:t>信息</w:t>
      </w:r>
      <w:bookmarkEnd w:id="596"/>
      <w:bookmarkEnd w:id="597"/>
      <w:bookmarkEnd w:id="598"/>
      <w:bookmarkEnd w:id="599"/>
      <w:bookmarkEnd w:id="600"/>
      <w:bookmarkEnd w:id="601"/>
      <w:r>
        <w:rPr>
          <w:rFonts w:hint="eastAsia" w:ascii="宋体" w:hAnsi="宋体" w:cs="宋体"/>
          <w:color w:val="auto"/>
          <w:sz w:val="28"/>
          <w:szCs w:val="21"/>
          <w:highlight w:val="none"/>
        </w:rPr>
        <w:t>情况</w:t>
      </w:r>
      <w:bookmarkEnd w:id="602"/>
      <w:bookmarkEnd w:id="603"/>
      <w:bookmarkEnd w:id="604"/>
    </w:p>
    <w:p>
      <w:pPr>
        <w:numPr>
          <w:ilvl w:val="0"/>
          <w:numId w:val="3"/>
        </w:numPr>
        <w:spacing w:line="320" w:lineRule="exact"/>
        <w:ind w:left="357" w:hanging="357"/>
        <w:rPr>
          <w:rFonts w:hint="eastAsia" w:ascii="宋体" w:hAnsi="宋体" w:cs="宋体"/>
          <w:color w:val="auto"/>
          <w:sz w:val="24"/>
          <w:szCs w:val="24"/>
          <w:highlight w:val="none"/>
        </w:rPr>
      </w:pPr>
      <w:r>
        <w:rPr>
          <w:rFonts w:hint="eastAsia" w:ascii="宋体" w:hAnsi="宋体" w:cs="宋体"/>
          <w:color w:val="auto"/>
          <w:sz w:val="24"/>
          <w:szCs w:val="24"/>
          <w:highlight w:val="none"/>
        </w:rPr>
        <w:t>名称及概况：</w:t>
      </w:r>
    </w:p>
    <w:p>
      <w:pPr>
        <w:numPr>
          <w:ilvl w:val="1"/>
          <w:numId w:val="3"/>
        </w:num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名称：</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p>
    <w:p>
      <w:pPr>
        <w:numPr>
          <w:ilvl w:val="1"/>
          <w:numId w:val="3"/>
        </w:num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地址：</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p>
    <w:p>
      <w:pPr>
        <w:numPr>
          <w:ilvl w:val="1"/>
          <w:numId w:val="3"/>
        </w:num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经营范围：</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p>
    <w:p>
      <w:pPr>
        <w:numPr>
          <w:ilvl w:val="1"/>
          <w:numId w:val="3"/>
        </w:num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成立或注册日期：</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p>
    <w:p>
      <w:pPr>
        <w:numPr>
          <w:ilvl w:val="1"/>
          <w:numId w:val="3"/>
        </w:num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注册资本：</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p>
    <w:p>
      <w:pPr>
        <w:numPr>
          <w:ilvl w:val="1"/>
          <w:numId w:val="3"/>
        </w:num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近期资产负债情况(到</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日止)</w:t>
      </w:r>
    </w:p>
    <w:p>
      <w:pPr>
        <w:spacing w:line="320" w:lineRule="exact"/>
        <w:ind w:left="84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①固定资产:</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p>
    <w:p>
      <w:pPr>
        <w:spacing w:line="320" w:lineRule="exact"/>
        <w:ind w:left="840"/>
        <w:rPr>
          <w:rFonts w:hint="eastAsia" w:ascii="宋体" w:hAnsi="宋体" w:cs="宋体"/>
          <w:color w:val="auto"/>
          <w:sz w:val="24"/>
          <w:szCs w:val="24"/>
          <w:highlight w:val="none"/>
        </w:rPr>
      </w:pPr>
      <w:r>
        <w:rPr>
          <w:rFonts w:hint="eastAsia" w:ascii="宋体" w:hAnsi="宋体" w:cs="宋体"/>
          <w:color w:val="auto"/>
          <w:sz w:val="24"/>
          <w:szCs w:val="24"/>
          <w:highlight w:val="none"/>
        </w:rPr>
        <w:t>②流动资产:</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p>
    <w:p>
      <w:pPr>
        <w:spacing w:line="320" w:lineRule="exact"/>
        <w:ind w:left="84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③长期负债:</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p>
    <w:p>
      <w:pPr>
        <w:spacing w:line="320" w:lineRule="exact"/>
        <w:ind w:left="84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④流动负债:</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p>
    <w:p>
      <w:pPr>
        <w:spacing w:line="320" w:lineRule="exact"/>
        <w:ind w:left="84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⑤净值:</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p>
    <w:p>
      <w:pPr>
        <w:numPr>
          <w:ilvl w:val="1"/>
          <w:numId w:val="3"/>
        </w:num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法定代表人（主要负责人）姓名：</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p>
    <w:p>
      <w:pPr>
        <w:numPr>
          <w:ilvl w:val="1"/>
          <w:numId w:val="3"/>
        </w:num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；联系电话：</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；联系传真：</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；联系邮箱：</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2.近3年销售情况：</w:t>
      </w:r>
    </w:p>
    <w:p>
      <w:pPr>
        <w:spacing w:line="32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u w:val="single"/>
        </w:rPr>
        <w:t>(合同金额)</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p>
    <w:p>
      <w:pPr>
        <w:spacing w:line="32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（2）</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u w:val="single"/>
        </w:rPr>
        <w:t>(合同金额)</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p>
    <w:p>
      <w:pPr>
        <w:spacing w:line="32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（3）</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u w:val="single"/>
        </w:rPr>
        <w:t>(合同金额)</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p>
    <w:p>
      <w:pPr>
        <w:spacing w:line="32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（4）</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u w:val="single"/>
        </w:rPr>
        <w:t>(合同金额)</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p>
    <w:p>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3. 近三年的年营业额</w:t>
      </w:r>
    </w:p>
    <w:p>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年份  </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总额</w:t>
      </w:r>
    </w:p>
    <w:p>
      <w:pPr>
        <w:spacing w:line="32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2021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（元）</w:t>
      </w:r>
      <w:r>
        <w:rPr>
          <w:rFonts w:hint="eastAsia" w:ascii="宋体" w:hAnsi="宋体" w:cs="宋体"/>
          <w:color w:val="auto"/>
          <w:sz w:val="24"/>
          <w:szCs w:val="24"/>
          <w:highlight w:val="none"/>
        </w:rPr>
        <w:tab/>
      </w:r>
    </w:p>
    <w:p>
      <w:pPr>
        <w:spacing w:line="320" w:lineRule="exact"/>
        <w:ind w:firstLine="42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2022</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（元）</w:t>
      </w:r>
      <w:r>
        <w:rPr>
          <w:rFonts w:hint="eastAsia" w:ascii="宋体" w:hAnsi="宋体" w:cs="宋体"/>
          <w:color w:val="auto"/>
          <w:sz w:val="24"/>
          <w:szCs w:val="24"/>
          <w:highlight w:val="none"/>
        </w:rPr>
        <w:tab/>
      </w:r>
    </w:p>
    <w:p>
      <w:pPr>
        <w:spacing w:line="32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2023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（元）</w:t>
      </w:r>
      <w:r>
        <w:rPr>
          <w:rFonts w:hint="eastAsia" w:ascii="宋体" w:hAnsi="宋体" w:cs="宋体"/>
          <w:color w:val="auto"/>
          <w:sz w:val="24"/>
          <w:szCs w:val="24"/>
          <w:highlight w:val="none"/>
        </w:rPr>
        <w:tab/>
      </w:r>
    </w:p>
    <w:p>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4. 开户银行和基本账号:</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p>
    <w:p>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 </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所属的集团公司：（如有）</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p>
    <w:p>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 </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规模：微型企业□  小型企业□  中型企业□  大型企业□</w:t>
      </w:r>
    </w:p>
    <w:p>
      <w:pP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 公司管理体系认证：</w:t>
      </w:r>
    </w:p>
    <w:p>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8. 公司资质及各类生产、经营许可：</w:t>
      </w:r>
    </w:p>
    <w:p>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9. 其他情况：</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p>
    <w:p>
      <w:pPr>
        <w:spacing w:line="32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兹证明上述声明是真实、正确的，并提供了全部能提供的资料和数据，我们同意遵照贵方要求出示有关证明文件。</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(加盖电子公章)</w:t>
      </w:r>
    </w:p>
    <w:p>
      <w:pPr>
        <w:pStyle w:val="11"/>
        <w:spacing w:line="500" w:lineRule="exact"/>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（电子签名或签章）</w:t>
      </w:r>
    </w:p>
    <w:p>
      <w:pPr>
        <w:pStyle w:val="11"/>
        <w:spacing w:line="500" w:lineRule="exact"/>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pPr>
        <w:widowControl/>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格式1-2：</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28"/>
          <w:szCs w:val="21"/>
          <w:highlight w:val="none"/>
        </w:rPr>
      </w:pPr>
      <w:bookmarkStart w:id="605" w:name="_Toc488633629"/>
      <w:bookmarkStart w:id="606" w:name="_Toc2405"/>
      <w:bookmarkStart w:id="607" w:name="_Toc503214138"/>
      <w:bookmarkStart w:id="608" w:name="_Toc489145764"/>
      <w:bookmarkStart w:id="609" w:name="_Toc1551"/>
      <w:bookmarkStart w:id="610" w:name="_Toc17556"/>
      <w:bookmarkStart w:id="611" w:name="_Toc481694857"/>
      <w:bookmarkStart w:id="612" w:name="_Toc489197868"/>
      <w:r>
        <w:rPr>
          <w:rFonts w:hint="eastAsia" w:ascii="宋体" w:hAnsi="宋体" w:cs="宋体"/>
          <w:color w:val="auto"/>
          <w:sz w:val="28"/>
          <w:szCs w:val="21"/>
          <w:highlight w:val="none"/>
        </w:rPr>
        <w:t>法定代表人（负责人）身份证明书</w:t>
      </w:r>
      <w:bookmarkEnd w:id="605"/>
      <w:bookmarkEnd w:id="606"/>
      <w:bookmarkEnd w:id="607"/>
      <w:bookmarkEnd w:id="608"/>
      <w:bookmarkEnd w:id="609"/>
      <w:bookmarkEnd w:id="610"/>
      <w:bookmarkEnd w:id="611"/>
      <w:bookmarkEnd w:id="612"/>
    </w:p>
    <w:p>
      <w:pPr>
        <w:spacing w:line="440" w:lineRule="exact"/>
        <w:jc w:val="center"/>
        <w:rPr>
          <w:rFonts w:hint="eastAsia" w:ascii="宋体" w:hAnsi="宋体" w:cs="宋体"/>
          <w:b/>
          <w:color w:val="auto"/>
          <w:sz w:val="30"/>
          <w:szCs w:val="30"/>
          <w:highlight w:val="none"/>
        </w:rPr>
      </w:pP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名称：</w:t>
      </w:r>
      <w:r>
        <w:rPr>
          <w:rFonts w:hint="eastAsia" w:ascii="宋体" w:hAnsi="宋体" w:cs="宋体"/>
          <w:color w:val="auto"/>
          <w:sz w:val="24"/>
          <w:szCs w:val="24"/>
          <w:highlight w:val="none"/>
          <w:u w:val="single"/>
        </w:rPr>
        <w:t xml:space="preserve">                        </w:t>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单位性质：</w:t>
      </w:r>
      <w:r>
        <w:rPr>
          <w:rFonts w:hint="eastAsia" w:ascii="宋体" w:hAnsi="宋体" w:cs="宋体"/>
          <w:color w:val="auto"/>
          <w:sz w:val="24"/>
          <w:szCs w:val="24"/>
          <w:highlight w:val="none"/>
          <w:u w:val="single"/>
        </w:rPr>
        <w:t xml:space="preserve">                         </w:t>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成立时间：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经营期限：</w:t>
      </w:r>
      <w:r>
        <w:rPr>
          <w:rFonts w:hint="eastAsia" w:ascii="宋体" w:hAnsi="宋体" w:cs="宋体"/>
          <w:color w:val="auto"/>
          <w:sz w:val="24"/>
          <w:szCs w:val="24"/>
          <w:highlight w:val="none"/>
          <w:u w:val="single"/>
        </w:rPr>
        <w:t xml:space="preserve">                 </w:t>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w:t>
      </w:r>
      <w:r>
        <w:rPr>
          <w:rFonts w:hint="eastAsia" w:ascii="宋体" w:hAnsi="宋体" w:cs="宋体"/>
          <w:color w:val="auto"/>
          <w:sz w:val="24"/>
          <w:szCs w:val="24"/>
          <w:highlight w:val="none"/>
          <w:u w:val="single"/>
        </w:rPr>
        <w:t xml:space="preserve">     </w:t>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系（</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的法定代表人（负责人）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rPr>
          <w:rFonts w:hint="eastAsia" w:ascii="宋体" w:hAnsi="宋体" w:cs="宋体"/>
          <w:color w:val="auto"/>
          <w:sz w:val="24"/>
          <w:szCs w:val="24"/>
          <w:highlight w:val="none"/>
        </w:rPr>
      </w:pPr>
    </w:p>
    <w:p>
      <w:pPr>
        <w:spacing w:line="360" w:lineRule="auto"/>
        <w:ind w:firstLine="480" w:firstLineChars="200"/>
        <w:rPr>
          <w:rFonts w:hint="eastAsia" w:ascii="宋体" w:hAnsi="宋体" w:cs="宋体"/>
          <w:color w:val="auto"/>
          <w:sz w:val="24"/>
          <w:szCs w:val="24"/>
          <w:highlight w:val="none"/>
        </w:rPr>
      </w:pP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特此证明。</w:t>
      </w:r>
    </w:p>
    <w:p>
      <w:pPr>
        <w:spacing w:line="360" w:lineRule="auto"/>
        <w:rPr>
          <w:rFonts w:hint="eastAsia" w:ascii="宋体" w:hAnsi="宋体" w:cs="宋体"/>
          <w:color w:val="auto"/>
          <w:sz w:val="24"/>
          <w:szCs w:val="24"/>
          <w:highlight w:val="none"/>
        </w:rPr>
      </w:pPr>
    </w:p>
    <w:p>
      <w:pPr>
        <w:spacing w:line="360" w:lineRule="auto"/>
        <w:rPr>
          <w:rFonts w:hint="eastAsia" w:ascii="宋体" w:hAnsi="宋体" w:cs="宋体"/>
          <w:color w:val="auto"/>
          <w:sz w:val="24"/>
          <w:szCs w:val="24"/>
          <w:highlight w:val="none"/>
        </w:rPr>
      </w:pPr>
    </w:p>
    <w:p>
      <w:pPr>
        <w:spacing w:line="360" w:lineRule="auto"/>
        <w:rPr>
          <w:rFonts w:hint="eastAsia" w:ascii="宋体" w:hAnsi="宋体" w:cs="宋体"/>
          <w:color w:val="auto"/>
          <w:sz w:val="24"/>
          <w:szCs w:val="24"/>
          <w:highlight w:val="none"/>
        </w:rPr>
      </w:pPr>
    </w:p>
    <w:p>
      <w:pPr>
        <w:pStyle w:val="11"/>
        <w:spacing w:line="276" w:lineRule="auto"/>
        <w:ind w:firstLine="420"/>
        <w:rPr>
          <w:rFonts w:hint="eastAsia" w:ascii="宋体" w:hAnsi="宋体" w:cs="宋体"/>
          <w:color w:val="auto"/>
          <w:sz w:val="24"/>
          <w:szCs w:val="24"/>
          <w:highlight w:val="none"/>
          <w:u w:val="single"/>
        </w:rPr>
      </w:pPr>
    </w:p>
    <w:p>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(加盖电子公章)</w:t>
      </w:r>
    </w:p>
    <w:p>
      <w:pPr>
        <w:pStyle w:val="11"/>
        <w:spacing w:line="5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（电子签名或签章）</w:t>
      </w:r>
    </w:p>
    <w:p>
      <w:pPr>
        <w:pStyle w:val="11"/>
        <w:spacing w:line="5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pStyle w:val="11"/>
        <w:spacing w:line="500" w:lineRule="exact"/>
        <w:rPr>
          <w:rFonts w:hint="eastAsia" w:ascii="宋体" w:hAnsi="宋体" w:cs="宋体"/>
          <w:b/>
          <w:bCs/>
          <w:color w:val="auto"/>
          <w:sz w:val="24"/>
          <w:szCs w:val="24"/>
          <w:highlight w:val="none"/>
        </w:rPr>
      </w:pPr>
    </w:p>
    <w:p>
      <w:pPr>
        <w:pStyle w:val="11"/>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附</w:t>
      </w:r>
      <w:r>
        <w:rPr>
          <w:rFonts w:hint="eastAsia" w:hAnsi="宋体" w:cs="宋体"/>
          <w:b/>
          <w:bCs/>
          <w:color w:val="auto"/>
          <w:sz w:val="24"/>
          <w:szCs w:val="24"/>
          <w:highlight w:val="none"/>
          <w:lang w:eastAsia="zh-CN"/>
        </w:rPr>
        <w:t>：</w:t>
      </w:r>
      <w:r>
        <w:rPr>
          <w:rFonts w:hint="eastAsia" w:ascii="宋体" w:hAnsi="宋体" w:cs="宋体"/>
          <w:b/>
          <w:bCs/>
          <w:color w:val="auto"/>
          <w:sz w:val="24"/>
          <w:szCs w:val="24"/>
          <w:highlight w:val="none"/>
        </w:rPr>
        <w:t>法定代表人（负责人）有效居民身份证扫描件。</w:t>
      </w:r>
    </w:p>
    <w:p>
      <w:pPr>
        <w:spacing w:line="360" w:lineRule="auto"/>
        <w:rPr>
          <w:rFonts w:hint="eastAsia" w:ascii="宋体" w:hAnsi="宋体" w:cs="宋体"/>
          <w:color w:val="auto"/>
          <w:szCs w:val="21"/>
          <w:highlight w:val="none"/>
        </w:rPr>
      </w:pPr>
    </w:p>
    <w:p>
      <w:pPr>
        <w:spacing w:line="360" w:lineRule="auto"/>
        <w:rPr>
          <w:rFonts w:hint="eastAsia" w:ascii="宋体" w:hAnsi="宋体" w:cs="宋体"/>
          <w:color w:val="auto"/>
          <w:szCs w:val="21"/>
          <w:highlight w:val="none"/>
        </w:rPr>
      </w:pPr>
    </w:p>
    <w:p>
      <w:pPr>
        <w:spacing w:line="360" w:lineRule="auto"/>
        <w:rPr>
          <w:rFonts w:hint="eastAsia" w:ascii="宋体" w:hAnsi="宋体" w:cs="宋体"/>
          <w:color w:val="auto"/>
          <w:szCs w:val="21"/>
          <w:highlight w:val="none"/>
        </w:rPr>
      </w:pP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pPr>
        <w:widowControl/>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格式1-3：</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28"/>
          <w:szCs w:val="21"/>
          <w:highlight w:val="none"/>
        </w:rPr>
      </w:pPr>
      <w:bookmarkStart w:id="613" w:name="_Toc17549"/>
      <w:bookmarkStart w:id="614" w:name="_Toc481694858"/>
      <w:bookmarkStart w:id="615" w:name="_Toc488633630"/>
      <w:bookmarkStart w:id="616" w:name="_Toc489145765"/>
      <w:bookmarkStart w:id="617" w:name="_Toc7266"/>
      <w:bookmarkStart w:id="618" w:name="_Toc2209"/>
      <w:bookmarkStart w:id="619" w:name="_Toc213141107"/>
      <w:bookmarkStart w:id="620" w:name="_Toc489197869"/>
      <w:bookmarkStart w:id="621" w:name="_Toc503214139"/>
      <w:r>
        <w:rPr>
          <w:rFonts w:hint="eastAsia" w:ascii="宋体" w:hAnsi="宋体" w:cs="宋体"/>
          <w:color w:val="auto"/>
          <w:sz w:val="28"/>
          <w:szCs w:val="21"/>
          <w:highlight w:val="none"/>
        </w:rPr>
        <w:t>法定代表人（负责人）授权委托书</w:t>
      </w:r>
      <w:bookmarkEnd w:id="613"/>
      <w:bookmarkEnd w:id="614"/>
      <w:bookmarkEnd w:id="615"/>
      <w:bookmarkEnd w:id="616"/>
      <w:bookmarkEnd w:id="617"/>
      <w:bookmarkEnd w:id="618"/>
      <w:bookmarkEnd w:id="619"/>
      <w:bookmarkEnd w:id="620"/>
      <w:bookmarkEnd w:id="621"/>
    </w:p>
    <w:p>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本授权书声明：</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u w:val="single"/>
          <w:lang w:eastAsia="zh-CN"/>
        </w:rPr>
        <w:t>供应商</w:t>
      </w:r>
      <w:r>
        <w:rPr>
          <w:rFonts w:hint="eastAsia" w:ascii="宋体" w:hAnsi="宋体" w:cs="宋体"/>
          <w:color w:val="auto"/>
          <w:sz w:val="24"/>
          <w:szCs w:val="24"/>
          <w:highlight w:val="none"/>
          <w:u w:val="single"/>
        </w:rPr>
        <w:t xml:space="preserve">全称） </w:t>
      </w:r>
      <w:r>
        <w:rPr>
          <w:rFonts w:hint="eastAsia" w:ascii="宋体" w:hAnsi="宋体" w:cs="宋体"/>
          <w:color w:val="auto"/>
          <w:sz w:val="24"/>
          <w:szCs w:val="24"/>
          <w:highlight w:val="none"/>
        </w:rPr>
        <w:t>的法定代表人（负责人）代表本单位授权</w:t>
      </w:r>
      <w:r>
        <w:rPr>
          <w:rFonts w:hint="eastAsia" w:ascii="宋体" w:hAnsi="宋体" w:cs="宋体"/>
          <w:color w:val="auto"/>
          <w:sz w:val="24"/>
          <w:szCs w:val="24"/>
          <w:highlight w:val="none"/>
          <w:u w:val="single"/>
        </w:rPr>
        <w:t>（委托代理人姓名）</w:t>
      </w:r>
      <w:r>
        <w:rPr>
          <w:rFonts w:hint="eastAsia" w:ascii="宋体" w:hAnsi="宋体" w:cs="宋体"/>
          <w:color w:val="auto"/>
          <w:sz w:val="24"/>
          <w:szCs w:val="24"/>
          <w:highlight w:val="none"/>
        </w:rPr>
        <w:t>为本单位合法代理人，就贵方组织的</w:t>
      </w:r>
      <w:r>
        <w:rPr>
          <w:rFonts w:hint="eastAsia" w:ascii="宋体" w:hAnsi="宋体" w:cs="宋体"/>
          <w:color w:val="auto"/>
          <w:sz w:val="24"/>
          <w:szCs w:val="24"/>
          <w:highlight w:val="none"/>
          <w:u w:val="single"/>
        </w:rPr>
        <w:t xml:space="preserve">（项目名称）    </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标段）的招标，以本单位名义投标。代理人在本项目投标过程中所签署的一切文件和处理与之有关的一切事务，我方均予承认。</w:t>
      </w:r>
    </w:p>
    <w:p>
      <w:pPr>
        <w:pStyle w:val="11"/>
        <w:spacing w:line="5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代理人无转委托权。</w:t>
      </w:r>
    </w:p>
    <w:p>
      <w:pPr>
        <w:pStyle w:val="11"/>
        <w:spacing w:line="500" w:lineRule="exact"/>
        <w:ind w:firstLine="420"/>
        <w:jc w:val="left"/>
        <w:rPr>
          <w:rFonts w:hint="eastAsia" w:ascii="宋体" w:hAnsi="宋体" w:cs="宋体"/>
          <w:color w:val="auto"/>
          <w:sz w:val="24"/>
          <w:szCs w:val="24"/>
          <w:highlight w:val="none"/>
        </w:rPr>
      </w:pPr>
      <w:r>
        <w:rPr>
          <w:rFonts w:hint="eastAsia" w:hAnsi="宋体" w:cs="宋体"/>
          <w:color w:val="auto"/>
          <w:sz w:val="24"/>
          <w:szCs w:val="24"/>
          <w:highlight w:val="none"/>
          <w:lang w:eastAsia="zh-CN"/>
        </w:rPr>
        <w:t>供应商</w:t>
      </w:r>
      <w:r>
        <w:rPr>
          <w:rFonts w:hint="eastAsia" w:ascii="宋体" w:hAnsi="宋体" w:cs="宋体"/>
          <w:color w:val="auto"/>
          <w:sz w:val="24"/>
          <w:szCs w:val="24"/>
          <w:highlight w:val="none"/>
        </w:rPr>
        <w:t>（加盖电子公章）：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pPr>
        <w:pStyle w:val="11"/>
        <w:spacing w:line="500" w:lineRule="exact"/>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法定代表人（负责人）（电子签名或签章）：</w:t>
      </w:r>
      <w:r>
        <w:rPr>
          <w:rFonts w:hint="eastAsia" w:ascii="宋体" w:hAnsi="宋体" w:cs="宋体"/>
          <w:color w:val="auto"/>
          <w:sz w:val="24"/>
          <w:szCs w:val="24"/>
          <w:highlight w:val="none"/>
          <w:u w:val="single"/>
        </w:rPr>
        <w:t xml:space="preserve">               </w:t>
      </w:r>
    </w:p>
    <w:p>
      <w:pPr>
        <w:pStyle w:val="11"/>
        <w:spacing w:line="500" w:lineRule="exact"/>
        <w:ind w:firstLine="42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委托代理人：</w:t>
      </w:r>
      <w:r>
        <w:rPr>
          <w:rFonts w:hint="eastAsia" w:ascii="宋体" w:hAnsi="宋体" w:cs="宋体"/>
          <w:color w:val="auto"/>
          <w:sz w:val="24"/>
          <w:szCs w:val="24"/>
          <w:highlight w:val="none"/>
          <w:u w:val="single"/>
        </w:rPr>
        <w:t xml:space="preserve">          </w:t>
      </w:r>
    </w:p>
    <w:p>
      <w:pPr>
        <w:pStyle w:val="11"/>
        <w:spacing w:line="500" w:lineRule="exact"/>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p>
    <w:tbl>
      <w:tblPr>
        <w:tblStyle w:val="21"/>
        <w:tblW w:w="9243" w:type="dxa"/>
        <w:tblInd w:w="720" w:type="dxa"/>
        <w:tblLayout w:type="fixed"/>
        <w:tblCellMar>
          <w:top w:w="0" w:type="dxa"/>
          <w:left w:w="108" w:type="dxa"/>
          <w:bottom w:w="0" w:type="dxa"/>
          <w:right w:w="108" w:type="dxa"/>
        </w:tblCellMar>
      </w:tblPr>
      <w:tblGrid>
        <w:gridCol w:w="2450"/>
        <w:gridCol w:w="6793"/>
      </w:tblGrid>
      <w:tr>
        <w:tblPrEx>
          <w:tblCellMar>
            <w:top w:w="0" w:type="dxa"/>
            <w:left w:w="108" w:type="dxa"/>
            <w:bottom w:w="0" w:type="dxa"/>
            <w:right w:w="108" w:type="dxa"/>
          </w:tblCellMar>
        </w:tblPrEx>
        <w:tc>
          <w:tcPr>
            <w:tcW w:w="2450" w:type="dxa"/>
            <w:tcBorders>
              <w:top w:val="nil"/>
              <w:left w:val="nil"/>
              <w:bottom w:val="nil"/>
              <w:right w:val="nil"/>
            </w:tcBorders>
          </w:tcPr>
          <w:p>
            <w:pPr>
              <w:pStyle w:val="11"/>
              <w:spacing w:line="500" w:lineRule="exact"/>
              <w:jc w:val="distribute"/>
              <w:rPr>
                <w:rFonts w:hint="eastAsia" w:ascii="宋体" w:hAnsi="宋体" w:cs="宋体"/>
                <w:color w:val="auto"/>
                <w:sz w:val="24"/>
                <w:szCs w:val="24"/>
                <w:highlight w:val="none"/>
              </w:rPr>
            </w:pPr>
            <w:r>
              <w:rPr>
                <w:rFonts w:hint="eastAsia" w:ascii="宋体" w:hAnsi="宋体" w:cs="宋体"/>
                <w:color w:val="auto"/>
                <w:sz w:val="24"/>
                <w:szCs w:val="24"/>
                <w:highlight w:val="none"/>
              </w:rPr>
              <w:t>委托代理人姓名：</w:t>
            </w:r>
          </w:p>
        </w:tc>
        <w:tc>
          <w:tcPr>
            <w:tcW w:w="6793" w:type="dxa"/>
            <w:tcBorders>
              <w:top w:val="nil"/>
              <w:left w:val="nil"/>
              <w:bottom w:val="nil"/>
              <w:right w:val="nil"/>
            </w:tcBorders>
          </w:tcPr>
          <w:p>
            <w:pPr>
              <w:pStyle w:val="11"/>
              <w:spacing w:line="500" w:lineRule="exact"/>
              <w:rPr>
                <w:rFonts w:hint="eastAsia" w:ascii="宋体" w:hAnsi="宋体" w:cs="宋体"/>
                <w:color w:val="auto"/>
                <w:sz w:val="24"/>
                <w:szCs w:val="24"/>
                <w:highlight w:val="none"/>
              </w:rPr>
            </w:pPr>
          </w:p>
        </w:tc>
      </w:tr>
      <w:tr>
        <w:tblPrEx>
          <w:tblCellMar>
            <w:top w:w="0" w:type="dxa"/>
            <w:left w:w="108" w:type="dxa"/>
            <w:bottom w:w="0" w:type="dxa"/>
            <w:right w:w="108" w:type="dxa"/>
          </w:tblCellMar>
        </w:tblPrEx>
        <w:tc>
          <w:tcPr>
            <w:tcW w:w="2450" w:type="dxa"/>
            <w:tcBorders>
              <w:top w:val="nil"/>
              <w:left w:val="nil"/>
              <w:bottom w:val="nil"/>
              <w:right w:val="nil"/>
            </w:tcBorders>
          </w:tcPr>
          <w:p>
            <w:pPr>
              <w:pStyle w:val="11"/>
              <w:spacing w:line="500" w:lineRule="exact"/>
              <w:jc w:val="distribute"/>
              <w:rPr>
                <w:rFonts w:hint="eastAsia" w:ascii="宋体" w:hAnsi="宋体" w:cs="宋体"/>
                <w:color w:val="auto"/>
                <w:sz w:val="24"/>
                <w:szCs w:val="24"/>
                <w:highlight w:val="none"/>
              </w:rPr>
            </w:pPr>
            <w:r>
              <w:rPr>
                <w:rFonts w:hint="eastAsia" w:ascii="宋体" w:hAnsi="宋体" w:cs="宋体"/>
                <w:color w:val="auto"/>
                <w:sz w:val="24"/>
                <w:szCs w:val="24"/>
                <w:highlight w:val="none"/>
              </w:rPr>
              <w:t>职       务：</w:t>
            </w:r>
          </w:p>
        </w:tc>
        <w:tc>
          <w:tcPr>
            <w:tcW w:w="6793" w:type="dxa"/>
            <w:tcBorders>
              <w:top w:val="nil"/>
              <w:left w:val="nil"/>
              <w:bottom w:val="nil"/>
              <w:right w:val="nil"/>
            </w:tcBorders>
          </w:tcPr>
          <w:p>
            <w:pPr>
              <w:pStyle w:val="11"/>
              <w:spacing w:line="500" w:lineRule="exact"/>
              <w:rPr>
                <w:rFonts w:hint="eastAsia" w:ascii="宋体" w:hAnsi="宋体" w:cs="宋体"/>
                <w:color w:val="auto"/>
                <w:sz w:val="24"/>
                <w:szCs w:val="24"/>
                <w:highlight w:val="none"/>
              </w:rPr>
            </w:pPr>
          </w:p>
        </w:tc>
      </w:tr>
      <w:tr>
        <w:tblPrEx>
          <w:tblCellMar>
            <w:top w:w="0" w:type="dxa"/>
            <w:left w:w="108" w:type="dxa"/>
            <w:bottom w:w="0" w:type="dxa"/>
            <w:right w:w="108" w:type="dxa"/>
          </w:tblCellMar>
        </w:tblPrEx>
        <w:tc>
          <w:tcPr>
            <w:tcW w:w="2450" w:type="dxa"/>
            <w:tcBorders>
              <w:top w:val="nil"/>
              <w:left w:val="nil"/>
              <w:bottom w:val="nil"/>
              <w:right w:val="nil"/>
            </w:tcBorders>
          </w:tcPr>
          <w:p>
            <w:pPr>
              <w:pStyle w:val="11"/>
              <w:spacing w:line="500" w:lineRule="exact"/>
              <w:jc w:val="distribute"/>
              <w:rPr>
                <w:rFonts w:hint="eastAsia" w:ascii="宋体" w:hAnsi="宋体" w:cs="宋体"/>
                <w:color w:val="auto"/>
                <w:sz w:val="24"/>
                <w:szCs w:val="24"/>
                <w:highlight w:val="none"/>
              </w:rPr>
            </w:pPr>
            <w:r>
              <w:rPr>
                <w:rFonts w:hint="eastAsia" w:ascii="宋体" w:hAnsi="宋体" w:cs="宋体"/>
                <w:color w:val="auto"/>
                <w:sz w:val="24"/>
                <w:szCs w:val="24"/>
                <w:highlight w:val="none"/>
              </w:rPr>
              <w:t>居民身份证号码：</w:t>
            </w:r>
          </w:p>
        </w:tc>
        <w:tc>
          <w:tcPr>
            <w:tcW w:w="6793" w:type="dxa"/>
            <w:tcBorders>
              <w:top w:val="nil"/>
              <w:left w:val="nil"/>
              <w:bottom w:val="nil"/>
              <w:right w:val="nil"/>
            </w:tcBorders>
          </w:tcPr>
          <w:p>
            <w:pPr>
              <w:pStyle w:val="11"/>
              <w:spacing w:line="500" w:lineRule="exact"/>
              <w:rPr>
                <w:rFonts w:hint="eastAsia" w:ascii="宋体" w:hAnsi="宋体" w:cs="宋体"/>
                <w:color w:val="auto"/>
                <w:sz w:val="24"/>
                <w:szCs w:val="24"/>
                <w:highlight w:val="none"/>
              </w:rPr>
            </w:pPr>
          </w:p>
        </w:tc>
      </w:tr>
      <w:tr>
        <w:tblPrEx>
          <w:tblCellMar>
            <w:top w:w="0" w:type="dxa"/>
            <w:left w:w="108" w:type="dxa"/>
            <w:bottom w:w="0" w:type="dxa"/>
            <w:right w:w="108" w:type="dxa"/>
          </w:tblCellMar>
        </w:tblPrEx>
        <w:tc>
          <w:tcPr>
            <w:tcW w:w="2450" w:type="dxa"/>
            <w:tcBorders>
              <w:top w:val="nil"/>
              <w:left w:val="nil"/>
              <w:bottom w:val="nil"/>
              <w:right w:val="nil"/>
            </w:tcBorders>
          </w:tcPr>
          <w:p>
            <w:pPr>
              <w:pStyle w:val="11"/>
              <w:spacing w:line="500" w:lineRule="exact"/>
              <w:jc w:val="distribute"/>
              <w:rPr>
                <w:rFonts w:hint="eastAsia" w:ascii="宋体" w:hAnsi="宋体" w:cs="宋体"/>
                <w:color w:val="auto"/>
                <w:sz w:val="24"/>
                <w:szCs w:val="24"/>
                <w:highlight w:val="none"/>
              </w:rPr>
            </w:pPr>
            <w:r>
              <w:rPr>
                <w:rFonts w:hint="eastAsia" w:ascii="宋体" w:hAnsi="宋体" w:cs="宋体"/>
                <w:color w:val="auto"/>
                <w:sz w:val="24"/>
                <w:szCs w:val="24"/>
                <w:highlight w:val="none"/>
              </w:rPr>
              <w:t>详 细  地 址：</w:t>
            </w:r>
          </w:p>
        </w:tc>
        <w:tc>
          <w:tcPr>
            <w:tcW w:w="6793" w:type="dxa"/>
            <w:tcBorders>
              <w:top w:val="nil"/>
              <w:left w:val="nil"/>
              <w:bottom w:val="nil"/>
              <w:right w:val="nil"/>
            </w:tcBorders>
          </w:tcPr>
          <w:p>
            <w:pPr>
              <w:pStyle w:val="11"/>
              <w:spacing w:line="500" w:lineRule="exact"/>
              <w:rPr>
                <w:rFonts w:hint="eastAsia" w:ascii="宋体" w:hAnsi="宋体" w:cs="宋体"/>
                <w:color w:val="auto"/>
                <w:sz w:val="24"/>
                <w:szCs w:val="24"/>
                <w:highlight w:val="none"/>
              </w:rPr>
            </w:pPr>
          </w:p>
        </w:tc>
      </w:tr>
      <w:tr>
        <w:tblPrEx>
          <w:tblCellMar>
            <w:top w:w="0" w:type="dxa"/>
            <w:left w:w="108" w:type="dxa"/>
            <w:bottom w:w="0" w:type="dxa"/>
            <w:right w:w="108" w:type="dxa"/>
          </w:tblCellMar>
        </w:tblPrEx>
        <w:tc>
          <w:tcPr>
            <w:tcW w:w="2450" w:type="dxa"/>
            <w:tcBorders>
              <w:top w:val="nil"/>
              <w:left w:val="nil"/>
              <w:bottom w:val="nil"/>
              <w:right w:val="nil"/>
            </w:tcBorders>
          </w:tcPr>
          <w:p>
            <w:pPr>
              <w:pStyle w:val="11"/>
              <w:spacing w:line="500" w:lineRule="exact"/>
              <w:jc w:val="distribute"/>
              <w:rPr>
                <w:rFonts w:hint="eastAsia" w:ascii="宋体" w:hAnsi="宋体" w:cs="宋体"/>
                <w:color w:val="auto"/>
                <w:sz w:val="24"/>
                <w:szCs w:val="24"/>
                <w:highlight w:val="none"/>
              </w:rPr>
            </w:pPr>
            <w:r>
              <w:rPr>
                <w:rFonts w:hint="eastAsia" w:ascii="宋体" w:hAnsi="宋体" w:cs="宋体"/>
                <w:color w:val="auto"/>
                <w:sz w:val="24"/>
                <w:szCs w:val="24"/>
                <w:highlight w:val="none"/>
              </w:rPr>
              <w:t>电       话：</w:t>
            </w:r>
          </w:p>
        </w:tc>
        <w:tc>
          <w:tcPr>
            <w:tcW w:w="6793" w:type="dxa"/>
            <w:tcBorders>
              <w:top w:val="nil"/>
              <w:left w:val="nil"/>
              <w:bottom w:val="nil"/>
              <w:right w:val="nil"/>
            </w:tcBorders>
          </w:tcPr>
          <w:p>
            <w:pPr>
              <w:pStyle w:val="11"/>
              <w:spacing w:line="500" w:lineRule="exact"/>
              <w:rPr>
                <w:rFonts w:hint="eastAsia" w:ascii="宋体" w:hAnsi="宋体" w:cs="宋体"/>
                <w:color w:val="auto"/>
                <w:sz w:val="24"/>
                <w:szCs w:val="24"/>
                <w:highlight w:val="none"/>
              </w:rPr>
            </w:pPr>
          </w:p>
        </w:tc>
      </w:tr>
      <w:tr>
        <w:tblPrEx>
          <w:tblCellMar>
            <w:top w:w="0" w:type="dxa"/>
            <w:left w:w="108" w:type="dxa"/>
            <w:bottom w:w="0" w:type="dxa"/>
            <w:right w:w="108" w:type="dxa"/>
          </w:tblCellMar>
        </w:tblPrEx>
        <w:tc>
          <w:tcPr>
            <w:tcW w:w="9243" w:type="dxa"/>
            <w:gridSpan w:val="2"/>
            <w:tcBorders>
              <w:top w:val="nil"/>
              <w:left w:val="nil"/>
              <w:bottom w:val="nil"/>
              <w:right w:val="nil"/>
            </w:tcBorders>
          </w:tcPr>
          <w:p>
            <w:pPr>
              <w:pStyle w:val="11"/>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附： 委托代理人身份证</w:t>
            </w:r>
          </w:p>
        </w:tc>
      </w:tr>
    </w:tbl>
    <w:p>
      <w:pPr>
        <w:pStyle w:val="11"/>
        <w:spacing w:line="500" w:lineRule="exact"/>
        <w:ind w:firstLine="420"/>
        <w:rPr>
          <w:rFonts w:hint="eastAsia" w:hAnsi="宋体" w:cs="宋体"/>
          <w:b/>
          <w:bCs/>
          <w:color w:val="auto"/>
          <w:sz w:val="24"/>
          <w:szCs w:val="24"/>
          <w:highlight w:val="none"/>
          <w:lang w:val="en-US" w:eastAsia="zh-CN"/>
        </w:rPr>
      </w:pPr>
    </w:p>
    <w:p>
      <w:pPr>
        <w:pStyle w:val="11"/>
        <w:spacing w:line="500" w:lineRule="exact"/>
        <w:ind w:firstLine="420"/>
        <w:rPr>
          <w:rFonts w:hint="eastAsia" w:ascii="宋体" w:hAnsi="宋体" w:cs="宋体"/>
          <w:b/>
          <w:bCs/>
          <w:color w:val="auto"/>
          <w:sz w:val="24"/>
          <w:szCs w:val="24"/>
          <w:highlight w:val="none"/>
        </w:rPr>
      </w:pPr>
      <w:r>
        <w:rPr>
          <w:rFonts w:hint="eastAsia" w:hAnsi="宋体" w:cs="宋体"/>
          <w:b/>
          <w:bCs/>
          <w:color w:val="auto"/>
          <w:sz w:val="24"/>
          <w:szCs w:val="24"/>
          <w:highlight w:val="none"/>
          <w:lang w:val="en-US" w:eastAsia="zh-CN"/>
        </w:rPr>
        <w:t>附：</w:t>
      </w:r>
      <w:r>
        <w:rPr>
          <w:rFonts w:hint="eastAsia" w:ascii="宋体" w:hAnsi="宋体" w:cs="宋体"/>
          <w:b/>
          <w:bCs/>
          <w:color w:val="auto"/>
          <w:sz w:val="24"/>
          <w:szCs w:val="24"/>
          <w:highlight w:val="none"/>
        </w:rPr>
        <w:t>委托代理人</w:t>
      </w:r>
      <w:r>
        <w:rPr>
          <w:rFonts w:hint="eastAsia" w:hAnsi="宋体" w:cs="宋体"/>
          <w:b/>
          <w:bCs/>
          <w:color w:val="auto"/>
          <w:sz w:val="24"/>
          <w:szCs w:val="24"/>
          <w:highlight w:val="none"/>
          <w:lang w:val="en-US" w:eastAsia="zh-CN"/>
        </w:rPr>
        <w:t>签署投标文件时，需附其</w:t>
      </w:r>
      <w:r>
        <w:rPr>
          <w:rFonts w:hint="eastAsia" w:ascii="宋体" w:hAnsi="宋体" w:cs="宋体"/>
          <w:b/>
          <w:bCs/>
          <w:color w:val="auto"/>
          <w:sz w:val="24"/>
          <w:szCs w:val="24"/>
          <w:highlight w:val="none"/>
        </w:rPr>
        <w:t>居民身份证扫描件（如非中国国籍应提供护照扫描件）。</w:t>
      </w:r>
    </w:p>
    <w:p>
      <w:pPr>
        <w:pStyle w:val="11"/>
        <w:spacing w:line="600" w:lineRule="exact"/>
        <w:rPr>
          <w:rFonts w:hint="eastAsia" w:ascii="宋体" w:hAnsi="宋体" w:cs="宋体"/>
          <w:b/>
          <w:color w:val="auto"/>
          <w:sz w:val="28"/>
          <w:szCs w:val="28"/>
          <w:highlight w:val="none"/>
        </w:rPr>
      </w:pPr>
      <w:r>
        <w:rPr>
          <w:rFonts w:hint="eastAsia" w:ascii="宋体" w:hAnsi="宋体" w:cs="宋体"/>
          <w:b/>
          <w:color w:val="auto"/>
          <w:sz w:val="24"/>
          <w:szCs w:val="24"/>
          <w:highlight w:val="none"/>
        </w:rPr>
        <w:br w:type="page"/>
      </w:r>
      <w:r>
        <w:rPr>
          <w:rFonts w:hint="eastAsia" w:ascii="宋体" w:hAnsi="宋体" w:cs="宋体"/>
          <w:b/>
          <w:color w:val="auto"/>
          <w:sz w:val="28"/>
          <w:szCs w:val="28"/>
          <w:highlight w:val="none"/>
        </w:rPr>
        <w:t>格式1-4：</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28"/>
          <w:szCs w:val="21"/>
          <w:highlight w:val="none"/>
        </w:rPr>
      </w:pPr>
      <w:bookmarkStart w:id="622" w:name="_Toc7738"/>
      <w:r>
        <w:rPr>
          <w:rFonts w:hint="eastAsia" w:ascii="宋体" w:hAnsi="宋体" w:cs="宋体"/>
          <w:color w:val="auto"/>
          <w:sz w:val="28"/>
          <w:szCs w:val="21"/>
          <w:highlight w:val="none"/>
        </w:rPr>
        <w:t>营业执照</w:t>
      </w:r>
      <w:bookmarkEnd w:id="622"/>
    </w:p>
    <w:p>
      <w:pPr>
        <w:widowControl/>
        <w:spacing w:line="440" w:lineRule="exact"/>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提供营业执照或事业单位法人证书或其他组织的证明文件。</w:t>
      </w:r>
    </w:p>
    <w:p>
      <w:pPr>
        <w:widowControl/>
        <w:spacing w:line="440" w:lineRule="exact"/>
        <w:ind w:firstLine="480" w:firstLineChars="200"/>
        <w:jc w:val="left"/>
        <w:rPr>
          <w:rFonts w:hint="eastAsia" w:ascii="宋体" w:hAnsi="宋体" w:cs="宋体"/>
          <w:color w:val="auto"/>
          <w:sz w:val="24"/>
          <w:szCs w:val="24"/>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pStyle w:val="20"/>
        <w:rPr>
          <w:rFonts w:hint="eastAsia" w:ascii="宋体" w:hAnsi="宋体" w:cs="宋体"/>
          <w:color w:val="auto"/>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pPr>
        <w:widowControl/>
        <w:spacing w:line="440" w:lineRule="exact"/>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格式1-5：</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28"/>
          <w:szCs w:val="21"/>
          <w:highlight w:val="none"/>
        </w:rPr>
      </w:pPr>
      <w:bookmarkStart w:id="623" w:name="_Toc29088"/>
      <w:r>
        <w:rPr>
          <w:rFonts w:hint="eastAsia" w:ascii="宋体" w:hAnsi="宋体" w:cs="宋体"/>
          <w:color w:val="auto"/>
          <w:sz w:val="28"/>
          <w:szCs w:val="21"/>
          <w:highlight w:val="none"/>
        </w:rPr>
        <w:t>商业信誉和健全的财务会计制度</w:t>
      </w:r>
      <w:bookmarkEnd w:id="623"/>
    </w:p>
    <w:p>
      <w:pPr>
        <w:pStyle w:val="11"/>
        <w:spacing w:line="48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具有良好的商业信誉和健全的财务会计制度，提供书面声明或证明材料（证明材料指2022年至2023年度的财务审计报告或公司财务报表或自投标文件提交截止时间前三个月内开户银行出具的资信证明或资金存款证明。</w:t>
      </w:r>
    </w:p>
    <w:p>
      <w:pPr>
        <w:rPr>
          <w:rFonts w:hint="eastAsia" w:ascii="宋体" w:hAnsi="宋体" w:cs="宋体"/>
          <w:b/>
          <w:color w:val="auto"/>
          <w:sz w:val="28"/>
          <w:szCs w:val="28"/>
          <w:highlight w:val="none"/>
        </w:rPr>
      </w:pP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pPr>
        <w:widowControl/>
        <w:spacing w:line="440" w:lineRule="exact"/>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格式1-6：</w:t>
      </w:r>
    </w:p>
    <w:p>
      <w:pPr>
        <w:widowControl/>
        <w:spacing w:line="440" w:lineRule="exact"/>
        <w:jc w:val="left"/>
        <w:rPr>
          <w:rFonts w:hint="eastAsia" w:ascii="宋体" w:hAnsi="宋体" w:cs="宋体"/>
          <w:b/>
          <w:color w:val="auto"/>
          <w:sz w:val="28"/>
          <w:szCs w:val="28"/>
          <w:highlight w:val="none"/>
        </w:rPr>
      </w:pP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28"/>
          <w:szCs w:val="21"/>
          <w:highlight w:val="none"/>
        </w:rPr>
      </w:pPr>
      <w:bookmarkStart w:id="624" w:name="_Toc20107"/>
      <w:r>
        <w:rPr>
          <w:rFonts w:hint="eastAsia" w:ascii="宋体" w:hAnsi="宋体" w:cs="宋体"/>
          <w:color w:val="auto"/>
          <w:sz w:val="28"/>
          <w:szCs w:val="21"/>
          <w:highlight w:val="none"/>
        </w:rPr>
        <w:t>设备和专业技术能力证明</w:t>
      </w:r>
      <w:bookmarkEnd w:id="624"/>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80" w:firstLineChars="200"/>
        <w:jc w:val="left"/>
        <w:rPr>
          <w:rFonts w:hint="eastAsia" w:ascii="宋体" w:hAnsi="宋体" w:cs="宋体"/>
          <w:b/>
          <w:color w:val="auto"/>
          <w:kern w:val="0"/>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须具有履行合同所必需的设备和专业技术能力，提供书面声明或证明材料。</w:t>
      </w:r>
    </w:p>
    <w:p>
      <w:pPr>
        <w:widowControl/>
        <w:spacing w:line="440" w:lineRule="exact"/>
        <w:ind w:firstLine="422" w:firstLineChars="200"/>
        <w:jc w:val="left"/>
        <w:rPr>
          <w:rFonts w:hint="eastAsia" w:ascii="宋体" w:hAnsi="宋体" w:cs="宋体"/>
          <w:b/>
          <w:color w:val="auto"/>
          <w:kern w:val="0"/>
          <w:szCs w:val="21"/>
          <w:highlight w:val="none"/>
        </w:rPr>
      </w:pP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pPr>
        <w:widowControl/>
        <w:spacing w:line="440" w:lineRule="exact"/>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格式1-7：</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28"/>
          <w:szCs w:val="21"/>
          <w:highlight w:val="none"/>
        </w:rPr>
      </w:pPr>
      <w:bookmarkStart w:id="625" w:name="_Toc14180"/>
      <w:r>
        <w:rPr>
          <w:rFonts w:hint="eastAsia" w:ascii="宋体" w:hAnsi="宋体" w:cs="宋体"/>
          <w:color w:val="auto"/>
          <w:sz w:val="28"/>
          <w:szCs w:val="21"/>
          <w:highlight w:val="none"/>
        </w:rPr>
        <w:t>依法缴纳税收和社会保障资金的良好记录</w:t>
      </w:r>
      <w:bookmarkEnd w:id="625"/>
    </w:p>
    <w:p>
      <w:pPr>
        <w:widowControl/>
        <w:spacing w:line="440" w:lineRule="exact"/>
        <w:ind w:firstLine="422" w:firstLineChars="200"/>
        <w:jc w:val="left"/>
        <w:rPr>
          <w:rFonts w:hint="eastAsia" w:ascii="宋体" w:hAnsi="宋体" w:cs="宋体"/>
          <w:b/>
          <w:color w:val="auto"/>
          <w:kern w:val="0"/>
          <w:szCs w:val="21"/>
          <w:highlight w:val="none"/>
        </w:rPr>
      </w:pP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有依法缴纳税收和社会保障资金的良好记录，提供书面声明或证明材料（证明材料指①缴税所属时间在2023年3月至本项目投标文件提交截止时间前任意1个月的税务局税收通用缴款书或银行电子缴税（费）凭证或税务局出具纳税情况的相关证明；②缴费所属时间在2023年3月至本项目投标文件提交截止时间前任意1个月的社会保险费缴款书或银行电子缴税（费）凭证或社保管理部门出具的有效的缴款证明；依法免税或不需要缴纳社会保障资金的，应提供相应文件证明其依法免税或不需要缴纳社会保障资金）</w:t>
      </w: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widowControl/>
        <w:spacing w:line="440" w:lineRule="exact"/>
        <w:ind w:firstLine="422" w:firstLineChars="200"/>
        <w:jc w:val="left"/>
        <w:rPr>
          <w:rFonts w:hint="eastAsia" w:ascii="宋体" w:hAnsi="宋体" w:cs="宋体"/>
          <w:b/>
          <w:color w:val="auto"/>
          <w:kern w:val="0"/>
          <w:szCs w:val="21"/>
          <w:highlight w:val="none"/>
        </w:rPr>
      </w:pP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pPr>
        <w:widowControl/>
        <w:spacing w:line="440" w:lineRule="exact"/>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格式1-8：</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28"/>
          <w:szCs w:val="21"/>
          <w:highlight w:val="none"/>
        </w:rPr>
      </w:pPr>
      <w:bookmarkStart w:id="626" w:name="_Toc12090"/>
      <w:r>
        <w:rPr>
          <w:rFonts w:hint="eastAsia" w:ascii="宋体" w:hAnsi="宋体" w:cs="宋体"/>
          <w:color w:val="auto"/>
          <w:sz w:val="28"/>
          <w:szCs w:val="21"/>
          <w:highlight w:val="none"/>
        </w:rPr>
        <w:t>无重大违法记录声明</w:t>
      </w:r>
      <w:bookmarkEnd w:id="626"/>
    </w:p>
    <w:p>
      <w:pPr>
        <w:widowControl/>
        <w:spacing w:line="440" w:lineRule="exact"/>
        <w:ind w:firstLine="480" w:firstLineChars="200"/>
        <w:jc w:val="left"/>
        <w:rPr>
          <w:rFonts w:hint="eastAsia" w:ascii="宋体" w:hAnsi="宋体" w:cs="宋体"/>
          <w:color w:val="auto"/>
          <w:szCs w:val="21"/>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参加政府采购活动前三年内，在经营活动中没有重大违法记录（重大违法记录，是指</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因违法经营受到刑事处罚或者责令停产停业、吊销许可证或者执照、较大数额罚款等行政处罚），提供书面声明。</w:t>
      </w:r>
    </w:p>
    <w:p>
      <w:pPr>
        <w:widowControl/>
        <w:spacing w:line="440" w:lineRule="exact"/>
        <w:ind w:firstLine="420" w:firstLineChars="200"/>
        <w:jc w:val="left"/>
        <w:rPr>
          <w:rFonts w:hint="eastAsia" w:ascii="宋体" w:hAnsi="宋体" w:cs="宋体"/>
          <w:color w:val="auto"/>
          <w:szCs w:val="21"/>
          <w:highlight w:val="none"/>
        </w:rPr>
      </w:pPr>
    </w:p>
    <w:p>
      <w:pPr>
        <w:pStyle w:val="9"/>
        <w:rPr>
          <w:rFonts w:hint="eastAsia" w:ascii="宋体" w:hAnsi="宋体" w:cs="宋体"/>
          <w:color w:val="auto"/>
          <w:highlight w:val="none"/>
        </w:rPr>
      </w:pPr>
    </w:p>
    <w:p>
      <w:pPr>
        <w:pStyle w:val="9"/>
        <w:rPr>
          <w:rFonts w:hint="eastAsia" w:ascii="宋体" w:hAnsi="宋体" w:cs="宋体"/>
          <w:color w:val="auto"/>
          <w:highlight w:val="none"/>
        </w:rPr>
      </w:pP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pPr>
        <w:widowControl/>
        <w:spacing w:line="440" w:lineRule="exact"/>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格式1-9：</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28"/>
          <w:szCs w:val="21"/>
          <w:highlight w:val="none"/>
        </w:rPr>
      </w:pPr>
      <w:bookmarkStart w:id="627" w:name="_Toc23817"/>
      <w:r>
        <w:rPr>
          <w:rFonts w:hint="eastAsia" w:ascii="宋体" w:hAnsi="宋体" w:cs="宋体"/>
          <w:color w:val="auto"/>
          <w:sz w:val="28"/>
          <w:szCs w:val="21"/>
          <w:highlight w:val="none"/>
        </w:rPr>
        <w:t>法律、行政法规规定的其他条件</w:t>
      </w:r>
      <w:bookmarkEnd w:id="627"/>
    </w:p>
    <w:p>
      <w:pPr>
        <w:widowControl/>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（自拟格式说明）</w:t>
      </w:r>
    </w:p>
    <w:p>
      <w:pPr>
        <w:widowControl/>
        <w:spacing w:line="440" w:lineRule="exact"/>
        <w:jc w:val="left"/>
        <w:rPr>
          <w:rFonts w:hint="eastAsia" w:ascii="宋体" w:hAnsi="宋体" w:cs="宋体"/>
          <w:color w:val="auto"/>
          <w:sz w:val="24"/>
          <w:szCs w:val="24"/>
          <w:highlight w:val="none"/>
        </w:rPr>
      </w:pPr>
    </w:p>
    <w:p>
      <w:pPr>
        <w:widowControl/>
        <w:spacing w:line="440" w:lineRule="exact"/>
        <w:jc w:val="left"/>
        <w:rPr>
          <w:rFonts w:hint="eastAsia" w:ascii="宋体" w:hAnsi="宋体" w:cs="宋体"/>
          <w:color w:val="auto"/>
          <w:szCs w:val="21"/>
          <w:highlight w:val="none"/>
        </w:rPr>
      </w:pPr>
    </w:p>
    <w:p>
      <w:pPr>
        <w:widowControl/>
        <w:spacing w:line="440" w:lineRule="exact"/>
        <w:jc w:val="left"/>
        <w:rPr>
          <w:rFonts w:hint="eastAsia" w:ascii="宋体" w:hAnsi="宋体" w:cs="宋体"/>
          <w:color w:val="auto"/>
          <w:szCs w:val="21"/>
          <w:highlight w:val="none"/>
        </w:rPr>
      </w:pPr>
    </w:p>
    <w:p>
      <w:pPr>
        <w:pStyle w:val="20"/>
        <w:rPr>
          <w:rFonts w:hint="eastAsia" w:ascii="宋体" w:hAnsi="宋体" w:cs="宋体"/>
          <w:color w:val="auto"/>
          <w:szCs w:val="21"/>
          <w:highlight w:val="none"/>
        </w:rPr>
      </w:pPr>
    </w:p>
    <w:p>
      <w:pPr>
        <w:pStyle w:val="20"/>
        <w:rPr>
          <w:rFonts w:hint="eastAsia" w:ascii="宋体" w:hAnsi="宋体" w:cs="宋体"/>
          <w:color w:val="auto"/>
          <w:szCs w:val="21"/>
          <w:highlight w:val="none"/>
        </w:rPr>
      </w:pPr>
    </w:p>
    <w:p>
      <w:pPr>
        <w:pStyle w:val="20"/>
        <w:rPr>
          <w:rFonts w:hint="eastAsia" w:ascii="宋体" w:hAnsi="宋体" w:cs="宋体"/>
          <w:color w:val="auto"/>
          <w:szCs w:val="21"/>
          <w:highlight w:val="none"/>
        </w:rPr>
      </w:pPr>
    </w:p>
    <w:p>
      <w:pPr>
        <w:pStyle w:val="20"/>
        <w:rPr>
          <w:rFonts w:hint="eastAsia" w:ascii="宋体" w:hAnsi="宋体" w:cs="宋体"/>
          <w:color w:val="auto"/>
          <w:szCs w:val="21"/>
          <w:highlight w:val="none"/>
        </w:rPr>
      </w:pPr>
    </w:p>
    <w:p>
      <w:pPr>
        <w:pStyle w:val="20"/>
        <w:ind w:firstLine="0" w:firstLineChars="0"/>
        <w:rPr>
          <w:rFonts w:hint="eastAsia" w:ascii="宋体" w:hAnsi="宋体" w:cs="宋体"/>
          <w:b/>
          <w:color w:val="auto"/>
          <w:sz w:val="28"/>
          <w:szCs w:val="28"/>
          <w:highlight w:val="none"/>
        </w:rPr>
      </w:pP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pPr>
        <w:pStyle w:val="20"/>
        <w:ind w:firstLine="0" w:firstLineChars="0"/>
        <w:rPr>
          <w:rFonts w:hint="eastAsia" w:ascii="宋体" w:hAnsi="宋体" w:cs="宋体"/>
          <w:color w:val="auto"/>
          <w:szCs w:val="21"/>
          <w:highlight w:val="none"/>
        </w:rPr>
      </w:pPr>
      <w:r>
        <w:rPr>
          <w:rFonts w:hint="eastAsia" w:ascii="宋体" w:hAnsi="宋体" w:cs="宋体"/>
          <w:b/>
          <w:color w:val="auto"/>
          <w:sz w:val="28"/>
          <w:szCs w:val="28"/>
          <w:highlight w:val="none"/>
        </w:rPr>
        <w:t>格式1-10：</w:t>
      </w:r>
    </w:p>
    <w:p>
      <w:pPr>
        <w:pStyle w:val="20"/>
        <w:ind w:firstLine="0" w:firstLineChars="0"/>
        <w:rPr>
          <w:rFonts w:hint="eastAsia" w:ascii="宋体" w:hAnsi="宋体" w:cs="宋体"/>
          <w:color w:val="auto"/>
          <w:szCs w:val="21"/>
          <w:highlight w:val="none"/>
        </w:rPr>
      </w:pP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28" w:name="_Toc20063"/>
      <w:r>
        <w:rPr>
          <w:rFonts w:hint="eastAsia" w:ascii="宋体" w:hAnsi="宋体" w:cs="宋体"/>
          <w:color w:val="auto"/>
          <w:sz w:val="32"/>
          <w:szCs w:val="22"/>
          <w:highlight w:val="none"/>
        </w:rPr>
        <w:t>落实政府采购政策需满足的资格要求</w:t>
      </w:r>
      <w:bookmarkEnd w:id="628"/>
    </w:p>
    <w:p>
      <w:pPr>
        <w:widowControl/>
        <w:jc w:val="left"/>
        <w:rPr>
          <w:rFonts w:hint="eastAsia" w:ascii="宋体" w:hAnsi="宋体" w:cs="宋体"/>
          <w:color w:val="auto"/>
          <w:highlight w:val="none"/>
        </w:rPr>
      </w:pPr>
    </w:p>
    <w:p>
      <w:pPr>
        <w:pStyle w:val="20"/>
        <w:ind w:firstLine="480"/>
        <w:rPr>
          <w:rFonts w:hint="eastAsia" w:ascii="宋体" w:hAnsi="宋体" w:cs="宋体"/>
          <w:color w:val="auto"/>
          <w:highlight w:val="none"/>
        </w:rPr>
      </w:pPr>
      <w:r>
        <w:rPr>
          <w:rFonts w:hint="eastAsia" w:ascii="宋体" w:hAnsi="宋体" w:cs="宋体"/>
          <w:color w:val="auto"/>
          <w:sz w:val="24"/>
          <w:szCs w:val="24"/>
          <w:highlight w:val="none"/>
        </w:rPr>
        <w:t>本项目专门面向中小微企业采购。</w:t>
      </w: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ind w:firstLine="0" w:firstLineChars="0"/>
        <w:rPr>
          <w:rFonts w:hint="eastAsia" w:ascii="宋体" w:hAnsi="宋体" w:eastAsia="宋体" w:cs="宋体"/>
          <w:color w:val="auto"/>
          <w:highlight w:val="none"/>
          <w:lang w:eastAsia="zh-CN"/>
        </w:rPr>
      </w:pPr>
      <w:r>
        <w:rPr>
          <w:rFonts w:hint="eastAsia" w:ascii="宋体" w:hAnsi="宋体" w:cs="宋体"/>
          <w:color w:val="auto"/>
          <w:highlight w:val="none"/>
          <w:lang w:eastAsia="zh-CN"/>
        </w:rPr>
        <w:tab/>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pPr>
        <w:pStyle w:val="20"/>
        <w:ind w:firstLine="0" w:firstLineChars="0"/>
        <w:rPr>
          <w:rFonts w:hint="eastAsia" w:ascii="宋体" w:hAnsi="宋体" w:cs="宋体"/>
          <w:color w:val="auto"/>
          <w:highlight w:val="none"/>
        </w:rPr>
      </w:pPr>
      <w:r>
        <w:rPr>
          <w:rFonts w:hint="eastAsia" w:ascii="宋体" w:hAnsi="宋体" w:cs="宋体"/>
          <w:b/>
          <w:color w:val="auto"/>
          <w:sz w:val="28"/>
          <w:szCs w:val="28"/>
          <w:highlight w:val="none"/>
        </w:rPr>
        <w:t>格式1-11：</w:t>
      </w:r>
    </w:p>
    <w:p>
      <w:pPr>
        <w:pStyle w:val="20"/>
        <w:rPr>
          <w:rFonts w:hint="eastAsia" w:ascii="宋体" w:hAnsi="宋体" w:cs="宋体"/>
          <w:color w:val="auto"/>
          <w:highlight w:val="none"/>
        </w:rPr>
      </w:pP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29" w:name="_Toc6658"/>
      <w:r>
        <w:rPr>
          <w:rFonts w:hint="eastAsia" w:ascii="宋体" w:hAnsi="宋体" w:cs="宋体"/>
          <w:color w:val="auto"/>
          <w:sz w:val="32"/>
          <w:szCs w:val="22"/>
          <w:highlight w:val="none"/>
        </w:rPr>
        <w:t>本项目的特定资格要求</w:t>
      </w:r>
      <w:bookmarkEnd w:id="629"/>
    </w:p>
    <w:p>
      <w:pPr>
        <w:widowControl/>
        <w:jc w:val="left"/>
        <w:rPr>
          <w:rFonts w:hint="eastAsia" w:ascii="宋体" w:hAnsi="宋体" w:cs="宋体"/>
          <w:color w:val="auto"/>
          <w:highlight w:val="none"/>
        </w:rPr>
      </w:pP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须具备有效的《食品经营许可证》，若</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为生产企业还须提供生产产品的《食品生产许可证》。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（2）单位负责人为同一人或者存在直接控股、管理关系的不同供应商，不得参加同一合同项下的政府采购活动；提供承诺书。</w:t>
      </w: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pStyle w:val="20"/>
        <w:rPr>
          <w:rFonts w:hint="eastAsia" w:ascii="宋体" w:hAnsi="宋体" w:cs="宋体"/>
          <w:color w:val="auto"/>
          <w:highlight w:val="none"/>
        </w:rPr>
      </w:pP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pPr>
        <w:widowControl/>
        <w:spacing w:line="360" w:lineRule="auto"/>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格式1-1</w:t>
      </w:r>
      <w:r>
        <w:rPr>
          <w:rFonts w:hint="eastAsia" w:ascii="宋体" w:hAnsi="宋体" w:cs="宋体"/>
          <w:b/>
          <w:color w:val="auto"/>
          <w:sz w:val="28"/>
          <w:szCs w:val="28"/>
          <w:highlight w:val="none"/>
          <w:lang w:val="en-US" w:eastAsia="zh-CN"/>
        </w:rPr>
        <w:t>2</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bCs/>
          <w:color w:val="auto"/>
          <w:sz w:val="24"/>
          <w:szCs w:val="24"/>
          <w:highlight w:val="none"/>
        </w:rPr>
      </w:pPr>
      <w:bookmarkStart w:id="630" w:name="_Toc26709"/>
      <w:r>
        <w:rPr>
          <w:rFonts w:hint="eastAsia" w:ascii="宋体" w:hAnsi="宋体" w:cs="宋体"/>
          <w:color w:val="auto"/>
          <w:sz w:val="32"/>
          <w:szCs w:val="22"/>
          <w:highlight w:val="none"/>
        </w:rPr>
        <w:t>其他资料</w:t>
      </w:r>
      <w:bookmarkEnd w:id="630"/>
    </w:p>
    <w:p>
      <w:pPr>
        <w:widowControl/>
        <w:numPr>
          <w:ilvl w:val="0"/>
          <w:numId w:val="0"/>
        </w:num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招标文件要求和</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认为应该提交的其他资料。</w:t>
      </w:r>
    </w:p>
    <w:p>
      <w:pPr>
        <w:widowControl/>
        <w:numPr>
          <w:ilvl w:val="0"/>
          <w:numId w:val="0"/>
        </w:numPr>
        <w:spacing w:line="440" w:lineRule="exact"/>
        <w:ind w:leftChars="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投标保证金交纳凭证</w:t>
      </w:r>
    </w:p>
    <w:p>
      <w:pPr>
        <w:widowControl/>
        <w:spacing w:line="44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pPr>
        <w:pStyle w:val="3"/>
        <w:keepNext/>
        <w:keepLines/>
        <w:pageBreakBefore w:val="0"/>
        <w:widowControl w:val="0"/>
        <w:kinsoku/>
        <w:wordWrap/>
        <w:overflowPunct/>
        <w:topLinePunct w:val="0"/>
        <w:autoSpaceDE/>
        <w:autoSpaceDN/>
        <w:bidi w:val="0"/>
        <w:adjustRightInd/>
        <w:snapToGrid/>
        <w:jc w:val="center"/>
        <w:textAlignment w:val="auto"/>
        <w:outlineLvl w:val="1"/>
        <w:rPr>
          <w:rFonts w:hint="eastAsia" w:ascii="宋体" w:hAnsi="宋体" w:cs="宋体"/>
          <w:color w:val="auto"/>
          <w:sz w:val="32"/>
          <w:szCs w:val="21"/>
          <w:highlight w:val="none"/>
        </w:rPr>
      </w:pPr>
      <w:bookmarkStart w:id="631" w:name="_Toc16412"/>
      <w:bookmarkStart w:id="632" w:name="_Toc24524"/>
      <w:bookmarkStart w:id="633" w:name="_Toc30998"/>
      <w:r>
        <w:rPr>
          <w:rFonts w:hint="eastAsia" w:ascii="宋体" w:hAnsi="宋体" w:cs="宋体"/>
          <w:color w:val="auto"/>
          <w:sz w:val="32"/>
          <w:szCs w:val="21"/>
          <w:highlight w:val="none"/>
        </w:rPr>
        <w:t>格式2：报价和商务部分</w:t>
      </w:r>
      <w:bookmarkEnd w:id="631"/>
      <w:bookmarkEnd w:id="632"/>
      <w:bookmarkEnd w:id="633"/>
    </w:p>
    <w:p>
      <w:pPr>
        <w:widowControl/>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格式2-1</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34" w:name="_Toc489197854"/>
      <w:bookmarkStart w:id="635" w:name="_Toc20883"/>
      <w:bookmarkStart w:id="636" w:name="_Toc489145750"/>
      <w:bookmarkStart w:id="637" w:name="_Toc481694844"/>
      <w:bookmarkStart w:id="638" w:name="_Toc9192"/>
      <w:bookmarkStart w:id="639" w:name="_Toc25944"/>
      <w:bookmarkStart w:id="640" w:name="_Toc488633615"/>
      <w:bookmarkStart w:id="641" w:name="_Toc213141093"/>
      <w:r>
        <w:rPr>
          <w:rFonts w:hint="eastAsia" w:ascii="宋体" w:hAnsi="宋体" w:cs="宋体"/>
          <w:color w:val="auto"/>
          <w:sz w:val="32"/>
          <w:szCs w:val="22"/>
          <w:highlight w:val="none"/>
        </w:rPr>
        <w:t>开标一览表</w:t>
      </w:r>
      <w:bookmarkEnd w:id="634"/>
      <w:bookmarkEnd w:id="635"/>
      <w:bookmarkEnd w:id="636"/>
      <w:bookmarkEnd w:id="637"/>
      <w:bookmarkEnd w:id="638"/>
      <w:bookmarkEnd w:id="639"/>
      <w:bookmarkEnd w:id="640"/>
      <w:bookmarkEnd w:id="641"/>
    </w:p>
    <w:p>
      <w:pPr>
        <w:pStyle w:val="11"/>
        <w:spacing w:line="480"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项目名称：</w:t>
      </w:r>
      <w:r>
        <w:rPr>
          <w:rFonts w:hint="eastAsia" w:ascii="宋体" w:hAnsi="宋体" w:cs="宋体"/>
          <w:b/>
          <w:color w:val="auto"/>
          <w:sz w:val="24"/>
          <w:szCs w:val="24"/>
          <w:highlight w:val="none"/>
          <w:u w:val="single"/>
        </w:rPr>
        <w:t xml:space="preserve">             </w:t>
      </w:r>
      <w:r>
        <w:rPr>
          <w:rFonts w:hint="eastAsia" w:hAnsi="宋体" w:cs="宋体"/>
          <w:b/>
          <w:color w:val="auto"/>
          <w:sz w:val="24"/>
          <w:szCs w:val="24"/>
          <w:highlight w:val="none"/>
          <w:u w:val="single"/>
          <w:lang w:val="en-US" w:eastAsia="zh-CN"/>
        </w:rPr>
        <w:t xml:space="preserve">             </w:t>
      </w:r>
      <w:r>
        <w:rPr>
          <w:rFonts w:hint="eastAsia" w:ascii="宋体" w:hAnsi="宋体" w:cs="宋体"/>
          <w:b/>
          <w:color w:val="auto"/>
          <w:sz w:val="24"/>
          <w:szCs w:val="24"/>
          <w:highlight w:val="none"/>
          <w:u w:val="single"/>
        </w:rPr>
        <w:t xml:space="preserve">   </w:t>
      </w:r>
    </w:p>
    <w:p>
      <w:pPr>
        <w:pStyle w:val="11"/>
        <w:spacing w:line="480" w:lineRule="auto"/>
        <w:rPr>
          <w:rFonts w:hint="default" w:hAnsi="宋体" w:cs="宋体"/>
          <w:b/>
          <w:bCs/>
          <w:color w:val="auto"/>
          <w:sz w:val="24"/>
          <w:szCs w:val="24"/>
          <w:highlight w:val="none"/>
          <w:u w:val="single"/>
          <w:lang w:val="en-US" w:eastAsia="zh-CN"/>
        </w:rPr>
      </w:pPr>
      <w:r>
        <w:rPr>
          <w:rFonts w:hint="eastAsia" w:ascii="宋体" w:hAnsi="宋体" w:cs="宋体"/>
          <w:b/>
          <w:bCs/>
          <w:color w:val="auto"/>
          <w:sz w:val="24"/>
          <w:szCs w:val="24"/>
          <w:highlight w:val="none"/>
        </w:rPr>
        <w:t>标（包）：</w:t>
      </w:r>
      <w:r>
        <w:rPr>
          <w:rFonts w:hint="eastAsia" w:ascii="宋体" w:hAnsi="宋体" w:cs="宋体"/>
          <w:b/>
          <w:bCs/>
          <w:color w:val="auto"/>
          <w:sz w:val="24"/>
          <w:szCs w:val="24"/>
          <w:highlight w:val="none"/>
          <w:u w:val="single"/>
        </w:rPr>
        <w:t xml:space="preserve"> </w:t>
      </w:r>
      <w:r>
        <w:rPr>
          <w:rFonts w:hint="eastAsia" w:hAnsi="宋体" w:cs="宋体"/>
          <w:b/>
          <w:bCs/>
          <w:color w:val="auto"/>
          <w:sz w:val="24"/>
          <w:szCs w:val="24"/>
          <w:highlight w:val="none"/>
          <w:u w:val="single"/>
          <w:lang w:val="en-US" w:eastAsia="zh-CN"/>
        </w:rPr>
        <w:t xml:space="preserve">石屏县2024年至2027年义务教育阶段学生营养餐食品食材采购及配送服务项目（        标段） </w:t>
      </w:r>
    </w:p>
    <w:tbl>
      <w:tblPr>
        <w:tblStyle w:val="21"/>
        <w:tblW w:w="9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3"/>
        <w:gridCol w:w="6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15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名称</w:t>
            </w:r>
          </w:p>
        </w:tc>
        <w:tc>
          <w:tcPr>
            <w:tcW w:w="65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15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投标报价</w:t>
            </w:r>
          </w:p>
        </w:tc>
        <w:tc>
          <w:tcPr>
            <w:tcW w:w="65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下浮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15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履行期限</w:t>
            </w:r>
          </w:p>
        </w:tc>
        <w:tc>
          <w:tcPr>
            <w:tcW w:w="651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15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交货地点</w:t>
            </w:r>
          </w:p>
        </w:tc>
        <w:tc>
          <w:tcPr>
            <w:tcW w:w="651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15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质量标准</w:t>
            </w:r>
          </w:p>
        </w:tc>
        <w:tc>
          <w:tcPr>
            <w:tcW w:w="651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15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项目负责人</w:t>
            </w:r>
          </w:p>
        </w:tc>
        <w:tc>
          <w:tcPr>
            <w:tcW w:w="651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68"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备 注：</w:t>
            </w:r>
          </w:p>
        </w:tc>
      </w:tr>
    </w:tbl>
    <w:p>
      <w:pPr>
        <w:pStyle w:val="11"/>
        <w:ind w:firstLine="240" w:firstLineChars="100"/>
        <w:rPr>
          <w:rFonts w:hint="eastAsia" w:ascii="宋体" w:hAnsi="宋体" w:cs="宋体"/>
          <w:color w:val="auto"/>
          <w:sz w:val="24"/>
          <w:szCs w:val="24"/>
          <w:highlight w:val="none"/>
        </w:rPr>
      </w:pPr>
    </w:p>
    <w:p>
      <w:pPr>
        <w:pStyle w:val="11"/>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注：1.表中”投标报价”应与格式2-2“投标函”中的报价一致。</w:t>
      </w:r>
    </w:p>
    <w:p>
      <w:pPr>
        <w:pStyle w:val="11"/>
        <w:ind w:firstLine="241" w:firstLineChars="100"/>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2.将此表附在封面后第一页。</w:t>
      </w:r>
    </w:p>
    <w:p>
      <w:pPr>
        <w:spacing w:line="360" w:lineRule="auto"/>
        <w:ind w:firstLine="2" w:firstLineChars="1"/>
        <w:rPr>
          <w:rFonts w:hint="eastAsia" w:ascii="宋体" w:hAnsi="宋体" w:cs="宋体"/>
          <w:b/>
          <w:color w:val="auto"/>
          <w:sz w:val="24"/>
          <w:szCs w:val="24"/>
          <w:highlight w:val="none"/>
        </w:rPr>
      </w:pPr>
    </w:p>
    <w:p>
      <w:pPr>
        <w:spacing w:line="360" w:lineRule="auto"/>
        <w:ind w:firstLine="2" w:firstLineChars="1"/>
        <w:jc w:val="left"/>
        <w:rPr>
          <w:rFonts w:hint="eastAsia" w:ascii="宋体" w:hAnsi="宋体" w:cs="宋体"/>
          <w:color w:val="auto"/>
          <w:sz w:val="24"/>
          <w:szCs w:val="24"/>
          <w:highlight w:val="none"/>
        </w:rPr>
      </w:pPr>
    </w:p>
    <w:p>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(加盖电子公章)</w:t>
      </w:r>
    </w:p>
    <w:p>
      <w:pPr>
        <w:pStyle w:val="11"/>
        <w:spacing w:line="5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（电子签名或签章）</w:t>
      </w:r>
    </w:p>
    <w:p>
      <w:pPr>
        <w:pStyle w:val="11"/>
        <w:spacing w:line="5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pStyle w:val="11"/>
        <w:spacing w:line="360" w:lineRule="auto"/>
        <w:ind w:left="359"/>
        <w:rPr>
          <w:rFonts w:hint="eastAsia" w:ascii="宋体" w:hAnsi="宋体" w:cs="宋体"/>
          <w:color w:val="auto"/>
          <w:sz w:val="24"/>
          <w:szCs w:val="24"/>
          <w:highlight w:val="none"/>
        </w:rPr>
      </w:pPr>
      <w:r>
        <w:rPr>
          <w:rFonts w:hint="eastAsia" w:ascii="宋体" w:hAnsi="宋体" w:cs="宋体"/>
          <w:color w:val="auto"/>
          <w:sz w:val="24"/>
          <w:highlight w:val="none"/>
        </w:rPr>
        <w:t xml:space="preserve">         </w:t>
      </w:r>
    </w:p>
    <w:p>
      <w:pPr>
        <w:widowControl/>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格式2-2：</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42" w:name="_Toc488633616"/>
      <w:bookmarkStart w:id="643" w:name="_Toc503214131"/>
      <w:bookmarkStart w:id="644" w:name="_Toc20466"/>
      <w:bookmarkStart w:id="645" w:name="_Toc489197855"/>
      <w:bookmarkStart w:id="646" w:name="_Toc10676"/>
      <w:bookmarkStart w:id="647" w:name="_Toc489145751"/>
      <w:bookmarkStart w:id="648" w:name="_Toc481694845"/>
      <w:bookmarkStart w:id="649" w:name="_Toc9999"/>
      <w:r>
        <w:rPr>
          <w:rFonts w:hint="eastAsia" w:ascii="宋体" w:hAnsi="宋体" w:cs="宋体"/>
          <w:color w:val="auto"/>
          <w:sz w:val="32"/>
          <w:szCs w:val="22"/>
          <w:highlight w:val="none"/>
        </w:rPr>
        <w:t>投 标 函</w:t>
      </w:r>
      <w:bookmarkEnd w:id="642"/>
      <w:bookmarkEnd w:id="643"/>
      <w:bookmarkEnd w:id="644"/>
      <w:bookmarkEnd w:id="645"/>
      <w:bookmarkEnd w:id="646"/>
      <w:bookmarkEnd w:id="647"/>
      <w:bookmarkEnd w:id="648"/>
      <w:bookmarkEnd w:id="649"/>
    </w:p>
    <w:p>
      <w:pPr>
        <w:pStyle w:val="11"/>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（采购人名称）</w:t>
      </w:r>
    </w:p>
    <w:p>
      <w:pPr>
        <w:pStyle w:val="11"/>
        <w:spacing w:line="36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我方仔细研究了</w:t>
      </w:r>
      <w:r>
        <w:rPr>
          <w:rFonts w:hint="eastAsia" w:ascii="宋体" w:hAnsi="宋体" w:cs="宋体"/>
          <w:color w:val="auto"/>
          <w:sz w:val="24"/>
          <w:szCs w:val="24"/>
          <w:highlight w:val="none"/>
          <w:u w:val="single"/>
        </w:rPr>
        <w:t xml:space="preserve">（项目名称）    </w:t>
      </w:r>
      <w:r>
        <w:rPr>
          <w:rFonts w:hint="eastAsia" w:ascii="宋体" w:hAnsi="宋体" w:cs="宋体"/>
          <w:color w:val="auto"/>
          <w:sz w:val="24"/>
          <w:szCs w:val="24"/>
          <w:highlight w:val="none"/>
        </w:rPr>
        <w:t>（</w:t>
      </w:r>
      <w:r>
        <w:rPr>
          <w:rFonts w:hint="eastAsia" w:hAnsi="宋体" w:cs="宋体"/>
          <w:color w:val="auto"/>
          <w:sz w:val="24"/>
          <w:szCs w:val="24"/>
          <w:highlight w:val="none"/>
          <w:lang w:eastAsia="zh-CN"/>
        </w:rPr>
        <w:t>项目编号</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标段）项目招标文件的全部内容，正式授权下述签字人</w:t>
      </w:r>
      <w:r>
        <w:rPr>
          <w:rFonts w:hint="eastAsia" w:ascii="宋体" w:hAnsi="宋体" w:cs="宋体"/>
          <w:color w:val="auto"/>
          <w:sz w:val="24"/>
          <w:szCs w:val="24"/>
          <w:highlight w:val="none"/>
          <w:u w:val="single"/>
        </w:rPr>
        <w:t xml:space="preserve">   （姓名）     </w:t>
      </w:r>
      <w:r>
        <w:rPr>
          <w:rFonts w:hint="eastAsia" w:ascii="宋体" w:hAnsi="宋体" w:cs="宋体"/>
          <w:color w:val="auto"/>
          <w:sz w:val="24"/>
          <w:szCs w:val="24"/>
          <w:highlight w:val="none"/>
        </w:rPr>
        <w:t>全权代表</w:t>
      </w:r>
      <w:r>
        <w:rPr>
          <w:rFonts w:hint="eastAsia" w:hAnsi="宋体" w:cs="宋体"/>
          <w:color w:val="auto"/>
          <w:sz w:val="24"/>
          <w:szCs w:val="24"/>
          <w:highlight w:val="none"/>
          <w:lang w:eastAsia="zh-CN"/>
        </w:rPr>
        <w:t>供应商</w:t>
      </w:r>
      <w:r>
        <w:rPr>
          <w:rFonts w:hint="eastAsia" w:ascii="宋体" w:hAnsi="宋体" w:cs="宋体"/>
          <w:color w:val="auto"/>
          <w:sz w:val="24"/>
          <w:szCs w:val="24"/>
          <w:highlight w:val="none"/>
          <w:u w:val="single"/>
        </w:rPr>
        <w:t xml:space="preserve">  （</w:t>
      </w:r>
      <w:r>
        <w:rPr>
          <w:rFonts w:hint="eastAsia" w:hAnsi="宋体" w:cs="宋体"/>
          <w:color w:val="auto"/>
          <w:sz w:val="24"/>
          <w:szCs w:val="24"/>
          <w:highlight w:val="none"/>
          <w:u w:val="single"/>
          <w:lang w:eastAsia="zh-CN"/>
        </w:rPr>
        <w:t>供应商</w:t>
      </w:r>
      <w:r>
        <w:rPr>
          <w:rFonts w:hint="eastAsia" w:ascii="宋体" w:hAnsi="宋体" w:cs="宋体"/>
          <w:color w:val="auto"/>
          <w:sz w:val="24"/>
          <w:szCs w:val="24"/>
          <w:highlight w:val="none"/>
          <w:u w:val="single"/>
        </w:rPr>
        <w:t xml:space="preserve">全称）   </w:t>
      </w:r>
      <w:r>
        <w:rPr>
          <w:rFonts w:hint="eastAsia" w:ascii="宋体" w:hAnsi="宋体" w:cs="宋体"/>
          <w:color w:val="auto"/>
          <w:sz w:val="24"/>
          <w:szCs w:val="24"/>
          <w:highlight w:val="none"/>
        </w:rPr>
        <w:t>参加投标，并提交电子投标文件一份。</w:t>
      </w:r>
    </w:p>
    <w:p>
      <w:pPr>
        <w:pStyle w:val="11"/>
        <w:spacing w:line="36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据此函，签字人兹宣布同意如下：</w:t>
      </w:r>
    </w:p>
    <w:p>
      <w:pPr>
        <w:pStyle w:val="11"/>
        <w:adjustRightInd w:val="0"/>
        <w:snapToGrid w:val="0"/>
        <w:spacing w:line="36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1、按招标文件采购</w:t>
      </w:r>
      <w:r>
        <w:rPr>
          <w:rFonts w:hint="eastAsia" w:hAnsi="宋体" w:cs="宋体"/>
          <w:color w:val="auto"/>
          <w:sz w:val="24"/>
          <w:szCs w:val="24"/>
          <w:highlight w:val="none"/>
          <w:lang w:val="en-US" w:eastAsia="zh-CN"/>
        </w:rPr>
        <w:t>需求</w:t>
      </w:r>
      <w:r>
        <w:rPr>
          <w:rFonts w:hint="eastAsia" w:ascii="宋体" w:hAnsi="宋体" w:cs="宋体"/>
          <w:color w:val="auto"/>
          <w:sz w:val="24"/>
          <w:szCs w:val="24"/>
          <w:highlight w:val="none"/>
        </w:rPr>
        <w:t>及技术要求和开标一览表，承诺投标报价下浮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pStyle w:val="11"/>
        <w:spacing w:line="360" w:lineRule="exact"/>
        <w:ind w:firstLine="420"/>
        <w:rPr>
          <w:rFonts w:hint="eastAsia" w:ascii="宋体" w:hAnsi="宋体" w:cs="宋体"/>
          <w:color w:val="auto"/>
          <w:spacing w:val="-10"/>
          <w:sz w:val="24"/>
          <w:szCs w:val="24"/>
          <w:highlight w:val="none"/>
        </w:rPr>
      </w:pPr>
      <w:r>
        <w:rPr>
          <w:rFonts w:hint="eastAsia" w:ascii="宋体" w:hAnsi="宋体" w:cs="宋体"/>
          <w:color w:val="auto"/>
          <w:sz w:val="24"/>
          <w:szCs w:val="24"/>
          <w:highlight w:val="none"/>
        </w:rPr>
        <w:t>2、</w:t>
      </w:r>
      <w:r>
        <w:rPr>
          <w:rFonts w:hint="eastAsia" w:ascii="宋体" w:hAnsi="宋体" w:cs="宋体"/>
          <w:color w:val="auto"/>
          <w:spacing w:val="-10"/>
          <w:sz w:val="24"/>
          <w:szCs w:val="24"/>
          <w:highlight w:val="none"/>
        </w:rPr>
        <w:t>我方已详细审查全部招标文件，包括</w:t>
      </w:r>
      <w:r>
        <w:rPr>
          <w:rFonts w:hint="eastAsia" w:ascii="宋体" w:hAnsi="宋体" w:cs="宋体"/>
          <w:color w:val="auto"/>
          <w:spacing w:val="-10"/>
          <w:sz w:val="24"/>
          <w:szCs w:val="24"/>
          <w:highlight w:val="none"/>
          <w:u w:val="single"/>
        </w:rPr>
        <w:t>（澄清文件）(如果有的话)</w:t>
      </w:r>
      <w:r>
        <w:rPr>
          <w:rFonts w:hint="eastAsia" w:ascii="宋体" w:hAnsi="宋体" w:cs="宋体"/>
          <w:color w:val="auto"/>
          <w:spacing w:val="-10"/>
          <w:sz w:val="24"/>
          <w:szCs w:val="24"/>
          <w:highlight w:val="none"/>
        </w:rPr>
        <w:t>。我方完全理解相关文件要求，并承担对这方面有不明及误解的后果。</w:t>
      </w:r>
    </w:p>
    <w:p>
      <w:pPr>
        <w:pStyle w:val="11"/>
        <w:spacing w:line="36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3、在</w:t>
      </w:r>
      <w:r>
        <w:rPr>
          <w:rFonts w:hint="eastAsia" w:hAnsi="宋体" w:cs="宋体"/>
          <w:color w:val="auto"/>
          <w:sz w:val="24"/>
          <w:szCs w:val="24"/>
          <w:highlight w:val="none"/>
          <w:lang w:eastAsia="zh-CN"/>
        </w:rPr>
        <w:t>供应商</w:t>
      </w:r>
      <w:r>
        <w:rPr>
          <w:rFonts w:hint="eastAsia" w:ascii="宋体" w:hAnsi="宋体" w:cs="宋体"/>
          <w:color w:val="auto"/>
          <w:sz w:val="24"/>
          <w:szCs w:val="24"/>
          <w:highlight w:val="none"/>
        </w:rPr>
        <w:t>须知规定的开标日期起遵循本投标文件，并在</w:t>
      </w:r>
      <w:r>
        <w:rPr>
          <w:rFonts w:hint="eastAsia" w:hAnsi="宋体" w:cs="宋体"/>
          <w:color w:val="auto"/>
          <w:sz w:val="24"/>
          <w:szCs w:val="24"/>
          <w:highlight w:val="none"/>
          <w:lang w:eastAsia="zh-CN"/>
        </w:rPr>
        <w:t>供应商</w:t>
      </w:r>
      <w:r>
        <w:rPr>
          <w:rFonts w:hint="eastAsia" w:ascii="宋体" w:hAnsi="宋体" w:cs="宋体"/>
          <w:color w:val="auto"/>
          <w:sz w:val="24"/>
          <w:szCs w:val="24"/>
          <w:highlight w:val="none"/>
        </w:rPr>
        <w:t>须知第17.1条规定的投标文件有效期满之前均具有约束力。</w:t>
      </w:r>
    </w:p>
    <w:p>
      <w:pPr>
        <w:pStyle w:val="11"/>
        <w:spacing w:line="36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4、同意招标文件中关于没收投标保证金的规定（若有时）。</w:t>
      </w:r>
    </w:p>
    <w:p>
      <w:pPr>
        <w:pStyle w:val="11"/>
        <w:spacing w:line="36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5、同意应贵方要求提供与本投标有关的任何数据或资料，并保证数据和资料的完整性和真实性。</w:t>
      </w:r>
    </w:p>
    <w:p>
      <w:pPr>
        <w:pStyle w:val="11"/>
        <w:spacing w:line="36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6、完全理解贵方的招标要求。</w:t>
      </w:r>
    </w:p>
    <w:p>
      <w:pPr>
        <w:pStyle w:val="11"/>
        <w:spacing w:line="36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7．如我方中标：</w:t>
      </w:r>
    </w:p>
    <w:p>
      <w:pPr>
        <w:pStyle w:val="11"/>
        <w:spacing w:line="36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（1）我方承诺在收到中标通知书后，在中标通知书规定的期限内与你方签订合同，并履行相应的合同责任和义务。</w:t>
      </w:r>
    </w:p>
    <w:p>
      <w:pPr>
        <w:pStyle w:val="11"/>
        <w:spacing w:line="36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（2）我方承诺按照招标文件规定向你方递交履约保证金。</w:t>
      </w:r>
    </w:p>
    <w:p>
      <w:pPr>
        <w:pStyle w:val="11"/>
        <w:spacing w:line="36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（3）我方承诺将承担售后服务及相关责任。</w:t>
      </w:r>
    </w:p>
    <w:p>
      <w:pPr>
        <w:pStyle w:val="11"/>
        <w:spacing w:line="36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8．我方在此声明，所递交的投标文件及有关资料内容完整、真实和准确。</w:t>
      </w:r>
    </w:p>
    <w:p>
      <w:pPr>
        <w:pStyle w:val="11"/>
        <w:spacing w:line="36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9．</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（其他补充说明，如投标有效期）。</w:t>
      </w:r>
    </w:p>
    <w:p>
      <w:pPr>
        <w:pStyle w:val="11"/>
        <w:spacing w:line="36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与本投标有关的正式通讯地址为：</w:t>
      </w:r>
    </w:p>
    <w:p>
      <w:pPr>
        <w:pStyle w:val="11"/>
        <w:spacing w:line="360" w:lineRule="exact"/>
        <w:ind w:left="420" w:firstLine="420"/>
        <w:rPr>
          <w:rFonts w:hint="eastAsia" w:ascii="宋体" w:hAnsi="宋体" w:cs="宋体"/>
          <w:color w:val="auto"/>
          <w:sz w:val="24"/>
          <w:szCs w:val="24"/>
          <w:highlight w:val="none"/>
          <w:u w:val="single"/>
        </w:rPr>
      </w:pPr>
      <w:r>
        <w:rPr>
          <w:rFonts w:hint="eastAsia" w:hAnsi="宋体" w:cs="宋体"/>
          <w:color w:val="auto"/>
          <w:sz w:val="24"/>
          <w:szCs w:val="24"/>
          <w:highlight w:val="none"/>
          <w:lang w:eastAsia="zh-CN"/>
        </w:rPr>
        <w:t>供应商</w:t>
      </w:r>
      <w:r>
        <w:rPr>
          <w:rFonts w:hint="eastAsia" w:ascii="宋体" w:hAnsi="宋体" w:cs="宋体"/>
          <w:color w:val="auto"/>
          <w:sz w:val="24"/>
          <w:szCs w:val="24"/>
          <w:highlight w:val="none"/>
        </w:rPr>
        <w:t>地址：</w:t>
      </w:r>
    </w:p>
    <w:p>
      <w:pPr>
        <w:pStyle w:val="11"/>
        <w:spacing w:line="360" w:lineRule="exact"/>
        <w:ind w:left="420" w:firstLine="42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电话：</w:t>
      </w:r>
    </w:p>
    <w:p>
      <w:pPr>
        <w:pStyle w:val="11"/>
        <w:spacing w:line="360" w:lineRule="exact"/>
        <w:ind w:left="420" w:firstLine="42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传真或邮箱：</w:t>
      </w:r>
    </w:p>
    <w:p>
      <w:pPr>
        <w:pStyle w:val="11"/>
        <w:spacing w:line="360" w:lineRule="exact"/>
        <w:ind w:left="420" w:firstLine="42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开户名称：</w:t>
      </w:r>
    </w:p>
    <w:p>
      <w:pPr>
        <w:pStyle w:val="11"/>
        <w:spacing w:line="360" w:lineRule="exact"/>
        <w:ind w:left="420" w:firstLine="42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开户银行：</w:t>
      </w:r>
    </w:p>
    <w:p>
      <w:pPr>
        <w:pStyle w:val="11"/>
        <w:spacing w:line="360" w:lineRule="exact"/>
        <w:ind w:left="420"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帐    号：</w:t>
      </w:r>
    </w:p>
    <w:p>
      <w:pPr>
        <w:pStyle w:val="11"/>
        <w:spacing w:line="360" w:lineRule="exact"/>
        <w:ind w:left="420" w:firstLine="420"/>
        <w:rPr>
          <w:rFonts w:hint="eastAsia" w:ascii="宋体" w:hAnsi="宋体" w:cs="宋体"/>
          <w:color w:val="auto"/>
          <w:sz w:val="24"/>
          <w:szCs w:val="24"/>
          <w:highlight w:val="none"/>
        </w:rPr>
      </w:pP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(加盖电子公章)</w:t>
      </w:r>
    </w:p>
    <w:p>
      <w:pPr>
        <w:pStyle w:val="11"/>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（电子签名或签章）</w:t>
      </w:r>
    </w:p>
    <w:p>
      <w:pPr>
        <w:pStyle w:val="11"/>
        <w:spacing w:line="360" w:lineRule="auto"/>
        <w:ind w:firstLine="420"/>
        <w:jc w:val="left"/>
        <w:rPr>
          <w:rFonts w:hint="eastAsia" w:ascii="宋体" w:hAnsi="宋体" w:cs="宋体"/>
          <w:color w:val="auto"/>
          <w:sz w:val="28"/>
          <w:szCs w:val="28"/>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bookmarkStart w:id="650" w:name="_Toc32480"/>
      <w:bookmarkStart w:id="651" w:name="_Toc22946"/>
    </w:p>
    <w:bookmarkEnd w:id="650"/>
    <w:bookmarkEnd w:id="651"/>
    <w:p>
      <w:pPr>
        <w:rPr>
          <w:rFonts w:hint="eastAsia" w:ascii="宋体" w:hAnsi="宋体" w:cs="宋体"/>
          <w:b/>
          <w:color w:val="auto"/>
          <w:sz w:val="28"/>
          <w:szCs w:val="28"/>
          <w:highlight w:val="none"/>
        </w:rPr>
      </w:pPr>
      <w:bookmarkStart w:id="652" w:name="_Toc481694851"/>
      <w:bookmarkStart w:id="653" w:name="_Toc489145757"/>
      <w:bookmarkStart w:id="654" w:name="_Toc8505"/>
      <w:bookmarkStart w:id="655" w:name="_Toc489197861"/>
      <w:bookmarkStart w:id="656" w:name="_Toc488633622"/>
      <w:bookmarkStart w:id="657" w:name="_Toc23383"/>
      <w:bookmarkStart w:id="658" w:name="_Toc503214132"/>
      <w:bookmarkStart w:id="659" w:name="_Toc5246"/>
      <w:bookmarkStart w:id="660" w:name="_Toc213141100"/>
      <w:bookmarkStart w:id="661" w:name="_Toc28280"/>
      <w:bookmarkStart w:id="662" w:name="_Toc4785"/>
      <w:bookmarkStart w:id="663" w:name="_Toc503214133"/>
      <w:r>
        <w:rPr>
          <w:rFonts w:hint="eastAsia" w:ascii="宋体" w:hAnsi="宋体" w:cs="宋体"/>
          <w:b/>
          <w:color w:val="auto"/>
          <w:sz w:val="28"/>
          <w:szCs w:val="28"/>
          <w:highlight w:val="none"/>
        </w:rPr>
        <w:br w:type="page"/>
      </w:r>
    </w:p>
    <w:p>
      <w:pPr>
        <w:widowControl/>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格式2-</w:t>
      </w:r>
      <w:r>
        <w:rPr>
          <w:rFonts w:hint="eastAsia" w:ascii="宋体" w:hAnsi="宋体" w:cs="宋体"/>
          <w:b/>
          <w:color w:val="auto"/>
          <w:sz w:val="28"/>
          <w:szCs w:val="28"/>
          <w:highlight w:val="none"/>
          <w:lang w:val="en-US" w:eastAsia="zh-CN"/>
        </w:rPr>
        <w:t>3</w:t>
      </w:r>
      <w:r>
        <w:rPr>
          <w:rFonts w:hint="eastAsia" w:ascii="宋体" w:hAnsi="宋体" w:cs="宋体"/>
          <w:b/>
          <w:color w:val="auto"/>
          <w:sz w:val="28"/>
          <w:szCs w:val="28"/>
          <w:highlight w:val="none"/>
        </w:rPr>
        <w:t>：</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r>
        <w:rPr>
          <w:rFonts w:hint="eastAsia" w:ascii="宋体" w:hAnsi="宋体" w:cs="宋体"/>
          <w:color w:val="auto"/>
          <w:sz w:val="32"/>
          <w:szCs w:val="22"/>
          <w:highlight w:val="none"/>
        </w:rPr>
        <w:t>商务条款偏离表</w:t>
      </w:r>
      <w:bookmarkEnd w:id="652"/>
      <w:bookmarkEnd w:id="653"/>
      <w:bookmarkEnd w:id="654"/>
      <w:bookmarkEnd w:id="655"/>
      <w:bookmarkEnd w:id="656"/>
      <w:bookmarkEnd w:id="657"/>
      <w:bookmarkEnd w:id="658"/>
      <w:bookmarkEnd w:id="659"/>
      <w:bookmarkEnd w:id="660"/>
    </w:p>
    <w:p>
      <w:pPr>
        <w:pStyle w:val="11"/>
        <w:spacing w:line="480" w:lineRule="auto"/>
        <w:ind w:firstLine="480" w:firstLineChars="200"/>
        <w:rPr>
          <w:rFonts w:hint="eastAsia" w:ascii="宋体" w:hAnsi="宋体" w:cs="宋体"/>
          <w:b/>
          <w:color w:val="auto"/>
          <w:sz w:val="24"/>
          <w:szCs w:val="24"/>
          <w:highlight w:val="none"/>
        </w:rPr>
      </w:pPr>
      <w:r>
        <w:rPr>
          <w:rFonts w:hint="eastAsia" w:hAnsi="宋体" w:cs="宋体"/>
          <w:color w:val="auto"/>
          <w:sz w:val="24"/>
          <w:szCs w:val="24"/>
          <w:highlight w:val="none"/>
          <w:lang w:eastAsia="zh-CN"/>
        </w:rPr>
        <w:t>供应商</w:t>
      </w:r>
      <w:r>
        <w:rPr>
          <w:rFonts w:hint="eastAsia" w:ascii="宋体" w:hAnsi="宋体" w:cs="宋体"/>
          <w:color w:val="auto"/>
          <w:sz w:val="24"/>
          <w:szCs w:val="24"/>
          <w:highlight w:val="none"/>
        </w:rPr>
        <w:t>须对应招标文件第三章《合同条款前附表》中要求的商务条款，认真填写该表。</w:t>
      </w:r>
    </w:p>
    <w:p>
      <w:pPr>
        <w:pStyle w:val="11"/>
        <w:spacing w:line="480"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项目名称：</w:t>
      </w:r>
      <w:r>
        <w:rPr>
          <w:rFonts w:hint="eastAsia" w:ascii="宋体" w:hAnsi="宋体" w:cs="宋体"/>
          <w:b/>
          <w:color w:val="auto"/>
          <w:sz w:val="24"/>
          <w:szCs w:val="24"/>
          <w:highlight w:val="none"/>
          <w:u w:val="single"/>
        </w:rPr>
        <w:t xml:space="preserve">                </w:t>
      </w:r>
    </w:p>
    <w:p>
      <w:pPr>
        <w:pStyle w:val="11"/>
        <w:spacing w:line="480" w:lineRule="auto"/>
        <w:rPr>
          <w:rFonts w:hint="default" w:hAnsi="宋体" w:cs="宋体"/>
          <w:b/>
          <w:bCs/>
          <w:color w:val="auto"/>
          <w:sz w:val="24"/>
          <w:szCs w:val="24"/>
          <w:highlight w:val="none"/>
          <w:u w:val="single"/>
          <w:lang w:val="en-US" w:eastAsia="zh-CN"/>
        </w:rPr>
      </w:pPr>
      <w:r>
        <w:rPr>
          <w:rFonts w:hint="eastAsia" w:ascii="宋体" w:hAnsi="宋体" w:cs="宋体"/>
          <w:b/>
          <w:bCs/>
          <w:color w:val="auto"/>
          <w:sz w:val="24"/>
          <w:szCs w:val="24"/>
          <w:highlight w:val="none"/>
        </w:rPr>
        <w:t>标（包）：</w:t>
      </w:r>
      <w:r>
        <w:rPr>
          <w:rFonts w:hint="eastAsia" w:ascii="宋体" w:hAnsi="宋体" w:cs="宋体"/>
          <w:b/>
          <w:bCs/>
          <w:color w:val="auto"/>
          <w:sz w:val="24"/>
          <w:szCs w:val="24"/>
          <w:highlight w:val="none"/>
          <w:u w:val="single"/>
        </w:rPr>
        <w:t xml:space="preserve"> </w:t>
      </w:r>
      <w:r>
        <w:rPr>
          <w:rFonts w:hint="eastAsia" w:hAnsi="宋体" w:cs="宋体"/>
          <w:b/>
          <w:bCs/>
          <w:color w:val="auto"/>
          <w:sz w:val="24"/>
          <w:szCs w:val="24"/>
          <w:highlight w:val="none"/>
          <w:u w:val="single"/>
          <w:lang w:val="en-US" w:eastAsia="zh-CN"/>
        </w:rPr>
        <w:t xml:space="preserve">石屏县2024年至2027年义务教育阶段学生营养餐食品食材采购及配送服务项目（        标段） </w:t>
      </w:r>
    </w:p>
    <w:tbl>
      <w:tblPr>
        <w:tblStyle w:val="2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2"/>
        <w:gridCol w:w="3485"/>
        <w:gridCol w:w="3292"/>
        <w:gridCol w:w="1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942" w:type="dxa"/>
            <w:vAlign w:val="center"/>
          </w:tcPr>
          <w:p>
            <w:pPr>
              <w:pStyle w:val="11"/>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3485" w:type="dxa"/>
            <w:vAlign w:val="center"/>
          </w:tcPr>
          <w:p>
            <w:pPr>
              <w:pStyle w:val="11"/>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招标文件的商务条款</w:t>
            </w:r>
          </w:p>
        </w:tc>
        <w:tc>
          <w:tcPr>
            <w:tcW w:w="3292" w:type="dxa"/>
            <w:vAlign w:val="center"/>
          </w:tcPr>
          <w:p>
            <w:pPr>
              <w:pStyle w:val="11"/>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投标文件的商务条款</w:t>
            </w:r>
          </w:p>
        </w:tc>
        <w:tc>
          <w:tcPr>
            <w:tcW w:w="1362" w:type="dxa"/>
            <w:vAlign w:val="center"/>
          </w:tcPr>
          <w:p>
            <w:pPr>
              <w:pStyle w:val="11"/>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是否接受（是/否）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942" w:type="dxa"/>
            <w:vAlign w:val="center"/>
          </w:tcPr>
          <w:p>
            <w:pPr>
              <w:pStyle w:val="1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3485" w:type="dxa"/>
            <w:vAlign w:val="center"/>
          </w:tcPr>
          <w:p>
            <w:pPr>
              <w:pStyle w:val="11"/>
              <w:rPr>
                <w:rFonts w:hint="eastAsia" w:ascii="宋体" w:hAnsi="宋体" w:cs="宋体"/>
                <w:bCs/>
                <w:color w:val="auto"/>
                <w:sz w:val="24"/>
                <w:szCs w:val="24"/>
                <w:highlight w:val="none"/>
              </w:rPr>
            </w:pPr>
          </w:p>
        </w:tc>
        <w:tc>
          <w:tcPr>
            <w:tcW w:w="3292" w:type="dxa"/>
          </w:tcPr>
          <w:p>
            <w:pPr>
              <w:pStyle w:val="11"/>
              <w:rPr>
                <w:rFonts w:hint="eastAsia" w:ascii="宋体" w:hAnsi="宋体" w:cs="宋体"/>
                <w:color w:val="auto"/>
                <w:sz w:val="24"/>
                <w:szCs w:val="24"/>
                <w:highlight w:val="none"/>
              </w:rPr>
            </w:pPr>
          </w:p>
        </w:tc>
        <w:tc>
          <w:tcPr>
            <w:tcW w:w="1362" w:type="dxa"/>
          </w:tcPr>
          <w:p>
            <w:pPr>
              <w:pStyle w:val="11"/>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942" w:type="dxa"/>
            <w:vAlign w:val="center"/>
          </w:tcPr>
          <w:p>
            <w:pPr>
              <w:pStyle w:val="1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3485" w:type="dxa"/>
            <w:vAlign w:val="center"/>
          </w:tcPr>
          <w:p>
            <w:pPr>
              <w:pStyle w:val="11"/>
              <w:rPr>
                <w:rFonts w:hint="eastAsia" w:ascii="宋体" w:hAnsi="宋体" w:cs="宋体"/>
                <w:bCs/>
                <w:color w:val="auto"/>
                <w:sz w:val="24"/>
                <w:szCs w:val="24"/>
                <w:highlight w:val="none"/>
              </w:rPr>
            </w:pPr>
          </w:p>
        </w:tc>
        <w:tc>
          <w:tcPr>
            <w:tcW w:w="3292" w:type="dxa"/>
          </w:tcPr>
          <w:p>
            <w:pPr>
              <w:pStyle w:val="11"/>
              <w:rPr>
                <w:rFonts w:hint="eastAsia" w:ascii="宋体" w:hAnsi="宋体" w:cs="宋体"/>
                <w:color w:val="auto"/>
                <w:sz w:val="24"/>
                <w:szCs w:val="24"/>
                <w:highlight w:val="none"/>
              </w:rPr>
            </w:pPr>
          </w:p>
        </w:tc>
        <w:tc>
          <w:tcPr>
            <w:tcW w:w="1362" w:type="dxa"/>
          </w:tcPr>
          <w:p>
            <w:pPr>
              <w:pStyle w:val="11"/>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942" w:type="dxa"/>
            <w:vAlign w:val="center"/>
          </w:tcPr>
          <w:p>
            <w:pPr>
              <w:pStyle w:val="1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3485" w:type="dxa"/>
            <w:vAlign w:val="center"/>
          </w:tcPr>
          <w:p>
            <w:pPr>
              <w:pStyle w:val="11"/>
              <w:rPr>
                <w:rFonts w:hint="eastAsia" w:ascii="宋体" w:hAnsi="宋体" w:cs="宋体"/>
                <w:color w:val="auto"/>
                <w:sz w:val="24"/>
                <w:szCs w:val="24"/>
                <w:highlight w:val="none"/>
              </w:rPr>
            </w:pPr>
          </w:p>
        </w:tc>
        <w:tc>
          <w:tcPr>
            <w:tcW w:w="3292" w:type="dxa"/>
          </w:tcPr>
          <w:p>
            <w:pPr>
              <w:pStyle w:val="11"/>
              <w:rPr>
                <w:rFonts w:hint="eastAsia" w:ascii="宋体" w:hAnsi="宋体" w:cs="宋体"/>
                <w:color w:val="auto"/>
                <w:sz w:val="24"/>
                <w:szCs w:val="24"/>
                <w:highlight w:val="none"/>
              </w:rPr>
            </w:pPr>
          </w:p>
        </w:tc>
        <w:tc>
          <w:tcPr>
            <w:tcW w:w="1362" w:type="dxa"/>
          </w:tcPr>
          <w:p>
            <w:pPr>
              <w:pStyle w:val="11"/>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942" w:type="dxa"/>
            <w:vAlign w:val="center"/>
          </w:tcPr>
          <w:p>
            <w:pPr>
              <w:pStyle w:val="1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3485" w:type="dxa"/>
            <w:vAlign w:val="center"/>
          </w:tcPr>
          <w:p>
            <w:pPr>
              <w:pStyle w:val="11"/>
              <w:rPr>
                <w:rFonts w:hint="eastAsia" w:ascii="宋体" w:hAnsi="宋体" w:cs="宋体"/>
                <w:bCs/>
                <w:color w:val="auto"/>
                <w:sz w:val="24"/>
                <w:szCs w:val="24"/>
                <w:highlight w:val="none"/>
              </w:rPr>
            </w:pPr>
          </w:p>
        </w:tc>
        <w:tc>
          <w:tcPr>
            <w:tcW w:w="3292" w:type="dxa"/>
          </w:tcPr>
          <w:p>
            <w:pPr>
              <w:pStyle w:val="11"/>
              <w:rPr>
                <w:rFonts w:hint="eastAsia" w:ascii="宋体" w:hAnsi="宋体" w:cs="宋体"/>
                <w:color w:val="auto"/>
                <w:sz w:val="24"/>
                <w:szCs w:val="24"/>
                <w:highlight w:val="none"/>
              </w:rPr>
            </w:pPr>
          </w:p>
        </w:tc>
        <w:tc>
          <w:tcPr>
            <w:tcW w:w="1362" w:type="dxa"/>
          </w:tcPr>
          <w:p>
            <w:pPr>
              <w:pStyle w:val="11"/>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942" w:type="dxa"/>
            <w:vAlign w:val="center"/>
          </w:tcPr>
          <w:p>
            <w:pPr>
              <w:pStyle w:val="1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485" w:type="dxa"/>
            <w:vAlign w:val="center"/>
          </w:tcPr>
          <w:p>
            <w:pPr>
              <w:pStyle w:val="11"/>
              <w:ind w:firstLine="480" w:firstLineChars="200"/>
              <w:rPr>
                <w:rFonts w:hint="eastAsia" w:ascii="宋体" w:hAnsi="宋体" w:cs="宋体"/>
                <w:bCs/>
                <w:color w:val="auto"/>
                <w:sz w:val="24"/>
                <w:szCs w:val="24"/>
                <w:highlight w:val="none"/>
              </w:rPr>
            </w:pPr>
          </w:p>
        </w:tc>
        <w:tc>
          <w:tcPr>
            <w:tcW w:w="3292" w:type="dxa"/>
          </w:tcPr>
          <w:p>
            <w:pPr>
              <w:pStyle w:val="11"/>
              <w:rPr>
                <w:rFonts w:hint="eastAsia" w:ascii="宋体" w:hAnsi="宋体" w:cs="宋体"/>
                <w:color w:val="auto"/>
                <w:sz w:val="24"/>
                <w:szCs w:val="24"/>
                <w:highlight w:val="none"/>
              </w:rPr>
            </w:pPr>
          </w:p>
        </w:tc>
        <w:tc>
          <w:tcPr>
            <w:tcW w:w="1362" w:type="dxa"/>
          </w:tcPr>
          <w:p>
            <w:pPr>
              <w:pStyle w:val="11"/>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942" w:type="dxa"/>
            <w:vAlign w:val="center"/>
          </w:tcPr>
          <w:p>
            <w:pPr>
              <w:pStyle w:val="1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c>
          <w:tcPr>
            <w:tcW w:w="3485" w:type="dxa"/>
            <w:vAlign w:val="center"/>
          </w:tcPr>
          <w:p>
            <w:pPr>
              <w:pStyle w:val="11"/>
              <w:rPr>
                <w:rFonts w:hint="eastAsia" w:ascii="宋体" w:hAnsi="宋体" w:cs="宋体"/>
                <w:bCs/>
                <w:color w:val="auto"/>
                <w:sz w:val="24"/>
                <w:szCs w:val="24"/>
                <w:highlight w:val="none"/>
              </w:rPr>
            </w:pPr>
          </w:p>
        </w:tc>
        <w:tc>
          <w:tcPr>
            <w:tcW w:w="3292" w:type="dxa"/>
          </w:tcPr>
          <w:p>
            <w:pPr>
              <w:pStyle w:val="11"/>
              <w:rPr>
                <w:rFonts w:hint="eastAsia" w:ascii="宋体" w:hAnsi="宋体" w:cs="宋体"/>
                <w:color w:val="auto"/>
                <w:sz w:val="24"/>
                <w:szCs w:val="24"/>
                <w:highlight w:val="none"/>
              </w:rPr>
            </w:pPr>
          </w:p>
        </w:tc>
        <w:tc>
          <w:tcPr>
            <w:tcW w:w="1362" w:type="dxa"/>
          </w:tcPr>
          <w:p>
            <w:pPr>
              <w:pStyle w:val="11"/>
              <w:rPr>
                <w:rFonts w:hint="eastAsia" w:ascii="宋体" w:hAnsi="宋体" w:cs="宋体"/>
                <w:color w:val="auto"/>
                <w:sz w:val="24"/>
                <w:szCs w:val="24"/>
                <w:highlight w:val="none"/>
              </w:rPr>
            </w:pPr>
          </w:p>
        </w:tc>
      </w:tr>
    </w:tbl>
    <w:p>
      <w:pPr>
        <w:pStyle w:val="11"/>
        <w:spacing w:line="600" w:lineRule="exact"/>
        <w:rPr>
          <w:rFonts w:hint="eastAsia" w:ascii="宋体" w:hAnsi="宋体" w:cs="宋体"/>
          <w:b/>
          <w:color w:val="auto"/>
          <w:sz w:val="24"/>
          <w:szCs w:val="24"/>
          <w:highlight w:val="none"/>
        </w:rPr>
      </w:pPr>
    </w:p>
    <w:p>
      <w:pPr>
        <w:spacing w:line="48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(加盖电子公章)</w:t>
      </w:r>
    </w:p>
    <w:p>
      <w:pPr>
        <w:pStyle w:val="11"/>
        <w:spacing w:line="48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（电子签名或签章）</w:t>
      </w:r>
    </w:p>
    <w:p>
      <w:pPr>
        <w:pStyle w:val="11"/>
        <w:spacing w:line="48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widowControl/>
        <w:jc w:val="lef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格式2-</w:t>
      </w:r>
      <w:r>
        <w:rPr>
          <w:rFonts w:hint="eastAsia" w:ascii="宋体" w:hAnsi="宋体" w:cs="宋体"/>
          <w:b/>
          <w:color w:val="auto"/>
          <w:sz w:val="28"/>
          <w:szCs w:val="28"/>
          <w:highlight w:val="none"/>
          <w:lang w:val="en-US" w:eastAsia="zh-CN"/>
        </w:rPr>
        <w:t>4</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64" w:name="_Toc23698"/>
      <w:r>
        <w:rPr>
          <w:rFonts w:hint="eastAsia" w:hAnsi="宋体" w:cs="宋体"/>
          <w:color w:val="auto"/>
          <w:sz w:val="32"/>
          <w:szCs w:val="22"/>
          <w:highlight w:val="none"/>
          <w:lang w:eastAsia="zh-CN"/>
        </w:rPr>
        <w:t>供应商</w:t>
      </w:r>
      <w:r>
        <w:rPr>
          <w:rFonts w:hint="eastAsia" w:ascii="宋体" w:hAnsi="宋体" w:cs="宋体"/>
          <w:color w:val="auto"/>
          <w:sz w:val="32"/>
          <w:szCs w:val="22"/>
          <w:highlight w:val="none"/>
        </w:rPr>
        <w:t>简介</w:t>
      </w:r>
      <w:bookmarkEnd w:id="661"/>
      <w:bookmarkEnd w:id="662"/>
      <w:bookmarkEnd w:id="663"/>
      <w:bookmarkEnd w:id="664"/>
    </w:p>
    <w:p>
      <w:pPr>
        <w:rPr>
          <w:rFonts w:hint="eastAsia" w:ascii="宋体" w:hAnsi="宋体" w:cs="宋体"/>
          <w:color w:val="auto"/>
          <w:highlight w:val="none"/>
        </w:rPr>
      </w:pPr>
    </w:p>
    <w:p>
      <w:pPr>
        <w:pStyle w:val="11"/>
        <w:jc w:val="center"/>
        <w:rPr>
          <w:rFonts w:hint="eastAsia" w:ascii="宋体" w:hAnsi="宋体" w:cs="宋体"/>
          <w:color w:val="auto"/>
          <w:szCs w:val="21"/>
          <w:highlight w:val="none"/>
        </w:rPr>
      </w:pPr>
      <w:r>
        <w:rPr>
          <w:rFonts w:hint="eastAsia" w:ascii="宋体" w:hAnsi="宋体" w:cs="宋体"/>
          <w:color w:val="auto"/>
          <w:szCs w:val="21"/>
          <w:highlight w:val="none"/>
        </w:rPr>
        <w:t>(格式自拟)</w:t>
      </w: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spacing w:line="600" w:lineRule="exact"/>
        <w:rPr>
          <w:rFonts w:hint="eastAsia" w:ascii="宋体" w:hAnsi="宋体" w:cs="宋体"/>
          <w:b/>
          <w:color w:val="auto"/>
          <w:sz w:val="24"/>
          <w:szCs w:val="24"/>
          <w:highlight w:val="none"/>
        </w:rPr>
      </w:pPr>
    </w:p>
    <w:p>
      <w:pPr>
        <w:spacing w:line="48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(加盖电子公章)</w:t>
      </w:r>
    </w:p>
    <w:p>
      <w:pPr>
        <w:pStyle w:val="11"/>
        <w:spacing w:line="48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（电子签名或签章）</w:t>
      </w:r>
    </w:p>
    <w:p>
      <w:pPr>
        <w:pStyle w:val="11"/>
        <w:spacing w:line="48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pStyle w:val="11"/>
        <w:spacing w:line="500" w:lineRule="exact"/>
        <w:jc w:val="left"/>
        <w:rPr>
          <w:rFonts w:hint="eastAsia" w:ascii="宋体" w:hAnsi="宋体" w:cs="宋体"/>
          <w:color w:val="auto"/>
          <w:szCs w:val="21"/>
          <w:highlight w:val="none"/>
        </w:rPr>
      </w:pPr>
    </w:p>
    <w:p>
      <w:pPr>
        <w:pStyle w:val="11"/>
        <w:spacing w:line="500" w:lineRule="exact"/>
        <w:jc w:val="left"/>
        <w:rPr>
          <w:rFonts w:hint="eastAsia" w:ascii="宋体" w:hAnsi="宋体" w:cs="宋体"/>
          <w:color w:val="auto"/>
          <w:szCs w:val="21"/>
          <w:highlight w:val="none"/>
        </w:rPr>
      </w:pPr>
    </w:p>
    <w:p>
      <w:pPr>
        <w:pStyle w:val="11"/>
        <w:spacing w:line="500" w:lineRule="exact"/>
        <w:jc w:val="left"/>
        <w:rPr>
          <w:rFonts w:hint="eastAsia" w:ascii="宋体" w:hAnsi="宋体" w:cs="宋体"/>
          <w:color w:val="auto"/>
          <w:szCs w:val="21"/>
          <w:highlight w:val="none"/>
        </w:rPr>
      </w:pPr>
    </w:p>
    <w:p>
      <w:pPr>
        <w:pStyle w:val="11"/>
        <w:spacing w:line="500" w:lineRule="exact"/>
        <w:jc w:val="left"/>
        <w:rPr>
          <w:rFonts w:hint="eastAsia" w:ascii="宋体" w:hAnsi="宋体" w:cs="宋体"/>
          <w:color w:val="auto"/>
          <w:szCs w:val="21"/>
          <w:highlight w:val="none"/>
        </w:rPr>
      </w:pPr>
    </w:p>
    <w:p>
      <w:pPr>
        <w:pStyle w:val="11"/>
        <w:spacing w:line="500" w:lineRule="exact"/>
        <w:jc w:val="left"/>
        <w:rPr>
          <w:rFonts w:hint="eastAsia" w:ascii="宋体" w:hAnsi="宋体" w:cs="宋体"/>
          <w:color w:val="auto"/>
          <w:szCs w:val="21"/>
          <w:highlight w:val="none"/>
        </w:rPr>
      </w:pPr>
    </w:p>
    <w:p>
      <w:pPr>
        <w:pStyle w:val="11"/>
        <w:spacing w:line="500" w:lineRule="exact"/>
        <w:jc w:val="left"/>
        <w:rPr>
          <w:rFonts w:hint="eastAsia" w:ascii="宋体" w:hAnsi="宋体" w:cs="宋体"/>
          <w:color w:val="auto"/>
          <w:szCs w:val="21"/>
          <w:highlight w:val="none"/>
        </w:rPr>
      </w:pP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pPr>
        <w:widowControl/>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格式2-</w:t>
      </w:r>
      <w:r>
        <w:rPr>
          <w:rFonts w:hint="eastAsia" w:ascii="宋体" w:hAnsi="宋体" w:cs="宋体"/>
          <w:b/>
          <w:color w:val="auto"/>
          <w:sz w:val="28"/>
          <w:szCs w:val="28"/>
          <w:highlight w:val="none"/>
          <w:lang w:val="en-US" w:eastAsia="zh-CN"/>
        </w:rPr>
        <w:t>5</w:t>
      </w:r>
      <w:r>
        <w:rPr>
          <w:rFonts w:hint="eastAsia" w:ascii="宋体" w:hAnsi="宋体" w:cs="宋体"/>
          <w:b/>
          <w:color w:val="auto"/>
          <w:sz w:val="28"/>
          <w:szCs w:val="28"/>
          <w:highlight w:val="none"/>
        </w:rPr>
        <w:t>：</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65" w:name="_Toc13740"/>
      <w:r>
        <w:rPr>
          <w:rFonts w:hint="eastAsia" w:ascii="宋体" w:hAnsi="宋体" w:cs="宋体"/>
          <w:color w:val="auto"/>
          <w:sz w:val="32"/>
          <w:szCs w:val="22"/>
          <w:highlight w:val="none"/>
        </w:rPr>
        <w:t>中小企业声明函（服务）</w:t>
      </w:r>
      <w:bookmarkEnd w:id="665"/>
    </w:p>
    <w:p>
      <w:pPr>
        <w:spacing w:after="120" w:line="360" w:lineRule="auto"/>
        <w:ind w:firstLine="720" w:firstLineChars="300"/>
        <w:rPr>
          <w:rFonts w:hint="eastAsia"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本公司（联合体）郑重声明，根据《政府采购促进中小企业发展管理办法》（财库﹝2020﹞46号）的规定，本公司（联合体）参加</w:t>
      </w:r>
      <w:r>
        <w:rPr>
          <w:rFonts w:hint="eastAsia" w:ascii="宋体" w:hAnsi="宋体" w:cs="宋体"/>
          <w:color w:val="auto"/>
          <w:sz w:val="24"/>
          <w:highlight w:val="none"/>
          <w:u w:val="single"/>
        </w:rPr>
        <w:t>（ 单 位 名 称 ）</w:t>
      </w:r>
      <w:r>
        <w:rPr>
          <w:rFonts w:hint="eastAsia" w:ascii="宋体" w:hAnsi="宋体" w:cs="宋体"/>
          <w:color w:val="auto"/>
          <w:sz w:val="24"/>
          <w:highlight w:val="none"/>
        </w:rPr>
        <w:t xml:space="preserve"> 的</w:t>
      </w:r>
      <w:r>
        <w:rPr>
          <w:rFonts w:hint="eastAsia" w:ascii="宋体" w:hAnsi="宋体" w:cs="宋体"/>
          <w:color w:val="auto"/>
          <w:sz w:val="24"/>
          <w:highlight w:val="none"/>
          <w:u w:val="single"/>
        </w:rPr>
        <w:t>（ 项 目 名 称 ）</w:t>
      </w:r>
      <w:r>
        <w:rPr>
          <w:rFonts w:hint="eastAsia" w:ascii="宋体" w:hAnsi="宋体" w:cs="宋体"/>
          <w:color w:val="auto"/>
          <w:sz w:val="24"/>
          <w:highlight w:val="none"/>
        </w:rPr>
        <w:t>采购活动，服务全部由符合政策要求的中小企业承接。相关企业（含联合体中的中小企业、签订分包意向协议的中小企业）的具体情况如下：</w:t>
      </w:r>
    </w:p>
    <w:p>
      <w:pPr>
        <w:spacing w:after="120" w:line="360" w:lineRule="auto"/>
        <w:ind w:firstLine="720" w:firstLineChars="300"/>
        <w:rPr>
          <w:rFonts w:hint="eastAsia" w:ascii="宋体" w:hAnsi="宋体" w:cs="宋体"/>
          <w:color w:val="auto"/>
          <w:sz w:val="24"/>
          <w:highlight w:val="none"/>
        </w:rPr>
      </w:pPr>
      <w:r>
        <w:rPr>
          <w:rFonts w:hint="eastAsia" w:ascii="宋体" w:hAnsi="宋体" w:cs="宋体"/>
          <w:color w:val="auto"/>
          <w:sz w:val="24"/>
          <w:highlight w:val="none"/>
        </w:rPr>
        <w:t xml:space="preserve">1. </w:t>
      </w:r>
      <w:r>
        <w:rPr>
          <w:rFonts w:hint="eastAsia" w:ascii="宋体" w:hAnsi="宋体" w:cs="宋体"/>
          <w:color w:val="auto"/>
          <w:sz w:val="24"/>
          <w:highlight w:val="none"/>
          <w:u w:val="single"/>
        </w:rPr>
        <w:t xml:space="preserve">（ 标 的 名 称 ） </w:t>
      </w:r>
      <w:r>
        <w:rPr>
          <w:rFonts w:hint="eastAsia" w:ascii="宋体" w:hAnsi="宋体" w:cs="宋体"/>
          <w:color w:val="auto"/>
          <w:sz w:val="24"/>
          <w:highlight w:val="none"/>
        </w:rPr>
        <w:t>，属于</w:t>
      </w:r>
      <w:r>
        <w:rPr>
          <w:rFonts w:hint="eastAsia" w:ascii="宋体" w:hAnsi="宋体" w:cs="宋体"/>
          <w:b/>
          <w:color w:val="auto"/>
          <w:sz w:val="24"/>
          <w:highlight w:val="none"/>
          <w:u w:val="single"/>
        </w:rPr>
        <w:t>（四）批发业</w:t>
      </w:r>
      <w:r>
        <w:rPr>
          <w:rFonts w:hint="eastAsia" w:ascii="宋体" w:hAnsi="宋体" w:cs="宋体"/>
          <w:color w:val="auto"/>
          <w:sz w:val="24"/>
          <w:highlight w:val="none"/>
        </w:rPr>
        <w:t>行业；承建（承接）企业为</w:t>
      </w:r>
      <w:r>
        <w:rPr>
          <w:rFonts w:hint="eastAsia" w:ascii="宋体" w:hAnsi="宋体" w:cs="宋体"/>
          <w:color w:val="auto"/>
          <w:sz w:val="24"/>
          <w:highlight w:val="none"/>
          <w:u w:val="single"/>
        </w:rPr>
        <w:t xml:space="preserve">（ 企 业 名 称 ）  </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 中 型 企 业 、 小 型 企 业 、 微 型 企 业 ） </w:t>
      </w:r>
      <w:r>
        <w:rPr>
          <w:rFonts w:hint="eastAsia" w:ascii="宋体" w:hAnsi="宋体" w:cs="宋体"/>
          <w:color w:val="auto"/>
          <w:sz w:val="24"/>
          <w:highlight w:val="none"/>
        </w:rPr>
        <w:t xml:space="preserve">； </w:t>
      </w:r>
    </w:p>
    <w:p>
      <w:pPr>
        <w:spacing w:after="120" w:line="360" w:lineRule="auto"/>
        <w:ind w:firstLine="720" w:firstLineChars="300"/>
        <w:rPr>
          <w:rFonts w:hint="eastAsia" w:ascii="宋体" w:hAnsi="宋体" w:cs="宋体"/>
          <w:color w:val="auto"/>
          <w:sz w:val="24"/>
          <w:highlight w:val="none"/>
        </w:rPr>
      </w:pPr>
      <w:r>
        <w:rPr>
          <w:rFonts w:hint="eastAsia" w:ascii="宋体" w:hAnsi="宋体" w:cs="宋体"/>
          <w:color w:val="auto"/>
          <w:sz w:val="24"/>
          <w:highlight w:val="none"/>
        </w:rPr>
        <w:t xml:space="preserve">2. </w:t>
      </w:r>
      <w:r>
        <w:rPr>
          <w:rFonts w:hint="eastAsia" w:ascii="宋体" w:hAnsi="宋体" w:cs="宋体"/>
          <w:color w:val="auto"/>
          <w:sz w:val="24"/>
          <w:highlight w:val="none"/>
          <w:u w:val="single"/>
        </w:rPr>
        <w:t xml:space="preserve">（ 标 的 名 称 ） </w:t>
      </w:r>
      <w:r>
        <w:rPr>
          <w:rFonts w:hint="eastAsia" w:ascii="宋体" w:hAnsi="宋体" w:cs="宋体"/>
          <w:color w:val="auto"/>
          <w:sz w:val="24"/>
          <w:highlight w:val="none"/>
        </w:rPr>
        <w:t>，属于</w:t>
      </w:r>
      <w:r>
        <w:rPr>
          <w:rFonts w:hint="eastAsia" w:ascii="宋体" w:hAnsi="宋体" w:cs="宋体"/>
          <w:b/>
          <w:bCs/>
          <w:color w:val="auto"/>
          <w:sz w:val="24"/>
          <w:highlight w:val="none"/>
          <w:u w:val="single"/>
        </w:rPr>
        <w:t>（四）批发业</w:t>
      </w:r>
      <w:r>
        <w:rPr>
          <w:rFonts w:hint="eastAsia" w:ascii="宋体" w:hAnsi="宋体" w:cs="宋体"/>
          <w:color w:val="auto"/>
          <w:sz w:val="24"/>
          <w:highlight w:val="none"/>
        </w:rPr>
        <w:t>行业；承建（承接）企业为</w:t>
      </w:r>
      <w:r>
        <w:rPr>
          <w:rFonts w:hint="eastAsia" w:ascii="宋体" w:hAnsi="宋体" w:cs="宋体"/>
          <w:color w:val="auto"/>
          <w:sz w:val="24"/>
          <w:highlight w:val="none"/>
          <w:u w:val="single"/>
        </w:rPr>
        <w:t xml:space="preserve">（ 企 业 名 称 ）  </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w:t>
      </w:r>
      <w:r>
        <w:rPr>
          <w:rFonts w:hint="eastAsia" w:ascii="宋体" w:hAnsi="宋体" w:cs="宋体"/>
          <w:color w:val="auto"/>
          <w:sz w:val="24"/>
          <w:highlight w:val="none"/>
          <w:vertAlign w:val="superscript"/>
        </w:rPr>
        <w:t>1</w:t>
      </w:r>
      <w:r>
        <w:rPr>
          <w:rFonts w:hint="eastAsia" w:ascii="宋体" w:hAnsi="宋体" w:cs="宋体"/>
          <w:color w:val="auto"/>
          <w:sz w:val="24"/>
          <w:highlight w:val="none"/>
        </w:rPr>
        <w:t>，属于</w:t>
      </w:r>
      <w:r>
        <w:rPr>
          <w:rFonts w:hint="eastAsia" w:ascii="宋体" w:hAnsi="宋体" w:cs="宋体"/>
          <w:color w:val="auto"/>
          <w:sz w:val="24"/>
          <w:highlight w:val="none"/>
          <w:u w:val="single"/>
        </w:rPr>
        <w:t xml:space="preserve"> （ 中 型 企 业 、 小 型 企 业 、 微 型 企 业 ） </w:t>
      </w:r>
      <w:r>
        <w:rPr>
          <w:rFonts w:hint="eastAsia" w:ascii="宋体" w:hAnsi="宋体" w:cs="宋体"/>
          <w:color w:val="auto"/>
          <w:sz w:val="24"/>
          <w:highlight w:val="none"/>
        </w:rPr>
        <w:t>；</w:t>
      </w:r>
    </w:p>
    <w:p>
      <w:pPr>
        <w:spacing w:after="120" w:line="360" w:lineRule="auto"/>
        <w:ind w:firstLine="720" w:firstLineChars="300"/>
        <w:rPr>
          <w:rFonts w:hint="eastAsia" w:ascii="宋体" w:hAnsi="宋体" w:cs="宋体"/>
          <w:color w:val="auto"/>
          <w:sz w:val="24"/>
          <w:highlight w:val="none"/>
        </w:rPr>
      </w:pPr>
      <w:r>
        <w:rPr>
          <w:rFonts w:hint="eastAsia" w:ascii="宋体" w:hAnsi="宋体" w:cs="宋体"/>
          <w:color w:val="auto"/>
          <w:sz w:val="24"/>
          <w:highlight w:val="none"/>
        </w:rPr>
        <w:t xml:space="preserve">…… </w:t>
      </w:r>
    </w:p>
    <w:p>
      <w:pPr>
        <w:spacing w:after="120" w:line="360" w:lineRule="auto"/>
        <w:ind w:firstLine="720" w:firstLineChars="300"/>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 </w:t>
      </w:r>
    </w:p>
    <w:p>
      <w:pPr>
        <w:spacing w:line="360" w:lineRule="auto"/>
        <w:ind w:firstLine="480" w:firstLineChars="200"/>
        <w:rPr>
          <w:rFonts w:hint="eastAsia" w:ascii="宋体" w:hAnsi="宋体" w:cs="宋体"/>
          <w:color w:val="auto"/>
          <w:spacing w:val="6"/>
          <w:sz w:val="24"/>
          <w:highlight w:val="none"/>
        </w:rPr>
      </w:pPr>
      <w:r>
        <w:rPr>
          <w:rFonts w:hint="eastAsia" w:ascii="宋体" w:hAnsi="宋体" w:cs="宋体"/>
          <w:color w:val="auto"/>
          <w:sz w:val="24"/>
          <w:highlight w:val="none"/>
        </w:rPr>
        <w:t>本企业对上述声明内容的真实性负责。如有虚假，将依法承担相应责任。</w:t>
      </w:r>
    </w:p>
    <w:p>
      <w:pPr>
        <w:spacing w:line="588" w:lineRule="exact"/>
        <w:ind w:firstLine="504" w:firstLineChars="200"/>
        <w:rPr>
          <w:rFonts w:hint="eastAsia" w:ascii="宋体" w:hAnsi="宋体" w:cs="宋体"/>
          <w:color w:val="auto"/>
          <w:spacing w:val="6"/>
          <w:sz w:val="24"/>
          <w:highlight w:val="none"/>
        </w:rPr>
      </w:pPr>
    </w:p>
    <w:p>
      <w:pPr>
        <w:spacing w:line="588" w:lineRule="exact"/>
        <w:ind w:firstLine="504" w:firstLineChars="200"/>
        <w:rPr>
          <w:rFonts w:hint="eastAsia" w:ascii="宋体" w:hAnsi="宋体" w:cs="宋体"/>
          <w:color w:val="auto"/>
          <w:spacing w:val="6"/>
          <w:sz w:val="24"/>
          <w:highlight w:val="none"/>
        </w:rPr>
      </w:pPr>
    </w:p>
    <w:p>
      <w:pPr>
        <w:tabs>
          <w:tab w:val="left" w:pos="4860"/>
        </w:tabs>
        <w:spacing w:line="588" w:lineRule="exact"/>
        <w:ind w:right="1560" w:firstLine="504" w:firstLineChars="200"/>
        <w:jc w:val="center"/>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企业名称（加盖公章）： </w:t>
      </w:r>
    </w:p>
    <w:p>
      <w:pPr>
        <w:tabs>
          <w:tab w:val="left" w:pos="4860"/>
        </w:tabs>
        <w:spacing w:line="588" w:lineRule="exact"/>
        <w:ind w:right="1560" w:firstLine="504" w:firstLineChars="200"/>
        <w:jc w:val="center"/>
        <w:rPr>
          <w:rFonts w:hint="eastAsia" w:ascii="宋体" w:hAnsi="宋体" w:cs="宋体"/>
          <w:color w:val="auto"/>
          <w:spacing w:val="6"/>
          <w:sz w:val="30"/>
          <w:szCs w:val="30"/>
          <w:highlight w:val="none"/>
        </w:rPr>
      </w:pPr>
      <w:r>
        <w:rPr>
          <w:rFonts w:hint="eastAsia" w:ascii="宋体" w:hAnsi="宋体" w:cs="宋体"/>
          <w:color w:val="auto"/>
          <w:spacing w:val="6"/>
          <w:sz w:val="24"/>
          <w:highlight w:val="none"/>
        </w:rPr>
        <w:t xml:space="preserve">       日  期：</w:t>
      </w:r>
      <w:r>
        <w:rPr>
          <w:rFonts w:hint="eastAsia" w:ascii="宋体" w:hAnsi="宋体" w:cs="宋体"/>
          <w:color w:val="auto"/>
          <w:spacing w:val="6"/>
          <w:sz w:val="30"/>
          <w:szCs w:val="30"/>
          <w:highlight w:val="none"/>
        </w:rPr>
        <w:t xml:space="preserve">                </w:t>
      </w:r>
    </w:p>
    <w:p>
      <w:pPr>
        <w:spacing w:line="360" w:lineRule="auto"/>
        <w:rPr>
          <w:rFonts w:hint="eastAsia" w:ascii="宋体" w:hAnsi="宋体" w:cs="宋体"/>
          <w:b/>
          <w:color w:val="auto"/>
          <w:sz w:val="24"/>
          <w:highlight w:val="none"/>
        </w:rPr>
      </w:pPr>
    </w:p>
    <w:p>
      <w:pPr>
        <w:rPr>
          <w:rFonts w:hint="eastAsia" w:ascii="宋体" w:hAnsi="宋体" w:cs="宋体"/>
          <w:b/>
          <w:color w:val="auto"/>
          <w:sz w:val="24"/>
          <w:highlight w:val="none"/>
        </w:rPr>
      </w:pPr>
      <w:r>
        <w:rPr>
          <w:rFonts w:hint="eastAsia" w:ascii="宋体" w:hAnsi="宋体" w:cs="宋体"/>
          <w:b/>
          <w:color w:val="auto"/>
          <w:sz w:val="24"/>
          <w:highlight w:val="none"/>
        </w:rPr>
        <w:br w:type="page"/>
      </w:r>
    </w:p>
    <w:p>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注：</w:t>
      </w:r>
    </w:p>
    <w:p>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上表中从业人员、营业收入、资产总额填报上一年度数据，无上一年度数据的新成立企业可不填报。</w:t>
      </w:r>
    </w:p>
    <w:p>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1、服务由中小企业承接，即提供服务的人员为中小企业依照《中华人民共和国劳动合同法》订立劳动合同的从业人员；</w:t>
      </w:r>
    </w:p>
    <w:p>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w:t>
      </w:r>
      <w:r>
        <w:rPr>
          <w:rFonts w:hint="eastAsia" w:ascii="宋体" w:hAnsi="宋体" w:cs="宋体"/>
          <w:bCs/>
          <w:color w:val="auto"/>
          <w:sz w:val="24"/>
          <w:highlight w:val="none"/>
          <w:lang w:eastAsia="zh-CN"/>
        </w:rPr>
        <w:t>供应商</w:t>
      </w:r>
      <w:r>
        <w:rPr>
          <w:rFonts w:hint="eastAsia" w:ascii="宋体" w:hAnsi="宋体" w:cs="宋体"/>
          <w:bCs/>
          <w:color w:val="auto"/>
          <w:sz w:val="24"/>
          <w:highlight w:val="none"/>
        </w:rPr>
        <w:t>须核对《关于印发中小企业划型标准规定的通知》（工信部联企业〔2011〕300号）规定的中小企业划型标准，如实填写声明函。所声明的从业人员人数或营业收入金额不符合中小企业划型标准规定或未按招标文件明确的所属行业填写的，资格审查小组将不予认可。根据政府采购主管部门关于政府采购信息公示的相关要求，如中标单位为中小微企业，其投标文件中所提供的中小企业声明函需随中标结果一并公示，请各投标单位如实提供及填写本单位企业情况。</w:t>
      </w:r>
    </w:p>
    <w:p>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本项目标的所属《关于印发中小企业划型标准规定的通知》（工信部联企业〔2011〕300号）中所列“（四）批发业”的行业。（注：（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rPr>
          <w:rFonts w:hint="eastAsia" w:ascii="宋体" w:hAnsi="宋体" w:cs="宋体"/>
          <w:color w:val="auto"/>
          <w:sz w:val="24"/>
          <w:szCs w:val="24"/>
          <w:highlight w:val="none"/>
        </w:rPr>
      </w:pPr>
    </w:p>
    <w:p>
      <w:pPr>
        <w:pStyle w:val="28"/>
        <w:ind w:firstLine="422"/>
        <w:rPr>
          <w:rFonts w:hint="eastAsia" w:ascii="宋体" w:hAnsi="宋体" w:cs="宋体"/>
          <w:b/>
          <w:color w:val="auto"/>
          <w:sz w:val="21"/>
          <w:szCs w:val="21"/>
          <w:highlight w:val="none"/>
        </w:rPr>
      </w:pPr>
    </w:p>
    <w:p>
      <w:pPr>
        <w:pStyle w:val="28"/>
        <w:ind w:firstLine="422"/>
        <w:rPr>
          <w:rFonts w:hint="eastAsia" w:ascii="宋体" w:hAnsi="宋体" w:cs="宋体"/>
          <w:b/>
          <w:color w:val="auto"/>
          <w:sz w:val="21"/>
          <w:szCs w:val="21"/>
          <w:highlight w:val="none"/>
        </w:rPr>
      </w:pPr>
    </w:p>
    <w:p>
      <w:pPr>
        <w:pStyle w:val="28"/>
        <w:ind w:firstLine="422"/>
        <w:rPr>
          <w:rFonts w:hint="eastAsia" w:ascii="宋体" w:hAnsi="宋体" w:cs="宋体"/>
          <w:b/>
          <w:color w:val="auto"/>
          <w:sz w:val="21"/>
          <w:szCs w:val="21"/>
          <w:highlight w:val="none"/>
        </w:rPr>
      </w:pPr>
    </w:p>
    <w:p>
      <w:pPr>
        <w:pStyle w:val="28"/>
        <w:ind w:firstLine="422"/>
        <w:rPr>
          <w:rFonts w:hint="eastAsia" w:ascii="宋体" w:hAnsi="宋体" w:cs="宋体"/>
          <w:b/>
          <w:color w:val="auto"/>
          <w:sz w:val="21"/>
          <w:szCs w:val="21"/>
          <w:highlight w:val="none"/>
        </w:rPr>
      </w:pPr>
    </w:p>
    <w:p>
      <w:pPr>
        <w:rPr>
          <w:rFonts w:hint="eastAsia" w:ascii="宋体" w:hAnsi="宋体" w:cs="宋体"/>
          <w:b/>
          <w:bCs/>
          <w:color w:val="auto"/>
          <w:sz w:val="28"/>
          <w:szCs w:val="28"/>
          <w:highlight w:val="none"/>
        </w:rPr>
      </w:pPr>
      <w:bookmarkStart w:id="666" w:name="_Toc19806"/>
      <w:bookmarkStart w:id="667" w:name="_Toc10475"/>
      <w:r>
        <w:rPr>
          <w:rFonts w:hint="eastAsia" w:ascii="宋体" w:hAnsi="宋体" w:cs="宋体"/>
          <w:b/>
          <w:bCs/>
          <w:color w:val="auto"/>
          <w:sz w:val="28"/>
          <w:szCs w:val="28"/>
          <w:highlight w:val="none"/>
        </w:rPr>
        <w:br w:type="page"/>
      </w:r>
    </w:p>
    <w:p>
      <w:pPr>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格式2-</w:t>
      </w:r>
      <w:r>
        <w:rPr>
          <w:rFonts w:hint="eastAsia" w:ascii="宋体" w:hAnsi="宋体" w:cs="宋体"/>
          <w:b/>
          <w:bCs/>
          <w:color w:val="auto"/>
          <w:sz w:val="28"/>
          <w:szCs w:val="28"/>
          <w:highlight w:val="none"/>
          <w:lang w:val="en-US" w:eastAsia="zh-CN"/>
        </w:rPr>
        <w:t>6</w:t>
      </w:r>
      <w:r>
        <w:rPr>
          <w:rFonts w:hint="eastAsia" w:ascii="宋体" w:hAnsi="宋体" w:cs="宋体"/>
          <w:b/>
          <w:bCs/>
          <w:color w:val="auto"/>
          <w:sz w:val="28"/>
          <w:szCs w:val="28"/>
          <w:highlight w:val="none"/>
        </w:rPr>
        <w:t>：</w:t>
      </w:r>
      <w:bookmarkEnd w:id="666"/>
      <w:bookmarkEnd w:id="667"/>
      <w:bookmarkStart w:id="668" w:name="_Toc507409073"/>
      <w:bookmarkStart w:id="669" w:name="_Toc507412336"/>
    </w:p>
    <w:p>
      <w:pPr>
        <w:tabs>
          <w:tab w:val="left" w:pos="5580"/>
        </w:tabs>
        <w:spacing w:line="240" w:lineRule="atLeast"/>
        <w:jc w:val="center"/>
        <w:rPr>
          <w:rFonts w:hint="eastAsia" w:ascii="宋体" w:hAnsi="宋体" w:cs="宋体"/>
          <w:b/>
          <w:color w:val="auto"/>
          <w:sz w:val="28"/>
          <w:highlight w:val="none"/>
        </w:rPr>
      </w:pP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70" w:name="_Toc22261"/>
      <w:bookmarkStart w:id="671" w:name="_Toc32478"/>
      <w:bookmarkStart w:id="672" w:name="_Toc27363"/>
      <w:r>
        <w:rPr>
          <w:rFonts w:hint="eastAsia" w:ascii="宋体" w:hAnsi="宋体" w:cs="宋体"/>
          <w:color w:val="auto"/>
          <w:sz w:val="32"/>
          <w:szCs w:val="22"/>
          <w:highlight w:val="none"/>
        </w:rPr>
        <w:t>监狱企业证明文件</w:t>
      </w:r>
      <w:bookmarkEnd w:id="668"/>
      <w:bookmarkEnd w:id="669"/>
      <w:bookmarkEnd w:id="670"/>
      <w:bookmarkEnd w:id="671"/>
      <w:bookmarkEnd w:id="672"/>
    </w:p>
    <w:p>
      <w:pPr>
        <w:spacing w:line="48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48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监狱企业参加政府采购活动时，应当提供由省级以上监狱管理局、戒毒管理局（含新疆生产建设兵团）出具的属于监狱企业的证明文件。</w:t>
      </w:r>
    </w:p>
    <w:p>
      <w:pPr>
        <w:widowControl/>
        <w:spacing w:line="480" w:lineRule="auto"/>
        <w:jc w:val="left"/>
        <w:rPr>
          <w:rFonts w:hint="eastAsia" w:ascii="宋体" w:hAnsi="宋体" w:cs="宋体"/>
          <w:b/>
          <w:color w:val="auto"/>
          <w:sz w:val="24"/>
          <w:szCs w:val="24"/>
          <w:highlight w:val="none"/>
        </w:rPr>
      </w:pPr>
    </w:p>
    <w:p>
      <w:pPr>
        <w:widowControl/>
        <w:spacing w:line="480" w:lineRule="auto"/>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注：符合条件的监狱企业在参加政府采购活动时，应当按《财政部 司法部关于政府采购支持监狱企业发展有关问题的通知》（财库〔2014〕68号）提供规定的《监狱企业证明文件》，并对声明的真实性负责，如不为监狱企业可不需填写。</w:t>
      </w:r>
    </w:p>
    <w:p>
      <w:pPr>
        <w:widowControl/>
        <w:jc w:val="left"/>
        <w:rPr>
          <w:rFonts w:hint="eastAsia" w:ascii="宋体" w:hAnsi="宋体" w:cs="宋体"/>
          <w:b/>
          <w:color w:val="auto"/>
          <w:sz w:val="28"/>
          <w:szCs w:val="28"/>
          <w:highlight w:val="none"/>
        </w:rPr>
      </w:pPr>
      <w:r>
        <w:rPr>
          <w:rFonts w:hint="eastAsia" w:ascii="宋体" w:hAnsi="宋体" w:cs="宋体"/>
          <w:b/>
          <w:color w:val="auto"/>
          <w:szCs w:val="21"/>
          <w:highlight w:val="none"/>
        </w:rPr>
        <w:br w:type="page"/>
      </w:r>
      <w:r>
        <w:rPr>
          <w:rFonts w:hint="eastAsia" w:ascii="宋体" w:hAnsi="宋体" w:cs="宋体"/>
          <w:b/>
          <w:color w:val="auto"/>
          <w:sz w:val="28"/>
          <w:szCs w:val="28"/>
          <w:highlight w:val="none"/>
        </w:rPr>
        <w:t>格式2-</w:t>
      </w:r>
      <w:r>
        <w:rPr>
          <w:rFonts w:hint="eastAsia" w:ascii="宋体" w:hAnsi="宋体" w:cs="宋体"/>
          <w:b/>
          <w:color w:val="auto"/>
          <w:sz w:val="28"/>
          <w:szCs w:val="28"/>
          <w:highlight w:val="none"/>
          <w:lang w:val="en-US" w:eastAsia="zh-CN"/>
        </w:rPr>
        <w:t>7</w:t>
      </w:r>
      <w:r>
        <w:rPr>
          <w:rFonts w:hint="eastAsia" w:ascii="宋体" w:hAnsi="宋体" w:cs="宋体"/>
          <w:b/>
          <w:color w:val="auto"/>
          <w:sz w:val="28"/>
          <w:szCs w:val="28"/>
          <w:highlight w:val="none"/>
        </w:rPr>
        <w:t>：</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73" w:name="_Toc1012"/>
      <w:bookmarkStart w:id="674" w:name="_Toc15980"/>
      <w:bookmarkStart w:id="675" w:name="_Toc256"/>
      <w:bookmarkStart w:id="676" w:name="OLE_LINK14"/>
      <w:bookmarkStart w:id="677" w:name="OLE_LINK13"/>
      <w:r>
        <w:rPr>
          <w:rFonts w:hint="eastAsia" w:ascii="宋体" w:hAnsi="宋体" w:cs="宋体"/>
          <w:color w:val="auto"/>
          <w:sz w:val="32"/>
          <w:szCs w:val="22"/>
          <w:highlight w:val="none"/>
        </w:rPr>
        <w:t>残疾人福利性单位声明函</w:t>
      </w:r>
      <w:bookmarkEnd w:id="673"/>
      <w:bookmarkEnd w:id="674"/>
      <w:bookmarkEnd w:id="675"/>
    </w:p>
    <w:bookmarkEnd w:id="676"/>
    <w:bookmarkEnd w:id="677"/>
    <w:p>
      <w:pPr>
        <w:spacing w:line="480" w:lineRule="auto"/>
        <w:ind w:firstLine="504" w:firstLineChars="200"/>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z w:val="24"/>
          <w:szCs w:val="24"/>
          <w:highlight w:val="none"/>
        </w:rPr>
        <w:t>〔2017〕141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480" w:lineRule="auto"/>
        <w:ind w:firstLine="504" w:firstLineChars="200"/>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本单位对上述声明的真实性负责。如有虚假，将依法承担相应责任。</w:t>
      </w:r>
    </w:p>
    <w:p>
      <w:pPr>
        <w:spacing w:line="588" w:lineRule="exact"/>
        <w:ind w:firstLine="504" w:firstLineChars="200"/>
        <w:rPr>
          <w:rFonts w:hint="eastAsia" w:ascii="宋体" w:hAnsi="宋体" w:cs="宋体"/>
          <w:color w:val="auto"/>
          <w:spacing w:val="6"/>
          <w:sz w:val="24"/>
          <w:szCs w:val="24"/>
          <w:highlight w:val="none"/>
        </w:rPr>
      </w:pPr>
    </w:p>
    <w:p>
      <w:pPr>
        <w:spacing w:line="588" w:lineRule="exact"/>
        <w:ind w:firstLine="504" w:firstLineChars="200"/>
        <w:rPr>
          <w:rFonts w:hint="eastAsia" w:ascii="宋体" w:hAnsi="宋体" w:cs="宋体"/>
          <w:color w:val="auto"/>
          <w:spacing w:val="6"/>
          <w:sz w:val="24"/>
          <w:szCs w:val="24"/>
          <w:highlight w:val="none"/>
        </w:rPr>
      </w:pPr>
    </w:p>
    <w:p>
      <w:pPr>
        <w:spacing w:line="360" w:lineRule="auto"/>
        <w:jc w:val="right"/>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 xml:space="preserve">              </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(加盖电子公章)</w:t>
      </w:r>
    </w:p>
    <w:p>
      <w:pPr>
        <w:pStyle w:val="11"/>
        <w:spacing w:line="500" w:lineRule="exact"/>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（电子签名或签章）</w:t>
      </w:r>
    </w:p>
    <w:p>
      <w:pPr>
        <w:pStyle w:val="11"/>
        <w:spacing w:line="500" w:lineRule="exact"/>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tabs>
          <w:tab w:val="left" w:pos="4860"/>
        </w:tabs>
        <w:spacing w:line="588" w:lineRule="exact"/>
        <w:ind w:right="1560" w:firstLine="504" w:firstLineChars="200"/>
        <w:jc w:val="center"/>
        <w:rPr>
          <w:rFonts w:hint="eastAsia" w:ascii="宋体" w:hAnsi="宋体" w:cs="宋体"/>
          <w:color w:val="auto"/>
          <w:spacing w:val="6"/>
          <w:sz w:val="24"/>
          <w:szCs w:val="24"/>
          <w:highlight w:val="none"/>
        </w:rPr>
      </w:pPr>
    </w:p>
    <w:p>
      <w:pPr>
        <w:rPr>
          <w:rFonts w:hint="eastAsia" w:ascii="宋体" w:hAnsi="宋体" w:cs="宋体"/>
          <w:b/>
          <w:color w:val="auto"/>
          <w:sz w:val="24"/>
          <w:szCs w:val="24"/>
          <w:highlight w:val="none"/>
        </w:rPr>
      </w:pPr>
    </w:p>
    <w:p>
      <w:pPr>
        <w:rPr>
          <w:rFonts w:hint="eastAsia" w:ascii="宋体" w:hAnsi="宋体" w:cs="宋体"/>
          <w:b/>
          <w:color w:val="auto"/>
          <w:sz w:val="24"/>
          <w:szCs w:val="24"/>
          <w:highlight w:val="none"/>
        </w:rPr>
      </w:pPr>
    </w:p>
    <w:p>
      <w:pPr>
        <w:rPr>
          <w:rFonts w:hint="eastAsia" w:ascii="宋体" w:hAnsi="宋体" w:cs="宋体"/>
          <w:b/>
          <w:color w:val="auto"/>
          <w:sz w:val="24"/>
          <w:szCs w:val="24"/>
          <w:highlight w:val="none"/>
        </w:rPr>
      </w:pP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t>注：符合条件的残疾人福利性单位在参加政府采购活动时，应当按《三部门联合发布关于促进残疾人就业政府采购政策的通知》（财库〔2017〕141号）提供规定的《残疾人福利性单位声明函》，并对声明的真实性负责，若提供的《残疾人福利性单位声明函》与事实不符的，依照《政府采购法》第七十七条第一款的规定追究法律责任，不为残疾人福利性单位的可不需填写。</w:t>
      </w:r>
    </w:p>
    <w:p>
      <w:pPr>
        <w:rPr>
          <w:rFonts w:hint="eastAsia" w:ascii="宋体" w:hAnsi="宋体" w:cs="宋体"/>
          <w:b/>
          <w:color w:val="auto"/>
          <w:szCs w:val="21"/>
          <w:highlight w:val="none"/>
        </w:rPr>
      </w:pPr>
    </w:p>
    <w:p>
      <w:pPr>
        <w:rPr>
          <w:rFonts w:hint="eastAsia" w:ascii="宋体" w:hAnsi="宋体" w:cs="宋体"/>
          <w:b/>
          <w:color w:val="auto"/>
          <w:szCs w:val="21"/>
          <w:highlight w:val="none"/>
        </w:rPr>
      </w:pPr>
    </w:p>
    <w:p>
      <w:pPr>
        <w:rPr>
          <w:rFonts w:hint="eastAsia" w:ascii="宋体" w:hAnsi="宋体" w:cs="宋体"/>
          <w:b/>
          <w:color w:val="auto"/>
          <w:szCs w:val="21"/>
          <w:highlight w:val="none"/>
        </w:rPr>
      </w:pPr>
    </w:p>
    <w:p>
      <w:pPr>
        <w:rPr>
          <w:rFonts w:hint="eastAsia" w:ascii="宋体" w:hAnsi="宋体" w:cs="宋体"/>
          <w:b/>
          <w:color w:val="auto"/>
          <w:szCs w:val="21"/>
          <w:highlight w:val="none"/>
        </w:rPr>
      </w:pPr>
    </w:p>
    <w:p>
      <w:pPr>
        <w:pStyle w:val="20"/>
        <w:rPr>
          <w:rFonts w:hint="eastAsia" w:ascii="宋体" w:hAnsi="宋体" w:cs="宋体"/>
          <w:color w:val="auto"/>
          <w:highlight w:val="none"/>
        </w:rPr>
      </w:pPr>
    </w:p>
    <w:p>
      <w:pPr>
        <w:rPr>
          <w:rFonts w:hint="eastAsia" w:ascii="宋体" w:hAnsi="宋体" w:cs="宋体"/>
          <w:b/>
          <w:color w:val="auto"/>
          <w:szCs w:val="21"/>
          <w:highlight w:val="none"/>
        </w:rPr>
      </w:pPr>
    </w:p>
    <w:p>
      <w:pPr>
        <w:rPr>
          <w:rFonts w:hint="eastAsia" w:ascii="宋体" w:hAnsi="宋体" w:cs="宋体"/>
          <w:b/>
          <w:color w:val="auto"/>
          <w:szCs w:val="21"/>
          <w:highlight w:val="none"/>
        </w:rPr>
      </w:pP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格式2-</w:t>
      </w:r>
      <w:r>
        <w:rPr>
          <w:rFonts w:hint="eastAsia" w:ascii="宋体" w:hAnsi="宋体" w:cs="宋体"/>
          <w:b/>
          <w:bCs/>
          <w:color w:val="auto"/>
          <w:sz w:val="28"/>
          <w:szCs w:val="28"/>
          <w:highlight w:val="none"/>
          <w:lang w:val="en-US" w:eastAsia="zh-CN"/>
        </w:rPr>
        <w:t>8</w:t>
      </w:r>
      <w:r>
        <w:rPr>
          <w:rFonts w:hint="eastAsia" w:ascii="宋体" w:hAnsi="宋体" w:cs="宋体"/>
          <w:b/>
          <w:bCs/>
          <w:color w:val="auto"/>
          <w:sz w:val="28"/>
          <w:szCs w:val="28"/>
          <w:highlight w:val="none"/>
        </w:rPr>
        <w:t>：</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78" w:name="_Toc24822"/>
      <w:r>
        <w:rPr>
          <w:rFonts w:hint="eastAsia" w:ascii="宋体" w:hAnsi="宋体" w:cs="宋体"/>
          <w:color w:val="auto"/>
          <w:sz w:val="32"/>
          <w:szCs w:val="22"/>
          <w:highlight w:val="none"/>
        </w:rPr>
        <w:t>售后服务保障</w:t>
      </w:r>
      <w:bookmarkEnd w:id="678"/>
    </w:p>
    <w:p>
      <w:pPr>
        <w:pStyle w:val="11"/>
        <w:spacing w:line="500" w:lineRule="exact"/>
        <w:jc w:val="left"/>
        <w:rPr>
          <w:rFonts w:hint="eastAsia" w:ascii="宋体" w:hAnsi="宋体" w:cs="宋体"/>
          <w:color w:val="auto"/>
          <w:sz w:val="24"/>
          <w:szCs w:val="24"/>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rPr>
          <w:rFonts w:hint="eastAsia" w:ascii="宋体" w:hAnsi="宋体" w:cs="宋体"/>
          <w:color w:val="auto"/>
          <w:sz w:val="32"/>
          <w:szCs w:val="22"/>
          <w:highlight w:val="none"/>
        </w:rPr>
      </w:pPr>
      <w:r>
        <w:rPr>
          <w:rFonts w:hint="eastAsia" w:ascii="宋体" w:hAnsi="宋体" w:cs="宋体"/>
          <w:color w:val="auto"/>
          <w:sz w:val="32"/>
          <w:szCs w:val="22"/>
          <w:highlight w:val="none"/>
        </w:rPr>
        <w:br w:type="page"/>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格式2-</w:t>
      </w:r>
      <w:r>
        <w:rPr>
          <w:rFonts w:hint="eastAsia" w:ascii="宋体" w:hAnsi="宋体" w:cs="宋体"/>
          <w:b/>
          <w:bCs/>
          <w:color w:val="auto"/>
          <w:sz w:val="28"/>
          <w:szCs w:val="28"/>
          <w:highlight w:val="none"/>
          <w:lang w:val="en-US" w:eastAsia="zh-CN"/>
        </w:rPr>
        <w:t>9</w:t>
      </w:r>
      <w:r>
        <w:rPr>
          <w:rFonts w:hint="eastAsia" w:ascii="宋体" w:hAnsi="宋体" w:cs="宋体"/>
          <w:b/>
          <w:bCs/>
          <w:color w:val="auto"/>
          <w:sz w:val="28"/>
          <w:szCs w:val="28"/>
          <w:highlight w:val="none"/>
        </w:rPr>
        <w:t>：</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bCs/>
          <w:color w:val="auto"/>
          <w:sz w:val="24"/>
          <w:szCs w:val="24"/>
          <w:highlight w:val="none"/>
        </w:rPr>
      </w:pPr>
      <w:r>
        <w:rPr>
          <w:rFonts w:hint="eastAsia" w:ascii="宋体" w:hAnsi="宋体" w:cs="宋体"/>
          <w:color w:val="auto"/>
          <w:sz w:val="32"/>
          <w:szCs w:val="22"/>
          <w:highlight w:val="none"/>
        </w:rPr>
        <w:t>其他资料</w:t>
      </w:r>
    </w:p>
    <w:p>
      <w:pPr>
        <w:widowControl/>
        <w:numPr>
          <w:ilvl w:val="0"/>
          <w:numId w:val="0"/>
        </w:numPr>
        <w:spacing w:line="440" w:lineRule="exact"/>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招标文件要求和</w:t>
      </w:r>
      <w:r>
        <w:rPr>
          <w:rFonts w:hint="eastAsia" w:ascii="宋体" w:hAnsi="宋体" w:cs="宋体"/>
          <w:b/>
          <w:bCs w:val="0"/>
          <w:color w:val="auto"/>
          <w:sz w:val="24"/>
          <w:szCs w:val="24"/>
          <w:highlight w:val="none"/>
          <w:lang w:eastAsia="zh-CN"/>
        </w:rPr>
        <w:t>供应商</w:t>
      </w:r>
      <w:r>
        <w:rPr>
          <w:rFonts w:hint="eastAsia" w:ascii="宋体" w:hAnsi="宋体" w:cs="宋体"/>
          <w:b/>
          <w:bCs w:val="0"/>
          <w:color w:val="auto"/>
          <w:sz w:val="24"/>
          <w:szCs w:val="24"/>
          <w:highlight w:val="none"/>
        </w:rPr>
        <w:t>认为应该提交的其他资料。</w:t>
      </w:r>
    </w:p>
    <w:p>
      <w:pPr>
        <w:pStyle w:val="20"/>
        <w:ind w:firstLine="0" w:firstLineChars="0"/>
        <w:rPr>
          <w:rFonts w:hint="eastAsia" w:ascii="宋体" w:hAnsi="宋体" w:cs="宋体"/>
          <w:color w:val="auto"/>
          <w:highlight w:val="none"/>
        </w:rPr>
      </w:pPr>
    </w:p>
    <w:p>
      <w:pPr>
        <w:rPr>
          <w:rFonts w:hint="eastAsia" w:ascii="宋体" w:hAnsi="宋体" w:cs="宋体"/>
          <w:color w:val="auto"/>
          <w:highlight w:val="none"/>
        </w:rPr>
      </w:pPr>
      <w:bookmarkStart w:id="679" w:name="_Toc19083"/>
      <w:bookmarkStart w:id="680" w:name="_Toc1884"/>
      <w:r>
        <w:rPr>
          <w:rFonts w:hint="eastAsia" w:ascii="宋体" w:hAnsi="宋体" w:cs="宋体"/>
          <w:color w:val="auto"/>
          <w:highlight w:val="none"/>
        </w:rPr>
        <w:br w:type="page"/>
      </w:r>
    </w:p>
    <w:p>
      <w:pPr>
        <w:pStyle w:val="3"/>
        <w:keepNext/>
        <w:keepLines/>
        <w:pageBreakBefore w:val="0"/>
        <w:widowControl w:val="0"/>
        <w:kinsoku/>
        <w:wordWrap/>
        <w:overflowPunct/>
        <w:topLinePunct w:val="0"/>
        <w:autoSpaceDE/>
        <w:autoSpaceDN/>
        <w:bidi w:val="0"/>
        <w:adjustRightInd/>
        <w:snapToGrid/>
        <w:jc w:val="center"/>
        <w:textAlignment w:val="auto"/>
        <w:outlineLvl w:val="1"/>
        <w:rPr>
          <w:rFonts w:hint="eastAsia" w:ascii="宋体" w:hAnsi="宋体" w:cs="宋体"/>
          <w:color w:val="auto"/>
          <w:sz w:val="32"/>
          <w:szCs w:val="21"/>
          <w:highlight w:val="none"/>
        </w:rPr>
      </w:pPr>
      <w:bookmarkStart w:id="681" w:name="_Toc10060"/>
      <w:bookmarkStart w:id="682" w:name="_Toc28448"/>
      <w:bookmarkStart w:id="683" w:name="_Toc22864"/>
      <w:r>
        <w:rPr>
          <w:rFonts w:hint="eastAsia" w:ascii="宋体" w:hAnsi="宋体" w:cs="宋体"/>
          <w:color w:val="auto"/>
          <w:sz w:val="32"/>
          <w:szCs w:val="21"/>
          <w:highlight w:val="none"/>
        </w:rPr>
        <w:t>格式3：技术部分</w:t>
      </w:r>
      <w:bookmarkEnd w:id="679"/>
      <w:bookmarkEnd w:id="680"/>
      <w:bookmarkEnd w:id="681"/>
      <w:bookmarkEnd w:id="682"/>
      <w:bookmarkEnd w:id="683"/>
    </w:p>
    <w:p>
      <w:pPr>
        <w:rPr>
          <w:rFonts w:hint="eastAsia" w:ascii="宋体" w:hAnsi="宋体" w:cs="宋体"/>
          <w:color w:val="auto"/>
          <w:highlight w:val="none"/>
        </w:rPr>
      </w:pPr>
      <w:r>
        <w:rPr>
          <w:rFonts w:hint="eastAsia" w:ascii="宋体" w:hAnsi="宋体" w:cs="宋体"/>
          <w:color w:val="auto"/>
          <w:highlight w:val="none"/>
        </w:rPr>
        <w:t>以下内容根据招标文件采购需求和评标办法进行编制，格式自拟。</w:t>
      </w:r>
    </w:p>
    <w:p>
      <w:pPr>
        <w:rPr>
          <w:rFonts w:hint="eastAsia" w:ascii="宋体" w:hAnsi="宋体" w:cs="宋体"/>
          <w:color w:val="auto"/>
          <w:highlight w:val="none"/>
        </w:rPr>
      </w:pPr>
    </w:p>
    <w:p>
      <w:pPr>
        <w:widowControl/>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格式3-1</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84" w:name="_Toc7943"/>
      <w:r>
        <w:rPr>
          <w:rFonts w:hint="eastAsia" w:ascii="宋体" w:hAnsi="宋体" w:cs="宋体"/>
          <w:color w:val="auto"/>
          <w:sz w:val="32"/>
          <w:szCs w:val="22"/>
          <w:highlight w:val="none"/>
        </w:rPr>
        <w:t>采购管理方案</w:t>
      </w:r>
      <w:bookmarkEnd w:id="684"/>
    </w:p>
    <w:p>
      <w:pPr>
        <w:pStyle w:val="11"/>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w:t>
      </w:r>
    </w:p>
    <w:p>
      <w:pPr>
        <w:pStyle w:val="11"/>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格式3-2</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85" w:name="_Toc12307"/>
      <w:r>
        <w:rPr>
          <w:rFonts w:hint="eastAsia" w:ascii="宋体" w:hAnsi="宋体" w:cs="宋体"/>
          <w:color w:val="auto"/>
          <w:sz w:val="32"/>
          <w:szCs w:val="22"/>
          <w:highlight w:val="none"/>
        </w:rPr>
        <w:t>供货配送方案</w:t>
      </w:r>
      <w:bookmarkEnd w:id="685"/>
    </w:p>
    <w:p>
      <w:pPr>
        <w:rPr>
          <w:rFonts w:hint="eastAsia" w:ascii="宋体" w:hAnsi="宋体" w:cs="宋体"/>
          <w:color w:val="auto"/>
          <w:highlight w:val="none"/>
        </w:rPr>
      </w:pPr>
    </w:p>
    <w:p>
      <w:pPr>
        <w:pStyle w:val="11"/>
        <w:spacing w:line="500" w:lineRule="exact"/>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格式3-3</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86" w:name="_Toc19173"/>
      <w:r>
        <w:rPr>
          <w:rFonts w:hint="eastAsia" w:ascii="宋体" w:hAnsi="宋体" w:cs="宋体"/>
          <w:color w:val="auto"/>
          <w:sz w:val="32"/>
          <w:szCs w:val="22"/>
          <w:highlight w:val="none"/>
        </w:rPr>
        <w:t>食品安全及卫生保障措施</w:t>
      </w:r>
      <w:bookmarkEnd w:id="686"/>
    </w:p>
    <w:p>
      <w:pPr>
        <w:rPr>
          <w:rFonts w:hint="eastAsia" w:ascii="宋体" w:hAnsi="宋体" w:cs="宋体"/>
          <w:color w:val="auto"/>
          <w:highlight w:val="none"/>
        </w:rPr>
      </w:pPr>
    </w:p>
    <w:p>
      <w:pPr>
        <w:pStyle w:val="11"/>
        <w:rPr>
          <w:rFonts w:hint="eastAsia" w:ascii="宋体" w:hAnsi="宋体" w:cs="宋体"/>
          <w:color w:val="auto"/>
          <w:szCs w:val="21"/>
          <w:highlight w:val="none"/>
        </w:rPr>
      </w:pPr>
    </w:p>
    <w:p>
      <w:pPr>
        <w:pStyle w:val="11"/>
        <w:spacing w:line="500" w:lineRule="exact"/>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格式3-4</w:t>
      </w:r>
    </w:p>
    <w:p>
      <w:pPr>
        <w:pStyle w:val="11"/>
        <w:rPr>
          <w:rFonts w:hint="eastAsia" w:ascii="宋体" w:hAnsi="宋体" w:cs="宋体"/>
          <w:color w:val="auto"/>
          <w:szCs w:val="21"/>
          <w:highlight w:val="none"/>
        </w:rPr>
      </w:pP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87" w:name="_Toc11389"/>
      <w:r>
        <w:rPr>
          <w:rFonts w:hint="eastAsia" w:ascii="宋体" w:hAnsi="宋体" w:cs="宋体"/>
          <w:color w:val="auto"/>
          <w:sz w:val="32"/>
          <w:szCs w:val="22"/>
          <w:highlight w:val="none"/>
        </w:rPr>
        <w:t>应急预案</w:t>
      </w:r>
      <w:bookmarkEnd w:id="687"/>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pPr>
        <w:pStyle w:val="11"/>
        <w:spacing w:line="500" w:lineRule="exact"/>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格式3-5</w:t>
      </w:r>
    </w:p>
    <w:p>
      <w:pPr>
        <w:pStyle w:val="4"/>
        <w:rPr>
          <w:rFonts w:hint="eastAsia" w:ascii="宋体" w:hAnsi="宋体" w:cs="宋体"/>
          <w:color w:val="auto"/>
          <w:highlight w:val="none"/>
        </w:rPr>
      </w:pP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88" w:name="_Toc23996"/>
      <w:r>
        <w:rPr>
          <w:rFonts w:hint="eastAsia" w:ascii="宋体" w:hAnsi="宋体" w:cs="宋体"/>
          <w:color w:val="auto"/>
          <w:sz w:val="32"/>
          <w:szCs w:val="22"/>
          <w:highlight w:val="none"/>
        </w:rPr>
        <w:t>仓储及冷藏保鲜能力</w:t>
      </w:r>
      <w:bookmarkEnd w:id="688"/>
    </w:p>
    <w:p>
      <w:pPr>
        <w:rPr>
          <w:rFonts w:hint="eastAsia" w:ascii="宋体" w:hAnsi="宋体" w:cs="宋体"/>
          <w:b/>
          <w:color w:val="auto"/>
          <w:sz w:val="28"/>
          <w:szCs w:val="28"/>
          <w:highlight w:val="none"/>
        </w:rPr>
      </w:pPr>
    </w:p>
    <w:p>
      <w:pPr>
        <w:pStyle w:val="11"/>
        <w:spacing w:line="500" w:lineRule="exact"/>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格式3-6</w:t>
      </w: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89" w:name="_Toc17238"/>
      <w:r>
        <w:rPr>
          <w:rFonts w:hint="eastAsia" w:ascii="宋体" w:hAnsi="宋体" w:cs="宋体"/>
          <w:color w:val="auto"/>
          <w:sz w:val="32"/>
          <w:szCs w:val="22"/>
          <w:highlight w:val="none"/>
        </w:rPr>
        <w:t>人员配置</w:t>
      </w:r>
      <w:bookmarkEnd w:id="689"/>
    </w:p>
    <w:p>
      <w:pPr>
        <w:pStyle w:val="4"/>
        <w:rPr>
          <w:rFonts w:hint="eastAsia" w:ascii="宋体" w:hAnsi="宋体" w:cs="宋体"/>
          <w:b/>
          <w:color w:val="auto"/>
          <w:sz w:val="30"/>
          <w:szCs w:val="30"/>
          <w:highlight w:val="none"/>
        </w:rPr>
      </w:pPr>
    </w:p>
    <w:p>
      <w:pPr>
        <w:pStyle w:val="11"/>
        <w:spacing w:line="500" w:lineRule="exact"/>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格式3-7</w:t>
      </w:r>
    </w:p>
    <w:p>
      <w:pPr>
        <w:rPr>
          <w:rFonts w:hint="eastAsia" w:ascii="宋体" w:hAnsi="宋体" w:cs="宋体"/>
          <w:color w:val="auto"/>
          <w:highlight w:val="none"/>
        </w:rPr>
      </w:pP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90" w:name="_Toc29745"/>
      <w:r>
        <w:rPr>
          <w:rFonts w:hint="eastAsia" w:ascii="宋体" w:hAnsi="宋体" w:cs="宋体"/>
          <w:color w:val="auto"/>
          <w:sz w:val="32"/>
          <w:szCs w:val="22"/>
          <w:highlight w:val="none"/>
        </w:rPr>
        <w:t>车辆配置</w:t>
      </w:r>
      <w:bookmarkEnd w:id="690"/>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pStyle w:val="11"/>
        <w:rPr>
          <w:rFonts w:hint="eastAsia" w:ascii="宋体" w:hAnsi="宋体" w:cs="宋体"/>
          <w:color w:val="auto"/>
          <w:szCs w:val="21"/>
          <w:highlight w:val="none"/>
        </w:rPr>
      </w:pP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r>
    </w:p>
    <w:p>
      <w:pPr>
        <w:pStyle w:val="11"/>
        <w:spacing w:line="500" w:lineRule="exact"/>
        <w:jc w:val="left"/>
        <w:rPr>
          <w:rFonts w:hint="eastAsia" w:ascii="宋体" w:hAnsi="宋体" w:cs="宋体"/>
          <w:b/>
          <w:color w:val="auto"/>
          <w:sz w:val="28"/>
          <w:szCs w:val="28"/>
          <w:highlight w:val="none"/>
        </w:rPr>
      </w:pPr>
      <w:bookmarkStart w:id="691" w:name="_Toc488633634"/>
      <w:bookmarkStart w:id="692" w:name="_Toc481694862"/>
      <w:bookmarkStart w:id="693" w:name="_Toc503214143"/>
      <w:bookmarkStart w:id="694" w:name="_Toc489145769"/>
      <w:bookmarkStart w:id="695" w:name="_Toc8982"/>
      <w:bookmarkStart w:id="696" w:name="_Toc15373"/>
      <w:bookmarkStart w:id="697" w:name="_Toc489197873"/>
      <w:r>
        <w:rPr>
          <w:rFonts w:hint="eastAsia" w:ascii="宋体" w:hAnsi="宋体" w:cs="宋体"/>
          <w:b/>
          <w:color w:val="auto"/>
          <w:sz w:val="28"/>
          <w:szCs w:val="28"/>
          <w:highlight w:val="none"/>
        </w:rPr>
        <w:t>格式3-8</w:t>
      </w:r>
    </w:p>
    <w:p>
      <w:pPr>
        <w:rPr>
          <w:rFonts w:hint="eastAsia" w:ascii="宋体" w:hAnsi="宋体" w:cs="宋体"/>
          <w:color w:val="auto"/>
          <w:highlight w:val="none"/>
        </w:rPr>
      </w:pPr>
    </w:p>
    <w:p>
      <w:pPr>
        <w:pStyle w:val="5"/>
        <w:keepNext/>
        <w:keepLines/>
        <w:pageBreakBefore w:val="0"/>
        <w:widowControl w:val="0"/>
        <w:kinsoku/>
        <w:wordWrap/>
        <w:overflowPunct/>
        <w:topLinePunct w:val="0"/>
        <w:autoSpaceDE/>
        <w:autoSpaceDN/>
        <w:bidi w:val="0"/>
        <w:adjustRightInd/>
        <w:snapToGrid/>
        <w:spacing w:after="312" w:afterLines="100" w:line="360" w:lineRule="auto"/>
        <w:jc w:val="center"/>
        <w:textAlignment w:val="auto"/>
        <w:outlineLvl w:val="2"/>
        <w:rPr>
          <w:rFonts w:hint="eastAsia" w:ascii="宋体" w:hAnsi="宋体" w:cs="宋体"/>
          <w:color w:val="auto"/>
          <w:sz w:val="32"/>
          <w:szCs w:val="22"/>
          <w:highlight w:val="none"/>
        </w:rPr>
      </w:pPr>
      <w:bookmarkStart w:id="698" w:name="_Toc5013"/>
      <w:r>
        <w:rPr>
          <w:rFonts w:hint="eastAsia" w:ascii="宋体" w:hAnsi="宋体" w:cs="宋体"/>
          <w:color w:val="auto"/>
          <w:sz w:val="32"/>
          <w:szCs w:val="22"/>
          <w:highlight w:val="none"/>
        </w:rPr>
        <w:t>构成投标文件的其他资料</w:t>
      </w:r>
      <w:bookmarkEnd w:id="691"/>
      <w:bookmarkEnd w:id="692"/>
      <w:bookmarkEnd w:id="693"/>
      <w:bookmarkEnd w:id="694"/>
      <w:bookmarkEnd w:id="695"/>
      <w:bookmarkEnd w:id="696"/>
      <w:bookmarkEnd w:id="697"/>
      <w:bookmarkEnd w:id="698"/>
    </w:p>
    <w:p>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详见第二章《</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须知前附表》第15.1.4条，请自拟格式。</w:t>
      </w:r>
    </w:p>
    <w:p>
      <w:pPr>
        <w:widowControl/>
        <w:spacing w:line="440" w:lineRule="exact"/>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1、第五章</w:t>
      </w:r>
      <w:r>
        <w:rPr>
          <w:rFonts w:hint="eastAsia" w:ascii="宋体" w:hAnsi="宋体" w:cs="宋体"/>
          <w:bCs/>
          <w:color w:val="auto"/>
          <w:sz w:val="24"/>
          <w:szCs w:val="24"/>
          <w:highlight w:val="none"/>
        </w:rPr>
        <w:t>《采购</w:t>
      </w:r>
      <w:r>
        <w:rPr>
          <w:rFonts w:hint="eastAsia" w:ascii="宋体" w:hAnsi="宋体" w:cs="宋体"/>
          <w:bCs/>
          <w:color w:val="auto"/>
          <w:sz w:val="24"/>
          <w:szCs w:val="24"/>
          <w:highlight w:val="none"/>
          <w:lang w:val="en-US" w:eastAsia="zh-CN"/>
        </w:rPr>
        <w:t>需求</w:t>
      </w:r>
      <w:r>
        <w:rPr>
          <w:rFonts w:hint="eastAsia" w:ascii="宋体" w:hAnsi="宋体" w:cs="宋体"/>
          <w:bCs/>
          <w:color w:val="auto"/>
          <w:sz w:val="24"/>
          <w:szCs w:val="24"/>
          <w:highlight w:val="none"/>
        </w:rPr>
        <w:t>》</w:t>
      </w:r>
      <w:r>
        <w:rPr>
          <w:rFonts w:hint="eastAsia" w:ascii="宋体" w:hAnsi="宋体" w:cs="宋体"/>
          <w:color w:val="auto"/>
          <w:kern w:val="0"/>
          <w:sz w:val="24"/>
          <w:szCs w:val="24"/>
          <w:highlight w:val="none"/>
        </w:rPr>
        <w:t>中要求提供的其他资料；</w:t>
      </w:r>
    </w:p>
    <w:p>
      <w:pPr>
        <w:widowControl/>
        <w:spacing w:line="440" w:lineRule="exact"/>
        <w:jc w:val="left"/>
        <w:rPr>
          <w:rFonts w:hint="eastAsia" w:ascii="宋体" w:hAnsi="宋体" w:cs="宋体"/>
          <w:b/>
          <w:color w:val="auto"/>
          <w:sz w:val="24"/>
          <w:szCs w:val="24"/>
          <w:highlight w:val="none"/>
        </w:rPr>
      </w:pPr>
      <w:r>
        <w:rPr>
          <w:rFonts w:hint="eastAsia" w:ascii="宋体" w:hAnsi="宋体" w:cs="宋体"/>
          <w:color w:val="auto"/>
          <w:kern w:val="0"/>
          <w:sz w:val="24"/>
          <w:szCs w:val="24"/>
          <w:highlight w:val="none"/>
        </w:rPr>
        <w:t>2、</w:t>
      </w:r>
      <w:r>
        <w:rPr>
          <w:rFonts w:hint="eastAsia" w:ascii="宋体" w:hAnsi="宋体" w:cs="宋体"/>
          <w:bCs/>
          <w:color w:val="auto"/>
          <w:sz w:val="24"/>
          <w:szCs w:val="24"/>
          <w:highlight w:val="none"/>
        </w:rPr>
        <w:t>招标文件中所涉及的相关资料及证明文件或</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认为必须提供的其他相关资料</w:t>
      </w:r>
      <w:r>
        <w:rPr>
          <w:rFonts w:hint="eastAsia" w:ascii="宋体" w:hAnsi="宋体" w:cs="宋体"/>
          <w:color w:val="auto"/>
          <w:kern w:val="0"/>
          <w:sz w:val="24"/>
          <w:szCs w:val="24"/>
          <w:highlight w:val="none"/>
        </w:rPr>
        <w:t>。</w:t>
      </w:r>
    </w:p>
    <w:p>
      <w:pPr>
        <w:rPr>
          <w:rFonts w:hint="eastAsia" w:ascii="宋体" w:hAnsi="宋体" w:cs="宋体"/>
          <w:color w:val="auto"/>
          <w:sz w:val="24"/>
          <w:szCs w:val="24"/>
          <w:highlight w:val="none"/>
        </w:rPr>
      </w:pPr>
      <w:bookmarkStart w:id="699" w:name="_Toc418755636"/>
      <w:bookmarkStart w:id="700" w:name="_Hlk95922296"/>
      <w:bookmarkStart w:id="701" w:name="_Toc452040039"/>
      <w:bookmarkStart w:id="702" w:name="_Toc18154"/>
      <w:bookmarkStart w:id="703" w:name="_Hlk450145418"/>
      <w:bookmarkStart w:id="704" w:name="_Toc8965"/>
      <w:r>
        <w:rPr>
          <w:rFonts w:hint="eastAsia" w:ascii="宋体" w:hAnsi="宋体" w:cs="宋体"/>
          <w:color w:val="auto"/>
          <w:sz w:val="24"/>
          <w:szCs w:val="24"/>
          <w:highlight w:val="none"/>
        </w:rPr>
        <w:br w:type="page"/>
      </w:r>
    </w:p>
    <w:p>
      <w:pPr>
        <w:pStyle w:val="2"/>
        <w:rPr>
          <w:rFonts w:hint="eastAsia" w:ascii="宋体" w:hAnsi="宋体" w:cs="宋体"/>
          <w:color w:val="auto"/>
          <w:highlight w:val="none"/>
        </w:rPr>
      </w:pPr>
      <w:bookmarkStart w:id="705" w:name="_Toc24222"/>
      <w:bookmarkStart w:id="706" w:name="_Toc23528"/>
      <w:bookmarkStart w:id="707" w:name="_Toc23226"/>
      <w:r>
        <w:rPr>
          <w:rFonts w:hint="eastAsia" w:ascii="宋体" w:hAnsi="宋体" w:cs="宋体"/>
          <w:color w:val="auto"/>
          <w:highlight w:val="none"/>
        </w:rPr>
        <w:t>第五章 采购需求</w:t>
      </w:r>
      <w:bookmarkEnd w:id="705"/>
      <w:bookmarkEnd w:id="706"/>
      <w:bookmarkEnd w:id="707"/>
    </w:p>
    <w:bookmarkEnd w:id="79"/>
    <w:bookmarkEnd w:id="699"/>
    <w:bookmarkEnd w:id="700"/>
    <w:bookmarkEnd w:id="701"/>
    <w:bookmarkEnd w:id="702"/>
    <w:bookmarkEnd w:id="703"/>
    <w:bookmarkEnd w:id="704"/>
    <w:p>
      <w:pPr>
        <w:spacing w:line="360" w:lineRule="auto"/>
        <w:ind w:firstLine="482" w:firstLineChars="200"/>
        <w:rPr>
          <w:rFonts w:hint="eastAsia" w:ascii="宋体" w:hAnsi="宋体" w:cs="宋体"/>
          <w:b/>
          <w:bCs/>
          <w:color w:val="auto"/>
          <w:sz w:val="24"/>
          <w:szCs w:val="24"/>
          <w:highlight w:val="none"/>
        </w:rPr>
      </w:pPr>
      <w:bookmarkStart w:id="708" w:name="_Toc29379757"/>
      <w:bookmarkStart w:id="709" w:name="_Toc489145773"/>
      <w:bookmarkStart w:id="710" w:name="_Toc28237"/>
      <w:bookmarkStart w:id="711" w:name="_Toc489197877"/>
      <w:r>
        <w:rPr>
          <w:rFonts w:hint="eastAsia" w:ascii="宋体" w:hAnsi="宋体" w:cs="宋体"/>
          <w:b/>
          <w:bCs/>
          <w:color w:val="auto"/>
          <w:sz w:val="24"/>
          <w:szCs w:val="24"/>
          <w:highlight w:val="none"/>
        </w:rPr>
        <w:t>一、采购需求</w:t>
      </w:r>
    </w:p>
    <w:p>
      <w:pPr>
        <w:widowControl/>
        <w:kinsoku w:val="0"/>
        <w:autoSpaceDE w:val="0"/>
        <w:autoSpaceDN w:val="0"/>
        <w:adjustRightInd w:val="0"/>
        <w:snapToGrid w:val="0"/>
        <w:spacing w:line="360" w:lineRule="auto"/>
        <w:ind w:firstLine="472" w:firstLineChars="200"/>
        <w:textAlignment w:val="baseline"/>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石屏县2024年至2027年义务教育阶段学生营养餐食品食材采购及配送服务项目，本项目划分为2个标段，各标段需求如下：</w:t>
      </w:r>
    </w:p>
    <w:tbl>
      <w:tblPr>
        <w:tblStyle w:val="22"/>
        <w:tblW w:w="9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2444"/>
        <w:gridCol w:w="1374"/>
        <w:gridCol w:w="1592"/>
        <w:gridCol w:w="3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Align w:val="center"/>
          </w:tcPr>
          <w:p>
            <w:pPr>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标段</w:t>
            </w:r>
          </w:p>
        </w:tc>
        <w:tc>
          <w:tcPr>
            <w:tcW w:w="2444" w:type="dxa"/>
            <w:vAlign w:val="center"/>
          </w:tcPr>
          <w:p>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标段名称</w:t>
            </w:r>
          </w:p>
        </w:tc>
        <w:tc>
          <w:tcPr>
            <w:tcW w:w="1374" w:type="dxa"/>
            <w:vAlign w:val="center"/>
          </w:tcPr>
          <w:p>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采购预算（万元）</w:t>
            </w:r>
          </w:p>
        </w:tc>
        <w:tc>
          <w:tcPr>
            <w:tcW w:w="1592" w:type="dxa"/>
            <w:vAlign w:val="center"/>
          </w:tcPr>
          <w:p>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采购内容</w:t>
            </w:r>
          </w:p>
        </w:tc>
        <w:tc>
          <w:tcPr>
            <w:tcW w:w="3615" w:type="dxa"/>
            <w:vAlign w:val="center"/>
          </w:tcPr>
          <w:p>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配送服务相关学校名称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2" w:hRule="atLeast"/>
          <w:jc w:val="center"/>
        </w:trPr>
        <w:tc>
          <w:tcPr>
            <w:tcW w:w="702" w:type="dxa"/>
            <w:vAlign w:val="center"/>
          </w:tcPr>
          <w:p>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444" w:type="dxa"/>
            <w:vAlign w:val="center"/>
          </w:tcPr>
          <w:p>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石屏县2024年至2027年义务教育阶段学生营养餐食品食材采购及配送服务项目（一标段）</w:t>
            </w:r>
          </w:p>
        </w:tc>
        <w:tc>
          <w:tcPr>
            <w:tcW w:w="1374" w:type="dxa"/>
            <w:vAlign w:val="center"/>
          </w:tcPr>
          <w:p>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1284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0487</w:t>
            </w:r>
          </w:p>
        </w:tc>
        <w:tc>
          <w:tcPr>
            <w:tcW w:w="1592" w:type="dxa"/>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包含大米、食用油、应季蔬菜、肉类、禽蛋、干货、调料、学生饮用奶、面点类、水果类等。</w:t>
            </w:r>
          </w:p>
        </w:tc>
        <w:tc>
          <w:tcPr>
            <w:tcW w:w="3615" w:type="dxa"/>
            <w:vAlign w:val="center"/>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石屏县异龙镇中心小学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石屏县宝秀镇中心小学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石屏县第二中学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w:t>
            </w:r>
            <w:r>
              <w:rPr>
                <w:rFonts w:hint="eastAsia" w:ascii="宋体" w:hAnsi="宋体" w:cs="宋体"/>
                <w:color w:val="auto"/>
                <w:sz w:val="24"/>
                <w:szCs w:val="24"/>
                <w:highlight w:val="none"/>
              </w:rPr>
              <w:t>宝秀中学、</w:t>
            </w:r>
            <w:r>
              <w:rPr>
                <w:rFonts w:hint="eastAsia" w:ascii="宋体" w:hAnsi="宋体" w:cs="宋体"/>
                <w:color w:val="auto"/>
                <w:sz w:val="24"/>
                <w:szCs w:val="24"/>
                <w:highlight w:val="none"/>
                <w:lang w:eastAsia="zh-CN"/>
              </w:rPr>
              <w:t>石屏县大桥乡中心小学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石屏县大桥中学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石屏县牛街镇中心小学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石屏县牛街中学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石屏县新城乡中心学校</w:t>
            </w:r>
            <w:r>
              <w:rPr>
                <w:rFonts w:hint="eastAsia" w:ascii="宋体" w:hAnsi="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2" w:type="dxa"/>
            <w:vAlign w:val="center"/>
          </w:tcPr>
          <w:p>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444" w:type="dxa"/>
            <w:vAlign w:val="center"/>
          </w:tcPr>
          <w:p>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石屏县2024年至2027年义务教育阶段学生营养餐食品食材采购及配送服务项目（二标段）</w:t>
            </w:r>
          </w:p>
        </w:tc>
        <w:tc>
          <w:tcPr>
            <w:tcW w:w="1374" w:type="dxa"/>
            <w:vAlign w:val="center"/>
          </w:tcPr>
          <w:p>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1162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8205</w:t>
            </w:r>
          </w:p>
        </w:tc>
        <w:tc>
          <w:tcPr>
            <w:tcW w:w="1592" w:type="dxa"/>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包含大米、食用油、应季蔬菜、肉类、禽蛋、干货、调料、学生饮用奶、面点类、水果类等。</w:t>
            </w:r>
          </w:p>
        </w:tc>
        <w:tc>
          <w:tcPr>
            <w:tcW w:w="3615" w:type="dxa"/>
            <w:vAlign w:val="center"/>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石屏县东风小学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石屏县第一中学</w:t>
            </w:r>
            <w:r>
              <w:rPr>
                <w:rFonts w:hint="eastAsia" w:ascii="宋体" w:hAnsi="宋体" w:cs="宋体"/>
                <w:color w:val="auto"/>
                <w:sz w:val="24"/>
                <w:szCs w:val="24"/>
                <w:highlight w:val="none"/>
              </w:rPr>
              <w:t>、石屏高级中学、</w:t>
            </w:r>
            <w:r>
              <w:rPr>
                <w:rFonts w:hint="eastAsia" w:ascii="宋体" w:hAnsi="宋体" w:cs="宋体"/>
                <w:color w:val="auto"/>
                <w:sz w:val="24"/>
                <w:szCs w:val="24"/>
                <w:highlight w:val="none"/>
                <w:lang w:eastAsia="zh-CN"/>
              </w:rPr>
              <w:t>石屏县陶村中学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石屏县冒合中学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石屏县第四中学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石屏县坝心镇中心小学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石屏县坝心中学</w:t>
            </w:r>
            <w:r>
              <w:rPr>
                <w:rFonts w:hint="eastAsia" w:ascii="宋体" w:hAnsi="宋体" w:cs="宋体"/>
                <w:color w:val="auto"/>
                <w:sz w:val="24"/>
                <w:szCs w:val="24"/>
                <w:highlight w:val="none"/>
              </w:rPr>
              <w:t>、石屏县特殊教育学校、</w:t>
            </w:r>
            <w:r>
              <w:rPr>
                <w:rFonts w:hint="eastAsia" w:ascii="宋体" w:hAnsi="宋体" w:cs="宋体"/>
                <w:color w:val="auto"/>
                <w:sz w:val="24"/>
                <w:szCs w:val="24"/>
                <w:highlight w:val="none"/>
                <w:lang w:eastAsia="zh-CN"/>
              </w:rPr>
              <w:t>石屏县龙朋镇中心小学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石屏县第三中学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石屏县哨冲镇中心小学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石屏县哨冲民族中学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石屏县龙武镇中心小学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石屏县龙武中学</w:t>
            </w:r>
            <w:r>
              <w:rPr>
                <w:rFonts w:hint="eastAsia" w:ascii="宋体" w:hAnsi="宋体" w:cs="宋体"/>
                <w:color w:val="auto"/>
                <w:sz w:val="24"/>
                <w:szCs w:val="24"/>
                <w:highlight w:val="none"/>
              </w:rPr>
              <w:t>。</w:t>
            </w:r>
          </w:p>
        </w:tc>
      </w:tr>
    </w:tbl>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二、采购配送服务期限</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1.合同履行期限：三年（本次项目执行“一招三年”，即在年度预算能保障的前提下，采购人可以签订不超过三年履行期限的政府采购合同，合同一年一签）。</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2.由各个学校分别与</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签订采购配送合同，续签合同根据测评和考核结果按年签订，石屏县教育体育局及学校可根据年度测评考核评价结果确定续签或终止采购配送合同。</w:t>
      </w:r>
    </w:p>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三、安全要求</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所供食材符合《中华人民共和国食品安全法》</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《中华人民共和国食品安全法实施条例》、《食品安全国家标准管理办法</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食品安全国家标准</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等</w:t>
      </w:r>
      <w:r>
        <w:rPr>
          <w:rFonts w:hint="eastAsia" w:ascii="宋体" w:hAnsi="宋体" w:cs="宋体"/>
          <w:color w:val="auto"/>
          <w:sz w:val="24"/>
          <w:szCs w:val="24"/>
          <w:highlight w:val="none"/>
        </w:rPr>
        <w:t>相关规定，</w:t>
      </w:r>
      <w:r>
        <w:rPr>
          <w:rFonts w:hint="eastAsia" w:ascii="宋体" w:hAnsi="宋体" w:cs="宋体"/>
          <w:color w:val="auto"/>
          <w:sz w:val="24"/>
          <w:szCs w:val="24"/>
          <w:highlight w:val="none"/>
          <w:lang w:val="en-US" w:eastAsia="zh-CN"/>
        </w:rPr>
        <w:t>符合</w:t>
      </w:r>
      <w:r>
        <w:rPr>
          <w:rFonts w:hint="eastAsia" w:ascii="宋体" w:hAnsi="宋体" w:eastAsia="宋体" w:cs="宋体"/>
          <w:color w:val="auto"/>
          <w:sz w:val="24"/>
          <w:szCs w:val="24"/>
          <w:highlight w:val="none"/>
        </w:rPr>
        <w:t>食品安全国家标准</w:t>
      </w:r>
      <w:r>
        <w:rPr>
          <w:rFonts w:hint="eastAsia" w:ascii="宋体" w:hAnsi="宋体" w:eastAsia="宋体" w:cs="宋体"/>
          <w:color w:val="auto"/>
          <w:sz w:val="24"/>
          <w:szCs w:val="24"/>
          <w:highlight w:val="none"/>
          <w:lang w:val="en-US" w:eastAsia="zh-CN"/>
        </w:rPr>
        <w:t>各标准的要求，</w:t>
      </w:r>
      <w:r>
        <w:rPr>
          <w:rFonts w:hint="eastAsia" w:ascii="宋体" w:hAnsi="宋体" w:cs="宋体"/>
          <w:color w:val="auto"/>
          <w:sz w:val="24"/>
          <w:szCs w:val="24"/>
          <w:highlight w:val="none"/>
        </w:rPr>
        <w:t>保证卫生安全，应当无毒、无害，具有相应的色、香、味等感官性状。</w:t>
      </w:r>
    </w:p>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四、质量要求</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符合《中华人民共和国产品质量法》、《中华人民共和国农产品质量安全法》、《食品安全国家标准管理办法》、《中华人民共和国消费者权益保护法》和相关质量检测检验标准及地方的相关法律法规要求，采购人需求；</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根据《云南省农村义务教育学生营养改善计划食品安全监管暂行办法》第三章第十五条“供应学校的米、面、油、酱、醋、盐等食辅材料必须具有SC标志”的要求及国家对食品质量的相关标准，配送公司必须确保配送食品的质量和安全，质量与价格对等，不能出现腐烂变质、不合格的食品。由于不可抗拒因素出现腐烂变质、破损的同类食品不能超过5%，到校交货时必须捡除腐烂变质、破损的食品，并及时补齐。若超过5%，学校可以拒收此批次同类食品，责任由配送公司承担，并且配送公司当日必须及时补齐。此项将作为考评退出机制的考评指标之一。</w:t>
      </w:r>
    </w:p>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供应学校食品应达到以下标准：</w:t>
      </w:r>
    </w:p>
    <w:p>
      <w:pPr>
        <w:spacing w:before="93" w:beforeLines="30" w:after="93" w:afterLines="30"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大米：</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粳米：国标一级，必须符合</w:t>
      </w:r>
      <w:r>
        <w:rPr>
          <w:rFonts w:hint="eastAsia" w:ascii="宋体" w:hAnsi="宋体" w:eastAsia="宋体" w:cs="宋体"/>
          <w:color w:val="auto"/>
          <w:sz w:val="24"/>
          <w:szCs w:val="24"/>
          <w:highlight w:val="none"/>
          <w:lang w:val="en-US" w:eastAsia="zh-CN"/>
        </w:rPr>
        <w:t>GB/T 1354-2018 大米及</w:t>
      </w:r>
      <w:r>
        <w:rPr>
          <w:rFonts w:hint="eastAsia" w:ascii="宋体" w:hAnsi="宋体" w:cs="宋体"/>
          <w:color w:val="auto"/>
          <w:sz w:val="24"/>
          <w:szCs w:val="24"/>
          <w:highlight w:val="none"/>
          <w:lang w:eastAsia="zh-CN"/>
        </w:rPr>
        <w:t>最新</w:t>
      </w:r>
      <w:r>
        <w:rPr>
          <w:rFonts w:hint="eastAsia" w:ascii="宋体" w:hAnsi="宋体" w:cs="宋体"/>
          <w:color w:val="auto"/>
          <w:sz w:val="24"/>
          <w:szCs w:val="24"/>
          <w:highlight w:val="none"/>
        </w:rPr>
        <w:t>标准，有SC标志；规格：25Kg/袋，保质期：≥6 个月，生产企业具备自检能力，每批次产品自检报告(复印件)随货提供给各校点留档。</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籼米：国标二级，必须符合 </w:t>
      </w:r>
      <w:r>
        <w:rPr>
          <w:rFonts w:hint="eastAsia" w:ascii="宋体" w:hAnsi="宋体" w:eastAsia="宋体" w:cs="宋体"/>
          <w:color w:val="auto"/>
          <w:sz w:val="24"/>
          <w:szCs w:val="24"/>
          <w:highlight w:val="none"/>
          <w:lang w:val="en-US" w:eastAsia="zh-CN"/>
        </w:rPr>
        <w:t>GB/T 1354-2018 大米及</w:t>
      </w:r>
      <w:r>
        <w:rPr>
          <w:rFonts w:hint="eastAsia" w:ascii="宋体" w:hAnsi="宋体" w:cs="宋体"/>
          <w:color w:val="auto"/>
          <w:sz w:val="24"/>
          <w:szCs w:val="24"/>
          <w:highlight w:val="none"/>
          <w:lang w:eastAsia="zh-CN"/>
        </w:rPr>
        <w:t>最新</w:t>
      </w:r>
      <w:r>
        <w:rPr>
          <w:rFonts w:hint="eastAsia" w:ascii="宋体" w:hAnsi="宋体" w:cs="宋体"/>
          <w:color w:val="auto"/>
          <w:sz w:val="24"/>
          <w:szCs w:val="24"/>
          <w:highlight w:val="none"/>
        </w:rPr>
        <w:t>标准，有SC标志；规格：25Kg/袋，保质期：≥6个月，生产企业具备自检能力，每批次产品自检报告（复印件）随货提供给各校点留档。</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面粉：国标特制一等，必须符合</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"http://www.eshian.com/standards/67217.html" \t "http://www.eshian.com/sat/standard/standardlist/_blank"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GB/T</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1355-2021小麦粉</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及</w:t>
      </w:r>
      <w:r>
        <w:rPr>
          <w:rFonts w:hint="eastAsia" w:ascii="宋体" w:hAnsi="宋体" w:cs="宋体"/>
          <w:color w:val="auto"/>
          <w:sz w:val="24"/>
          <w:szCs w:val="24"/>
          <w:highlight w:val="none"/>
          <w:lang w:val="en-US" w:eastAsia="zh-CN"/>
        </w:rPr>
        <w:t>最新</w:t>
      </w:r>
      <w:r>
        <w:rPr>
          <w:rFonts w:hint="eastAsia" w:ascii="宋体" w:hAnsi="宋体" w:cs="宋体"/>
          <w:color w:val="auto"/>
          <w:sz w:val="24"/>
          <w:szCs w:val="24"/>
          <w:highlight w:val="none"/>
        </w:rPr>
        <w:t>标准，有SC标志；保质期：≥6个月。</w:t>
      </w:r>
    </w:p>
    <w:p>
      <w:pPr>
        <w:spacing w:before="93" w:beforeLines="30" w:after="93" w:afterLines="30"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食用油（非转基因）：</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菜籽油：非转基因，符合 GB 2716-2018《食品安全国家标准植物油》标准，有SC标志，保质期：≥18个月，生产企业具备自检能力，每批次产品自检报告（复印件）随货提供给各校点留档。</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大豆油：非转基因，符合 GB 2716-2018《食品安全国家标准植物油》标准，有SC标志， 保质期：≥18个月，生产企业具备自检能力，每批次产品自检报告（复印件）随货提供给各校点留档。</w:t>
      </w:r>
    </w:p>
    <w:p>
      <w:pPr>
        <w:spacing w:line="360" w:lineRule="auto"/>
        <w:ind w:firstLine="480" w:firstLineChars="200"/>
        <w:rPr>
          <w:rFonts w:hint="eastAsia"/>
          <w:color w:val="auto"/>
          <w:highlight w:val="none"/>
        </w:rPr>
      </w:pPr>
      <w:r>
        <w:rPr>
          <w:rFonts w:hint="eastAsia" w:ascii="宋体" w:hAnsi="宋体" w:cs="宋体"/>
          <w:color w:val="auto"/>
          <w:sz w:val="24"/>
          <w:szCs w:val="24"/>
          <w:highlight w:val="none"/>
        </w:rPr>
        <w:t>调和油：非转基因，符合 GB 2716-2018《食品安全国家标准植物油》标准，有SC标志，保质期：≥18 个月，生产企业具备自检能力，每批次产品自检报告（复印件）随货提供给各校点留档。</w:t>
      </w:r>
    </w:p>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应季蔬菜：</w:t>
      </w:r>
    </w:p>
    <w:p>
      <w:pPr>
        <w:spacing w:line="360" w:lineRule="auto"/>
        <w:ind w:firstLine="480" w:firstLineChars="200"/>
        <w:rPr>
          <w:rFonts w:hint="eastAsia"/>
          <w:color w:val="auto"/>
          <w:highlight w:val="none"/>
        </w:rPr>
      </w:pPr>
      <w:r>
        <w:rPr>
          <w:rFonts w:hint="eastAsia" w:ascii="宋体" w:hAnsi="宋体" w:cs="宋体"/>
          <w:color w:val="auto"/>
          <w:sz w:val="24"/>
          <w:highlight w:val="none"/>
        </w:rPr>
        <w:t>必须为新鲜时令蔬菜，新鲜嫩绿、无黄叶、无菜虫，蔬菜不带根，不带泥，必须经过粗加工，可食率达 95%以上，</w:t>
      </w:r>
      <w:r>
        <w:rPr>
          <w:rFonts w:hint="eastAsia" w:ascii="宋体" w:hAnsi="宋体" w:eastAsia="宋体" w:cs="宋体"/>
          <w:color w:val="auto"/>
          <w:sz w:val="24"/>
          <w:highlight w:val="none"/>
          <w:lang w:val="en-US" w:eastAsia="zh-CN"/>
        </w:rPr>
        <w:t>符合GB2763-2021食品安全国家标准食品中农药最大残留限量。</w:t>
      </w:r>
      <w:r>
        <w:rPr>
          <w:rFonts w:hint="eastAsia" w:ascii="宋体" w:hAnsi="宋体" w:cs="宋体"/>
          <w:color w:val="auto"/>
          <w:sz w:val="24"/>
          <w:szCs w:val="24"/>
          <w:highlight w:val="none"/>
        </w:rPr>
        <w:t>配送时须随货提供</w:t>
      </w:r>
      <w:r>
        <w:rPr>
          <w:rFonts w:hint="eastAsia" w:ascii="宋体" w:hAnsi="宋体" w:eastAsia="宋体" w:cs="宋体"/>
          <w:color w:val="auto"/>
          <w:sz w:val="24"/>
          <w:highlight w:val="none"/>
        </w:rPr>
        <w:t>农残</w:t>
      </w:r>
      <w:r>
        <w:rPr>
          <w:rFonts w:hint="eastAsia" w:ascii="宋体" w:hAnsi="宋体" w:eastAsia="宋体" w:cs="宋体"/>
          <w:color w:val="auto"/>
          <w:sz w:val="24"/>
          <w:highlight w:val="none"/>
          <w:lang w:val="en-US" w:eastAsia="zh-CN"/>
        </w:rPr>
        <w:t>检测单或</w:t>
      </w:r>
      <w:r>
        <w:rPr>
          <w:rFonts w:hint="eastAsia" w:ascii="宋体" w:hAnsi="宋体" w:eastAsia="宋体" w:cs="宋体"/>
          <w:color w:val="auto"/>
          <w:sz w:val="24"/>
          <w:highlight w:val="none"/>
        </w:rPr>
        <w:t>报告</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复印件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供各校点存档。</w:t>
      </w:r>
    </w:p>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肉类：</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（1）鲜肉类：肉质新鲜，不打水，必须在定点屠宰场(或宰杀店)宰杀加工，并经动物卫生检疫机构检疫合格，加盖肉品品质检验合格验讫印章、动物检疫合格验讫印章的，无病毒，符合食品卫生要求。</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家禽类：需宰杀加工，优质新鲜，表皮光滑，新鲜肥美，无内脏，不打水，无病毒，符合卫生防疫部门、食品检验检疫部门的检验。</w:t>
      </w:r>
    </w:p>
    <w:p>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（3）清真肉类要求：对于回族校点须按照回族习俗的宰杀工艺进行宰杀,需经动物卫生检疫机构检疫合格，具体采购配送细节由中标</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lang w:eastAsia="zh-CN"/>
        </w:rPr>
        <w:t>与回族校点另行协商并签订补充协议。</w:t>
      </w:r>
    </w:p>
    <w:p>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（4）其他要求：</w:t>
      </w:r>
      <w:r>
        <w:rPr>
          <w:rFonts w:hint="eastAsia" w:ascii="宋体" w:hAnsi="宋体" w:cs="宋体"/>
          <w:color w:val="auto"/>
          <w:sz w:val="24"/>
          <w:szCs w:val="24"/>
          <w:highlight w:val="none"/>
        </w:rPr>
        <w:t>按照学校要求进行清理、分切。</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禽蛋：</w:t>
      </w:r>
    </w:p>
    <w:p>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新鲜，无变质，无臭蛋，符合卫生防疫部门、食品检验检疫部门的检验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符合国家最新质量标准，生产企业必须证照齐全。</w:t>
      </w:r>
    </w:p>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干货：</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符合国家最新质量标准，生产企业必须证照齐全。</w:t>
      </w:r>
    </w:p>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调料：</w:t>
      </w:r>
    </w:p>
    <w:p>
      <w:pPr>
        <w:spacing w:before="93" w:beforeLines="30" w:after="93" w:afterLines="3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必须符合</w:t>
      </w:r>
      <w:r>
        <w:rPr>
          <w:rFonts w:hint="eastAsia" w:ascii="宋体" w:hAnsi="宋体" w:eastAsia="宋体" w:cs="宋体"/>
          <w:color w:val="auto"/>
          <w:sz w:val="24"/>
          <w:szCs w:val="24"/>
          <w:highlight w:val="none"/>
          <w:lang w:eastAsia="zh-CN"/>
        </w:rPr>
        <w:t>GB/T 20903－2007</w:t>
      </w:r>
      <w:r>
        <w:rPr>
          <w:rFonts w:hint="eastAsia" w:ascii="宋体" w:hAnsi="宋体" w:eastAsia="宋体" w:cs="宋体"/>
          <w:color w:val="auto"/>
          <w:sz w:val="24"/>
          <w:szCs w:val="24"/>
          <w:highlight w:val="none"/>
          <w:lang w:val="en-US" w:eastAsia="zh-CN"/>
        </w:rPr>
        <w:t>及国家最新质量标准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生产企业证照齐全。</w:t>
      </w:r>
    </w:p>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学生饮用奶：</w:t>
      </w:r>
    </w:p>
    <w:p>
      <w:pPr>
        <w:spacing w:before="93" w:beforeLines="30" w:after="93" w:afterLines="3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纯牛奶或调制乳，纯牛奶每100克含量中蛋白质含量≥2.9克，脂肪含量≥3.1克，非脂乳固体含量≥8.1克，保质期≤6个月。调制乳每100克含量中蛋白质含量≥2.3克，脂肪含量≥2.5克，保质期≤6个月。学生饮用奶单件包装规格一般为180ml（g)≤净含量≤250ml(g)。符合国家最新质量标准，灭菌乳符合</w:t>
      </w:r>
      <w:r>
        <w:rPr>
          <w:rFonts w:hint="default" w:ascii="宋体" w:hAnsi="宋体" w:eastAsia="宋体" w:cs="宋体"/>
          <w:color w:val="auto"/>
          <w:sz w:val="24"/>
          <w:szCs w:val="24"/>
          <w:highlight w:val="none"/>
          <w:lang w:val="en-US" w:eastAsia="zh-CN"/>
        </w:rPr>
        <w:t>GB 25190-2010</w:t>
      </w:r>
      <w:r>
        <w:rPr>
          <w:rFonts w:hint="eastAsia" w:ascii="宋体" w:hAnsi="宋体" w:eastAsia="宋体" w:cs="宋体"/>
          <w:color w:val="auto"/>
          <w:sz w:val="24"/>
          <w:szCs w:val="24"/>
          <w:highlight w:val="none"/>
          <w:lang w:val="en-US" w:eastAsia="zh-CN"/>
        </w:rPr>
        <w:t>食品安全国家标准、调制乳符合</w:t>
      </w:r>
      <w:r>
        <w:rPr>
          <w:rFonts w:hint="default" w:ascii="宋体" w:hAnsi="宋体" w:eastAsia="宋体" w:cs="宋体"/>
          <w:color w:val="auto"/>
          <w:sz w:val="24"/>
          <w:szCs w:val="24"/>
          <w:highlight w:val="none"/>
          <w:lang w:val="en-US" w:eastAsia="zh-CN"/>
        </w:rPr>
        <w:t>GB 2519</w:t>
      </w: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rPr>
        <w:t>-2010</w:t>
      </w:r>
      <w:r>
        <w:rPr>
          <w:rFonts w:hint="eastAsia" w:ascii="宋体" w:hAnsi="宋体" w:eastAsia="宋体" w:cs="宋体"/>
          <w:color w:val="auto"/>
          <w:sz w:val="24"/>
          <w:szCs w:val="24"/>
          <w:highlight w:val="none"/>
          <w:lang w:val="en-US" w:eastAsia="zh-CN"/>
        </w:rPr>
        <w:t>食品安全国家标准，系“学生饮用奶”定点生产企业产品。</w:t>
      </w:r>
    </w:p>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面点类：</w:t>
      </w:r>
    </w:p>
    <w:p>
      <w:pPr>
        <w:spacing w:before="93" w:beforeLines="30" w:after="93" w:afterLines="30"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执行食品安全国家标准GB14881-2013《食品生产通用卫生规范》、GB28050-2011《预包装食品营养标签通则》、GB7718-2011《预包装食品标签通则》、GB2760-2011《食品添加剂使用标准》，蛋糕、面包、饼干、沙琪玛、八宝粥等必须执行国家的食品安全标准（</w:t>
      </w:r>
      <w:r>
        <w:rPr>
          <w:rFonts w:hint="default" w:ascii="宋体" w:hAnsi="宋体" w:eastAsia="宋体" w:cs="宋体"/>
          <w:color w:val="auto"/>
          <w:sz w:val="24"/>
          <w:szCs w:val="24"/>
          <w:highlight w:val="none"/>
          <w:lang w:val="en-US" w:eastAsia="zh-CN"/>
        </w:rPr>
        <w:t>GB 7099-2015</w:t>
      </w:r>
      <w:r>
        <w:rPr>
          <w:rFonts w:hint="eastAsia" w:ascii="宋体" w:hAnsi="宋体" w:eastAsia="宋体" w:cs="宋体"/>
          <w:color w:val="auto"/>
          <w:sz w:val="24"/>
          <w:szCs w:val="24"/>
          <w:highlight w:val="none"/>
          <w:lang w:val="en-US" w:eastAsia="zh-CN"/>
        </w:rPr>
        <w:t>），或国家的食品安全推荐标准（GB/T），并符合2401《糕点生产许可证审查细则》，并实行监督检查部门备案。按相关要求进行包装，需注明产品成份、质量、保质期等技术指标。提供的产品须符合国家食品质量标准标准。</w:t>
      </w:r>
    </w:p>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水果类：</w:t>
      </w:r>
    </w:p>
    <w:p>
      <w:pPr>
        <w:spacing w:before="93" w:beforeLines="30" w:after="93" w:afterLines="3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果形端正，大小均匀，无畸形果，带果柄；确保新鲜，果面洁净，无刺划伤，无压痕，无病虫害；身重结实，味道爽甜。符合GB2763-2021食品安全国家标准食品中农药最大残留限量。</w:t>
      </w:r>
      <w:r>
        <w:rPr>
          <w:rFonts w:hint="eastAsia" w:ascii="宋体" w:hAnsi="宋体" w:eastAsia="宋体" w:cs="宋体"/>
          <w:color w:val="auto"/>
          <w:sz w:val="24"/>
          <w:szCs w:val="24"/>
          <w:highlight w:val="none"/>
          <w:lang w:eastAsia="zh-CN"/>
        </w:rPr>
        <w:t>配送时须随货提供农残</w:t>
      </w:r>
      <w:r>
        <w:rPr>
          <w:rFonts w:hint="eastAsia" w:ascii="宋体" w:hAnsi="宋体" w:eastAsia="宋体" w:cs="宋体"/>
          <w:color w:val="auto"/>
          <w:sz w:val="24"/>
          <w:szCs w:val="24"/>
          <w:highlight w:val="none"/>
          <w:lang w:val="en-US" w:eastAsia="zh-CN"/>
        </w:rPr>
        <w:t>检测单或</w:t>
      </w:r>
      <w:r>
        <w:rPr>
          <w:rFonts w:hint="eastAsia" w:ascii="宋体" w:hAnsi="宋体" w:eastAsia="宋体" w:cs="宋体"/>
          <w:color w:val="auto"/>
          <w:sz w:val="24"/>
          <w:szCs w:val="24"/>
          <w:highlight w:val="none"/>
          <w:lang w:eastAsia="zh-CN"/>
        </w:rPr>
        <w:t>报告（</w:t>
      </w:r>
      <w:r>
        <w:rPr>
          <w:rFonts w:hint="eastAsia" w:ascii="宋体" w:hAnsi="宋体" w:eastAsia="宋体" w:cs="宋体"/>
          <w:color w:val="auto"/>
          <w:sz w:val="24"/>
          <w:szCs w:val="24"/>
          <w:highlight w:val="none"/>
          <w:lang w:val="en-US" w:eastAsia="zh-CN"/>
        </w:rPr>
        <w:t>复印件</w:t>
      </w:r>
      <w:r>
        <w:rPr>
          <w:rFonts w:hint="eastAsia" w:ascii="宋体" w:hAnsi="宋体" w:eastAsia="宋体" w:cs="宋体"/>
          <w:color w:val="auto"/>
          <w:sz w:val="24"/>
          <w:szCs w:val="24"/>
          <w:highlight w:val="none"/>
          <w:lang w:eastAsia="zh-CN"/>
        </w:rPr>
        <w:t>）供各校点存档。</w:t>
      </w:r>
    </w:p>
    <w:p>
      <w:pPr>
        <w:spacing w:line="360" w:lineRule="auto"/>
        <w:ind w:firstLine="42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特别声明：上述食品食材及学校要求供应的其他食品食材，产品质量应达到国家最新相关标准。</w:t>
      </w:r>
    </w:p>
    <w:p>
      <w:pPr>
        <w:spacing w:line="360" w:lineRule="auto"/>
        <w:ind w:firstLine="420"/>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五、项目验收要求</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验收部门：石屏县辖区本项目范围内的各学校。</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验收小组组长：石屏县辖区本项目范围内的各学校指定人员验收签字确认。</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（一）由各学校组织相关人员对供应的食材品种、数量和质量进行验收。</w:t>
      </w:r>
    </w:p>
    <w:p>
      <w:pPr>
        <w:spacing w:line="360" w:lineRule="auto"/>
        <w:ind w:firstLine="480" w:firstLineChars="200"/>
        <w:jc w:val="left"/>
        <w:rPr>
          <w:rFonts w:hint="eastAsia" w:ascii="宋体" w:hAnsi="宋体" w:cs="宋体"/>
          <w:color w:val="auto"/>
          <w:spacing w:val="10"/>
          <w:sz w:val="24"/>
          <w:szCs w:val="24"/>
          <w:highlight w:val="none"/>
        </w:rPr>
      </w:pPr>
      <w:r>
        <w:rPr>
          <w:rFonts w:hint="eastAsia" w:ascii="宋体" w:hAnsi="宋体" w:cs="宋体"/>
          <w:color w:val="auto"/>
          <w:sz w:val="24"/>
          <w:szCs w:val="24"/>
          <w:highlight w:val="none"/>
        </w:rPr>
        <w:t>（二）</w:t>
      </w:r>
      <w:r>
        <w:rPr>
          <w:rFonts w:hint="eastAsia" w:ascii="宋体" w:hAnsi="宋体" w:cs="宋体"/>
          <w:color w:val="auto"/>
          <w:spacing w:val="10"/>
          <w:sz w:val="24"/>
          <w:szCs w:val="24"/>
          <w:highlight w:val="none"/>
        </w:rPr>
        <w:t>中标人提供屠宰证、检疫合格证和集中采购地、农残检测报告，以及其他符合国家食品卫生安全标准的资料。</w:t>
      </w:r>
    </w:p>
    <w:p>
      <w:pPr>
        <w:spacing w:line="360" w:lineRule="auto"/>
        <w:ind w:firstLine="520" w:firstLineChars="200"/>
        <w:jc w:val="left"/>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（三）验收方法</w:t>
      </w:r>
    </w:p>
    <w:p>
      <w:pPr>
        <w:spacing w:line="360" w:lineRule="auto"/>
        <w:ind w:firstLine="520" w:firstLineChars="200"/>
        <w:jc w:val="left"/>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甲方按产品质量及索证要求，现场过磅、验收货物，质量要求、品种、规格和数量不符的，及时通知乙方退货并补给合格货源，保证甲方正常使用。</w:t>
      </w:r>
    </w:p>
    <w:p>
      <w:pPr>
        <w:spacing w:line="360" w:lineRule="auto"/>
        <w:ind w:left="660"/>
        <w:jc w:val="left"/>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（四）验收标准</w:t>
      </w:r>
    </w:p>
    <w:p>
      <w:pPr>
        <w:spacing w:line="360" w:lineRule="auto"/>
        <w:ind w:firstLine="520" w:firstLineChars="200"/>
        <w:jc w:val="left"/>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同质量标准。</w:t>
      </w:r>
    </w:p>
    <w:p>
      <w:pPr>
        <w:spacing w:line="360" w:lineRule="auto"/>
        <w:ind w:firstLine="520" w:firstLineChars="200"/>
        <w:jc w:val="left"/>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 （五）验收地点</w:t>
      </w:r>
    </w:p>
    <w:p>
      <w:pPr>
        <w:spacing w:line="360" w:lineRule="auto"/>
        <w:ind w:firstLine="420"/>
        <w:jc w:val="left"/>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各标段对应的学校地点。</w:t>
      </w:r>
    </w:p>
    <w:p>
      <w:pPr>
        <w:spacing w:line="360" w:lineRule="auto"/>
        <w:ind w:firstLine="42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六、项目实施要求</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（一）供应要求：由各学校制订每日或每周食材采购计划，中标人按确定的招标内容供应食材，在规定的时间内，由各学校工作人员负责对品种、数量和质量进行验收。</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（二）品质：符合国家农副产品和食品质量标准，严禁出现过期、变质、国家明文禁止食品添加剂、农残超标等问题。</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（三）食材配送时间：要求中标配送企业每周为城区学校配送不少于3次，农村学校配送不少于2次。具体配送时间由学校与配送企业商定。</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（四）方式：根据招标人各学校制订的品种、数量计划进行供应，特殊情况按临时调配进行供应。</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（五）提供</w:t>
      </w:r>
      <w:r>
        <w:rPr>
          <w:rFonts w:hint="eastAsia" w:ascii="宋体" w:hAnsi="宋体" w:eastAsia="宋体" w:cs="宋体"/>
          <w:color w:val="auto"/>
          <w:sz w:val="24"/>
          <w:szCs w:val="24"/>
          <w:highlight w:val="none"/>
          <w:lang w:val="en-US" w:eastAsia="zh-CN"/>
        </w:rPr>
        <w:t>符合配送标准的冷链送货车辆的车牌</w:t>
      </w:r>
      <w:r>
        <w:rPr>
          <w:rFonts w:hint="eastAsia" w:ascii="宋体" w:hAnsi="宋体" w:cs="宋体"/>
          <w:color w:val="auto"/>
          <w:sz w:val="24"/>
          <w:szCs w:val="24"/>
          <w:highlight w:val="none"/>
        </w:rPr>
        <w:t>号牌，送货人员（含驾驶员）的身份证复印件，送货人联系电话等信息备案。</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（六）送货人员（含驾驶员）需提供健康证明资料。</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配送单位所配送的食品必须出具产品质量合格的证明材料，提供的产品须经过食堂验收人员的感官检验、外观检验和试用检验，若产品外观、包装、形式不符合要求、感官检验不能达到食品卫生要求，当即拒收；中标人不能满足食品的质量及售后服务要求时，学校有权进行处罚或终止合同。 </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（八）有与所供应配送的食品品种、数量相适应的仓储设备及相关条件；保持仓库环境整洁，同时仓库内食品应</w:t>
      </w:r>
      <w:r>
        <w:rPr>
          <w:rFonts w:hint="eastAsia" w:ascii="宋体" w:hAnsi="宋体" w:cs="宋体"/>
          <w:color w:val="auto"/>
          <w:sz w:val="24"/>
          <w:szCs w:val="24"/>
          <w:highlight w:val="none"/>
          <w:lang w:eastAsia="zh-CN"/>
        </w:rPr>
        <w:t>摆放</w:t>
      </w:r>
      <w:r>
        <w:rPr>
          <w:rFonts w:hint="eastAsia" w:ascii="宋体" w:hAnsi="宋体" w:cs="宋体"/>
          <w:color w:val="auto"/>
          <w:sz w:val="24"/>
          <w:szCs w:val="24"/>
          <w:highlight w:val="none"/>
        </w:rPr>
        <w:t>有序并与有毒、有害场所以及其他污染源保持规定的距离。</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（九）留样：中标人每次配送到学校的食材必须免费向各学校及校点提供留样，并配合学校做好保存工作。</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（十）售后服务：接到招标人通知后3个小时内到达现场，服务方式均为中标人上门服务。非招标人或学校的人为原因而出现的产品质量问题，由中标人负责包换或包退，并承担上述情况产生的一切费用。</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（十一）中标人不能满足供货要求时，应提前7个工作日通知招标人，招标人同意后方可</w:t>
      </w:r>
      <w:r>
        <w:rPr>
          <w:rFonts w:hint="eastAsia" w:ascii="宋体" w:hAnsi="宋体" w:cs="宋体"/>
          <w:color w:val="auto"/>
          <w:sz w:val="24"/>
          <w:szCs w:val="24"/>
          <w:highlight w:val="none"/>
          <w:lang w:eastAsia="zh-CN"/>
        </w:rPr>
        <w:t>终止</w:t>
      </w:r>
      <w:r>
        <w:rPr>
          <w:rFonts w:hint="eastAsia" w:ascii="宋体" w:hAnsi="宋体" w:cs="宋体"/>
          <w:color w:val="auto"/>
          <w:sz w:val="24"/>
          <w:szCs w:val="24"/>
          <w:highlight w:val="none"/>
        </w:rPr>
        <w:t>合同。</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（十二）中标配送企业在配送前必须为配送学校购买食品安全责任保险。因</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的食品质量问题造成的食品安全事故（在合同期限内将针对本项目购买累计赔付金额不低于500万元人民币的食品安全责任保险），</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承担一切经济和法律责任。</w:t>
      </w:r>
    </w:p>
    <w:p>
      <w:pPr>
        <w:spacing w:line="360" w:lineRule="auto"/>
        <w:ind w:firstLine="42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七、定期退出机制</w:t>
      </w:r>
    </w:p>
    <w:p>
      <w:pPr>
        <w:pStyle w:val="11"/>
        <w:spacing w:line="360" w:lineRule="auto"/>
        <w:ind w:left="210" w:leftChars="100" w:firstLine="418" w:firstLineChars="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每学期结束</w:t>
      </w:r>
      <w:r>
        <w:rPr>
          <w:rFonts w:hint="eastAsia" w:ascii="宋体" w:hAnsi="宋体" w:cs="宋体"/>
          <w:color w:val="auto"/>
          <w:sz w:val="24"/>
          <w:szCs w:val="24"/>
          <w:highlight w:val="none"/>
          <w:lang w:eastAsia="zh-CN"/>
        </w:rPr>
        <w:t>前，石屏县教育体育局</w:t>
      </w:r>
      <w:r>
        <w:rPr>
          <w:rFonts w:hint="eastAsia" w:ascii="宋体" w:hAnsi="宋体" w:cs="宋体"/>
          <w:color w:val="auto"/>
          <w:sz w:val="24"/>
          <w:szCs w:val="24"/>
          <w:highlight w:val="none"/>
        </w:rPr>
        <w:t>对</w:t>
      </w:r>
      <w:r>
        <w:rPr>
          <w:rFonts w:hint="eastAsia" w:ascii="宋体" w:hAnsi="宋体" w:cs="宋体"/>
          <w:bCs/>
          <w:color w:val="auto"/>
          <w:sz w:val="24"/>
          <w:szCs w:val="24"/>
          <w:highlight w:val="none"/>
          <w:lang w:eastAsia="zh-CN"/>
        </w:rPr>
        <w:t>中标人</w:t>
      </w:r>
      <w:r>
        <w:rPr>
          <w:rFonts w:hint="eastAsia" w:ascii="宋体" w:hAnsi="宋体" w:cs="宋体"/>
          <w:color w:val="auto"/>
          <w:sz w:val="24"/>
          <w:szCs w:val="24"/>
          <w:highlight w:val="none"/>
        </w:rPr>
        <w:t>进行考核，</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两学期考核平均分</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80分，且</w:t>
      </w:r>
      <w:r>
        <w:rPr>
          <w:rFonts w:hint="eastAsia" w:ascii="宋体" w:hAnsi="宋体" w:cs="宋体"/>
          <w:color w:val="auto"/>
          <w:sz w:val="24"/>
          <w:szCs w:val="24"/>
          <w:highlight w:val="none"/>
          <w:lang w:eastAsia="zh-CN"/>
        </w:rPr>
        <w:t>石屏县教育体育局</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各学校</w:t>
      </w:r>
      <w:r>
        <w:rPr>
          <w:rFonts w:hint="eastAsia" w:ascii="宋体" w:hAnsi="宋体" w:cs="宋体"/>
          <w:color w:val="auto"/>
          <w:sz w:val="24"/>
          <w:szCs w:val="24"/>
          <w:highlight w:val="none"/>
        </w:rPr>
        <w:t>对</w:t>
      </w:r>
      <w:r>
        <w:rPr>
          <w:rFonts w:hint="eastAsia" w:ascii="宋体" w:hAnsi="宋体" w:cs="宋体"/>
          <w:color w:val="auto"/>
          <w:sz w:val="24"/>
          <w:szCs w:val="24"/>
          <w:highlight w:val="none"/>
          <w:lang w:eastAsia="zh-CN"/>
        </w:rPr>
        <w:t>中标人</w:t>
      </w:r>
      <w:r>
        <w:rPr>
          <w:rFonts w:hint="eastAsia" w:ascii="宋体" w:hAnsi="宋体" w:cs="宋体"/>
          <w:bCs/>
          <w:color w:val="auto"/>
          <w:sz w:val="24"/>
          <w:szCs w:val="24"/>
          <w:highlight w:val="none"/>
          <w:lang w:val="en-US" w:eastAsia="zh-CN"/>
        </w:rPr>
        <w:t>第</w:t>
      </w:r>
      <w:r>
        <w:rPr>
          <w:rFonts w:hint="eastAsia" w:ascii="宋体" w:hAnsi="宋体" w:cs="宋体"/>
          <w:color w:val="auto"/>
          <w:sz w:val="24"/>
          <w:szCs w:val="24"/>
          <w:highlight w:val="none"/>
        </w:rPr>
        <w:t>一年的产品和服务质量满意，无重大异议，续签第二年合同。两学期考核平均分</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80分</w:t>
      </w:r>
      <w:r>
        <w:rPr>
          <w:rFonts w:hint="eastAsia" w:ascii="宋体" w:hAnsi="宋体" w:cs="宋体"/>
          <w:color w:val="auto"/>
          <w:sz w:val="24"/>
          <w:szCs w:val="24"/>
          <w:highlight w:val="none"/>
          <w:lang w:eastAsia="zh-CN"/>
        </w:rPr>
        <w:t>，石屏县教育体育局不</w:t>
      </w:r>
      <w:r>
        <w:rPr>
          <w:rFonts w:hint="eastAsia" w:ascii="宋体" w:hAnsi="宋体" w:cs="宋体"/>
          <w:color w:val="auto"/>
          <w:sz w:val="24"/>
          <w:szCs w:val="24"/>
          <w:highlight w:val="none"/>
        </w:rPr>
        <w:t>续签第二年合同</w:t>
      </w:r>
      <w:r>
        <w:rPr>
          <w:rFonts w:hint="eastAsia" w:ascii="宋体" w:hAnsi="宋体" w:cs="宋体"/>
          <w:color w:val="auto"/>
          <w:sz w:val="24"/>
          <w:szCs w:val="24"/>
          <w:highlight w:val="none"/>
          <w:lang w:eastAsia="zh-CN"/>
        </w:rPr>
        <w:t>，中标人自动退出，石屏县教育体育局不承担</w:t>
      </w:r>
      <w:r>
        <w:rPr>
          <w:rFonts w:hint="eastAsia" w:ascii="宋体" w:hAnsi="宋体" w:cs="宋体"/>
          <w:color w:val="auto"/>
          <w:sz w:val="24"/>
          <w:szCs w:val="24"/>
          <w:highlight w:val="none"/>
        </w:rPr>
        <w:t>相应赔偿责任，包括</w:t>
      </w:r>
      <w:r>
        <w:rPr>
          <w:rFonts w:hint="eastAsia" w:ascii="宋体" w:hAnsi="宋体" w:cs="宋体"/>
          <w:color w:val="auto"/>
          <w:sz w:val="24"/>
          <w:szCs w:val="24"/>
          <w:highlight w:val="none"/>
          <w:lang w:eastAsia="zh-CN"/>
        </w:rPr>
        <w:t>但</w:t>
      </w:r>
      <w:r>
        <w:rPr>
          <w:rFonts w:hint="eastAsia" w:ascii="宋体" w:hAnsi="宋体" w:cs="宋体"/>
          <w:color w:val="auto"/>
          <w:sz w:val="24"/>
          <w:szCs w:val="24"/>
          <w:highlight w:val="none"/>
        </w:rPr>
        <w:t>不限于经济、民事、刑事责任。</w:t>
      </w:r>
    </w:p>
    <w:p>
      <w:pPr>
        <w:spacing w:line="360" w:lineRule="auto"/>
        <w:ind w:firstLine="42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八、不定期退出机制</w:t>
      </w:r>
    </w:p>
    <w:p>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石屏县教育体育局或学校发现中标人有违反下列情形之一，无严重后果，影响不恶劣时，</w:t>
      </w:r>
      <w:r>
        <w:rPr>
          <w:rFonts w:hint="eastAsia" w:ascii="宋体" w:hAnsi="宋体" w:cs="宋体"/>
          <w:color w:val="auto"/>
          <w:sz w:val="24"/>
          <w:szCs w:val="24"/>
          <w:highlight w:val="none"/>
        </w:rPr>
        <w:t>第</w:t>
      </w:r>
      <w:r>
        <w:rPr>
          <w:rFonts w:hint="eastAsia" w:ascii="宋体" w:hAnsi="宋体" w:cs="宋体"/>
          <w:color w:val="auto"/>
          <w:sz w:val="24"/>
          <w:szCs w:val="24"/>
          <w:highlight w:val="none"/>
          <w:lang w:val="en-US" w:eastAsia="zh-CN"/>
        </w:rPr>
        <w:t>一次发现，学校有权拒付当月货款，由此所造成的损失由中标人自行承担，责令限期整改。第二次发现，罚中标人给检举学校当月货款3倍违约金，石屏县教育体育局从中标人质量保证金和安全保证金中扣减。第三次发现，石屏县教育体育局对中标人实行资格退出机制，提前3个日历天以书面形式通知中标人解除合同。石屏县教育体育局体育局或学校发现中标人有违反下列情形之一，产生严重后果，造成恶劣影响，石屏县教育体育局当天以书面形式通知中标人解除合同。</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资质条件发生重大变化，未如实报告相关部门的；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供货出现质量问题，采取隐瞒手段继续供应的；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（3）以次充好，骗取差价及因</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责任发生粮油食品质量问题，导致粮油食品安全事故的；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（4）虚开税务发票，发生偷税、漏税行为的；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（5）恶意掺杂使假、有意短斤少两等违法违规行为的；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（6）未经</w:t>
      </w:r>
      <w:r>
        <w:rPr>
          <w:rFonts w:hint="eastAsia" w:ascii="宋体" w:hAnsi="宋体" w:cs="宋体"/>
          <w:color w:val="auto"/>
          <w:sz w:val="24"/>
          <w:szCs w:val="24"/>
          <w:highlight w:val="none"/>
          <w:lang w:eastAsia="zh-CN"/>
        </w:rPr>
        <w:t>县教育体育局、学校</w:t>
      </w:r>
      <w:r>
        <w:rPr>
          <w:rFonts w:hint="eastAsia" w:ascii="宋体" w:hAnsi="宋体" w:cs="宋体"/>
          <w:color w:val="auto"/>
          <w:sz w:val="24"/>
          <w:szCs w:val="24"/>
          <w:highlight w:val="none"/>
        </w:rPr>
        <w:t>同意，擅自提高供应价格的；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（7）有故意迟供、拒供、断供行为的；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（8）私自串换供应品种或降低供应质量的；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（9）与学校相关人员勾结谋取不正当利益的；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（10）向学校供应超过保质期或保质期不足7天的粮油的；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（11）向学校供应无生产许可证、产品说明书粮油的；</w:t>
      </w:r>
    </w:p>
    <w:p>
      <w:pPr>
        <w:spacing w:line="360" w:lineRule="auto"/>
        <w:ind w:firstLine="480" w:firstLineChars="200"/>
        <w:rPr>
          <w:rFonts w:hint="eastAsia"/>
          <w:color w:val="auto"/>
          <w:highlight w:val="none"/>
        </w:rPr>
      </w:pPr>
      <w:r>
        <w:rPr>
          <w:rFonts w:hint="eastAsia" w:ascii="宋体" w:hAnsi="宋体" w:cs="宋体"/>
          <w:color w:val="auto"/>
          <w:sz w:val="24"/>
          <w:szCs w:val="24"/>
          <w:highlight w:val="none"/>
        </w:rPr>
        <w:t>（12）其他违反国家有关法律、法规规定的行为。</w:t>
      </w:r>
    </w:p>
    <w:p>
      <w:pP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九</w:t>
      </w:r>
      <w:r>
        <w:rPr>
          <w:rFonts w:hint="eastAsia" w:ascii="宋体" w:hAnsi="宋体" w:cs="宋体"/>
          <w:b/>
          <w:bCs/>
          <w:color w:val="auto"/>
          <w:sz w:val="24"/>
          <w:szCs w:val="24"/>
          <w:highlight w:val="none"/>
        </w:rPr>
        <w:t>、其他要求</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根据《云南省财政厅关于做好2022年政府采购脱贫地区农副产品工作的通知》云财采〔2022〕3号、《云南省人民政府办公厅关于印发云南省政府集中采购目录及标准（2024年版）的通知》云政办函〔2024〕7号文件要求，供应商在配送中需配合各学校做好支持乡村产业振兴，采购脱贫地区农副产品。</w:t>
      </w:r>
    </w:p>
    <w:p>
      <w:pPr>
        <w:rPr>
          <w:rFonts w:hint="eastAsia" w:eastAsiaTheme="minorEastAsia"/>
          <w:color w:val="auto"/>
          <w:highlight w:val="none"/>
          <w:lang w:val="en-US" w:eastAsia="zh-CN"/>
        </w:rPr>
      </w:pPr>
    </w:p>
    <w:p>
      <w:pPr>
        <w:spacing w:line="360" w:lineRule="auto"/>
        <w:rPr>
          <w:rFonts w:hint="eastAsia" w:ascii="宋体" w:hAnsi="宋体" w:cs="宋体"/>
          <w:color w:val="auto"/>
          <w:sz w:val="24"/>
          <w:szCs w:val="24"/>
          <w:highlight w:val="none"/>
        </w:rPr>
      </w:pPr>
    </w:p>
    <w:p>
      <w:pPr>
        <w:rPr>
          <w:rFonts w:hint="eastAsia" w:eastAsiaTheme="minorEastAsia"/>
          <w:color w:val="auto"/>
          <w:highlight w:val="none"/>
          <w:lang w:val="en-US" w:eastAsia="zh-CN"/>
        </w:rPr>
      </w:pPr>
    </w:p>
    <w:p>
      <w:pPr>
        <w:rPr>
          <w:rStyle w:val="27"/>
          <w:rFonts w:hint="eastAsia" w:ascii="宋体" w:hAnsi="宋体" w:cs="宋体"/>
          <w:color w:val="auto"/>
          <w:highlight w:val="none"/>
        </w:rPr>
      </w:pPr>
      <w:r>
        <w:rPr>
          <w:rStyle w:val="27"/>
          <w:rFonts w:hint="eastAsia" w:ascii="宋体" w:hAnsi="宋体" w:cs="宋体"/>
          <w:color w:val="auto"/>
          <w:highlight w:val="none"/>
        </w:rPr>
        <w:br w:type="page"/>
      </w:r>
    </w:p>
    <w:p>
      <w:pPr>
        <w:pStyle w:val="2"/>
        <w:rPr>
          <w:rFonts w:hint="eastAsia" w:ascii="宋体" w:hAnsi="宋体" w:cs="宋体"/>
          <w:color w:val="auto"/>
          <w:highlight w:val="none"/>
        </w:rPr>
      </w:pPr>
      <w:bookmarkStart w:id="712" w:name="_Toc22389"/>
      <w:bookmarkStart w:id="713" w:name="_Toc9161"/>
      <w:bookmarkStart w:id="714" w:name="_Toc25891"/>
      <w:r>
        <w:rPr>
          <w:rStyle w:val="27"/>
          <w:rFonts w:hint="eastAsia" w:ascii="宋体" w:hAnsi="宋体" w:cs="宋体"/>
          <w:b/>
          <w:color w:val="auto"/>
          <w:highlight w:val="none"/>
        </w:rPr>
        <w:t>第六章 评标办法（综合</w:t>
      </w:r>
      <w:bookmarkEnd w:id="708"/>
      <w:bookmarkStart w:id="715" w:name="_Toc979"/>
      <w:r>
        <w:rPr>
          <w:rStyle w:val="27"/>
          <w:rFonts w:hint="eastAsia" w:ascii="宋体" w:hAnsi="宋体" w:cs="宋体"/>
          <w:b/>
          <w:color w:val="auto"/>
          <w:highlight w:val="none"/>
        </w:rPr>
        <w:t>评</w:t>
      </w:r>
      <w:bookmarkStart w:id="716" w:name="_Toc480817655"/>
      <w:r>
        <w:rPr>
          <w:rStyle w:val="27"/>
          <w:rFonts w:hint="eastAsia" w:ascii="宋体" w:hAnsi="宋体" w:cs="宋体"/>
          <w:b/>
          <w:color w:val="auto"/>
          <w:highlight w:val="none"/>
        </w:rPr>
        <w:t>分法）</w:t>
      </w:r>
      <w:bookmarkEnd w:id="709"/>
      <w:bookmarkEnd w:id="710"/>
      <w:bookmarkEnd w:id="711"/>
      <w:bookmarkEnd w:id="712"/>
      <w:bookmarkEnd w:id="713"/>
      <w:bookmarkEnd w:id="714"/>
      <w:bookmarkStart w:id="717" w:name="_Toc489145774"/>
      <w:bookmarkStart w:id="718" w:name="_Toc488633639"/>
      <w:bookmarkStart w:id="719" w:name="_Toc489197878"/>
      <w:bookmarkStart w:id="720" w:name="_Toc481694866"/>
    </w:p>
    <w:p>
      <w:pPr>
        <w:pStyle w:val="3"/>
        <w:jc w:val="center"/>
        <w:rPr>
          <w:rFonts w:hint="eastAsia" w:ascii="宋体" w:hAnsi="宋体" w:cs="宋体"/>
          <w:color w:val="auto"/>
          <w:highlight w:val="none"/>
        </w:rPr>
      </w:pPr>
      <w:bookmarkStart w:id="721" w:name="_Toc8237"/>
      <w:bookmarkStart w:id="722" w:name="_Toc15135"/>
      <w:bookmarkStart w:id="723" w:name="_Toc468"/>
      <w:r>
        <w:rPr>
          <w:rFonts w:hint="eastAsia" w:ascii="宋体" w:hAnsi="宋体" w:cs="宋体"/>
          <w:color w:val="auto"/>
          <w:highlight w:val="none"/>
        </w:rPr>
        <w:t>评标办法前附表</w:t>
      </w:r>
      <w:bookmarkEnd w:id="717"/>
      <w:bookmarkEnd w:id="718"/>
      <w:bookmarkEnd w:id="719"/>
      <w:bookmarkEnd w:id="720"/>
      <w:bookmarkEnd w:id="721"/>
      <w:bookmarkEnd w:id="722"/>
      <w:bookmarkEnd w:id="723"/>
    </w:p>
    <w:tbl>
      <w:tblPr>
        <w:tblStyle w:val="21"/>
        <w:tblpPr w:leftFromText="180" w:rightFromText="180" w:vertAnchor="text" w:horzAnchor="page" w:tblpX="1599" w:tblpY="291"/>
        <w:tblOverlap w:val="never"/>
        <w:tblW w:w="91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804"/>
        <w:gridCol w:w="1901"/>
        <w:gridCol w:w="5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exact"/>
          <w:tblHeader/>
        </w:trPr>
        <w:tc>
          <w:tcPr>
            <w:tcW w:w="1708" w:type="dxa"/>
            <w:gridSpan w:val="2"/>
            <w:vAlign w:val="center"/>
          </w:tcPr>
          <w:p>
            <w:pPr>
              <w:spacing w:before="100" w:beforeAutospacing="1" w:after="100" w:afterAutospacing="1" w:line="44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条款号</w:t>
            </w:r>
          </w:p>
        </w:tc>
        <w:tc>
          <w:tcPr>
            <w:tcW w:w="1901" w:type="dxa"/>
            <w:vAlign w:val="center"/>
          </w:tcPr>
          <w:p>
            <w:pPr>
              <w:spacing w:before="100" w:beforeAutospacing="1" w:after="100" w:afterAutospacing="1" w:line="44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审查</w:t>
            </w:r>
            <w:r>
              <w:rPr>
                <w:rFonts w:hint="eastAsia" w:ascii="宋体" w:hAnsi="宋体" w:cs="宋体"/>
                <w:b/>
                <w:color w:val="auto"/>
                <w:sz w:val="24"/>
                <w:szCs w:val="24"/>
                <w:highlight w:val="none"/>
              </w:rPr>
              <w:t>内容</w:t>
            </w:r>
          </w:p>
        </w:tc>
        <w:tc>
          <w:tcPr>
            <w:tcW w:w="5567" w:type="dxa"/>
            <w:vAlign w:val="center"/>
          </w:tcPr>
          <w:p>
            <w:pPr>
              <w:spacing w:before="100" w:beforeAutospacing="1" w:after="100" w:afterAutospacing="1" w:line="44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审查</w:t>
            </w:r>
            <w:r>
              <w:rPr>
                <w:rFonts w:hint="eastAsia" w:ascii="宋体" w:hAnsi="宋体" w:cs="宋体"/>
                <w:b/>
                <w:color w:val="auto"/>
                <w:sz w:val="24"/>
                <w:szCs w:val="24"/>
                <w:highlight w:val="none"/>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exact"/>
        </w:trPr>
        <w:tc>
          <w:tcPr>
            <w:tcW w:w="904" w:type="dxa"/>
            <w:vMerge w:val="restart"/>
            <w:vAlign w:val="center"/>
          </w:tcPr>
          <w:p>
            <w:pPr>
              <w:spacing w:before="100" w:beforeAutospacing="1" w:after="100" w:afterAutospacing="1"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2.1.1</w:t>
            </w:r>
          </w:p>
        </w:tc>
        <w:tc>
          <w:tcPr>
            <w:tcW w:w="804" w:type="dxa"/>
            <w:vMerge w:val="restart"/>
            <w:vAlign w:val="center"/>
          </w:tcPr>
          <w:p>
            <w:pPr>
              <w:spacing w:before="100" w:beforeAutospacing="1" w:after="100" w:afterAutospacing="1"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资格审查标准</w:t>
            </w:r>
          </w:p>
        </w:tc>
        <w:tc>
          <w:tcPr>
            <w:tcW w:w="1901" w:type="dxa"/>
            <w:vAlign w:val="center"/>
          </w:tcPr>
          <w:p>
            <w:pPr>
              <w:spacing w:before="100" w:beforeAutospacing="1" w:after="100" w:afterAutospacing="1"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资格条件</w:t>
            </w:r>
          </w:p>
        </w:tc>
        <w:tc>
          <w:tcPr>
            <w:tcW w:w="5567" w:type="dxa"/>
            <w:vAlign w:val="center"/>
          </w:tcPr>
          <w:p>
            <w:pPr>
              <w:spacing w:before="100" w:beforeAutospacing="1" w:after="100" w:afterAutospacing="1"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符合第二章《</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须知》第4.1项要求。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exact"/>
        </w:trPr>
        <w:tc>
          <w:tcPr>
            <w:tcW w:w="904" w:type="dxa"/>
            <w:vMerge w:val="continue"/>
            <w:vAlign w:val="center"/>
          </w:tcPr>
          <w:p>
            <w:pPr>
              <w:spacing w:before="100" w:beforeAutospacing="1" w:after="100" w:afterAutospacing="1" w:line="440" w:lineRule="exact"/>
              <w:jc w:val="center"/>
              <w:rPr>
                <w:rFonts w:hint="eastAsia" w:ascii="宋体" w:hAnsi="宋体" w:cs="宋体"/>
                <w:color w:val="auto"/>
                <w:sz w:val="24"/>
                <w:szCs w:val="24"/>
                <w:highlight w:val="none"/>
              </w:rPr>
            </w:pPr>
          </w:p>
        </w:tc>
        <w:tc>
          <w:tcPr>
            <w:tcW w:w="804" w:type="dxa"/>
            <w:vMerge w:val="continue"/>
            <w:vAlign w:val="center"/>
          </w:tcPr>
          <w:p>
            <w:pPr>
              <w:spacing w:before="100" w:beforeAutospacing="1" w:after="100" w:afterAutospacing="1" w:line="440" w:lineRule="exact"/>
              <w:jc w:val="center"/>
              <w:rPr>
                <w:rFonts w:hint="eastAsia" w:ascii="宋体" w:hAnsi="宋体" w:cs="宋体"/>
                <w:color w:val="auto"/>
                <w:sz w:val="24"/>
                <w:szCs w:val="24"/>
                <w:highlight w:val="none"/>
              </w:rPr>
            </w:pPr>
          </w:p>
        </w:tc>
        <w:tc>
          <w:tcPr>
            <w:tcW w:w="7468" w:type="dxa"/>
            <w:gridSpan w:val="2"/>
            <w:vAlign w:val="center"/>
          </w:tcPr>
          <w:p>
            <w:pPr>
              <w:spacing w:before="100" w:beforeAutospacing="1" w:after="100" w:afterAutospacing="1" w:line="440" w:lineRule="exact"/>
              <w:jc w:val="both"/>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采购人或者采购代理机构将根据招标文件规定，依法对供应商的资格进行审查。合格供应商不足3家的，不得评标。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exact"/>
        </w:trPr>
        <w:tc>
          <w:tcPr>
            <w:tcW w:w="1708" w:type="dxa"/>
            <w:gridSpan w:val="2"/>
            <w:vAlign w:val="center"/>
          </w:tcPr>
          <w:p>
            <w:pPr>
              <w:spacing w:before="100" w:beforeAutospacing="1" w:after="100" w:afterAutospacing="1" w:line="440" w:lineRule="exact"/>
              <w:jc w:val="center"/>
              <w:rPr>
                <w:rFonts w:hint="eastAsia" w:ascii="宋体" w:hAnsi="宋体" w:eastAsia="宋体" w:cs="宋体"/>
                <w:b/>
                <w:color w:val="auto"/>
                <w:kern w:val="2"/>
                <w:sz w:val="24"/>
                <w:szCs w:val="24"/>
                <w:highlight w:val="none"/>
                <w:lang w:val="en-US" w:eastAsia="zh-CN" w:bidi="ar-SA"/>
              </w:rPr>
            </w:pPr>
            <w:r>
              <w:rPr>
                <w:rFonts w:hint="eastAsia" w:ascii="宋体" w:hAnsi="宋体" w:cs="宋体"/>
                <w:b/>
                <w:color w:val="auto"/>
                <w:sz w:val="24"/>
                <w:szCs w:val="24"/>
                <w:highlight w:val="none"/>
              </w:rPr>
              <w:t>条款号</w:t>
            </w:r>
          </w:p>
        </w:tc>
        <w:tc>
          <w:tcPr>
            <w:tcW w:w="1901" w:type="dxa"/>
            <w:vAlign w:val="center"/>
          </w:tcPr>
          <w:p>
            <w:pPr>
              <w:spacing w:before="100" w:beforeAutospacing="1" w:after="100" w:afterAutospacing="1" w:line="440" w:lineRule="exact"/>
              <w:jc w:val="center"/>
              <w:rPr>
                <w:rFonts w:hint="eastAsia" w:ascii="宋体" w:hAnsi="宋体" w:eastAsia="宋体" w:cs="宋体"/>
                <w:b/>
                <w:color w:val="auto"/>
                <w:kern w:val="2"/>
                <w:sz w:val="24"/>
                <w:szCs w:val="24"/>
                <w:highlight w:val="none"/>
                <w:lang w:val="en-US" w:eastAsia="zh-CN" w:bidi="ar-SA"/>
              </w:rPr>
            </w:pPr>
            <w:r>
              <w:rPr>
                <w:rFonts w:hint="eastAsia" w:ascii="宋体" w:hAnsi="宋体" w:cs="宋体"/>
                <w:b/>
                <w:color w:val="auto"/>
                <w:sz w:val="24"/>
                <w:szCs w:val="24"/>
                <w:highlight w:val="none"/>
              </w:rPr>
              <w:t>评审内容</w:t>
            </w:r>
          </w:p>
        </w:tc>
        <w:tc>
          <w:tcPr>
            <w:tcW w:w="5567" w:type="dxa"/>
            <w:vAlign w:val="center"/>
          </w:tcPr>
          <w:p>
            <w:pPr>
              <w:spacing w:before="100" w:beforeAutospacing="1" w:after="100" w:afterAutospacing="1" w:line="440" w:lineRule="exact"/>
              <w:jc w:val="center"/>
              <w:rPr>
                <w:rFonts w:hint="eastAsia" w:ascii="宋体" w:hAnsi="宋体" w:eastAsia="宋体" w:cs="宋体"/>
                <w:b/>
                <w:color w:val="auto"/>
                <w:kern w:val="2"/>
                <w:sz w:val="24"/>
                <w:szCs w:val="24"/>
                <w:highlight w:val="none"/>
                <w:lang w:val="en-US" w:eastAsia="zh-CN" w:bidi="ar-SA"/>
              </w:rPr>
            </w:pPr>
            <w:r>
              <w:rPr>
                <w:rFonts w:hint="eastAsia" w:ascii="宋体" w:hAnsi="宋体" w:cs="宋体"/>
                <w:b/>
                <w:color w:val="auto"/>
                <w:sz w:val="24"/>
                <w:szCs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904" w:type="dxa"/>
            <w:vMerge w:val="restart"/>
            <w:vAlign w:val="center"/>
          </w:tcPr>
          <w:p>
            <w:pPr>
              <w:spacing w:before="100" w:beforeAutospacing="1" w:after="100" w:afterAutospacing="1"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2.1.2</w:t>
            </w:r>
          </w:p>
        </w:tc>
        <w:tc>
          <w:tcPr>
            <w:tcW w:w="804" w:type="dxa"/>
            <w:vMerge w:val="restart"/>
            <w:vAlign w:val="center"/>
          </w:tcPr>
          <w:p>
            <w:pPr>
              <w:spacing w:before="100" w:beforeAutospacing="1" w:after="100" w:afterAutospacing="1"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符合性审查</w:t>
            </w:r>
          </w:p>
        </w:tc>
        <w:tc>
          <w:tcPr>
            <w:tcW w:w="1901" w:type="dxa"/>
            <w:vAlign w:val="center"/>
          </w:tcPr>
          <w:p>
            <w:pPr>
              <w:spacing w:before="100" w:beforeAutospacing="1" w:after="100" w:afterAutospacing="1"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5567" w:type="dxa"/>
            <w:vAlign w:val="center"/>
          </w:tcPr>
          <w:p>
            <w:pPr>
              <w:spacing w:before="100" w:beforeAutospacing="1" w:after="100" w:afterAutospacing="1"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符合第二章《</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须知》第17.1项规定。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04" w:type="dxa"/>
            <w:vMerge w:val="continue"/>
            <w:vAlign w:val="center"/>
          </w:tcPr>
          <w:p>
            <w:pPr>
              <w:spacing w:before="100" w:beforeAutospacing="1" w:after="100" w:afterAutospacing="1" w:line="440" w:lineRule="exact"/>
              <w:jc w:val="center"/>
              <w:rPr>
                <w:rFonts w:hint="eastAsia" w:ascii="宋体" w:hAnsi="宋体" w:cs="宋体"/>
                <w:color w:val="auto"/>
                <w:sz w:val="24"/>
                <w:szCs w:val="24"/>
                <w:highlight w:val="none"/>
              </w:rPr>
            </w:pPr>
          </w:p>
        </w:tc>
        <w:tc>
          <w:tcPr>
            <w:tcW w:w="804" w:type="dxa"/>
            <w:vMerge w:val="continue"/>
            <w:vAlign w:val="center"/>
          </w:tcPr>
          <w:p>
            <w:pPr>
              <w:spacing w:before="100" w:beforeAutospacing="1" w:after="100" w:afterAutospacing="1" w:line="440" w:lineRule="exact"/>
              <w:jc w:val="center"/>
              <w:rPr>
                <w:rFonts w:hint="eastAsia" w:ascii="宋体" w:hAnsi="宋体" w:cs="宋体"/>
                <w:color w:val="auto"/>
                <w:sz w:val="24"/>
                <w:szCs w:val="24"/>
                <w:highlight w:val="none"/>
              </w:rPr>
            </w:pPr>
          </w:p>
        </w:tc>
        <w:tc>
          <w:tcPr>
            <w:tcW w:w="1901" w:type="dxa"/>
            <w:vAlign w:val="center"/>
          </w:tcPr>
          <w:p>
            <w:pPr>
              <w:spacing w:before="100" w:beforeAutospacing="1" w:after="100" w:afterAutospacing="1"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投标报价</w:t>
            </w:r>
          </w:p>
        </w:tc>
        <w:tc>
          <w:tcPr>
            <w:tcW w:w="5567" w:type="dxa"/>
            <w:vAlign w:val="center"/>
          </w:tcPr>
          <w:p>
            <w:pPr>
              <w:spacing w:before="100" w:beforeAutospacing="1" w:after="100" w:afterAutospacing="1" w:line="44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符合第四章《投标文件格式》中规定的格式及内容，符合第二章《</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须知》第20项规定。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904" w:type="dxa"/>
            <w:vMerge w:val="continue"/>
            <w:vAlign w:val="center"/>
          </w:tcPr>
          <w:p>
            <w:pPr>
              <w:spacing w:before="100" w:beforeAutospacing="1" w:after="100" w:afterAutospacing="1" w:line="440" w:lineRule="exact"/>
              <w:jc w:val="center"/>
              <w:rPr>
                <w:rFonts w:hint="eastAsia" w:ascii="宋体" w:hAnsi="宋体" w:cs="宋体"/>
                <w:color w:val="auto"/>
                <w:sz w:val="24"/>
                <w:szCs w:val="24"/>
                <w:highlight w:val="none"/>
              </w:rPr>
            </w:pPr>
          </w:p>
        </w:tc>
        <w:tc>
          <w:tcPr>
            <w:tcW w:w="804" w:type="dxa"/>
            <w:vMerge w:val="continue"/>
            <w:vAlign w:val="center"/>
          </w:tcPr>
          <w:p>
            <w:pPr>
              <w:spacing w:before="100" w:beforeAutospacing="1" w:after="100" w:afterAutospacing="1" w:line="440" w:lineRule="exact"/>
              <w:jc w:val="center"/>
              <w:rPr>
                <w:rFonts w:hint="eastAsia" w:ascii="宋体" w:hAnsi="宋体" w:cs="宋体"/>
                <w:color w:val="auto"/>
                <w:sz w:val="24"/>
                <w:szCs w:val="24"/>
                <w:highlight w:val="none"/>
              </w:rPr>
            </w:pPr>
          </w:p>
        </w:tc>
        <w:tc>
          <w:tcPr>
            <w:tcW w:w="1901" w:type="dxa"/>
            <w:vAlign w:val="center"/>
          </w:tcPr>
          <w:p>
            <w:pPr>
              <w:spacing w:before="100" w:beforeAutospacing="1" w:after="100" w:afterAutospacing="1"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投标函</w:t>
            </w:r>
          </w:p>
        </w:tc>
        <w:tc>
          <w:tcPr>
            <w:tcW w:w="5567" w:type="dxa"/>
            <w:vAlign w:val="center"/>
          </w:tcPr>
          <w:p>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符合第四章《投标文件格式》中规定的格式及内容，有法定代表人（负责人）或委托代理人签字或盖章，并加盖单位公章。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904" w:type="dxa"/>
            <w:vMerge w:val="continue"/>
            <w:vAlign w:val="center"/>
          </w:tcPr>
          <w:p>
            <w:pPr>
              <w:spacing w:before="100" w:beforeAutospacing="1" w:after="100" w:afterAutospacing="1" w:line="440" w:lineRule="exact"/>
              <w:rPr>
                <w:rFonts w:hint="eastAsia" w:ascii="宋体" w:hAnsi="宋体" w:cs="宋体"/>
                <w:color w:val="auto"/>
                <w:sz w:val="24"/>
                <w:szCs w:val="24"/>
                <w:highlight w:val="none"/>
              </w:rPr>
            </w:pPr>
          </w:p>
        </w:tc>
        <w:tc>
          <w:tcPr>
            <w:tcW w:w="804" w:type="dxa"/>
            <w:vMerge w:val="continue"/>
            <w:vAlign w:val="center"/>
          </w:tcPr>
          <w:p>
            <w:pPr>
              <w:spacing w:before="100" w:beforeAutospacing="1" w:after="100" w:afterAutospacing="1" w:line="440" w:lineRule="exact"/>
              <w:rPr>
                <w:rFonts w:hint="eastAsia" w:ascii="宋体" w:hAnsi="宋体" w:cs="宋体"/>
                <w:color w:val="auto"/>
                <w:sz w:val="24"/>
                <w:szCs w:val="24"/>
                <w:highlight w:val="none"/>
              </w:rPr>
            </w:pPr>
          </w:p>
        </w:tc>
        <w:tc>
          <w:tcPr>
            <w:tcW w:w="1901" w:type="dxa"/>
            <w:vAlign w:val="center"/>
          </w:tcPr>
          <w:p>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法定代表人（负责人）身份证明书</w:t>
            </w:r>
          </w:p>
        </w:tc>
        <w:tc>
          <w:tcPr>
            <w:tcW w:w="5567" w:type="dxa"/>
            <w:vAlign w:val="center"/>
          </w:tcPr>
          <w:p>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符合第四章《投标文件格式》中规定的格式及内容，并在所要求的地方盖章、签名（签章）。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904" w:type="dxa"/>
            <w:vMerge w:val="continue"/>
            <w:vAlign w:val="center"/>
          </w:tcPr>
          <w:p>
            <w:pPr>
              <w:spacing w:before="100" w:beforeAutospacing="1" w:after="100" w:afterAutospacing="1" w:line="440" w:lineRule="exact"/>
              <w:rPr>
                <w:rFonts w:hint="eastAsia" w:ascii="宋体" w:hAnsi="宋体" w:cs="宋体"/>
                <w:color w:val="auto"/>
                <w:sz w:val="24"/>
                <w:szCs w:val="24"/>
                <w:highlight w:val="none"/>
              </w:rPr>
            </w:pPr>
          </w:p>
        </w:tc>
        <w:tc>
          <w:tcPr>
            <w:tcW w:w="804" w:type="dxa"/>
            <w:vMerge w:val="continue"/>
            <w:vAlign w:val="center"/>
          </w:tcPr>
          <w:p>
            <w:pPr>
              <w:spacing w:before="100" w:beforeAutospacing="1" w:after="100" w:afterAutospacing="1" w:line="440" w:lineRule="exact"/>
              <w:rPr>
                <w:rFonts w:hint="eastAsia" w:ascii="宋体" w:hAnsi="宋体" w:cs="宋体"/>
                <w:color w:val="auto"/>
                <w:sz w:val="24"/>
                <w:szCs w:val="24"/>
                <w:highlight w:val="none"/>
              </w:rPr>
            </w:pPr>
          </w:p>
        </w:tc>
        <w:tc>
          <w:tcPr>
            <w:tcW w:w="1901" w:type="dxa"/>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法定代表人（负责人）授权委托书</w:t>
            </w:r>
          </w:p>
        </w:tc>
        <w:tc>
          <w:tcPr>
            <w:tcW w:w="5567" w:type="dxa"/>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法定代表人（负责人）授权委托投标的符合第四章《投标文件格式》中规定的格式及内容，有法定代表人（负责人）签名或签章，并加盖单位公章。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exact"/>
        </w:trPr>
        <w:tc>
          <w:tcPr>
            <w:tcW w:w="904" w:type="dxa"/>
            <w:vMerge w:val="continue"/>
            <w:vAlign w:val="center"/>
          </w:tcPr>
          <w:p>
            <w:pPr>
              <w:spacing w:before="100" w:beforeAutospacing="1" w:after="100" w:afterAutospacing="1" w:line="440" w:lineRule="exact"/>
              <w:rPr>
                <w:rFonts w:hint="eastAsia" w:ascii="宋体" w:hAnsi="宋体" w:cs="宋体"/>
                <w:color w:val="auto"/>
                <w:sz w:val="24"/>
                <w:szCs w:val="24"/>
                <w:highlight w:val="none"/>
              </w:rPr>
            </w:pPr>
          </w:p>
        </w:tc>
        <w:tc>
          <w:tcPr>
            <w:tcW w:w="804" w:type="dxa"/>
            <w:vMerge w:val="continue"/>
            <w:vAlign w:val="center"/>
          </w:tcPr>
          <w:p>
            <w:pPr>
              <w:spacing w:before="100" w:beforeAutospacing="1" w:after="100" w:afterAutospacing="1" w:line="440" w:lineRule="exact"/>
              <w:rPr>
                <w:rFonts w:hint="eastAsia" w:ascii="宋体" w:hAnsi="宋体" w:cs="宋体"/>
                <w:color w:val="auto"/>
                <w:sz w:val="24"/>
                <w:szCs w:val="24"/>
                <w:highlight w:val="none"/>
              </w:rPr>
            </w:pPr>
          </w:p>
        </w:tc>
        <w:tc>
          <w:tcPr>
            <w:tcW w:w="1901" w:type="dxa"/>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其它实质性要求</w:t>
            </w:r>
          </w:p>
        </w:tc>
        <w:tc>
          <w:tcPr>
            <w:tcW w:w="5567" w:type="dxa"/>
            <w:vAlign w:val="center"/>
          </w:tcPr>
          <w:p>
            <w:pPr>
              <w:spacing w:line="44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投标文件未出现其他不满足招标文件中的实质性条款、标注★条款内容或未出现招标文件规定的其他投标无效情形</w:t>
            </w: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exact"/>
        </w:trPr>
        <w:tc>
          <w:tcPr>
            <w:tcW w:w="904" w:type="dxa"/>
            <w:vMerge w:val="restart"/>
            <w:vAlign w:val="center"/>
          </w:tcPr>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2.2</w:t>
            </w:r>
          </w:p>
        </w:tc>
        <w:tc>
          <w:tcPr>
            <w:tcW w:w="804" w:type="dxa"/>
            <w:vMerge w:val="restart"/>
            <w:vAlign w:val="center"/>
          </w:tcPr>
          <w:p>
            <w:pPr>
              <w:spacing w:before="100" w:beforeAutospacing="1" w:after="100" w:afterAutospacing="1"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分值构成与评分标准</w:t>
            </w:r>
          </w:p>
        </w:tc>
        <w:tc>
          <w:tcPr>
            <w:tcW w:w="1901" w:type="dxa"/>
            <w:vAlign w:val="center"/>
          </w:tcPr>
          <w:p>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1）评标总得分计算公式</w:t>
            </w:r>
          </w:p>
        </w:tc>
        <w:tc>
          <w:tcPr>
            <w:tcW w:w="5567" w:type="dxa"/>
            <w:vAlign w:val="center"/>
          </w:tcPr>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的评标总得分＝F1＋F2＋F3</w:t>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其中：F1、F2、F3分别为投标报价、技术部分、商务部分3项评分因素的汇总得分。</w:t>
            </w:r>
          </w:p>
          <w:p>
            <w:pPr>
              <w:spacing w:line="440" w:lineRule="exact"/>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exact"/>
        </w:trPr>
        <w:tc>
          <w:tcPr>
            <w:tcW w:w="904" w:type="dxa"/>
            <w:vMerge w:val="continue"/>
            <w:vAlign w:val="center"/>
          </w:tcPr>
          <w:p>
            <w:pPr>
              <w:spacing w:line="440" w:lineRule="exact"/>
              <w:rPr>
                <w:rFonts w:hint="eastAsia" w:ascii="宋体" w:hAnsi="宋体" w:cs="宋体"/>
                <w:color w:val="auto"/>
                <w:sz w:val="24"/>
                <w:szCs w:val="24"/>
                <w:highlight w:val="none"/>
              </w:rPr>
            </w:pPr>
          </w:p>
        </w:tc>
        <w:tc>
          <w:tcPr>
            <w:tcW w:w="804" w:type="dxa"/>
            <w:vMerge w:val="continue"/>
            <w:vAlign w:val="center"/>
          </w:tcPr>
          <w:p>
            <w:pPr>
              <w:spacing w:line="440" w:lineRule="exact"/>
              <w:rPr>
                <w:rFonts w:hint="eastAsia" w:ascii="宋体" w:hAnsi="宋体" w:cs="宋体"/>
                <w:color w:val="auto"/>
                <w:sz w:val="24"/>
                <w:szCs w:val="24"/>
                <w:highlight w:val="none"/>
              </w:rPr>
            </w:pPr>
          </w:p>
        </w:tc>
        <w:tc>
          <w:tcPr>
            <w:tcW w:w="1901" w:type="dxa"/>
            <w:vAlign w:val="center"/>
          </w:tcPr>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2）评分因素权重</w:t>
            </w:r>
          </w:p>
        </w:tc>
        <w:tc>
          <w:tcPr>
            <w:tcW w:w="5567" w:type="dxa"/>
            <w:vAlign w:val="center"/>
          </w:tcPr>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投标报价F1：10分。</w:t>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技术部分F2：</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0分。</w:t>
            </w:r>
          </w:p>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商务部分F3：</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0" w:hRule="exact"/>
        </w:trPr>
        <w:tc>
          <w:tcPr>
            <w:tcW w:w="904" w:type="dxa"/>
            <w:vMerge w:val="continue"/>
            <w:vAlign w:val="center"/>
          </w:tcPr>
          <w:p>
            <w:pPr>
              <w:spacing w:line="440" w:lineRule="exact"/>
              <w:rPr>
                <w:rFonts w:hint="eastAsia" w:ascii="宋体" w:hAnsi="宋体" w:cs="宋体"/>
                <w:color w:val="auto"/>
                <w:sz w:val="24"/>
                <w:szCs w:val="24"/>
                <w:highlight w:val="none"/>
              </w:rPr>
            </w:pPr>
          </w:p>
        </w:tc>
        <w:tc>
          <w:tcPr>
            <w:tcW w:w="804" w:type="dxa"/>
            <w:vMerge w:val="continue"/>
            <w:vAlign w:val="center"/>
          </w:tcPr>
          <w:p>
            <w:pPr>
              <w:spacing w:line="440" w:lineRule="exact"/>
              <w:rPr>
                <w:rFonts w:hint="eastAsia" w:ascii="宋体" w:hAnsi="宋体" w:cs="宋体"/>
                <w:color w:val="auto"/>
                <w:sz w:val="24"/>
                <w:szCs w:val="24"/>
                <w:highlight w:val="none"/>
              </w:rPr>
            </w:pPr>
          </w:p>
        </w:tc>
        <w:tc>
          <w:tcPr>
            <w:tcW w:w="1901" w:type="dxa"/>
            <w:vAlign w:val="center"/>
          </w:tcPr>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3）投标报价F1</w:t>
            </w:r>
          </w:p>
          <w:p>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（满分10分）</w:t>
            </w:r>
          </w:p>
        </w:tc>
        <w:tc>
          <w:tcPr>
            <w:tcW w:w="5567" w:type="dxa"/>
            <w:vAlign w:val="center"/>
          </w:tcPr>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1、本项目的报价分采用低价优先法计算，即满足通过初步评审的所有有效投标报价优惠下浮率最大的报价作为评标基准价，其报价分为满分。</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2、其他有效</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的报价得分统一按照下列公式计算：</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即：F1=[（1-C）/（1-B1，B2，…，Bn）]×10</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注：C为评标基准价；B1，B2，…，Bn为第n个经初步审查合格。</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注：</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①</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投标报价明显低于其他</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投标报价的，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必须在投标文件中作出单独说明并提供相关证明材料，不能提供相关证明材料的，作无效投标处理。</w:t>
            </w:r>
          </w:p>
          <w:p>
            <w:pPr>
              <w:widowControl/>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②</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不能合理说明或者提供相关证明材料被评标委员会认定为以低于成本报价竞标的，作无效投标处理。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0" w:hRule="exact"/>
        </w:trPr>
        <w:tc>
          <w:tcPr>
            <w:tcW w:w="904" w:type="dxa"/>
            <w:vMerge w:val="continue"/>
            <w:vAlign w:val="center"/>
          </w:tcPr>
          <w:p>
            <w:pPr>
              <w:spacing w:line="440" w:lineRule="exact"/>
              <w:rPr>
                <w:rFonts w:hint="eastAsia" w:ascii="宋体" w:hAnsi="宋体" w:cs="宋体"/>
                <w:color w:val="auto"/>
                <w:sz w:val="24"/>
                <w:szCs w:val="24"/>
                <w:highlight w:val="none"/>
              </w:rPr>
            </w:pPr>
          </w:p>
        </w:tc>
        <w:tc>
          <w:tcPr>
            <w:tcW w:w="804" w:type="dxa"/>
            <w:vMerge w:val="continue"/>
            <w:vAlign w:val="center"/>
          </w:tcPr>
          <w:p>
            <w:pPr>
              <w:spacing w:line="440" w:lineRule="exact"/>
              <w:rPr>
                <w:rFonts w:hint="eastAsia" w:ascii="宋体" w:hAnsi="宋体" w:cs="宋体"/>
                <w:color w:val="auto"/>
                <w:sz w:val="24"/>
                <w:szCs w:val="24"/>
                <w:highlight w:val="none"/>
              </w:rPr>
            </w:pPr>
          </w:p>
        </w:tc>
        <w:tc>
          <w:tcPr>
            <w:tcW w:w="1901" w:type="dxa"/>
            <w:vMerge w:val="restart"/>
            <w:vAlign w:val="center"/>
          </w:tcPr>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4）技术部分F2</w:t>
            </w:r>
          </w:p>
          <w:p>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（满分</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0分）</w:t>
            </w:r>
          </w:p>
        </w:tc>
        <w:tc>
          <w:tcPr>
            <w:tcW w:w="5567" w:type="dxa"/>
            <w:vAlign w:val="center"/>
          </w:tcPr>
          <w:p>
            <w:pPr>
              <w:wordWrap w:val="0"/>
              <w:spacing w:line="440" w:lineRule="exact"/>
              <w:ind w:firstLine="241" w:firstLineChars="100"/>
              <w:contextualSpacing/>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一、采购管理方案（15分）</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1、食材进货渠道来源明确，有详细说明或证明材料的；</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2、有完整、详细的进货采购流程、时间计划，食材采购标准明确； </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3、有完善的入库筛查检测机制，对于不合格产品有合理的处理措施；</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4、有完善的仓储管理措施，定期抽检措施；</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5、有完善的购销台账制度，有追溯管理体系。</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以上方面，每项3分；有一项缺乏完整性、合理性的扣1.5分，存在一项缺项漏项或不满足招标文件要求的扣3分。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4" w:hRule="atLeast"/>
        </w:trPr>
        <w:tc>
          <w:tcPr>
            <w:tcW w:w="904" w:type="dxa"/>
            <w:vMerge w:val="continue"/>
            <w:vAlign w:val="center"/>
          </w:tcPr>
          <w:p>
            <w:pPr>
              <w:spacing w:line="440" w:lineRule="exact"/>
              <w:rPr>
                <w:rFonts w:hint="eastAsia" w:ascii="宋体" w:hAnsi="宋体" w:cs="宋体"/>
                <w:color w:val="auto"/>
                <w:sz w:val="24"/>
                <w:szCs w:val="24"/>
                <w:highlight w:val="none"/>
              </w:rPr>
            </w:pPr>
          </w:p>
        </w:tc>
        <w:tc>
          <w:tcPr>
            <w:tcW w:w="804" w:type="dxa"/>
            <w:vMerge w:val="continue"/>
            <w:vAlign w:val="center"/>
          </w:tcPr>
          <w:p>
            <w:pPr>
              <w:spacing w:line="440" w:lineRule="exact"/>
              <w:rPr>
                <w:rFonts w:hint="eastAsia" w:ascii="宋体" w:hAnsi="宋体" w:cs="宋体"/>
                <w:color w:val="auto"/>
                <w:sz w:val="24"/>
                <w:szCs w:val="24"/>
                <w:highlight w:val="none"/>
              </w:rPr>
            </w:pPr>
          </w:p>
        </w:tc>
        <w:tc>
          <w:tcPr>
            <w:tcW w:w="1901" w:type="dxa"/>
            <w:vMerge w:val="continue"/>
            <w:vAlign w:val="center"/>
          </w:tcPr>
          <w:p>
            <w:pPr>
              <w:spacing w:line="440" w:lineRule="exact"/>
              <w:rPr>
                <w:rFonts w:hint="eastAsia" w:ascii="宋体" w:hAnsi="宋体" w:cs="宋体"/>
                <w:color w:val="auto"/>
                <w:sz w:val="24"/>
                <w:szCs w:val="24"/>
                <w:highlight w:val="none"/>
              </w:rPr>
            </w:pPr>
          </w:p>
        </w:tc>
        <w:tc>
          <w:tcPr>
            <w:tcW w:w="5567" w:type="dxa"/>
            <w:vAlign w:val="center"/>
          </w:tcPr>
          <w:p>
            <w:pPr>
              <w:wordWrap w:val="0"/>
              <w:spacing w:line="440" w:lineRule="exact"/>
              <w:ind w:firstLine="241" w:firstLineChars="100"/>
              <w:contextualSpacing/>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二、供货配送方案（满分15分）</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1、有具体的分批次食材筛选、分拣、包装、捆扎、装车等流程操作规范；</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2、有完整、详细、具体的配送运输方案；</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3、有明确的响应时间、交货时间，有详细的时间安排，满足采购需求；</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4、针对逾时响应、逾时送达、少送漏送或其他因供应商导致的服务质量问题承诺及措施，且均具有具体的违约处罚措施；</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5、有完整、详细的供货交付程序、验收办法及保障措施。</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以上方面，每项3分；有一项缺乏完整性、合理性的扣1.5分，存在一项缺项漏项或不满足招标文件要求的扣3分。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4" w:hRule="atLeast"/>
        </w:trPr>
        <w:tc>
          <w:tcPr>
            <w:tcW w:w="904" w:type="dxa"/>
            <w:vMerge w:val="continue"/>
            <w:vAlign w:val="center"/>
          </w:tcPr>
          <w:p>
            <w:pPr>
              <w:spacing w:line="440" w:lineRule="exact"/>
              <w:rPr>
                <w:rFonts w:hint="eastAsia" w:ascii="宋体" w:hAnsi="宋体" w:cs="宋体"/>
                <w:color w:val="auto"/>
                <w:sz w:val="24"/>
                <w:szCs w:val="24"/>
                <w:highlight w:val="none"/>
              </w:rPr>
            </w:pPr>
          </w:p>
        </w:tc>
        <w:tc>
          <w:tcPr>
            <w:tcW w:w="804" w:type="dxa"/>
            <w:vMerge w:val="continue"/>
            <w:vAlign w:val="center"/>
          </w:tcPr>
          <w:p>
            <w:pPr>
              <w:spacing w:line="440" w:lineRule="exact"/>
              <w:rPr>
                <w:rFonts w:hint="eastAsia" w:ascii="宋体" w:hAnsi="宋体" w:cs="宋体"/>
                <w:color w:val="auto"/>
                <w:sz w:val="24"/>
                <w:szCs w:val="24"/>
                <w:highlight w:val="none"/>
              </w:rPr>
            </w:pPr>
          </w:p>
        </w:tc>
        <w:tc>
          <w:tcPr>
            <w:tcW w:w="1901" w:type="dxa"/>
            <w:vMerge w:val="continue"/>
            <w:vAlign w:val="center"/>
          </w:tcPr>
          <w:p>
            <w:pPr>
              <w:spacing w:line="440" w:lineRule="exact"/>
              <w:rPr>
                <w:rFonts w:hint="eastAsia" w:ascii="宋体" w:hAnsi="宋体" w:cs="宋体"/>
                <w:color w:val="auto"/>
                <w:sz w:val="24"/>
                <w:szCs w:val="24"/>
                <w:highlight w:val="none"/>
              </w:rPr>
            </w:pPr>
          </w:p>
        </w:tc>
        <w:tc>
          <w:tcPr>
            <w:tcW w:w="5567" w:type="dxa"/>
            <w:vAlign w:val="center"/>
          </w:tcPr>
          <w:p>
            <w:pPr>
              <w:wordWrap w:val="0"/>
              <w:spacing w:line="440" w:lineRule="exact"/>
              <w:ind w:firstLine="241" w:firstLineChars="100"/>
              <w:contextualSpacing/>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三、食品</w:t>
            </w:r>
            <w:r>
              <w:rPr>
                <w:rFonts w:hint="eastAsia" w:ascii="宋体" w:hAnsi="宋体" w:cs="宋体"/>
                <w:b/>
                <w:bCs/>
                <w:color w:val="auto"/>
                <w:sz w:val="24"/>
                <w:szCs w:val="24"/>
                <w:highlight w:val="none"/>
                <w:lang w:val="en-US" w:eastAsia="zh-CN"/>
              </w:rPr>
              <w:t>质量、安全及卫生保障措施（满分15分）</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1、有完整、详细、合理可行的</w:t>
            </w:r>
            <w:r>
              <w:rPr>
                <w:rFonts w:hint="eastAsia" w:ascii="宋体" w:hAnsi="宋体" w:cs="宋体"/>
                <w:color w:val="auto"/>
                <w:sz w:val="24"/>
                <w:szCs w:val="24"/>
                <w:highlight w:val="none"/>
                <w:lang w:val="en-US" w:eastAsia="zh-CN"/>
              </w:rPr>
              <w:t>质量、</w:t>
            </w:r>
            <w:r>
              <w:rPr>
                <w:rFonts w:hint="eastAsia" w:ascii="宋体" w:hAnsi="宋体" w:cs="宋体"/>
                <w:color w:val="auto"/>
                <w:sz w:val="24"/>
                <w:szCs w:val="24"/>
                <w:highlight w:val="none"/>
              </w:rPr>
              <w:t>安全及卫生</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保障措施；</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2、针对食品质量安全卫生问题有专项方案及保障措施；</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3、有完善的食品</w:t>
            </w:r>
            <w:r>
              <w:rPr>
                <w:rFonts w:hint="eastAsia" w:ascii="宋体" w:hAnsi="宋体" w:cs="宋体"/>
                <w:color w:val="auto"/>
                <w:sz w:val="24"/>
                <w:szCs w:val="24"/>
                <w:highlight w:val="none"/>
                <w:lang w:val="en-US" w:eastAsia="zh-CN"/>
              </w:rPr>
              <w:t>质量</w:t>
            </w:r>
            <w:r>
              <w:rPr>
                <w:rFonts w:hint="eastAsia" w:ascii="宋体" w:hAnsi="宋体" w:cs="宋体"/>
                <w:color w:val="auto"/>
                <w:sz w:val="24"/>
                <w:szCs w:val="24"/>
                <w:highlight w:val="none"/>
              </w:rPr>
              <w:t>管理制度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食品安全管理制度及食品卫生管理制度。</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以上方面，每项</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分；有一项缺乏完整性、合理性的扣</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分，存在一项缺项漏项或不满足招标文件要求的扣</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9" w:hRule="atLeast"/>
        </w:trPr>
        <w:tc>
          <w:tcPr>
            <w:tcW w:w="904" w:type="dxa"/>
            <w:vMerge w:val="continue"/>
            <w:vAlign w:val="center"/>
          </w:tcPr>
          <w:p>
            <w:pPr>
              <w:spacing w:line="440" w:lineRule="exact"/>
              <w:rPr>
                <w:rFonts w:hint="eastAsia" w:ascii="宋体" w:hAnsi="宋体" w:cs="宋体"/>
                <w:color w:val="auto"/>
                <w:sz w:val="24"/>
                <w:szCs w:val="24"/>
                <w:highlight w:val="none"/>
              </w:rPr>
            </w:pPr>
          </w:p>
        </w:tc>
        <w:tc>
          <w:tcPr>
            <w:tcW w:w="804" w:type="dxa"/>
            <w:vMerge w:val="continue"/>
            <w:vAlign w:val="center"/>
          </w:tcPr>
          <w:p>
            <w:pPr>
              <w:spacing w:line="440" w:lineRule="exact"/>
              <w:rPr>
                <w:rFonts w:hint="eastAsia" w:ascii="宋体" w:hAnsi="宋体" w:cs="宋体"/>
                <w:color w:val="auto"/>
                <w:sz w:val="24"/>
                <w:szCs w:val="24"/>
                <w:highlight w:val="none"/>
              </w:rPr>
            </w:pPr>
          </w:p>
        </w:tc>
        <w:tc>
          <w:tcPr>
            <w:tcW w:w="1901" w:type="dxa"/>
            <w:vMerge w:val="continue"/>
            <w:vAlign w:val="center"/>
          </w:tcPr>
          <w:p>
            <w:pPr>
              <w:spacing w:line="440" w:lineRule="exact"/>
              <w:rPr>
                <w:rFonts w:hint="eastAsia" w:ascii="宋体" w:hAnsi="宋体" w:cs="宋体"/>
                <w:color w:val="auto"/>
                <w:sz w:val="24"/>
                <w:szCs w:val="24"/>
                <w:highlight w:val="none"/>
              </w:rPr>
            </w:pPr>
          </w:p>
        </w:tc>
        <w:tc>
          <w:tcPr>
            <w:tcW w:w="5567" w:type="dxa"/>
            <w:vAlign w:val="center"/>
          </w:tcPr>
          <w:p>
            <w:pPr>
              <w:wordWrap w:val="0"/>
              <w:spacing w:line="440" w:lineRule="exact"/>
              <w:ind w:firstLine="241" w:firstLineChars="100"/>
              <w:contextualSpacing/>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四、应急预案（满分15分）</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应急预案包含：紧急供货预案、突发食品安全事故应对处理方案、配送运输车辆安全事故应对处理预案、配送食材中有特殊质保要求的应急预案、突发状况（地震、火灾、恶劣天气、道路堵塞）应急预案5个方面进行综合评审：</w:t>
            </w:r>
          </w:p>
          <w:p>
            <w:pPr>
              <w:spacing w:line="440" w:lineRule="exact"/>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对以上5项应急预案的内容全面、详细、有明确具体的保障措施，有效保障应急方案的实施和可行性进行评审。</w:t>
            </w:r>
          </w:p>
          <w:p>
            <w:pPr>
              <w:spacing w:line="440" w:lineRule="exact"/>
              <w:ind w:firstLine="240" w:firstLineChars="100"/>
              <w:rPr>
                <w:rFonts w:hint="eastAsia" w:ascii="宋体" w:hAnsi="宋体" w:cs="宋体"/>
                <w:color w:val="auto"/>
                <w:highlight w:val="none"/>
              </w:rPr>
            </w:pPr>
            <w:r>
              <w:rPr>
                <w:rFonts w:hint="eastAsia" w:ascii="宋体" w:hAnsi="宋体" w:cs="宋体"/>
                <w:color w:val="auto"/>
                <w:sz w:val="24"/>
                <w:szCs w:val="24"/>
                <w:highlight w:val="none"/>
              </w:rPr>
              <w:t>以上方面，每项3分；有一项缺乏完整性、合理性或保障措施不明确具体的，难以保障应急方案的实施的扣1.5分，存在缺项漏项或不满足应急方案实施的扣3分。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4" w:type="dxa"/>
            <w:vMerge w:val="continue"/>
            <w:vAlign w:val="center"/>
          </w:tcPr>
          <w:p>
            <w:pPr>
              <w:spacing w:line="440" w:lineRule="exact"/>
              <w:rPr>
                <w:rFonts w:hint="eastAsia" w:ascii="宋体" w:hAnsi="宋体" w:cs="宋体"/>
                <w:color w:val="auto"/>
                <w:sz w:val="24"/>
                <w:szCs w:val="24"/>
                <w:highlight w:val="none"/>
              </w:rPr>
            </w:pPr>
          </w:p>
        </w:tc>
        <w:tc>
          <w:tcPr>
            <w:tcW w:w="804" w:type="dxa"/>
            <w:vMerge w:val="continue"/>
            <w:vAlign w:val="center"/>
          </w:tcPr>
          <w:p>
            <w:pPr>
              <w:spacing w:line="440" w:lineRule="exact"/>
              <w:rPr>
                <w:rFonts w:hint="eastAsia" w:ascii="宋体" w:hAnsi="宋体" w:cs="宋体"/>
                <w:color w:val="auto"/>
                <w:sz w:val="24"/>
                <w:szCs w:val="24"/>
                <w:highlight w:val="none"/>
              </w:rPr>
            </w:pPr>
          </w:p>
        </w:tc>
        <w:tc>
          <w:tcPr>
            <w:tcW w:w="1901" w:type="dxa"/>
            <w:vMerge w:val="continue"/>
            <w:vAlign w:val="center"/>
          </w:tcPr>
          <w:p>
            <w:pPr>
              <w:spacing w:line="440" w:lineRule="exact"/>
              <w:rPr>
                <w:rFonts w:hint="eastAsia" w:ascii="宋体" w:hAnsi="宋体" w:cs="宋体"/>
                <w:color w:val="auto"/>
                <w:sz w:val="24"/>
                <w:szCs w:val="24"/>
                <w:highlight w:val="none"/>
              </w:rPr>
            </w:pPr>
          </w:p>
        </w:tc>
        <w:tc>
          <w:tcPr>
            <w:tcW w:w="5567" w:type="dxa"/>
            <w:vAlign w:val="center"/>
          </w:tcPr>
          <w:p>
            <w:pPr>
              <w:wordWrap w:val="0"/>
              <w:spacing w:line="440" w:lineRule="exact"/>
              <w:ind w:firstLine="241" w:firstLineChars="100"/>
              <w:contextualSpacing/>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五、仓储及冷藏保鲜能力（满分</w:t>
            </w: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分）</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有固定的仓储场地，固定食品仓储场所（含冷链）每提供300平方米得0.</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分，本项最多得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分。（并提供产权证明或食品仓储场地租赁合同（协议）。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5" w:hRule="atLeast"/>
        </w:trPr>
        <w:tc>
          <w:tcPr>
            <w:tcW w:w="904" w:type="dxa"/>
            <w:vMerge w:val="continue"/>
            <w:vAlign w:val="center"/>
          </w:tcPr>
          <w:p>
            <w:pPr>
              <w:spacing w:line="440" w:lineRule="exact"/>
              <w:rPr>
                <w:rFonts w:hint="eastAsia" w:ascii="宋体" w:hAnsi="宋体" w:cs="宋体"/>
                <w:color w:val="auto"/>
                <w:sz w:val="24"/>
                <w:szCs w:val="24"/>
                <w:highlight w:val="none"/>
              </w:rPr>
            </w:pPr>
          </w:p>
        </w:tc>
        <w:tc>
          <w:tcPr>
            <w:tcW w:w="804" w:type="dxa"/>
            <w:vMerge w:val="continue"/>
            <w:vAlign w:val="center"/>
          </w:tcPr>
          <w:p>
            <w:pPr>
              <w:spacing w:line="440" w:lineRule="exact"/>
              <w:rPr>
                <w:rFonts w:hint="eastAsia" w:ascii="宋体" w:hAnsi="宋体" w:cs="宋体"/>
                <w:color w:val="auto"/>
                <w:sz w:val="24"/>
                <w:szCs w:val="24"/>
                <w:highlight w:val="none"/>
              </w:rPr>
            </w:pPr>
          </w:p>
        </w:tc>
        <w:tc>
          <w:tcPr>
            <w:tcW w:w="1901" w:type="dxa"/>
            <w:vMerge w:val="continue"/>
            <w:vAlign w:val="center"/>
          </w:tcPr>
          <w:p>
            <w:pPr>
              <w:spacing w:line="440" w:lineRule="exact"/>
              <w:rPr>
                <w:rFonts w:hint="eastAsia" w:ascii="宋体" w:hAnsi="宋体" w:cs="宋体"/>
                <w:color w:val="auto"/>
                <w:sz w:val="24"/>
                <w:szCs w:val="24"/>
                <w:highlight w:val="none"/>
              </w:rPr>
            </w:pPr>
          </w:p>
        </w:tc>
        <w:tc>
          <w:tcPr>
            <w:tcW w:w="5567" w:type="dxa"/>
            <w:vAlign w:val="center"/>
          </w:tcPr>
          <w:p>
            <w:pPr>
              <w:wordWrap w:val="0"/>
              <w:spacing w:line="440" w:lineRule="exact"/>
              <w:ind w:firstLine="241" w:firstLineChars="100"/>
              <w:contextualSpacing/>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六、人员配置（满分</w:t>
            </w: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分）</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1、项目服务人员评审（</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拟派的所有项目服务人员具备有效的健康证的，</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分；缺少任何一个人员健康证的，此项不得分。</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注：提供有效的证书，否则不得分。</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2、服务团队配置（</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拟派服务团队能结合本项目的采购需求、特点及实际情况配置，有采购员、分拣员、配送人员、质量管理员、食品检验专职员、食品安全管理员、售后服务员、验收人员、供货服务相关台账管理员、食品追溯体系专职人员，岗位搭配合理、分工明确的，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以上岗位人员缺失一项，导致服务团队配置不合理的，得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p>
          <w:p>
            <w:pPr>
              <w:wordWrap w:val="0"/>
              <w:spacing w:line="440" w:lineRule="exact"/>
              <w:ind w:firstLine="240" w:firstLineChars="100"/>
              <w:contextualSpacing/>
              <w:rPr>
                <w:rFonts w:hint="eastAsia" w:ascii="宋体" w:hAnsi="宋体" w:cs="宋体"/>
                <w:color w:val="auto"/>
                <w:highlight w:val="none"/>
              </w:rPr>
            </w:pPr>
            <w:r>
              <w:rPr>
                <w:rFonts w:hint="eastAsia" w:ascii="宋体" w:hAnsi="宋体" w:cs="宋体"/>
                <w:color w:val="auto"/>
                <w:sz w:val="24"/>
                <w:szCs w:val="24"/>
                <w:highlight w:val="none"/>
              </w:rPr>
              <w:t>未配置团队人员或未作岗位职责说明的不得分。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7" w:hRule="atLeast"/>
        </w:trPr>
        <w:tc>
          <w:tcPr>
            <w:tcW w:w="904" w:type="dxa"/>
            <w:vMerge w:val="continue"/>
            <w:vAlign w:val="center"/>
          </w:tcPr>
          <w:p>
            <w:pPr>
              <w:spacing w:line="440" w:lineRule="exact"/>
              <w:rPr>
                <w:rFonts w:hint="eastAsia" w:ascii="宋体" w:hAnsi="宋体" w:cs="宋体"/>
                <w:color w:val="auto"/>
                <w:sz w:val="24"/>
                <w:szCs w:val="24"/>
                <w:highlight w:val="none"/>
              </w:rPr>
            </w:pPr>
          </w:p>
        </w:tc>
        <w:tc>
          <w:tcPr>
            <w:tcW w:w="804" w:type="dxa"/>
            <w:vMerge w:val="continue"/>
            <w:vAlign w:val="center"/>
          </w:tcPr>
          <w:p>
            <w:pPr>
              <w:spacing w:line="440" w:lineRule="exact"/>
              <w:rPr>
                <w:rFonts w:hint="eastAsia" w:ascii="宋体" w:hAnsi="宋体" w:cs="宋体"/>
                <w:color w:val="auto"/>
                <w:sz w:val="24"/>
                <w:szCs w:val="24"/>
                <w:highlight w:val="none"/>
              </w:rPr>
            </w:pPr>
          </w:p>
        </w:tc>
        <w:tc>
          <w:tcPr>
            <w:tcW w:w="1901" w:type="dxa"/>
            <w:vMerge w:val="continue"/>
            <w:vAlign w:val="center"/>
          </w:tcPr>
          <w:p>
            <w:pPr>
              <w:spacing w:line="440" w:lineRule="exact"/>
              <w:rPr>
                <w:rFonts w:hint="eastAsia" w:ascii="宋体" w:hAnsi="宋体" w:cs="宋体"/>
                <w:color w:val="auto"/>
                <w:sz w:val="24"/>
                <w:szCs w:val="24"/>
                <w:highlight w:val="none"/>
              </w:rPr>
            </w:pPr>
          </w:p>
        </w:tc>
        <w:tc>
          <w:tcPr>
            <w:tcW w:w="5567" w:type="dxa"/>
            <w:vAlign w:val="center"/>
          </w:tcPr>
          <w:p>
            <w:pPr>
              <w:wordWrap w:val="0"/>
              <w:spacing w:line="440" w:lineRule="exact"/>
              <w:ind w:firstLine="241" w:firstLineChars="100"/>
              <w:contextualSpacing/>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七、车辆配置（满分10分）</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、每配备1台符合配送标准的冷链车辆的，得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分，最多得</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分；</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、配备车辆有完整、详细的清洁及消毒措施，清洁消毒时间、次数、责任人明确，且建立了完善的清洁消毒台账的，得3分，上述内容缺乏完整性、合理性的扣2分，未提供的不得分。</w:t>
            </w:r>
          </w:p>
          <w:p>
            <w:pPr>
              <w:wordWrap w:val="0"/>
              <w:spacing w:line="440" w:lineRule="exact"/>
              <w:ind w:firstLine="240" w:firstLineChars="100"/>
              <w:contextualSpacing/>
              <w:rPr>
                <w:rFonts w:hint="eastAsia" w:ascii="宋体" w:hAnsi="宋体" w:cs="宋体"/>
                <w:b/>
                <w:bCs/>
                <w:color w:val="auto"/>
                <w:sz w:val="24"/>
                <w:szCs w:val="24"/>
                <w:highlight w:val="none"/>
              </w:rPr>
            </w:pPr>
            <w:r>
              <w:rPr>
                <w:rFonts w:hint="eastAsia" w:ascii="宋体" w:hAnsi="宋体" w:cs="宋体"/>
                <w:color w:val="auto"/>
                <w:sz w:val="24"/>
                <w:szCs w:val="24"/>
                <w:highlight w:val="none"/>
              </w:rPr>
              <w:t>注：需提供年检有效期内的自有（或租赁）车辆行驶证、车辆照片、购置发票（如为租赁的提供租赁合同）等复印件作为支撑材料。未按要求提供证明材料或所提供材料无法体现对应评审内容的</w:t>
            </w:r>
            <w:r>
              <w:rPr>
                <w:rFonts w:hint="eastAsia" w:ascii="宋体" w:hAnsi="宋体" w:cs="宋体"/>
                <w:color w:val="auto"/>
                <w:sz w:val="24"/>
                <w:szCs w:val="24"/>
                <w:highlight w:val="none"/>
                <w:lang w:val="en-US" w:eastAsia="zh-CN"/>
              </w:rPr>
              <w:t>不得分</w:t>
            </w:r>
            <w:r>
              <w:rPr>
                <w:rFonts w:hint="eastAsia" w:ascii="宋体" w:hAnsi="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8" w:hRule="atLeast"/>
        </w:trPr>
        <w:tc>
          <w:tcPr>
            <w:tcW w:w="904" w:type="dxa"/>
            <w:vMerge w:val="continue"/>
            <w:vAlign w:val="center"/>
          </w:tcPr>
          <w:p>
            <w:pPr>
              <w:spacing w:line="440" w:lineRule="exact"/>
              <w:rPr>
                <w:rFonts w:hint="eastAsia" w:ascii="宋体" w:hAnsi="宋体" w:cs="宋体"/>
                <w:color w:val="auto"/>
                <w:sz w:val="24"/>
                <w:szCs w:val="24"/>
                <w:highlight w:val="none"/>
              </w:rPr>
            </w:pPr>
          </w:p>
        </w:tc>
        <w:tc>
          <w:tcPr>
            <w:tcW w:w="804" w:type="dxa"/>
            <w:vMerge w:val="continue"/>
            <w:vAlign w:val="center"/>
          </w:tcPr>
          <w:p>
            <w:pPr>
              <w:spacing w:line="440" w:lineRule="exact"/>
              <w:rPr>
                <w:rFonts w:hint="eastAsia" w:ascii="宋体" w:hAnsi="宋体" w:cs="宋体"/>
                <w:color w:val="auto"/>
                <w:sz w:val="24"/>
                <w:szCs w:val="24"/>
                <w:highlight w:val="none"/>
              </w:rPr>
            </w:pPr>
          </w:p>
        </w:tc>
        <w:tc>
          <w:tcPr>
            <w:tcW w:w="1901" w:type="dxa"/>
            <w:vAlign w:val="center"/>
          </w:tcPr>
          <w:p>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5）商务部分F3</w:t>
            </w:r>
          </w:p>
          <w:p>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（满分10分）</w:t>
            </w:r>
          </w:p>
        </w:tc>
        <w:tc>
          <w:tcPr>
            <w:tcW w:w="5567" w:type="dxa"/>
            <w:vAlign w:val="center"/>
          </w:tcPr>
          <w:p>
            <w:pPr>
              <w:wordWrap w:val="0"/>
              <w:spacing w:line="440" w:lineRule="exact"/>
              <w:contextualSpacing/>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售后服务保障（满分</w:t>
            </w:r>
            <w:r>
              <w:rPr>
                <w:rFonts w:hint="eastAsia" w:ascii="宋体" w:hAnsi="宋体" w:cs="宋体"/>
                <w:b/>
                <w:bCs/>
                <w:color w:val="auto"/>
                <w:sz w:val="24"/>
                <w:szCs w:val="24"/>
                <w:highlight w:val="none"/>
                <w:lang w:val="en-US" w:eastAsia="zh-CN"/>
              </w:rPr>
              <w:t>10</w:t>
            </w:r>
            <w:r>
              <w:rPr>
                <w:rFonts w:hint="eastAsia" w:ascii="宋体" w:hAnsi="宋体" w:cs="宋体"/>
                <w:b/>
                <w:bCs/>
                <w:color w:val="auto"/>
                <w:sz w:val="24"/>
                <w:szCs w:val="24"/>
                <w:highlight w:val="none"/>
              </w:rPr>
              <w:t>分）</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1、有完整、详细的售后服务计划及承诺；</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2、有具体的退换货处理措施及承诺，处理流程科学、合理、高效；</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3.有完善的售后问题投诉处理机制，对应处理措施合理；</w:t>
            </w:r>
          </w:p>
          <w:p>
            <w:pPr>
              <w:wordWrap w:val="0"/>
              <w:spacing w:line="440" w:lineRule="exact"/>
              <w:ind w:firstLine="240" w:firstLineChars="100"/>
              <w:contextualSpacing/>
              <w:rPr>
                <w:rFonts w:hint="eastAsia" w:ascii="宋体" w:hAnsi="宋体" w:cs="宋体"/>
                <w:color w:val="auto"/>
                <w:highlight w:val="none"/>
              </w:rPr>
            </w:pPr>
            <w:r>
              <w:rPr>
                <w:rFonts w:hint="eastAsia" w:ascii="宋体" w:hAnsi="宋体" w:cs="宋体"/>
                <w:color w:val="auto"/>
                <w:sz w:val="24"/>
                <w:szCs w:val="24"/>
                <w:highlight w:val="none"/>
              </w:rPr>
              <w:t>4、有明确的到达时间和解决问题时间，具有明确具体的售后服务保障措施；</w:t>
            </w:r>
          </w:p>
          <w:p>
            <w:pPr>
              <w:wordWrap w:val="0"/>
              <w:spacing w:line="440" w:lineRule="exact"/>
              <w:ind w:firstLine="240" w:firstLineChars="100"/>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t>以上方面，每项</w:t>
            </w:r>
            <w:r>
              <w:rPr>
                <w:rFonts w:hint="eastAsia" w:ascii="宋体" w:hAnsi="宋体" w:cs="宋体"/>
                <w:color w:val="auto"/>
                <w:sz w:val="24"/>
                <w:szCs w:val="24"/>
                <w:highlight w:val="none"/>
                <w:lang w:val="en-US" w:eastAsia="zh-CN"/>
              </w:rPr>
              <w:t>2.5</w:t>
            </w:r>
            <w:r>
              <w:rPr>
                <w:rFonts w:hint="eastAsia" w:ascii="宋体" w:hAnsi="宋体" w:cs="宋体"/>
                <w:color w:val="auto"/>
                <w:sz w:val="24"/>
                <w:szCs w:val="24"/>
                <w:highlight w:val="none"/>
              </w:rPr>
              <w:t>分；有一项缺乏完整性、合理性的扣1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分，存在一项缺项漏项或不满足招标文件要求的扣</w:t>
            </w:r>
            <w:r>
              <w:rPr>
                <w:rFonts w:hint="eastAsia" w:ascii="宋体" w:hAnsi="宋体" w:cs="宋体"/>
                <w:color w:val="auto"/>
                <w:sz w:val="24"/>
                <w:szCs w:val="24"/>
                <w:highlight w:val="none"/>
                <w:lang w:val="en-US" w:eastAsia="zh-CN"/>
              </w:rPr>
              <w:t>2.5</w:t>
            </w:r>
            <w:r>
              <w:rPr>
                <w:rFonts w:hint="eastAsia" w:ascii="宋体" w:hAnsi="宋体" w:cs="宋体"/>
                <w:color w:val="auto"/>
                <w:sz w:val="24"/>
                <w:szCs w:val="24"/>
                <w:highlight w:val="none"/>
              </w:rPr>
              <w:t>分。</w:t>
            </w:r>
          </w:p>
        </w:tc>
      </w:tr>
    </w:tbl>
    <w:p>
      <w:pPr>
        <w:rPr>
          <w:rFonts w:hint="eastAsia" w:ascii="宋体" w:hAnsi="宋体" w:cs="宋体"/>
          <w:color w:val="auto"/>
          <w:highlight w:val="none"/>
        </w:rPr>
      </w:pP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pPr>
        <w:pStyle w:val="5"/>
        <w:spacing w:before="0"/>
        <w:ind w:firstLine="0"/>
        <w:rPr>
          <w:rFonts w:hint="eastAsia" w:ascii="宋体" w:hAnsi="宋体" w:cs="宋体"/>
          <w:color w:val="auto"/>
          <w:szCs w:val="24"/>
          <w:highlight w:val="none"/>
        </w:rPr>
      </w:pPr>
      <w:bookmarkStart w:id="724" w:name="_Toc15869"/>
      <w:r>
        <w:rPr>
          <w:rFonts w:hint="eastAsia" w:ascii="宋体" w:hAnsi="宋体" w:cs="宋体"/>
          <w:color w:val="auto"/>
          <w:szCs w:val="24"/>
          <w:highlight w:val="none"/>
        </w:rPr>
        <w:t>1.评标办法</w:t>
      </w:r>
      <w:bookmarkEnd w:id="724"/>
    </w:p>
    <w:p>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cs="宋体"/>
          <w:color w:val="auto"/>
          <w:sz w:val="24"/>
          <w:szCs w:val="24"/>
          <w:highlight w:val="none"/>
        </w:rPr>
      </w:pPr>
      <w:r>
        <w:rPr>
          <w:rFonts w:hint="eastAsia" w:ascii="宋体" w:hAnsi="宋体" w:cs="宋体"/>
          <w:b/>
          <w:color w:val="auto"/>
          <w:sz w:val="24"/>
          <w:szCs w:val="24"/>
          <w:highlight w:val="none"/>
        </w:rPr>
        <w:t>1.1本次评标采用综合评分法。</w:t>
      </w:r>
      <w:r>
        <w:rPr>
          <w:rFonts w:hint="eastAsia" w:ascii="宋体" w:hAnsi="宋体" w:cs="宋体"/>
          <w:color w:val="auto"/>
          <w:sz w:val="24"/>
          <w:szCs w:val="24"/>
          <w:highlight w:val="none"/>
        </w:rPr>
        <w:t>评标委员会对满足招标文件实质性要求的投标文件，按照本章前附表规定的评分标准进行打分，并按上述评标总得分计算公式计算评标总得分。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 按评标总得分由高到低的顺序推荐中标候选人排序，推荐数量：1-3名。</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 评标总得分相等时，按投标报价由低到高顺序排序，评标总得分相等，且投标报价也相同时，按技术部分得分由高到低的顺序排序并推荐中标候选人。</w:t>
      </w:r>
    </w:p>
    <w:p>
      <w:pPr>
        <w:pStyle w:val="5"/>
        <w:spacing w:before="0"/>
        <w:ind w:firstLine="0"/>
        <w:rPr>
          <w:rFonts w:hint="eastAsia" w:ascii="宋体" w:hAnsi="宋体" w:cs="宋体"/>
          <w:color w:val="auto"/>
          <w:szCs w:val="24"/>
          <w:highlight w:val="none"/>
        </w:rPr>
      </w:pPr>
      <w:bookmarkStart w:id="725" w:name="_Toc16599"/>
      <w:r>
        <w:rPr>
          <w:rFonts w:hint="eastAsia" w:ascii="宋体" w:hAnsi="宋体" w:cs="宋体"/>
          <w:color w:val="auto"/>
          <w:szCs w:val="24"/>
          <w:highlight w:val="none"/>
        </w:rPr>
        <w:t>2.评审程序和标准</w:t>
      </w:r>
      <w:bookmarkEnd w:id="725"/>
    </w:p>
    <w:p>
      <w:pPr>
        <w:keepNext/>
        <w:keepLines/>
        <w:pageBreakBefore w:val="0"/>
        <w:widowControl w:val="0"/>
        <w:kinsoku/>
        <w:wordWrap/>
        <w:overflowPunct/>
        <w:topLinePunct w:val="0"/>
        <w:autoSpaceDE/>
        <w:autoSpaceDN/>
        <w:bidi w:val="0"/>
        <w:adjustRightInd/>
        <w:snapToGrid/>
        <w:spacing w:before="0"/>
        <w:ind w:firstLine="0"/>
        <w:textAlignment w:val="auto"/>
        <w:outlineLvl w:val="9"/>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t>2.1资格审查、符合性审查</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2.1.1资格审查：采购人或者采购代理机构依据法律法规和招标文件的规定，对投标文件中的资格证明部分进行审查（具体详见《评标办法前附表》），有一项不符合的，该投标文件按无效投标处理。</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2.1.2符合性审查：评标委员会依据招标文件的规定，对符合资格的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的投标文件进行符合性审查（具体详见《评标办法前附表》），有一项不符合的，该投标文件按无效投标处理。</w:t>
      </w:r>
    </w:p>
    <w:p>
      <w:pPr>
        <w:spacing w:line="360" w:lineRule="auto"/>
        <w:ind w:firstLine="480" w:firstLineChars="200"/>
        <w:jc w:val="left"/>
        <w:rPr>
          <w:rFonts w:hint="eastAsia" w:ascii="宋体" w:hAnsi="宋体" w:cs="宋体"/>
          <w:color w:val="auto"/>
          <w:szCs w:val="21"/>
          <w:highlight w:val="none"/>
        </w:rPr>
      </w:pPr>
      <w:r>
        <w:rPr>
          <w:rFonts w:hint="eastAsia" w:ascii="宋体" w:hAnsi="宋体" w:cs="宋体"/>
          <w:color w:val="auto"/>
          <w:sz w:val="24"/>
          <w:szCs w:val="24"/>
          <w:highlight w:val="none"/>
        </w:rPr>
        <w:t>2.1.3符合本章第2.1.1、2.1.2项规定的投标文件视为符合招标文件的商务、技术等实质性要求评审，可以进行技术和商务评估，综合比较与评价。</w:t>
      </w:r>
    </w:p>
    <w:p>
      <w:pPr>
        <w:keepNext/>
        <w:keepLines/>
        <w:pageBreakBefore w:val="0"/>
        <w:widowControl w:val="0"/>
        <w:kinsoku/>
        <w:wordWrap/>
        <w:overflowPunct/>
        <w:topLinePunct w:val="0"/>
        <w:autoSpaceDE/>
        <w:autoSpaceDN/>
        <w:bidi w:val="0"/>
        <w:adjustRightInd/>
        <w:snapToGrid/>
        <w:spacing w:before="0"/>
        <w:ind w:firstLine="0"/>
        <w:textAlignment w:val="auto"/>
        <w:outlineLvl w:val="9"/>
        <w:rPr>
          <w:rFonts w:hint="eastAsia" w:ascii="宋体" w:hAnsi="宋体" w:cs="宋体"/>
          <w:b/>
          <w:bCs/>
          <w:color w:val="auto"/>
          <w:sz w:val="24"/>
          <w:szCs w:val="32"/>
          <w:highlight w:val="none"/>
        </w:rPr>
      </w:pPr>
      <w:bookmarkStart w:id="726" w:name="_Toc2490"/>
      <w:bookmarkStart w:id="727" w:name="_Toc489197879"/>
      <w:bookmarkStart w:id="728" w:name="_Toc321836408"/>
      <w:bookmarkStart w:id="729" w:name="_Toc489145775"/>
      <w:r>
        <w:rPr>
          <w:rFonts w:hint="eastAsia" w:ascii="宋体" w:hAnsi="宋体" w:cs="宋体"/>
          <w:b/>
          <w:bCs/>
          <w:color w:val="auto"/>
          <w:sz w:val="24"/>
          <w:szCs w:val="32"/>
          <w:highlight w:val="none"/>
        </w:rPr>
        <w:t>2.2 分值构成与评分标准</w:t>
      </w:r>
      <w:bookmarkEnd w:id="726"/>
      <w:bookmarkEnd w:id="727"/>
      <w:bookmarkEnd w:id="728"/>
      <w:bookmarkEnd w:id="729"/>
    </w:p>
    <w:p>
      <w:pPr>
        <w:spacing w:line="360" w:lineRule="auto"/>
        <w:ind w:left="420" w:leftChars="200"/>
        <w:jc w:val="left"/>
        <w:rPr>
          <w:rFonts w:hint="eastAsia" w:ascii="宋体" w:hAnsi="宋体" w:cs="宋体"/>
          <w:color w:val="auto"/>
          <w:sz w:val="24"/>
          <w:szCs w:val="24"/>
          <w:highlight w:val="none"/>
        </w:rPr>
      </w:pPr>
      <w:bookmarkStart w:id="730" w:name="_Toc489145776"/>
      <w:bookmarkStart w:id="731" w:name="_Toc321836409"/>
      <w:bookmarkStart w:id="732" w:name="_Toc489197880"/>
      <w:r>
        <w:rPr>
          <w:rFonts w:hint="eastAsia" w:ascii="宋体" w:hAnsi="宋体" w:cs="宋体"/>
          <w:color w:val="auto"/>
          <w:sz w:val="24"/>
          <w:szCs w:val="24"/>
          <w:highlight w:val="none"/>
        </w:rPr>
        <w:t>2.2.1 分值构成</w:t>
      </w:r>
    </w:p>
    <w:p>
      <w:pPr>
        <w:spacing w:line="360" w:lineRule="auto"/>
        <w:ind w:left="420" w:left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（1）投标报价：详见《评标办法前附表》；</w:t>
      </w:r>
    </w:p>
    <w:p>
      <w:pPr>
        <w:spacing w:line="360" w:lineRule="auto"/>
        <w:ind w:left="420" w:left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（2）技术部分：详见《评标办法前附表》；</w:t>
      </w:r>
    </w:p>
    <w:p>
      <w:pPr>
        <w:spacing w:line="360" w:lineRule="auto"/>
        <w:ind w:left="420" w:left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（3）商务部分：详见《评标办法前附表》。</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2.2.2 评标基准价计算方法：详见《评标办法前附表》。</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2.2.3 评分标准</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按招标文件中规定的评标办法和标准，对满足招标文件实质性要求评审的投标文件进行技术和商务评估，综合比较与评价。</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（1）投标报价评分标准：详见《评标办法前附表》；</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（2）技术部分评分标准：详见《评标办法前附表》；</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（3）商务部分评分标准：详见《评标办法前附表》。</w:t>
      </w:r>
    </w:p>
    <w:p>
      <w:pPr>
        <w:keepNext/>
        <w:keepLines/>
        <w:pageBreakBefore w:val="0"/>
        <w:widowControl w:val="0"/>
        <w:kinsoku/>
        <w:wordWrap/>
        <w:overflowPunct/>
        <w:topLinePunct w:val="0"/>
        <w:autoSpaceDE/>
        <w:autoSpaceDN/>
        <w:bidi w:val="0"/>
        <w:adjustRightInd/>
        <w:snapToGrid/>
        <w:spacing w:before="0"/>
        <w:ind w:firstLine="0"/>
        <w:textAlignment w:val="auto"/>
        <w:outlineLvl w:val="9"/>
        <w:rPr>
          <w:rFonts w:hint="eastAsia" w:ascii="宋体" w:hAnsi="宋体" w:cs="宋体"/>
          <w:b/>
          <w:bCs/>
          <w:color w:val="auto"/>
          <w:sz w:val="24"/>
          <w:szCs w:val="32"/>
          <w:highlight w:val="none"/>
        </w:rPr>
      </w:pPr>
      <w:bookmarkStart w:id="733" w:name="_Toc17462"/>
      <w:r>
        <w:rPr>
          <w:rFonts w:hint="eastAsia" w:ascii="宋体" w:hAnsi="宋体" w:cs="宋体"/>
          <w:b/>
          <w:bCs/>
          <w:color w:val="auto"/>
          <w:sz w:val="24"/>
          <w:szCs w:val="32"/>
          <w:highlight w:val="none"/>
        </w:rPr>
        <w:t>2.3</w:t>
      </w:r>
      <w:bookmarkEnd w:id="730"/>
      <w:bookmarkEnd w:id="731"/>
      <w:bookmarkEnd w:id="732"/>
      <w:r>
        <w:rPr>
          <w:rFonts w:hint="eastAsia" w:ascii="宋体" w:hAnsi="宋体" w:cs="宋体"/>
          <w:b/>
          <w:bCs/>
          <w:color w:val="auto"/>
          <w:sz w:val="24"/>
          <w:szCs w:val="32"/>
          <w:highlight w:val="none"/>
        </w:rPr>
        <w:t>综合比较与评价</w:t>
      </w:r>
      <w:bookmarkEnd w:id="733"/>
    </w:p>
    <w:p>
      <w:pPr>
        <w:spacing w:line="360" w:lineRule="auto"/>
        <w:ind w:firstLine="480" w:firstLineChars="200"/>
        <w:jc w:val="left"/>
        <w:rPr>
          <w:rFonts w:hint="eastAsia" w:ascii="宋体" w:hAnsi="宋体" w:cs="宋体"/>
          <w:color w:val="auto"/>
          <w:sz w:val="24"/>
          <w:szCs w:val="24"/>
          <w:highlight w:val="none"/>
        </w:rPr>
      </w:pPr>
      <w:bookmarkStart w:id="734" w:name="_Toc321836412"/>
      <w:bookmarkStart w:id="735" w:name="_Toc489197881"/>
      <w:bookmarkStart w:id="736" w:name="_Toc489145777"/>
      <w:r>
        <w:rPr>
          <w:rFonts w:hint="eastAsia" w:ascii="宋体" w:hAnsi="宋体" w:cs="宋体"/>
          <w:color w:val="auto"/>
          <w:sz w:val="24"/>
          <w:szCs w:val="24"/>
          <w:highlight w:val="none"/>
        </w:rPr>
        <w:t>2.3.1 评标委员会按本章2.2.3规定的评分标准进行打分，并计算出</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的评标总得分。对</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的价格分等客观评分项的评分应当一致，对其他需要借助专业知识评判的主观评分项，应当严格按照评分细则公正评分。</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（1）按本章《评标办法前附表》的规定对投标报价计算出得分F1；</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（2）按本章《评标办法前附表》的规定对技术部分评分，得分F2；</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（3）按本章《评标办法前附表》的规定对商务部分评分，得分F3；</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（4）按本章《评标办法前附表》的规定计算评标总得分。</w:t>
      </w:r>
    </w:p>
    <w:p>
      <w:pPr>
        <w:spacing w:line="360" w:lineRule="auto"/>
        <w:ind w:firstLine="420" w:firstLineChars="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评标委员会认为</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的报价明显低于其他通过符合性审查</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的报价，有可能影响</w:t>
      </w:r>
      <w:r>
        <w:rPr>
          <w:rFonts w:hint="eastAsia" w:ascii="宋体" w:hAnsi="宋体" w:cs="宋体"/>
          <w:color w:val="auto"/>
          <w:sz w:val="24"/>
          <w:szCs w:val="24"/>
          <w:highlight w:val="none"/>
          <w:lang w:val="en-US" w:eastAsia="zh-CN"/>
        </w:rPr>
        <w:t>服务</w:t>
      </w:r>
      <w:r>
        <w:rPr>
          <w:rFonts w:hint="eastAsia" w:ascii="宋体" w:hAnsi="宋体" w:cs="宋体"/>
          <w:color w:val="auto"/>
          <w:sz w:val="24"/>
          <w:szCs w:val="24"/>
          <w:highlight w:val="none"/>
        </w:rPr>
        <w:t>质量或者不能诚信履约的，将要求其在评标现场合理的时间内提供书面说明，必要时提交相关证明材料；</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不能证明其报价合理性的，评标委员会将认定其投标无效。</w:t>
      </w:r>
    </w:p>
    <w:p>
      <w:pPr>
        <w:spacing w:line="360" w:lineRule="auto"/>
        <w:ind w:left="420" w:left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2.3.2统计分数原则</w:t>
      </w:r>
    </w:p>
    <w:p>
      <w:pPr>
        <w:spacing w:line="360" w:lineRule="auto"/>
        <w:ind w:firstLine="480" w:firstLineChars="200"/>
        <w:jc w:val="left"/>
        <w:rPr>
          <w:rFonts w:hint="eastAsia" w:ascii="宋体" w:hAnsi="宋体" w:cs="宋体"/>
          <w:bCs/>
          <w:color w:val="auto"/>
          <w:sz w:val="24"/>
          <w:szCs w:val="24"/>
          <w:highlight w:val="none"/>
        </w:rPr>
      </w:pPr>
      <w:r>
        <w:rPr>
          <w:rFonts w:hint="eastAsia" w:ascii="宋体" w:hAnsi="宋体" w:cs="宋体"/>
          <w:color w:val="auto"/>
          <w:sz w:val="24"/>
          <w:szCs w:val="24"/>
          <w:highlight w:val="none"/>
        </w:rPr>
        <w:t>（1）报价部分（F1）</w:t>
      </w:r>
      <w:r>
        <w:rPr>
          <w:rFonts w:hint="eastAsia" w:ascii="宋体" w:hAnsi="宋体" w:cs="宋体"/>
          <w:bCs/>
          <w:color w:val="auto"/>
          <w:sz w:val="24"/>
          <w:szCs w:val="24"/>
          <w:highlight w:val="none"/>
        </w:rPr>
        <w:t>由各</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的投标报价计算后得出（保留小数点后两位）</w:t>
      </w:r>
      <w:r>
        <w:rPr>
          <w:rFonts w:hint="eastAsia" w:ascii="宋体" w:hAnsi="宋体" w:cs="宋体"/>
          <w:color w:val="auto"/>
          <w:sz w:val="24"/>
          <w:szCs w:val="24"/>
          <w:highlight w:val="none"/>
        </w:rPr>
        <w:t>，小数点后第三位”四舍五入”。</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（2）技术部分（F2）和商务部分（F3）得分由评标委员会成员独立评分，</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各项评分因素得分为该项因素各评委评分的算术平均值（保留小数点后两位），小数点后第三位”四舍五入”。</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pPr>
        <w:keepNext/>
        <w:keepLines/>
        <w:pageBreakBefore w:val="0"/>
        <w:widowControl w:val="0"/>
        <w:kinsoku/>
        <w:wordWrap/>
        <w:overflowPunct/>
        <w:topLinePunct w:val="0"/>
        <w:autoSpaceDE/>
        <w:autoSpaceDN/>
        <w:bidi w:val="0"/>
        <w:adjustRightInd/>
        <w:snapToGrid/>
        <w:spacing w:before="0"/>
        <w:ind w:firstLine="0"/>
        <w:textAlignment w:val="auto"/>
        <w:outlineLvl w:val="9"/>
        <w:rPr>
          <w:rFonts w:hint="eastAsia" w:ascii="宋体" w:hAnsi="宋体" w:cs="宋体"/>
          <w:b/>
          <w:bCs/>
          <w:color w:val="auto"/>
          <w:sz w:val="24"/>
          <w:szCs w:val="32"/>
          <w:highlight w:val="none"/>
        </w:rPr>
      </w:pPr>
      <w:bookmarkStart w:id="737" w:name="_Toc4457"/>
      <w:r>
        <w:rPr>
          <w:rFonts w:hint="eastAsia" w:ascii="宋体" w:hAnsi="宋体" w:cs="宋体"/>
          <w:b/>
          <w:bCs/>
          <w:color w:val="auto"/>
          <w:sz w:val="24"/>
          <w:szCs w:val="32"/>
          <w:highlight w:val="none"/>
        </w:rPr>
        <w:t>2.4投标文件的澄清</w:t>
      </w:r>
      <w:bookmarkEnd w:id="734"/>
      <w:bookmarkEnd w:id="735"/>
      <w:bookmarkEnd w:id="736"/>
      <w:bookmarkEnd w:id="737"/>
      <w:r>
        <w:rPr>
          <w:rFonts w:hint="eastAsia" w:ascii="宋体" w:hAnsi="宋体" w:cs="宋体"/>
          <w:b/>
          <w:bCs/>
          <w:color w:val="auto"/>
          <w:sz w:val="24"/>
          <w:szCs w:val="32"/>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2.4.1投标文件中出现含义不明确、同类问题表述不一致或者有明显文字和计算错误的内容，评标委员会将要求</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作出必要的澄清、说明或者补正。</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的澄清、说明或者补正应当采用书面形式，并加盖公章，或者由法定代表人（负责人）或其授权的代表签字。</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的澄清、说明或者补正不得超出投标文件的范围或者改变投标文件的实质性内容。</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2.4.2评标委员会不接受</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主动提出的澄清、说明或者补正。</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2.4.3 评标委员会对</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提交的澄清、说明或者补正有疑问的，可以要求</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进一步澄清、说明或者补正。</w:t>
      </w:r>
    </w:p>
    <w:p>
      <w:pPr>
        <w:keepNext/>
        <w:keepLines/>
        <w:pageBreakBefore w:val="0"/>
        <w:widowControl w:val="0"/>
        <w:kinsoku/>
        <w:wordWrap/>
        <w:overflowPunct/>
        <w:topLinePunct w:val="0"/>
        <w:autoSpaceDE/>
        <w:autoSpaceDN/>
        <w:bidi w:val="0"/>
        <w:adjustRightInd/>
        <w:snapToGrid/>
        <w:spacing w:before="0"/>
        <w:ind w:firstLine="0"/>
        <w:textAlignment w:val="auto"/>
        <w:outlineLvl w:val="9"/>
        <w:rPr>
          <w:rFonts w:hint="eastAsia" w:ascii="宋体" w:hAnsi="宋体" w:cs="宋体"/>
          <w:b/>
          <w:bCs/>
          <w:color w:val="auto"/>
          <w:sz w:val="24"/>
          <w:szCs w:val="32"/>
          <w:highlight w:val="none"/>
        </w:rPr>
      </w:pPr>
      <w:bookmarkStart w:id="738" w:name="_Toc489197882"/>
      <w:bookmarkStart w:id="739" w:name="_Toc321836413"/>
      <w:bookmarkStart w:id="740" w:name="_Toc20806"/>
      <w:bookmarkStart w:id="741" w:name="_Toc489145778"/>
      <w:r>
        <w:rPr>
          <w:rFonts w:hint="eastAsia" w:ascii="宋体" w:hAnsi="宋体" w:cs="宋体"/>
          <w:b/>
          <w:bCs/>
          <w:color w:val="auto"/>
          <w:sz w:val="24"/>
          <w:szCs w:val="32"/>
          <w:highlight w:val="none"/>
        </w:rPr>
        <w:t>2.5评标结果</w:t>
      </w:r>
      <w:bookmarkEnd w:id="738"/>
      <w:bookmarkEnd w:id="739"/>
      <w:bookmarkEnd w:id="740"/>
      <w:bookmarkEnd w:id="741"/>
    </w:p>
    <w:bookmarkEnd w:id="715"/>
    <w:bookmarkEnd w:id="716"/>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2.5.</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 xml:space="preserve"> 投标文件满足招标文件全部实质性要求，且按照评审因素的量化指标评审得分最高的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将会被推荐为排名第一的中标候选人。</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2.5.</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 xml:space="preserve"> 评标总得分相等时，按投标报价由低到高顺序排序，评标总得分相等，且投标报价也相同时，按技术部分得分由高到低的顺序排序并推荐中标候选人。</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2.5.</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 xml:space="preserve"> 评标委员会根据全体评标成员签字的原始评标记录和评标结果编写评标报告。</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2.5.</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 xml:space="preserve"> 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2.5.</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rPr>
          <w:rFonts w:hint="eastAsia" w:ascii="宋体" w:hAnsi="宋体" w:cs="宋体"/>
          <w:color w:val="auto"/>
          <w:highlight w:val="none"/>
        </w:rPr>
      </w:pPr>
    </w:p>
    <w:p>
      <w:pPr>
        <w:rPr>
          <w:rFonts w:hint="eastAsia" w:ascii="宋体" w:hAnsi="宋体" w:cs="宋体"/>
          <w:color w:val="auto"/>
          <w:highlight w:val="none"/>
        </w:rPr>
      </w:pPr>
    </w:p>
    <w:p>
      <w:pPr>
        <w:rPr>
          <w:rFonts w:hint="eastAsia" w:ascii="宋体" w:hAnsi="宋体" w:cs="宋体"/>
          <w:color w:val="auto"/>
          <w:highlight w:val="none"/>
        </w:rPr>
      </w:pPr>
    </w:p>
    <w:p>
      <w:pPr>
        <w:rPr>
          <w:rFonts w:hint="eastAsia" w:ascii="宋体" w:hAnsi="宋体" w:cs="宋体"/>
          <w:color w:val="auto"/>
          <w:highlight w:val="none"/>
        </w:rPr>
      </w:pPr>
    </w:p>
    <w:sectPr>
      <w:footerReference r:id="rId5" w:type="default"/>
      <w:pgSz w:w="11906" w:h="16838"/>
      <w:pgMar w:top="1440" w:right="1080" w:bottom="1440" w:left="1080" w:header="851" w:footer="113"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sz w:val="24"/>
      </w:rPr>
    </w:pPr>
  </w:p>
  <w:sdt>
    <w:sdtPr>
      <w:rPr>
        <w:rFonts w:hint="eastAsia" w:ascii="宋体" w:hAnsi="宋体" w:cs="宋体"/>
        <w:sz w:val="24"/>
        <w:szCs w:val="24"/>
      </w:rPr>
      <w:id w:val="1587115789"/>
    </w:sdtPr>
    <w:sdtEndPr>
      <w:rPr>
        <w:rFonts w:hint="eastAsia" w:ascii="宋体" w:hAnsi="宋体" w:cs="宋体"/>
        <w:sz w:val="24"/>
        <w:szCs w:val="24"/>
      </w:rPr>
    </w:sdtEndPr>
    <w:sdtContent>
      <w:p>
        <w:pPr>
          <w:pStyle w:val="14"/>
          <w:jc w:val="center"/>
          <w:rPr>
            <w:rFonts w:ascii="宋体" w:hAnsi="宋体" w:cs="宋体"/>
            <w:sz w:val="24"/>
            <w:szCs w:val="24"/>
          </w:rPr>
        </w:pPr>
      </w:p>
      <w:p>
        <w:pPr>
          <w:pStyle w:val="14"/>
          <w:jc w:val="both"/>
        </w:pPr>
      </w:p>
    </w:sdtContent>
  </w:sdt>
  <w:p>
    <w:pPr>
      <w:pStyle w:val="14"/>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85</w:t>
                    </w:r>
                    <w:r>
                      <w:fldChar w:fldCharType="end"/>
                    </w:r>
                    <w:r>
                      <w:t xml:space="preserve"> 页</w:t>
                    </w:r>
                  </w:p>
                </w:txbxContent>
              </v:textbox>
            </v:shape>
          </w:pict>
        </mc:Fallback>
      </mc:AlternateContent>
    </w:r>
  </w:p>
  <w:sdt>
    <w:sdtPr>
      <w:rPr>
        <w:rFonts w:hint="eastAsia" w:ascii="宋体" w:hAnsi="宋体" w:cs="宋体"/>
        <w:sz w:val="24"/>
        <w:szCs w:val="24"/>
      </w:rPr>
      <w:id w:val="1587115789"/>
    </w:sdtPr>
    <w:sdtEndPr>
      <w:rPr>
        <w:rFonts w:hint="eastAsia" w:ascii="宋体" w:hAnsi="宋体" w:cs="宋体"/>
        <w:sz w:val="24"/>
        <w:szCs w:val="24"/>
      </w:rPr>
    </w:sdtEndPr>
    <w:sdtContent>
      <w:p>
        <w:pPr>
          <w:pStyle w:val="14"/>
          <w:jc w:val="center"/>
          <w:rPr>
            <w:rFonts w:ascii="宋体" w:hAnsi="宋体" w:cs="宋体"/>
            <w:sz w:val="24"/>
            <w:szCs w:val="24"/>
          </w:rPr>
        </w:pPr>
      </w:p>
      <w:p>
        <w:pPr>
          <w:pStyle w:val="14"/>
          <w:jc w:val="both"/>
        </w:pPr>
      </w:p>
    </w:sdtContent>
  </w:sdt>
  <w:p>
    <w:pPr>
      <w:pStyle w:val="14"/>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7"/>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1">
    <w:nsid w:val="0000000C"/>
    <w:multiLevelType w:val="multilevel"/>
    <w:tmpl w:val="0000000C"/>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2723"/>
        </w:tabs>
        <w:ind w:left="2723"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338"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18A11C85"/>
    <w:multiLevelType w:val="multilevel"/>
    <w:tmpl w:val="18A11C85"/>
    <w:lvl w:ilvl="0" w:tentative="0">
      <w:start w:val="1"/>
      <w:numFmt w:val="decimal"/>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1C8314E"/>
    <w:rsid w:val="00047DB8"/>
    <w:rsid w:val="001639E2"/>
    <w:rsid w:val="001941BF"/>
    <w:rsid w:val="001A2968"/>
    <w:rsid w:val="0021093A"/>
    <w:rsid w:val="0022051C"/>
    <w:rsid w:val="00225378"/>
    <w:rsid w:val="003532FE"/>
    <w:rsid w:val="003752C8"/>
    <w:rsid w:val="004D4AEB"/>
    <w:rsid w:val="00501EE6"/>
    <w:rsid w:val="005539A0"/>
    <w:rsid w:val="006140F3"/>
    <w:rsid w:val="00670E60"/>
    <w:rsid w:val="00681A77"/>
    <w:rsid w:val="006911F9"/>
    <w:rsid w:val="007A1658"/>
    <w:rsid w:val="008055D5"/>
    <w:rsid w:val="00807165"/>
    <w:rsid w:val="00836C89"/>
    <w:rsid w:val="008E2A0E"/>
    <w:rsid w:val="00936276"/>
    <w:rsid w:val="00A635BE"/>
    <w:rsid w:val="00A83AD0"/>
    <w:rsid w:val="00A91D13"/>
    <w:rsid w:val="00AC07A4"/>
    <w:rsid w:val="00AD558A"/>
    <w:rsid w:val="00AE4E5E"/>
    <w:rsid w:val="00BC3A1F"/>
    <w:rsid w:val="00C85F20"/>
    <w:rsid w:val="00CB3C62"/>
    <w:rsid w:val="00D074CA"/>
    <w:rsid w:val="00D13800"/>
    <w:rsid w:val="00E13486"/>
    <w:rsid w:val="012515C4"/>
    <w:rsid w:val="01284246"/>
    <w:rsid w:val="012A6BDB"/>
    <w:rsid w:val="012E64AE"/>
    <w:rsid w:val="013730A5"/>
    <w:rsid w:val="01521C8D"/>
    <w:rsid w:val="01590ADA"/>
    <w:rsid w:val="015B4FE6"/>
    <w:rsid w:val="01610122"/>
    <w:rsid w:val="01671BDD"/>
    <w:rsid w:val="01822573"/>
    <w:rsid w:val="018856AF"/>
    <w:rsid w:val="01B42948"/>
    <w:rsid w:val="01C8314E"/>
    <w:rsid w:val="01D34B7C"/>
    <w:rsid w:val="01D561A4"/>
    <w:rsid w:val="01DB7ED5"/>
    <w:rsid w:val="01DE1773"/>
    <w:rsid w:val="01E6443F"/>
    <w:rsid w:val="01E7687A"/>
    <w:rsid w:val="01EF572E"/>
    <w:rsid w:val="021352E3"/>
    <w:rsid w:val="022950E4"/>
    <w:rsid w:val="022C0730"/>
    <w:rsid w:val="02313F99"/>
    <w:rsid w:val="023F2212"/>
    <w:rsid w:val="02557C87"/>
    <w:rsid w:val="02714395"/>
    <w:rsid w:val="02753E85"/>
    <w:rsid w:val="02954528"/>
    <w:rsid w:val="02B01361"/>
    <w:rsid w:val="02BA21E0"/>
    <w:rsid w:val="02BC7D06"/>
    <w:rsid w:val="02DC2156"/>
    <w:rsid w:val="02E132C9"/>
    <w:rsid w:val="02F23728"/>
    <w:rsid w:val="030D17A1"/>
    <w:rsid w:val="03100052"/>
    <w:rsid w:val="0328539C"/>
    <w:rsid w:val="032D29B2"/>
    <w:rsid w:val="03575C81"/>
    <w:rsid w:val="035E7709"/>
    <w:rsid w:val="0361440A"/>
    <w:rsid w:val="03627FB6"/>
    <w:rsid w:val="036F4D79"/>
    <w:rsid w:val="039558ED"/>
    <w:rsid w:val="039C3694"/>
    <w:rsid w:val="03BD3D36"/>
    <w:rsid w:val="03D35307"/>
    <w:rsid w:val="03D66BA6"/>
    <w:rsid w:val="03E2554B"/>
    <w:rsid w:val="03F80CEA"/>
    <w:rsid w:val="03F84D6E"/>
    <w:rsid w:val="04185410"/>
    <w:rsid w:val="042518DB"/>
    <w:rsid w:val="042E0790"/>
    <w:rsid w:val="043D6C25"/>
    <w:rsid w:val="04567CE7"/>
    <w:rsid w:val="0462668B"/>
    <w:rsid w:val="04663613"/>
    <w:rsid w:val="046A2A3A"/>
    <w:rsid w:val="04730898"/>
    <w:rsid w:val="047D1717"/>
    <w:rsid w:val="0490144A"/>
    <w:rsid w:val="04CB4231"/>
    <w:rsid w:val="04DC4690"/>
    <w:rsid w:val="04F73278"/>
    <w:rsid w:val="050634BB"/>
    <w:rsid w:val="050B0AD1"/>
    <w:rsid w:val="051216E7"/>
    <w:rsid w:val="05177476"/>
    <w:rsid w:val="05290F57"/>
    <w:rsid w:val="052E656D"/>
    <w:rsid w:val="053022E6"/>
    <w:rsid w:val="055A55B4"/>
    <w:rsid w:val="05663F59"/>
    <w:rsid w:val="057F2DF2"/>
    <w:rsid w:val="05816FE5"/>
    <w:rsid w:val="058663AA"/>
    <w:rsid w:val="059B1E55"/>
    <w:rsid w:val="05B747B5"/>
    <w:rsid w:val="05C70E9C"/>
    <w:rsid w:val="05C80770"/>
    <w:rsid w:val="05D610DF"/>
    <w:rsid w:val="05E25CD6"/>
    <w:rsid w:val="05EA06E6"/>
    <w:rsid w:val="05EF03F3"/>
    <w:rsid w:val="060E0879"/>
    <w:rsid w:val="060F59FC"/>
    <w:rsid w:val="06112117"/>
    <w:rsid w:val="061A5470"/>
    <w:rsid w:val="061B4D44"/>
    <w:rsid w:val="06277B8D"/>
    <w:rsid w:val="063B3638"/>
    <w:rsid w:val="06475B39"/>
    <w:rsid w:val="064C75F3"/>
    <w:rsid w:val="065A14B4"/>
    <w:rsid w:val="06744454"/>
    <w:rsid w:val="068154EF"/>
    <w:rsid w:val="06A44D39"/>
    <w:rsid w:val="06B62CBE"/>
    <w:rsid w:val="06C73E65"/>
    <w:rsid w:val="06D66EBD"/>
    <w:rsid w:val="06E24106"/>
    <w:rsid w:val="06F23CF7"/>
    <w:rsid w:val="070752C8"/>
    <w:rsid w:val="07106873"/>
    <w:rsid w:val="072365A6"/>
    <w:rsid w:val="07407CDF"/>
    <w:rsid w:val="074224CA"/>
    <w:rsid w:val="074309F6"/>
    <w:rsid w:val="07464042"/>
    <w:rsid w:val="0749768F"/>
    <w:rsid w:val="074B3407"/>
    <w:rsid w:val="075524D7"/>
    <w:rsid w:val="07666493"/>
    <w:rsid w:val="07907112"/>
    <w:rsid w:val="07AA637F"/>
    <w:rsid w:val="07B70A9C"/>
    <w:rsid w:val="07D57174"/>
    <w:rsid w:val="07DC0503"/>
    <w:rsid w:val="07E432B2"/>
    <w:rsid w:val="07EC6998"/>
    <w:rsid w:val="07F817E1"/>
    <w:rsid w:val="07FC0BA5"/>
    <w:rsid w:val="082962EA"/>
    <w:rsid w:val="086E3851"/>
    <w:rsid w:val="087370B9"/>
    <w:rsid w:val="08744BDF"/>
    <w:rsid w:val="088968DD"/>
    <w:rsid w:val="089934ED"/>
    <w:rsid w:val="08A64A6B"/>
    <w:rsid w:val="08EE4992"/>
    <w:rsid w:val="08FC70AE"/>
    <w:rsid w:val="08FF094D"/>
    <w:rsid w:val="09120680"/>
    <w:rsid w:val="09187C60"/>
    <w:rsid w:val="09267C87"/>
    <w:rsid w:val="092E5190"/>
    <w:rsid w:val="09304FAA"/>
    <w:rsid w:val="0935436E"/>
    <w:rsid w:val="093F1A88"/>
    <w:rsid w:val="09410F65"/>
    <w:rsid w:val="09436A8B"/>
    <w:rsid w:val="09554A11"/>
    <w:rsid w:val="095D5673"/>
    <w:rsid w:val="096A10D1"/>
    <w:rsid w:val="097C1F9D"/>
    <w:rsid w:val="0983332C"/>
    <w:rsid w:val="098F1CD1"/>
    <w:rsid w:val="099512B1"/>
    <w:rsid w:val="09A514F4"/>
    <w:rsid w:val="09B72FD5"/>
    <w:rsid w:val="09C474A0"/>
    <w:rsid w:val="09C6146A"/>
    <w:rsid w:val="09C86F91"/>
    <w:rsid w:val="09E3201C"/>
    <w:rsid w:val="09EA33AB"/>
    <w:rsid w:val="09F9539C"/>
    <w:rsid w:val="0A0124A3"/>
    <w:rsid w:val="0A075D0B"/>
    <w:rsid w:val="0A3E54A5"/>
    <w:rsid w:val="0A406D66"/>
    <w:rsid w:val="0A481E7F"/>
    <w:rsid w:val="0A606C18"/>
    <w:rsid w:val="0A64315D"/>
    <w:rsid w:val="0A740EC6"/>
    <w:rsid w:val="0A7B4003"/>
    <w:rsid w:val="0A83110A"/>
    <w:rsid w:val="0A8F7AAE"/>
    <w:rsid w:val="0A9A6B7F"/>
    <w:rsid w:val="0A9F23E7"/>
    <w:rsid w:val="0ABB4D47"/>
    <w:rsid w:val="0ABD461B"/>
    <w:rsid w:val="0AC63129"/>
    <w:rsid w:val="0AD1695A"/>
    <w:rsid w:val="0AE4604C"/>
    <w:rsid w:val="0AF81AF7"/>
    <w:rsid w:val="0AFA761E"/>
    <w:rsid w:val="0B0E4E77"/>
    <w:rsid w:val="0B112BB9"/>
    <w:rsid w:val="0B1B1342"/>
    <w:rsid w:val="0B7218AA"/>
    <w:rsid w:val="0B7F7B23"/>
    <w:rsid w:val="0B9C6927"/>
    <w:rsid w:val="0BA15CEB"/>
    <w:rsid w:val="0BAE21B6"/>
    <w:rsid w:val="0BB04180"/>
    <w:rsid w:val="0BB27EF8"/>
    <w:rsid w:val="0BB62F04"/>
    <w:rsid w:val="0BCB0FBA"/>
    <w:rsid w:val="0BCF0AAA"/>
    <w:rsid w:val="0BED7182"/>
    <w:rsid w:val="0BF4406D"/>
    <w:rsid w:val="0BF71DAF"/>
    <w:rsid w:val="0C126BE9"/>
    <w:rsid w:val="0C3E178C"/>
    <w:rsid w:val="0C4D19CF"/>
    <w:rsid w:val="0C6664A1"/>
    <w:rsid w:val="0C6D58B1"/>
    <w:rsid w:val="0C825B1D"/>
    <w:rsid w:val="0C833643"/>
    <w:rsid w:val="0C851169"/>
    <w:rsid w:val="0C945A00"/>
    <w:rsid w:val="0CA21D1B"/>
    <w:rsid w:val="0CC22A25"/>
    <w:rsid w:val="0CC872A8"/>
    <w:rsid w:val="0CE55B25"/>
    <w:rsid w:val="0CEF0CD8"/>
    <w:rsid w:val="0CFA35E4"/>
    <w:rsid w:val="0CFE6B10"/>
    <w:rsid w:val="0D0227BA"/>
    <w:rsid w:val="0D1644B7"/>
    <w:rsid w:val="0D200E92"/>
    <w:rsid w:val="0D2B7F62"/>
    <w:rsid w:val="0D442DD2"/>
    <w:rsid w:val="0D5A0848"/>
    <w:rsid w:val="0D6E7E4F"/>
    <w:rsid w:val="0D887163"/>
    <w:rsid w:val="0D98311E"/>
    <w:rsid w:val="0D9C2C0E"/>
    <w:rsid w:val="0DB71BC1"/>
    <w:rsid w:val="0DD405FA"/>
    <w:rsid w:val="0DE016F7"/>
    <w:rsid w:val="0DEE2D3E"/>
    <w:rsid w:val="0DF02F5A"/>
    <w:rsid w:val="0E176739"/>
    <w:rsid w:val="0E1C5AFD"/>
    <w:rsid w:val="0E2055ED"/>
    <w:rsid w:val="0E323572"/>
    <w:rsid w:val="0E462B7A"/>
    <w:rsid w:val="0E4868F2"/>
    <w:rsid w:val="0E574D87"/>
    <w:rsid w:val="0E5B6625"/>
    <w:rsid w:val="0E76345F"/>
    <w:rsid w:val="0EB16245"/>
    <w:rsid w:val="0EB977F0"/>
    <w:rsid w:val="0EC00B7E"/>
    <w:rsid w:val="0EC046DA"/>
    <w:rsid w:val="0EC70BAC"/>
    <w:rsid w:val="0EC71F0D"/>
    <w:rsid w:val="0ECE329B"/>
    <w:rsid w:val="0ECE5049"/>
    <w:rsid w:val="0EDE2DB2"/>
    <w:rsid w:val="0EE303C9"/>
    <w:rsid w:val="0EFA4090"/>
    <w:rsid w:val="0EFB1BB6"/>
    <w:rsid w:val="0F19203C"/>
    <w:rsid w:val="0F1D7D7F"/>
    <w:rsid w:val="0F331350"/>
    <w:rsid w:val="0F3B0205"/>
    <w:rsid w:val="0F4470B9"/>
    <w:rsid w:val="0F4C2412"/>
    <w:rsid w:val="0F641967"/>
    <w:rsid w:val="0F753717"/>
    <w:rsid w:val="0F7554C5"/>
    <w:rsid w:val="0F781459"/>
    <w:rsid w:val="0F786D63"/>
    <w:rsid w:val="0F93270C"/>
    <w:rsid w:val="0FA4224E"/>
    <w:rsid w:val="0FBD50BE"/>
    <w:rsid w:val="0FC338F7"/>
    <w:rsid w:val="0FD146C5"/>
    <w:rsid w:val="0FDE750E"/>
    <w:rsid w:val="0FEF5853"/>
    <w:rsid w:val="0FFC3E38"/>
    <w:rsid w:val="101E3DAE"/>
    <w:rsid w:val="10484987"/>
    <w:rsid w:val="104A70D1"/>
    <w:rsid w:val="105B7B98"/>
    <w:rsid w:val="106D2640"/>
    <w:rsid w:val="107C0AD5"/>
    <w:rsid w:val="10857989"/>
    <w:rsid w:val="108C51BC"/>
    <w:rsid w:val="10BE3107"/>
    <w:rsid w:val="10C75EB0"/>
    <w:rsid w:val="10EA1EE2"/>
    <w:rsid w:val="110A60E1"/>
    <w:rsid w:val="111B6540"/>
    <w:rsid w:val="111D4066"/>
    <w:rsid w:val="112076B2"/>
    <w:rsid w:val="11333889"/>
    <w:rsid w:val="11457119"/>
    <w:rsid w:val="114D11F3"/>
    <w:rsid w:val="115B2DE0"/>
    <w:rsid w:val="116B3023"/>
    <w:rsid w:val="117143B2"/>
    <w:rsid w:val="119A7465"/>
    <w:rsid w:val="11A227BD"/>
    <w:rsid w:val="11B00A36"/>
    <w:rsid w:val="11D64215"/>
    <w:rsid w:val="11E903EC"/>
    <w:rsid w:val="11E93F48"/>
    <w:rsid w:val="11F36B75"/>
    <w:rsid w:val="11F72B09"/>
    <w:rsid w:val="12015736"/>
    <w:rsid w:val="120C27FE"/>
    <w:rsid w:val="122431D2"/>
    <w:rsid w:val="122F22A3"/>
    <w:rsid w:val="12614426"/>
    <w:rsid w:val="12617F82"/>
    <w:rsid w:val="1272218F"/>
    <w:rsid w:val="127777A6"/>
    <w:rsid w:val="12961374"/>
    <w:rsid w:val="1299596E"/>
    <w:rsid w:val="12C16C73"/>
    <w:rsid w:val="12CA5B28"/>
    <w:rsid w:val="12D6271E"/>
    <w:rsid w:val="12D90460"/>
    <w:rsid w:val="12F23412"/>
    <w:rsid w:val="12F47048"/>
    <w:rsid w:val="12FB2185"/>
    <w:rsid w:val="130A4270"/>
    <w:rsid w:val="13165211"/>
    <w:rsid w:val="13207E3D"/>
    <w:rsid w:val="133438E9"/>
    <w:rsid w:val="1347361C"/>
    <w:rsid w:val="13517FF7"/>
    <w:rsid w:val="13631AD8"/>
    <w:rsid w:val="136F66CF"/>
    <w:rsid w:val="13710699"/>
    <w:rsid w:val="13734411"/>
    <w:rsid w:val="137F3328"/>
    <w:rsid w:val="13871C6A"/>
    <w:rsid w:val="13B26CD1"/>
    <w:rsid w:val="13BB35F0"/>
    <w:rsid w:val="13C133CE"/>
    <w:rsid w:val="13E0137B"/>
    <w:rsid w:val="140E413A"/>
    <w:rsid w:val="141B23B3"/>
    <w:rsid w:val="14234586"/>
    <w:rsid w:val="143317D7"/>
    <w:rsid w:val="144162BD"/>
    <w:rsid w:val="14425B91"/>
    <w:rsid w:val="14465682"/>
    <w:rsid w:val="144B2C98"/>
    <w:rsid w:val="14777F31"/>
    <w:rsid w:val="148B578A"/>
    <w:rsid w:val="148D505F"/>
    <w:rsid w:val="148F7029"/>
    <w:rsid w:val="14B360A2"/>
    <w:rsid w:val="14BB6070"/>
    <w:rsid w:val="14C447F8"/>
    <w:rsid w:val="14DB226E"/>
    <w:rsid w:val="14DE3B0C"/>
    <w:rsid w:val="14E46C49"/>
    <w:rsid w:val="15086DDB"/>
    <w:rsid w:val="15202377"/>
    <w:rsid w:val="15316332"/>
    <w:rsid w:val="15347BD0"/>
    <w:rsid w:val="155B6F0B"/>
    <w:rsid w:val="155C2C83"/>
    <w:rsid w:val="156009C5"/>
    <w:rsid w:val="157D3325"/>
    <w:rsid w:val="15822875"/>
    <w:rsid w:val="1585667E"/>
    <w:rsid w:val="15897F1C"/>
    <w:rsid w:val="158C5316"/>
    <w:rsid w:val="15BF393E"/>
    <w:rsid w:val="15CE1DD3"/>
    <w:rsid w:val="15E769F0"/>
    <w:rsid w:val="15F35395"/>
    <w:rsid w:val="160F1472"/>
    <w:rsid w:val="1638724C"/>
    <w:rsid w:val="165C118C"/>
    <w:rsid w:val="16792A0E"/>
    <w:rsid w:val="169F376F"/>
    <w:rsid w:val="16B72867"/>
    <w:rsid w:val="16BA4105"/>
    <w:rsid w:val="16CC4799"/>
    <w:rsid w:val="16D2144F"/>
    <w:rsid w:val="16EB0762"/>
    <w:rsid w:val="16F05D79"/>
    <w:rsid w:val="16F21AF1"/>
    <w:rsid w:val="17051824"/>
    <w:rsid w:val="170535D2"/>
    <w:rsid w:val="17071C6D"/>
    <w:rsid w:val="174A5489"/>
    <w:rsid w:val="1755653C"/>
    <w:rsid w:val="17793FC0"/>
    <w:rsid w:val="177D5B2A"/>
    <w:rsid w:val="17800EAB"/>
    <w:rsid w:val="17AE3C6A"/>
    <w:rsid w:val="17AF79E2"/>
    <w:rsid w:val="17C3523B"/>
    <w:rsid w:val="17DD62FD"/>
    <w:rsid w:val="17DF02C7"/>
    <w:rsid w:val="17EF3C37"/>
    <w:rsid w:val="17F65611"/>
    <w:rsid w:val="18221F62"/>
    <w:rsid w:val="18316649"/>
    <w:rsid w:val="184C5231"/>
    <w:rsid w:val="185145F5"/>
    <w:rsid w:val="186B1B5B"/>
    <w:rsid w:val="18860743"/>
    <w:rsid w:val="18A1732B"/>
    <w:rsid w:val="18A94431"/>
    <w:rsid w:val="18B90B18"/>
    <w:rsid w:val="18C179CD"/>
    <w:rsid w:val="18D94D16"/>
    <w:rsid w:val="18DC0363"/>
    <w:rsid w:val="192341E3"/>
    <w:rsid w:val="19324427"/>
    <w:rsid w:val="1938304A"/>
    <w:rsid w:val="1945415A"/>
    <w:rsid w:val="194C2F77"/>
    <w:rsid w:val="195B397D"/>
    <w:rsid w:val="196C5B8A"/>
    <w:rsid w:val="198A6011"/>
    <w:rsid w:val="199155F1"/>
    <w:rsid w:val="199F10D6"/>
    <w:rsid w:val="19A05834"/>
    <w:rsid w:val="19E27BFB"/>
    <w:rsid w:val="19FE255B"/>
    <w:rsid w:val="1A0B483B"/>
    <w:rsid w:val="1A0C111B"/>
    <w:rsid w:val="1A3C5371"/>
    <w:rsid w:val="1A497C7A"/>
    <w:rsid w:val="1A604FC3"/>
    <w:rsid w:val="1A620D3B"/>
    <w:rsid w:val="1A7171D0"/>
    <w:rsid w:val="1A7A7E33"/>
    <w:rsid w:val="1A840CB2"/>
    <w:rsid w:val="1A89276C"/>
    <w:rsid w:val="1A9058A9"/>
    <w:rsid w:val="1AE300CE"/>
    <w:rsid w:val="1AF220BF"/>
    <w:rsid w:val="1AF5395E"/>
    <w:rsid w:val="1B027E29"/>
    <w:rsid w:val="1B043BA1"/>
    <w:rsid w:val="1B063DBD"/>
    <w:rsid w:val="1B124510"/>
    <w:rsid w:val="1B1262BE"/>
    <w:rsid w:val="1B245FF1"/>
    <w:rsid w:val="1B5543FC"/>
    <w:rsid w:val="1B675C26"/>
    <w:rsid w:val="1B721452"/>
    <w:rsid w:val="1B854CE1"/>
    <w:rsid w:val="1B974A15"/>
    <w:rsid w:val="1BA23AE5"/>
    <w:rsid w:val="1BA86C22"/>
    <w:rsid w:val="1BAD248A"/>
    <w:rsid w:val="1BCF68E1"/>
    <w:rsid w:val="1BD17F27"/>
    <w:rsid w:val="1BE13EE2"/>
    <w:rsid w:val="1BEA2D97"/>
    <w:rsid w:val="1BED0AD9"/>
    <w:rsid w:val="1BF9122C"/>
    <w:rsid w:val="1C220782"/>
    <w:rsid w:val="1C314E69"/>
    <w:rsid w:val="1C365FDC"/>
    <w:rsid w:val="1C47643B"/>
    <w:rsid w:val="1C5D5C5E"/>
    <w:rsid w:val="1C8C20A0"/>
    <w:rsid w:val="1C9123A9"/>
    <w:rsid w:val="1C980A44"/>
    <w:rsid w:val="1C9A0C60"/>
    <w:rsid w:val="1CA90EA4"/>
    <w:rsid w:val="1CB05D8E"/>
    <w:rsid w:val="1CB25ADB"/>
    <w:rsid w:val="1CBA4E5F"/>
    <w:rsid w:val="1CE123EB"/>
    <w:rsid w:val="1CEC0D90"/>
    <w:rsid w:val="1D1502E7"/>
    <w:rsid w:val="1D1F4CC2"/>
    <w:rsid w:val="1D3E15EC"/>
    <w:rsid w:val="1D50131F"/>
    <w:rsid w:val="1D6D3C7F"/>
    <w:rsid w:val="1D752B34"/>
    <w:rsid w:val="1D8B2357"/>
    <w:rsid w:val="1DA01C4D"/>
    <w:rsid w:val="1DA04055"/>
    <w:rsid w:val="1DA63635"/>
    <w:rsid w:val="1DAA6C81"/>
    <w:rsid w:val="1DC064A5"/>
    <w:rsid w:val="1DC55869"/>
    <w:rsid w:val="1DC75A85"/>
    <w:rsid w:val="1DEC54EC"/>
    <w:rsid w:val="1DF47EFC"/>
    <w:rsid w:val="1DF919B7"/>
    <w:rsid w:val="1E0C3498"/>
    <w:rsid w:val="1E14234D"/>
    <w:rsid w:val="1E2E78B2"/>
    <w:rsid w:val="1E3B1FCF"/>
    <w:rsid w:val="1E4D585F"/>
    <w:rsid w:val="1E635082"/>
    <w:rsid w:val="1E7554E1"/>
    <w:rsid w:val="1E8F5E77"/>
    <w:rsid w:val="1E9516DF"/>
    <w:rsid w:val="1E990AA4"/>
    <w:rsid w:val="1EBF050A"/>
    <w:rsid w:val="1ECC2C27"/>
    <w:rsid w:val="1ECC70CB"/>
    <w:rsid w:val="1EDF0BAD"/>
    <w:rsid w:val="1EE77A61"/>
    <w:rsid w:val="1F070103"/>
    <w:rsid w:val="1F1101CF"/>
    <w:rsid w:val="1F29007A"/>
    <w:rsid w:val="1F3031B6"/>
    <w:rsid w:val="1F5305DE"/>
    <w:rsid w:val="1F59095F"/>
    <w:rsid w:val="1F5E1AA4"/>
    <w:rsid w:val="1F665012"/>
    <w:rsid w:val="1F681AD1"/>
    <w:rsid w:val="1F6A2B6C"/>
    <w:rsid w:val="1F8F25D3"/>
    <w:rsid w:val="1F8F4381"/>
    <w:rsid w:val="1FB931AC"/>
    <w:rsid w:val="1FC3402A"/>
    <w:rsid w:val="20362A4E"/>
    <w:rsid w:val="203B7F46"/>
    <w:rsid w:val="203E27C9"/>
    <w:rsid w:val="2047202B"/>
    <w:rsid w:val="20484530"/>
    <w:rsid w:val="20542ED4"/>
    <w:rsid w:val="205E01F7"/>
    <w:rsid w:val="206D3F96"/>
    <w:rsid w:val="207E61A3"/>
    <w:rsid w:val="208732AA"/>
    <w:rsid w:val="20943C19"/>
    <w:rsid w:val="20B147CB"/>
    <w:rsid w:val="20C75D9C"/>
    <w:rsid w:val="20E029BA"/>
    <w:rsid w:val="20E06E5E"/>
    <w:rsid w:val="20F85F56"/>
    <w:rsid w:val="20FF5536"/>
    <w:rsid w:val="211D776A"/>
    <w:rsid w:val="214C004F"/>
    <w:rsid w:val="21521B0A"/>
    <w:rsid w:val="215533A8"/>
    <w:rsid w:val="21577120"/>
    <w:rsid w:val="215D04AF"/>
    <w:rsid w:val="216058A9"/>
    <w:rsid w:val="2163106E"/>
    <w:rsid w:val="21645399"/>
    <w:rsid w:val="21731A80"/>
    <w:rsid w:val="21893052"/>
    <w:rsid w:val="219043E0"/>
    <w:rsid w:val="21B53E47"/>
    <w:rsid w:val="21CD2F3E"/>
    <w:rsid w:val="21D6509A"/>
    <w:rsid w:val="21F04E7F"/>
    <w:rsid w:val="21F52495"/>
    <w:rsid w:val="220D3C83"/>
    <w:rsid w:val="223236E9"/>
    <w:rsid w:val="22325497"/>
    <w:rsid w:val="2234120F"/>
    <w:rsid w:val="2250591D"/>
    <w:rsid w:val="22543DA3"/>
    <w:rsid w:val="22737895"/>
    <w:rsid w:val="22821F7B"/>
    <w:rsid w:val="22CC1448"/>
    <w:rsid w:val="22E03145"/>
    <w:rsid w:val="22E83DA8"/>
    <w:rsid w:val="22EB3FC4"/>
    <w:rsid w:val="23137077"/>
    <w:rsid w:val="231B417D"/>
    <w:rsid w:val="233B037C"/>
    <w:rsid w:val="235F406A"/>
    <w:rsid w:val="23773223"/>
    <w:rsid w:val="237C10C0"/>
    <w:rsid w:val="23810484"/>
    <w:rsid w:val="23871813"/>
    <w:rsid w:val="238735C1"/>
    <w:rsid w:val="238E494F"/>
    <w:rsid w:val="239161EE"/>
    <w:rsid w:val="23955CDE"/>
    <w:rsid w:val="239F4DAE"/>
    <w:rsid w:val="23B87C1E"/>
    <w:rsid w:val="23C93BD9"/>
    <w:rsid w:val="23CB5BA3"/>
    <w:rsid w:val="23D34A58"/>
    <w:rsid w:val="23E32EED"/>
    <w:rsid w:val="23F21382"/>
    <w:rsid w:val="24413402"/>
    <w:rsid w:val="246062EC"/>
    <w:rsid w:val="247E49C4"/>
    <w:rsid w:val="24A55F0A"/>
    <w:rsid w:val="24AA2C10"/>
    <w:rsid w:val="24C34ACD"/>
    <w:rsid w:val="24CF5741"/>
    <w:rsid w:val="24E862E1"/>
    <w:rsid w:val="24F66C50"/>
    <w:rsid w:val="25070E5D"/>
    <w:rsid w:val="250C1FD0"/>
    <w:rsid w:val="25317C88"/>
    <w:rsid w:val="253908EB"/>
    <w:rsid w:val="256040C9"/>
    <w:rsid w:val="25733DFD"/>
    <w:rsid w:val="25A641D2"/>
    <w:rsid w:val="25B52667"/>
    <w:rsid w:val="25C1100C"/>
    <w:rsid w:val="25C12DBA"/>
    <w:rsid w:val="25C66622"/>
    <w:rsid w:val="25CB59E7"/>
    <w:rsid w:val="25DF76E4"/>
    <w:rsid w:val="25ED0053"/>
    <w:rsid w:val="25F30CBD"/>
    <w:rsid w:val="25FA2770"/>
    <w:rsid w:val="2604714B"/>
    <w:rsid w:val="26235823"/>
    <w:rsid w:val="26355556"/>
    <w:rsid w:val="26357304"/>
    <w:rsid w:val="26367C38"/>
    <w:rsid w:val="26541E80"/>
    <w:rsid w:val="2665408D"/>
    <w:rsid w:val="26655E3B"/>
    <w:rsid w:val="26667E05"/>
    <w:rsid w:val="26747E2C"/>
    <w:rsid w:val="267C4F33"/>
    <w:rsid w:val="267E0CAB"/>
    <w:rsid w:val="268F4C66"/>
    <w:rsid w:val="26A76454"/>
    <w:rsid w:val="26A821CC"/>
    <w:rsid w:val="26BC7A25"/>
    <w:rsid w:val="26C1503C"/>
    <w:rsid w:val="26C501E3"/>
    <w:rsid w:val="26DB7EAB"/>
    <w:rsid w:val="26E33204"/>
    <w:rsid w:val="26F23447"/>
    <w:rsid w:val="27054F28"/>
    <w:rsid w:val="270E2C9D"/>
    <w:rsid w:val="271B06E3"/>
    <w:rsid w:val="273D0B66"/>
    <w:rsid w:val="275D2FB6"/>
    <w:rsid w:val="275E3584"/>
    <w:rsid w:val="27787DF0"/>
    <w:rsid w:val="2780237D"/>
    <w:rsid w:val="2786250D"/>
    <w:rsid w:val="279A1B15"/>
    <w:rsid w:val="27A44741"/>
    <w:rsid w:val="27A91D58"/>
    <w:rsid w:val="27B92AB7"/>
    <w:rsid w:val="27BF5A1F"/>
    <w:rsid w:val="27D112AE"/>
    <w:rsid w:val="280671AA"/>
    <w:rsid w:val="28275C5B"/>
    <w:rsid w:val="28285372"/>
    <w:rsid w:val="282E04AF"/>
    <w:rsid w:val="28310B13"/>
    <w:rsid w:val="28497097"/>
    <w:rsid w:val="28681C13"/>
    <w:rsid w:val="286914E7"/>
    <w:rsid w:val="28810D01"/>
    <w:rsid w:val="288325A9"/>
    <w:rsid w:val="288822B5"/>
    <w:rsid w:val="2890116A"/>
    <w:rsid w:val="289E5635"/>
    <w:rsid w:val="28C606E7"/>
    <w:rsid w:val="28D56B7C"/>
    <w:rsid w:val="28E03E9F"/>
    <w:rsid w:val="28E55011"/>
    <w:rsid w:val="291335A0"/>
    <w:rsid w:val="29143B49"/>
    <w:rsid w:val="291458F7"/>
    <w:rsid w:val="291476A5"/>
    <w:rsid w:val="2916166F"/>
    <w:rsid w:val="293935AF"/>
    <w:rsid w:val="293D4E4D"/>
    <w:rsid w:val="29475CCC"/>
    <w:rsid w:val="29477A7A"/>
    <w:rsid w:val="294A756A"/>
    <w:rsid w:val="29542197"/>
    <w:rsid w:val="296050BF"/>
    <w:rsid w:val="296323DA"/>
    <w:rsid w:val="29787C34"/>
    <w:rsid w:val="29883BEF"/>
    <w:rsid w:val="298C36DF"/>
    <w:rsid w:val="29916F47"/>
    <w:rsid w:val="29932CBF"/>
    <w:rsid w:val="299B1B74"/>
    <w:rsid w:val="29A70519"/>
    <w:rsid w:val="29B33362"/>
    <w:rsid w:val="29C535B3"/>
    <w:rsid w:val="29CA0B66"/>
    <w:rsid w:val="29E654E5"/>
    <w:rsid w:val="2A181417"/>
    <w:rsid w:val="2A2B739C"/>
    <w:rsid w:val="2A467D32"/>
    <w:rsid w:val="2A4C2E6E"/>
    <w:rsid w:val="2A573CED"/>
    <w:rsid w:val="2A6308E4"/>
    <w:rsid w:val="2A64465C"/>
    <w:rsid w:val="2A693A20"/>
    <w:rsid w:val="2A6B7798"/>
    <w:rsid w:val="2A756869"/>
    <w:rsid w:val="2A88034A"/>
    <w:rsid w:val="2AB531F5"/>
    <w:rsid w:val="2AC86999"/>
    <w:rsid w:val="2AD22B0F"/>
    <w:rsid w:val="2AEA4B61"/>
    <w:rsid w:val="2AF4778E"/>
    <w:rsid w:val="2B006133"/>
    <w:rsid w:val="2B184AD8"/>
    <w:rsid w:val="2B2B0238"/>
    <w:rsid w:val="2B307011"/>
    <w:rsid w:val="2B471FB3"/>
    <w:rsid w:val="2B512E32"/>
    <w:rsid w:val="2B5B5A5F"/>
    <w:rsid w:val="2B7D7783"/>
    <w:rsid w:val="2B876854"/>
    <w:rsid w:val="2BA2543C"/>
    <w:rsid w:val="2BA96EEA"/>
    <w:rsid w:val="2BC41856"/>
    <w:rsid w:val="2BEA0B91"/>
    <w:rsid w:val="2BF4255E"/>
    <w:rsid w:val="2BFD3113"/>
    <w:rsid w:val="2BFF63EA"/>
    <w:rsid w:val="2C057779"/>
    <w:rsid w:val="2C1B0D4A"/>
    <w:rsid w:val="2C2E6CCF"/>
    <w:rsid w:val="2C3167C0"/>
    <w:rsid w:val="2C6170A5"/>
    <w:rsid w:val="2C622E1D"/>
    <w:rsid w:val="2C680983"/>
    <w:rsid w:val="2C83526D"/>
    <w:rsid w:val="2C840FE5"/>
    <w:rsid w:val="2C931228"/>
    <w:rsid w:val="2CA60F5C"/>
    <w:rsid w:val="2CBE64DA"/>
    <w:rsid w:val="2CC969F8"/>
    <w:rsid w:val="2CCD5B46"/>
    <w:rsid w:val="2CDC2BCF"/>
    <w:rsid w:val="2CF021D7"/>
    <w:rsid w:val="2CFE48F4"/>
    <w:rsid w:val="2D0D2D89"/>
    <w:rsid w:val="2D1C2FCC"/>
    <w:rsid w:val="2D2D51D9"/>
    <w:rsid w:val="2D306A77"/>
    <w:rsid w:val="2D3A2CE1"/>
    <w:rsid w:val="2D630BFB"/>
    <w:rsid w:val="2D6D3827"/>
    <w:rsid w:val="2D7C5E16"/>
    <w:rsid w:val="2D83129D"/>
    <w:rsid w:val="2DA07759"/>
    <w:rsid w:val="2DAF5BEE"/>
    <w:rsid w:val="2DCC054E"/>
    <w:rsid w:val="2DCD6795"/>
    <w:rsid w:val="2DCF44E2"/>
    <w:rsid w:val="2DD83397"/>
    <w:rsid w:val="2DDB69E3"/>
    <w:rsid w:val="2DDD6BFF"/>
    <w:rsid w:val="2DEA4E78"/>
    <w:rsid w:val="2DEF248E"/>
    <w:rsid w:val="2DF31F7F"/>
    <w:rsid w:val="2DF83A39"/>
    <w:rsid w:val="2E0A72C8"/>
    <w:rsid w:val="2E281CEC"/>
    <w:rsid w:val="2E33681F"/>
    <w:rsid w:val="2E382087"/>
    <w:rsid w:val="2E383E35"/>
    <w:rsid w:val="2E3A5DFF"/>
    <w:rsid w:val="2E3D58F0"/>
    <w:rsid w:val="2E5C3FC8"/>
    <w:rsid w:val="2E642E7C"/>
    <w:rsid w:val="2E67471B"/>
    <w:rsid w:val="2E6E3CFB"/>
    <w:rsid w:val="2E7035CF"/>
    <w:rsid w:val="2E786928"/>
    <w:rsid w:val="2E933762"/>
    <w:rsid w:val="2E960B5C"/>
    <w:rsid w:val="2E9A4AF0"/>
    <w:rsid w:val="2EA4771D"/>
    <w:rsid w:val="2EC102CF"/>
    <w:rsid w:val="2ECB4CA9"/>
    <w:rsid w:val="2EE01601"/>
    <w:rsid w:val="2EEB534C"/>
    <w:rsid w:val="2EFA10EB"/>
    <w:rsid w:val="2F081A5A"/>
    <w:rsid w:val="2F0957D2"/>
    <w:rsid w:val="2F0F2DE8"/>
    <w:rsid w:val="2F2B1BEC"/>
    <w:rsid w:val="2F2F5238"/>
    <w:rsid w:val="2F302D5E"/>
    <w:rsid w:val="2F391C13"/>
    <w:rsid w:val="2F407445"/>
    <w:rsid w:val="2F4607D4"/>
    <w:rsid w:val="2F48454C"/>
    <w:rsid w:val="2F544078"/>
    <w:rsid w:val="2F601896"/>
    <w:rsid w:val="2F656EAC"/>
    <w:rsid w:val="2F827A5E"/>
    <w:rsid w:val="2F8F217B"/>
    <w:rsid w:val="2F94153F"/>
    <w:rsid w:val="2F9B0B20"/>
    <w:rsid w:val="2FAE78E5"/>
    <w:rsid w:val="2FE36023"/>
    <w:rsid w:val="2FEE50F3"/>
    <w:rsid w:val="2FF10740"/>
    <w:rsid w:val="300246FB"/>
    <w:rsid w:val="300541EB"/>
    <w:rsid w:val="3012466B"/>
    <w:rsid w:val="301D1535"/>
    <w:rsid w:val="302C79CA"/>
    <w:rsid w:val="30393E95"/>
    <w:rsid w:val="3045283A"/>
    <w:rsid w:val="305331A8"/>
    <w:rsid w:val="30670A02"/>
    <w:rsid w:val="306B6744"/>
    <w:rsid w:val="30821C06"/>
    <w:rsid w:val="30847806"/>
    <w:rsid w:val="30874C00"/>
    <w:rsid w:val="3098505F"/>
    <w:rsid w:val="30A17E5B"/>
    <w:rsid w:val="30B04157"/>
    <w:rsid w:val="30BD5976"/>
    <w:rsid w:val="30C916BD"/>
    <w:rsid w:val="30DF67EA"/>
    <w:rsid w:val="30F46739"/>
    <w:rsid w:val="3112096E"/>
    <w:rsid w:val="311741D6"/>
    <w:rsid w:val="311C7A3E"/>
    <w:rsid w:val="312D57A8"/>
    <w:rsid w:val="313034EA"/>
    <w:rsid w:val="31374878"/>
    <w:rsid w:val="3138414C"/>
    <w:rsid w:val="314E571E"/>
    <w:rsid w:val="31550DA9"/>
    <w:rsid w:val="315C7E3B"/>
    <w:rsid w:val="31794E91"/>
    <w:rsid w:val="31916063"/>
    <w:rsid w:val="31B25CAD"/>
    <w:rsid w:val="31BC4D7D"/>
    <w:rsid w:val="31C0486E"/>
    <w:rsid w:val="31C51E84"/>
    <w:rsid w:val="31C854D0"/>
    <w:rsid w:val="31CA749A"/>
    <w:rsid w:val="31CF2D03"/>
    <w:rsid w:val="31D2634F"/>
    <w:rsid w:val="31ED3189"/>
    <w:rsid w:val="31F017B4"/>
    <w:rsid w:val="32252923"/>
    <w:rsid w:val="322C5A5F"/>
    <w:rsid w:val="32301FF4"/>
    <w:rsid w:val="32454D73"/>
    <w:rsid w:val="324F79A0"/>
    <w:rsid w:val="326C67A3"/>
    <w:rsid w:val="326F1DF0"/>
    <w:rsid w:val="329D3F24"/>
    <w:rsid w:val="32AC3044"/>
    <w:rsid w:val="32D700C1"/>
    <w:rsid w:val="32DD144F"/>
    <w:rsid w:val="32E75E2A"/>
    <w:rsid w:val="32F10A57"/>
    <w:rsid w:val="32FC7B27"/>
    <w:rsid w:val="32FD73FC"/>
    <w:rsid w:val="33016EEC"/>
    <w:rsid w:val="33092244"/>
    <w:rsid w:val="3316226B"/>
    <w:rsid w:val="33576B0C"/>
    <w:rsid w:val="33582884"/>
    <w:rsid w:val="33596D28"/>
    <w:rsid w:val="33701274"/>
    <w:rsid w:val="33863895"/>
    <w:rsid w:val="33AD497E"/>
    <w:rsid w:val="33D22636"/>
    <w:rsid w:val="33D75E9F"/>
    <w:rsid w:val="33F20F2A"/>
    <w:rsid w:val="340071A3"/>
    <w:rsid w:val="341E1D1F"/>
    <w:rsid w:val="34545741"/>
    <w:rsid w:val="345F6852"/>
    <w:rsid w:val="34B61F58"/>
    <w:rsid w:val="34C44675"/>
    <w:rsid w:val="34CB5A03"/>
    <w:rsid w:val="34D81ECE"/>
    <w:rsid w:val="3502519D"/>
    <w:rsid w:val="350E3B42"/>
    <w:rsid w:val="357065AB"/>
    <w:rsid w:val="35917DCF"/>
    <w:rsid w:val="35A40002"/>
    <w:rsid w:val="35B13A6F"/>
    <w:rsid w:val="35B244CD"/>
    <w:rsid w:val="35B77D36"/>
    <w:rsid w:val="35BF4E3C"/>
    <w:rsid w:val="35C44201"/>
    <w:rsid w:val="35D42696"/>
    <w:rsid w:val="35DC154A"/>
    <w:rsid w:val="35E46651"/>
    <w:rsid w:val="35E623C9"/>
    <w:rsid w:val="35E93C67"/>
    <w:rsid w:val="35F03248"/>
    <w:rsid w:val="36174C78"/>
    <w:rsid w:val="36237179"/>
    <w:rsid w:val="363475D8"/>
    <w:rsid w:val="36370E76"/>
    <w:rsid w:val="363B44C3"/>
    <w:rsid w:val="364D2448"/>
    <w:rsid w:val="36625EF3"/>
    <w:rsid w:val="36767BF1"/>
    <w:rsid w:val="367D0F7F"/>
    <w:rsid w:val="36820344"/>
    <w:rsid w:val="369D33CF"/>
    <w:rsid w:val="36BB1AA7"/>
    <w:rsid w:val="36C07517"/>
    <w:rsid w:val="36D13079"/>
    <w:rsid w:val="36D44917"/>
    <w:rsid w:val="36D87F64"/>
    <w:rsid w:val="36F6663C"/>
    <w:rsid w:val="36FB1EA4"/>
    <w:rsid w:val="370C2303"/>
    <w:rsid w:val="3710594F"/>
    <w:rsid w:val="372238D5"/>
    <w:rsid w:val="372531FA"/>
    <w:rsid w:val="372E04CB"/>
    <w:rsid w:val="37490E61"/>
    <w:rsid w:val="375515B4"/>
    <w:rsid w:val="378620B5"/>
    <w:rsid w:val="379522F8"/>
    <w:rsid w:val="37A442EA"/>
    <w:rsid w:val="37B704C1"/>
    <w:rsid w:val="37BC7885"/>
    <w:rsid w:val="37C4498C"/>
    <w:rsid w:val="37CF580A"/>
    <w:rsid w:val="37F214F9"/>
    <w:rsid w:val="37FB65FF"/>
    <w:rsid w:val="38064FA4"/>
    <w:rsid w:val="382553FE"/>
    <w:rsid w:val="382D42DF"/>
    <w:rsid w:val="3836588A"/>
    <w:rsid w:val="383E029A"/>
    <w:rsid w:val="384F06F9"/>
    <w:rsid w:val="38763ED8"/>
    <w:rsid w:val="388008B3"/>
    <w:rsid w:val="38AC16A8"/>
    <w:rsid w:val="38AF73EA"/>
    <w:rsid w:val="38BB7B3D"/>
    <w:rsid w:val="38BD5663"/>
    <w:rsid w:val="38C34C43"/>
    <w:rsid w:val="38D04F99"/>
    <w:rsid w:val="38DD3F57"/>
    <w:rsid w:val="38EA21D0"/>
    <w:rsid w:val="38FB262F"/>
    <w:rsid w:val="39394D72"/>
    <w:rsid w:val="394E09B1"/>
    <w:rsid w:val="395A55A8"/>
    <w:rsid w:val="396B3311"/>
    <w:rsid w:val="3971469F"/>
    <w:rsid w:val="397A79F8"/>
    <w:rsid w:val="398E0DAD"/>
    <w:rsid w:val="3995038E"/>
    <w:rsid w:val="39A20CFD"/>
    <w:rsid w:val="39A44A75"/>
    <w:rsid w:val="39B27192"/>
    <w:rsid w:val="39B90520"/>
    <w:rsid w:val="39C4792F"/>
    <w:rsid w:val="39C66799"/>
    <w:rsid w:val="39CE564E"/>
    <w:rsid w:val="39CF6183"/>
    <w:rsid w:val="39E11825"/>
    <w:rsid w:val="39FC665F"/>
    <w:rsid w:val="3A053765"/>
    <w:rsid w:val="3A137505"/>
    <w:rsid w:val="3A15327D"/>
    <w:rsid w:val="3A3C2EFF"/>
    <w:rsid w:val="3A500759"/>
    <w:rsid w:val="3A5169AB"/>
    <w:rsid w:val="3A6A181A"/>
    <w:rsid w:val="3A6C5593"/>
    <w:rsid w:val="3A6F0BDF"/>
    <w:rsid w:val="3A7B57D6"/>
    <w:rsid w:val="3AA641C2"/>
    <w:rsid w:val="3AD62A0C"/>
    <w:rsid w:val="3AEC66D3"/>
    <w:rsid w:val="3AFF18AD"/>
    <w:rsid w:val="3AFF6407"/>
    <w:rsid w:val="3B077069"/>
    <w:rsid w:val="3B2C2F74"/>
    <w:rsid w:val="3B3B4F65"/>
    <w:rsid w:val="3B4E6A46"/>
    <w:rsid w:val="3B5129DA"/>
    <w:rsid w:val="3B653D90"/>
    <w:rsid w:val="3B9A612F"/>
    <w:rsid w:val="3BAD10EF"/>
    <w:rsid w:val="3BD056AD"/>
    <w:rsid w:val="3BD17677"/>
    <w:rsid w:val="3BDF1D94"/>
    <w:rsid w:val="3BFC46F4"/>
    <w:rsid w:val="3C1001A0"/>
    <w:rsid w:val="3C1C08F2"/>
    <w:rsid w:val="3C30439E"/>
    <w:rsid w:val="3C320116"/>
    <w:rsid w:val="3C371BD0"/>
    <w:rsid w:val="3C37397E"/>
    <w:rsid w:val="3C3A346E"/>
    <w:rsid w:val="3C5F2ED5"/>
    <w:rsid w:val="3C681D8A"/>
    <w:rsid w:val="3CAB7EC8"/>
    <w:rsid w:val="3CB72D11"/>
    <w:rsid w:val="3CB7686D"/>
    <w:rsid w:val="3CCD42E3"/>
    <w:rsid w:val="3CD236A7"/>
    <w:rsid w:val="3CF25AF7"/>
    <w:rsid w:val="3CF7310E"/>
    <w:rsid w:val="3D281519"/>
    <w:rsid w:val="3D5E143C"/>
    <w:rsid w:val="3D74475E"/>
    <w:rsid w:val="3D804EB1"/>
    <w:rsid w:val="3D89020A"/>
    <w:rsid w:val="3D8F1598"/>
    <w:rsid w:val="3DA15887"/>
    <w:rsid w:val="3DA43295"/>
    <w:rsid w:val="3DAC5CA6"/>
    <w:rsid w:val="3DD5344F"/>
    <w:rsid w:val="3DD671C7"/>
    <w:rsid w:val="3DE52460"/>
    <w:rsid w:val="3DEC2546"/>
    <w:rsid w:val="3E133F77"/>
    <w:rsid w:val="3E155F41"/>
    <w:rsid w:val="3E175815"/>
    <w:rsid w:val="3E261EFC"/>
    <w:rsid w:val="3E2B12C1"/>
    <w:rsid w:val="3E3A1504"/>
    <w:rsid w:val="3E3E74B4"/>
    <w:rsid w:val="3E3F2FBE"/>
    <w:rsid w:val="3E573E64"/>
    <w:rsid w:val="3E595E2E"/>
    <w:rsid w:val="3E6622F9"/>
    <w:rsid w:val="3E9230EE"/>
    <w:rsid w:val="3E9E1A93"/>
    <w:rsid w:val="3EA6303D"/>
    <w:rsid w:val="3EAB2402"/>
    <w:rsid w:val="3EB72B54"/>
    <w:rsid w:val="3EC55271"/>
    <w:rsid w:val="3EDF7B5A"/>
    <w:rsid w:val="3EE8259D"/>
    <w:rsid w:val="3EF91964"/>
    <w:rsid w:val="3F0833B0"/>
    <w:rsid w:val="3F1F5199"/>
    <w:rsid w:val="3F220916"/>
    <w:rsid w:val="3F2301EA"/>
    <w:rsid w:val="3F23643C"/>
    <w:rsid w:val="3F5144DE"/>
    <w:rsid w:val="3F6820A1"/>
    <w:rsid w:val="3F732F1F"/>
    <w:rsid w:val="3F773361"/>
    <w:rsid w:val="3F8769CB"/>
    <w:rsid w:val="3FAE3F57"/>
    <w:rsid w:val="3FB05F21"/>
    <w:rsid w:val="3FCD512E"/>
    <w:rsid w:val="3FD15E98"/>
    <w:rsid w:val="3FFD4EDF"/>
    <w:rsid w:val="40073668"/>
    <w:rsid w:val="40095632"/>
    <w:rsid w:val="400E0E9A"/>
    <w:rsid w:val="402661E4"/>
    <w:rsid w:val="40384169"/>
    <w:rsid w:val="404218B6"/>
    <w:rsid w:val="40491ED2"/>
    <w:rsid w:val="404B5C4A"/>
    <w:rsid w:val="40721429"/>
    <w:rsid w:val="407F58F4"/>
    <w:rsid w:val="40AD43FD"/>
    <w:rsid w:val="40C559FD"/>
    <w:rsid w:val="40CA3013"/>
    <w:rsid w:val="40DA57F1"/>
    <w:rsid w:val="40E02836"/>
    <w:rsid w:val="40E045E4"/>
    <w:rsid w:val="40E340D5"/>
    <w:rsid w:val="40EA5463"/>
    <w:rsid w:val="40FF07E3"/>
    <w:rsid w:val="41061B71"/>
    <w:rsid w:val="41076015"/>
    <w:rsid w:val="411A73CB"/>
    <w:rsid w:val="41232723"/>
    <w:rsid w:val="412C5A7C"/>
    <w:rsid w:val="412F10C8"/>
    <w:rsid w:val="41410DFB"/>
    <w:rsid w:val="414A5F02"/>
    <w:rsid w:val="41654AEA"/>
    <w:rsid w:val="417967E7"/>
    <w:rsid w:val="418E2292"/>
    <w:rsid w:val="41911D83"/>
    <w:rsid w:val="419158DF"/>
    <w:rsid w:val="41986C6D"/>
    <w:rsid w:val="419B050B"/>
    <w:rsid w:val="419B2CA0"/>
    <w:rsid w:val="419D27EA"/>
    <w:rsid w:val="41B15F81"/>
    <w:rsid w:val="41B617E9"/>
    <w:rsid w:val="41EC0D67"/>
    <w:rsid w:val="42000CF9"/>
    <w:rsid w:val="420F2CA7"/>
    <w:rsid w:val="42132798"/>
    <w:rsid w:val="42220C2D"/>
    <w:rsid w:val="423F17DF"/>
    <w:rsid w:val="42472441"/>
    <w:rsid w:val="4262727B"/>
    <w:rsid w:val="426C1EA8"/>
    <w:rsid w:val="428E0070"/>
    <w:rsid w:val="429C278D"/>
    <w:rsid w:val="429F227D"/>
    <w:rsid w:val="42AC04F6"/>
    <w:rsid w:val="42C76224"/>
    <w:rsid w:val="42C83582"/>
    <w:rsid w:val="42D737C5"/>
    <w:rsid w:val="42E163F2"/>
    <w:rsid w:val="43111EEE"/>
    <w:rsid w:val="4339622E"/>
    <w:rsid w:val="433C7ACC"/>
    <w:rsid w:val="43432C09"/>
    <w:rsid w:val="4348021F"/>
    <w:rsid w:val="435766B4"/>
    <w:rsid w:val="435C1F1C"/>
    <w:rsid w:val="43615785"/>
    <w:rsid w:val="436D5ED7"/>
    <w:rsid w:val="436F7EA2"/>
    <w:rsid w:val="43713C1A"/>
    <w:rsid w:val="437234EE"/>
    <w:rsid w:val="438576C5"/>
    <w:rsid w:val="43C71A8C"/>
    <w:rsid w:val="43E84F66"/>
    <w:rsid w:val="44044A8E"/>
    <w:rsid w:val="44103433"/>
    <w:rsid w:val="4416031D"/>
    <w:rsid w:val="442567B2"/>
    <w:rsid w:val="444B446B"/>
    <w:rsid w:val="445A2900"/>
    <w:rsid w:val="448B0D0B"/>
    <w:rsid w:val="448E4357"/>
    <w:rsid w:val="44917D11"/>
    <w:rsid w:val="44957494"/>
    <w:rsid w:val="449D27EC"/>
    <w:rsid w:val="44A75419"/>
    <w:rsid w:val="44A771C7"/>
    <w:rsid w:val="44A973E3"/>
    <w:rsid w:val="44B042CE"/>
    <w:rsid w:val="44D34460"/>
    <w:rsid w:val="44F20D8A"/>
    <w:rsid w:val="44F52628"/>
    <w:rsid w:val="451F4321"/>
    <w:rsid w:val="45252F0E"/>
    <w:rsid w:val="45280308"/>
    <w:rsid w:val="45357EA7"/>
    <w:rsid w:val="453F23E9"/>
    <w:rsid w:val="4554734F"/>
    <w:rsid w:val="456652D4"/>
    <w:rsid w:val="45667082"/>
    <w:rsid w:val="456D0411"/>
    <w:rsid w:val="457B2B2E"/>
    <w:rsid w:val="45800144"/>
    <w:rsid w:val="4580244D"/>
    <w:rsid w:val="458F65D9"/>
    <w:rsid w:val="459040FF"/>
    <w:rsid w:val="45907B5B"/>
    <w:rsid w:val="45AA51C1"/>
    <w:rsid w:val="45AA6F6F"/>
    <w:rsid w:val="45B82052"/>
    <w:rsid w:val="45F20916"/>
    <w:rsid w:val="45FD1795"/>
    <w:rsid w:val="45FE72BB"/>
    <w:rsid w:val="46054AED"/>
    <w:rsid w:val="46113492"/>
    <w:rsid w:val="464E3D9E"/>
    <w:rsid w:val="465B64BB"/>
    <w:rsid w:val="46713F31"/>
    <w:rsid w:val="469946E3"/>
    <w:rsid w:val="46A0768D"/>
    <w:rsid w:val="46A2058E"/>
    <w:rsid w:val="46B362F7"/>
    <w:rsid w:val="46C202E8"/>
    <w:rsid w:val="46E110B6"/>
    <w:rsid w:val="46E42955"/>
    <w:rsid w:val="46E464B1"/>
    <w:rsid w:val="46EB783F"/>
    <w:rsid w:val="46FA5CD4"/>
    <w:rsid w:val="47084895"/>
    <w:rsid w:val="470D5A07"/>
    <w:rsid w:val="473C453F"/>
    <w:rsid w:val="47543636"/>
    <w:rsid w:val="4760647F"/>
    <w:rsid w:val="477C0743"/>
    <w:rsid w:val="478B4B7E"/>
    <w:rsid w:val="47961EA1"/>
    <w:rsid w:val="47995B9E"/>
    <w:rsid w:val="47A10846"/>
    <w:rsid w:val="47A3011A"/>
    <w:rsid w:val="47B10A89"/>
    <w:rsid w:val="47B37163"/>
    <w:rsid w:val="47C307BC"/>
    <w:rsid w:val="47CF6038"/>
    <w:rsid w:val="47DD7AD0"/>
    <w:rsid w:val="48082673"/>
    <w:rsid w:val="481D7ECC"/>
    <w:rsid w:val="48496F13"/>
    <w:rsid w:val="484E277B"/>
    <w:rsid w:val="48621D83"/>
    <w:rsid w:val="487A3570"/>
    <w:rsid w:val="48A04659"/>
    <w:rsid w:val="48AB372A"/>
    <w:rsid w:val="48BF5427"/>
    <w:rsid w:val="48CE566A"/>
    <w:rsid w:val="48D10CB7"/>
    <w:rsid w:val="48D662CD"/>
    <w:rsid w:val="48EB1D78"/>
    <w:rsid w:val="48EC789E"/>
    <w:rsid w:val="48FC21D7"/>
    <w:rsid w:val="490746D8"/>
    <w:rsid w:val="490A0685"/>
    <w:rsid w:val="492E7EB7"/>
    <w:rsid w:val="4953791E"/>
    <w:rsid w:val="49557B3A"/>
    <w:rsid w:val="4961203A"/>
    <w:rsid w:val="496B2EB9"/>
    <w:rsid w:val="496D09DF"/>
    <w:rsid w:val="49891591"/>
    <w:rsid w:val="498D0F34"/>
    <w:rsid w:val="499C7517"/>
    <w:rsid w:val="499E328F"/>
    <w:rsid w:val="49A10689"/>
    <w:rsid w:val="49A455B6"/>
    <w:rsid w:val="49AB59AC"/>
    <w:rsid w:val="49BF6D61"/>
    <w:rsid w:val="49C66341"/>
    <w:rsid w:val="49D071C0"/>
    <w:rsid w:val="49DC5F93"/>
    <w:rsid w:val="49E8450A"/>
    <w:rsid w:val="49EC3FFA"/>
    <w:rsid w:val="4A003601"/>
    <w:rsid w:val="4A037596"/>
    <w:rsid w:val="4A103E24"/>
    <w:rsid w:val="4A1277D9"/>
    <w:rsid w:val="4A1365E9"/>
    <w:rsid w:val="4A3239D7"/>
    <w:rsid w:val="4A510301"/>
    <w:rsid w:val="4A5D0A54"/>
    <w:rsid w:val="4A6A13C3"/>
    <w:rsid w:val="4A6A3171"/>
    <w:rsid w:val="4A6E0EB3"/>
    <w:rsid w:val="4A8A3813"/>
    <w:rsid w:val="4A981A8C"/>
    <w:rsid w:val="4AAE0160"/>
    <w:rsid w:val="4AAE12AF"/>
    <w:rsid w:val="4AB44DED"/>
    <w:rsid w:val="4AC41483"/>
    <w:rsid w:val="4ACE1952"/>
    <w:rsid w:val="4AD30D16"/>
    <w:rsid w:val="4AE72A13"/>
    <w:rsid w:val="4AEC1DD8"/>
    <w:rsid w:val="4B0E61F2"/>
    <w:rsid w:val="4B1650A7"/>
    <w:rsid w:val="4B1D4687"/>
    <w:rsid w:val="4B3043BA"/>
    <w:rsid w:val="4B6B0F4E"/>
    <w:rsid w:val="4B6B71A0"/>
    <w:rsid w:val="4B75001F"/>
    <w:rsid w:val="4B897627"/>
    <w:rsid w:val="4B8B15F1"/>
    <w:rsid w:val="4B8B7843"/>
    <w:rsid w:val="4B985ABC"/>
    <w:rsid w:val="4BA206E8"/>
    <w:rsid w:val="4BA34B8C"/>
    <w:rsid w:val="4BB07CCC"/>
    <w:rsid w:val="4BB723E6"/>
    <w:rsid w:val="4BBD5522"/>
    <w:rsid w:val="4BC845F3"/>
    <w:rsid w:val="4BF058F8"/>
    <w:rsid w:val="4BF74ED8"/>
    <w:rsid w:val="4BF90C50"/>
    <w:rsid w:val="4C211F55"/>
    <w:rsid w:val="4C365A00"/>
    <w:rsid w:val="4C373527"/>
    <w:rsid w:val="4C404189"/>
    <w:rsid w:val="4C62471E"/>
    <w:rsid w:val="4C6C17E5"/>
    <w:rsid w:val="4C7107E7"/>
    <w:rsid w:val="4C885B30"/>
    <w:rsid w:val="4C91223D"/>
    <w:rsid w:val="4C9D5A7F"/>
    <w:rsid w:val="4C9E6A85"/>
    <w:rsid w:val="4CA74208"/>
    <w:rsid w:val="4CCE79E7"/>
    <w:rsid w:val="4CF431C6"/>
    <w:rsid w:val="4D1709EB"/>
    <w:rsid w:val="4D1B4BF6"/>
    <w:rsid w:val="4D1B69A4"/>
    <w:rsid w:val="4D1D271C"/>
    <w:rsid w:val="4D31441A"/>
    <w:rsid w:val="4D41465D"/>
    <w:rsid w:val="4D5048A0"/>
    <w:rsid w:val="4D534390"/>
    <w:rsid w:val="4D583754"/>
    <w:rsid w:val="4D5A571F"/>
    <w:rsid w:val="4D7D31BB"/>
    <w:rsid w:val="4D902EEE"/>
    <w:rsid w:val="4D9C7AE5"/>
    <w:rsid w:val="4DC31516"/>
    <w:rsid w:val="4DDC25D7"/>
    <w:rsid w:val="4DDD4E6D"/>
    <w:rsid w:val="4DEE5E67"/>
    <w:rsid w:val="4DF476EE"/>
    <w:rsid w:val="4DF53699"/>
    <w:rsid w:val="4E1C6E78"/>
    <w:rsid w:val="4E1D5DD7"/>
    <w:rsid w:val="4E281379"/>
    <w:rsid w:val="4E2D2E33"/>
    <w:rsid w:val="4E41243B"/>
    <w:rsid w:val="4E720846"/>
    <w:rsid w:val="4E7B594C"/>
    <w:rsid w:val="4EA56E6D"/>
    <w:rsid w:val="4EBE3A8B"/>
    <w:rsid w:val="4EC76DE4"/>
    <w:rsid w:val="4ED84B4D"/>
    <w:rsid w:val="4EEA0D24"/>
    <w:rsid w:val="4EF456FF"/>
    <w:rsid w:val="4EF676C9"/>
    <w:rsid w:val="4EF927EE"/>
    <w:rsid w:val="4F4915A7"/>
    <w:rsid w:val="4F495A4B"/>
    <w:rsid w:val="4F4C553B"/>
    <w:rsid w:val="4F5A7C58"/>
    <w:rsid w:val="4F6603AB"/>
    <w:rsid w:val="4F934F18"/>
    <w:rsid w:val="4FC33C77"/>
    <w:rsid w:val="4FC60E49"/>
    <w:rsid w:val="4FD712A8"/>
    <w:rsid w:val="4FE237A9"/>
    <w:rsid w:val="4FE94B38"/>
    <w:rsid w:val="500E459E"/>
    <w:rsid w:val="501047BA"/>
    <w:rsid w:val="50267B3A"/>
    <w:rsid w:val="50416722"/>
    <w:rsid w:val="50463D38"/>
    <w:rsid w:val="50485D02"/>
    <w:rsid w:val="505A5A36"/>
    <w:rsid w:val="50746AF7"/>
    <w:rsid w:val="508B5BEF"/>
    <w:rsid w:val="50A21FD4"/>
    <w:rsid w:val="50A849F3"/>
    <w:rsid w:val="50B476EF"/>
    <w:rsid w:val="50BC1250"/>
    <w:rsid w:val="50C3182D"/>
    <w:rsid w:val="50FE0AB7"/>
    <w:rsid w:val="51022355"/>
    <w:rsid w:val="51071719"/>
    <w:rsid w:val="5119144D"/>
    <w:rsid w:val="5124051D"/>
    <w:rsid w:val="516A7EFA"/>
    <w:rsid w:val="51705511"/>
    <w:rsid w:val="517843C5"/>
    <w:rsid w:val="518014CC"/>
    <w:rsid w:val="51874608"/>
    <w:rsid w:val="519D3E2C"/>
    <w:rsid w:val="51B318A1"/>
    <w:rsid w:val="51C4585C"/>
    <w:rsid w:val="51C70EA9"/>
    <w:rsid w:val="51CB2747"/>
    <w:rsid w:val="51E43809"/>
    <w:rsid w:val="51F872B4"/>
    <w:rsid w:val="5212481A"/>
    <w:rsid w:val="521D4F6D"/>
    <w:rsid w:val="52232583"/>
    <w:rsid w:val="5264494A"/>
    <w:rsid w:val="52662470"/>
    <w:rsid w:val="527903F5"/>
    <w:rsid w:val="527E13D3"/>
    <w:rsid w:val="52B256B5"/>
    <w:rsid w:val="52B61649"/>
    <w:rsid w:val="52C5188C"/>
    <w:rsid w:val="52D27B05"/>
    <w:rsid w:val="52D65A7C"/>
    <w:rsid w:val="52DB4C0C"/>
    <w:rsid w:val="52F05F79"/>
    <w:rsid w:val="531B14AC"/>
    <w:rsid w:val="53283BC9"/>
    <w:rsid w:val="53312A7E"/>
    <w:rsid w:val="53332C9A"/>
    <w:rsid w:val="534529CD"/>
    <w:rsid w:val="53603363"/>
    <w:rsid w:val="537D2167"/>
    <w:rsid w:val="538F3C48"/>
    <w:rsid w:val="539725B9"/>
    <w:rsid w:val="53AC7200"/>
    <w:rsid w:val="53C75190"/>
    <w:rsid w:val="53DC38BE"/>
    <w:rsid w:val="53DF24DA"/>
    <w:rsid w:val="53E73A84"/>
    <w:rsid w:val="540463E4"/>
    <w:rsid w:val="54352A41"/>
    <w:rsid w:val="54387E3C"/>
    <w:rsid w:val="543C3DD0"/>
    <w:rsid w:val="54414F42"/>
    <w:rsid w:val="54436F0C"/>
    <w:rsid w:val="545B62F1"/>
    <w:rsid w:val="546D5D37"/>
    <w:rsid w:val="54921C42"/>
    <w:rsid w:val="549C03CB"/>
    <w:rsid w:val="549F7EBB"/>
    <w:rsid w:val="54B0031A"/>
    <w:rsid w:val="54C47921"/>
    <w:rsid w:val="54D47B64"/>
    <w:rsid w:val="54E7170E"/>
    <w:rsid w:val="54EA55DA"/>
    <w:rsid w:val="54EB4EAE"/>
    <w:rsid w:val="54FC3FDD"/>
    <w:rsid w:val="55006BAB"/>
    <w:rsid w:val="55135927"/>
    <w:rsid w:val="551B1C37"/>
    <w:rsid w:val="5531145B"/>
    <w:rsid w:val="553D7E00"/>
    <w:rsid w:val="554C0043"/>
    <w:rsid w:val="555667CB"/>
    <w:rsid w:val="558275C0"/>
    <w:rsid w:val="55A4193E"/>
    <w:rsid w:val="55A95724"/>
    <w:rsid w:val="55AF4990"/>
    <w:rsid w:val="55BF1B24"/>
    <w:rsid w:val="55C220B3"/>
    <w:rsid w:val="55D43B94"/>
    <w:rsid w:val="56114DE8"/>
    <w:rsid w:val="56513437"/>
    <w:rsid w:val="56535401"/>
    <w:rsid w:val="56552011"/>
    <w:rsid w:val="565E5DF0"/>
    <w:rsid w:val="56660C90"/>
    <w:rsid w:val="56677FEB"/>
    <w:rsid w:val="566E5D97"/>
    <w:rsid w:val="567C4958"/>
    <w:rsid w:val="56837A94"/>
    <w:rsid w:val="5685098A"/>
    <w:rsid w:val="569A3030"/>
    <w:rsid w:val="56A33C92"/>
    <w:rsid w:val="56B063AF"/>
    <w:rsid w:val="56C87B9D"/>
    <w:rsid w:val="56CF2CD9"/>
    <w:rsid w:val="56D7393C"/>
    <w:rsid w:val="56F97D56"/>
    <w:rsid w:val="56FA762A"/>
    <w:rsid w:val="57160908"/>
    <w:rsid w:val="571903F8"/>
    <w:rsid w:val="572528F9"/>
    <w:rsid w:val="574D00A2"/>
    <w:rsid w:val="575A3F96"/>
    <w:rsid w:val="575B631B"/>
    <w:rsid w:val="575D6537"/>
    <w:rsid w:val="57664CC0"/>
    <w:rsid w:val="578A4E52"/>
    <w:rsid w:val="57A53A3A"/>
    <w:rsid w:val="57B36157"/>
    <w:rsid w:val="57BB325E"/>
    <w:rsid w:val="57C71C02"/>
    <w:rsid w:val="57EE718F"/>
    <w:rsid w:val="57F81DBC"/>
    <w:rsid w:val="58073749"/>
    <w:rsid w:val="58164938"/>
    <w:rsid w:val="583D0117"/>
    <w:rsid w:val="58472D43"/>
    <w:rsid w:val="58496ABB"/>
    <w:rsid w:val="584B45E2"/>
    <w:rsid w:val="584E5E80"/>
    <w:rsid w:val="585D4315"/>
    <w:rsid w:val="587B0521"/>
    <w:rsid w:val="588875E4"/>
    <w:rsid w:val="589C6BEB"/>
    <w:rsid w:val="589F66DB"/>
    <w:rsid w:val="58A81A34"/>
    <w:rsid w:val="58A837E2"/>
    <w:rsid w:val="58B101BD"/>
    <w:rsid w:val="58B8154B"/>
    <w:rsid w:val="58BD4DB3"/>
    <w:rsid w:val="58BF28DA"/>
    <w:rsid w:val="58E6255C"/>
    <w:rsid w:val="59036C6A"/>
    <w:rsid w:val="59050C34"/>
    <w:rsid w:val="5909450C"/>
    <w:rsid w:val="590E560F"/>
    <w:rsid w:val="59183BD6"/>
    <w:rsid w:val="591F781C"/>
    <w:rsid w:val="5932754F"/>
    <w:rsid w:val="59374B66"/>
    <w:rsid w:val="594352B9"/>
    <w:rsid w:val="594A7CB3"/>
    <w:rsid w:val="594C6863"/>
    <w:rsid w:val="595B0854"/>
    <w:rsid w:val="59605F6D"/>
    <w:rsid w:val="596D4A2C"/>
    <w:rsid w:val="59822285"/>
    <w:rsid w:val="59837DAB"/>
    <w:rsid w:val="5991071A"/>
    <w:rsid w:val="59943D66"/>
    <w:rsid w:val="599A3D2F"/>
    <w:rsid w:val="59A73A9A"/>
    <w:rsid w:val="59B461B6"/>
    <w:rsid w:val="59B70D45"/>
    <w:rsid w:val="59CC52AE"/>
    <w:rsid w:val="59D6437F"/>
    <w:rsid w:val="59D979CB"/>
    <w:rsid w:val="59F6057D"/>
    <w:rsid w:val="59F9006D"/>
    <w:rsid w:val="59F91E1B"/>
    <w:rsid w:val="5A0416D6"/>
    <w:rsid w:val="5A276784"/>
    <w:rsid w:val="5A2C21F1"/>
    <w:rsid w:val="5A33532D"/>
    <w:rsid w:val="5A355549"/>
    <w:rsid w:val="5A504131"/>
    <w:rsid w:val="5A5A0B0C"/>
    <w:rsid w:val="5A753B98"/>
    <w:rsid w:val="5AAE0E58"/>
    <w:rsid w:val="5ADA7E9F"/>
    <w:rsid w:val="5B0E15AE"/>
    <w:rsid w:val="5B13515F"/>
    <w:rsid w:val="5B150ED7"/>
    <w:rsid w:val="5B1769FD"/>
    <w:rsid w:val="5B353327"/>
    <w:rsid w:val="5B3D34BA"/>
    <w:rsid w:val="5B48305A"/>
    <w:rsid w:val="5B484E08"/>
    <w:rsid w:val="5B9C6F02"/>
    <w:rsid w:val="5BAB4883"/>
    <w:rsid w:val="5BAC35E9"/>
    <w:rsid w:val="5BCF72D8"/>
    <w:rsid w:val="5BD84D24"/>
    <w:rsid w:val="5BE74621"/>
    <w:rsid w:val="5BFD3468"/>
    <w:rsid w:val="5C1178F0"/>
    <w:rsid w:val="5C1F025F"/>
    <w:rsid w:val="5C3655A9"/>
    <w:rsid w:val="5C4A4BB0"/>
    <w:rsid w:val="5C6F4617"/>
    <w:rsid w:val="5C8B76A2"/>
    <w:rsid w:val="5C9D73D6"/>
    <w:rsid w:val="5C9F6CAA"/>
    <w:rsid w:val="5CD01559"/>
    <w:rsid w:val="5CD02BB5"/>
    <w:rsid w:val="5CE172C2"/>
    <w:rsid w:val="5CE60D7D"/>
    <w:rsid w:val="5CE70651"/>
    <w:rsid w:val="5CE9261B"/>
    <w:rsid w:val="5CF214D0"/>
    <w:rsid w:val="5CF52D6E"/>
    <w:rsid w:val="5D0E3E30"/>
    <w:rsid w:val="5D101956"/>
    <w:rsid w:val="5D2B49E2"/>
    <w:rsid w:val="5D573A29"/>
    <w:rsid w:val="5D6A375C"/>
    <w:rsid w:val="5D6E48CE"/>
    <w:rsid w:val="5D722610"/>
    <w:rsid w:val="5D752101"/>
    <w:rsid w:val="5D973E25"/>
    <w:rsid w:val="5D9C768D"/>
    <w:rsid w:val="5DB8750E"/>
    <w:rsid w:val="5DD60DF1"/>
    <w:rsid w:val="5DD92690"/>
    <w:rsid w:val="5DE42A79"/>
    <w:rsid w:val="5DE92E4D"/>
    <w:rsid w:val="5E0C65C1"/>
    <w:rsid w:val="5E196F30"/>
    <w:rsid w:val="5E1C3BE5"/>
    <w:rsid w:val="5E1C432A"/>
    <w:rsid w:val="5E274F00"/>
    <w:rsid w:val="5E3E0745"/>
    <w:rsid w:val="5E453881"/>
    <w:rsid w:val="5E547F68"/>
    <w:rsid w:val="5E59732C"/>
    <w:rsid w:val="5E6006BB"/>
    <w:rsid w:val="5E655CD1"/>
    <w:rsid w:val="5E6A153A"/>
    <w:rsid w:val="5E6E102A"/>
    <w:rsid w:val="5E7155ED"/>
    <w:rsid w:val="5E783C56"/>
    <w:rsid w:val="5E7B72A3"/>
    <w:rsid w:val="5E8C7702"/>
    <w:rsid w:val="5E8E347A"/>
    <w:rsid w:val="5EA97AFB"/>
    <w:rsid w:val="5EC43F44"/>
    <w:rsid w:val="5EDF3CD6"/>
    <w:rsid w:val="5F0264FA"/>
    <w:rsid w:val="5F2931A3"/>
    <w:rsid w:val="5F337B7D"/>
    <w:rsid w:val="5F506981"/>
    <w:rsid w:val="5F70492E"/>
    <w:rsid w:val="5FA0018F"/>
    <w:rsid w:val="5FCF78A6"/>
    <w:rsid w:val="60163727"/>
    <w:rsid w:val="60366AE9"/>
    <w:rsid w:val="603911C4"/>
    <w:rsid w:val="603B13E0"/>
    <w:rsid w:val="60495ADF"/>
    <w:rsid w:val="6074044E"/>
    <w:rsid w:val="6082700E"/>
    <w:rsid w:val="60934D78"/>
    <w:rsid w:val="60A056E7"/>
    <w:rsid w:val="60BF5B6D"/>
    <w:rsid w:val="60DF1D6B"/>
    <w:rsid w:val="60F15F42"/>
    <w:rsid w:val="60F90953"/>
    <w:rsid w:val="610619ED"/>
    <w:rsid w:val="610B7004"/>
    <w:rsid w:val="611A2DA3"/>
    <w:rsid w:val="612956DC"/>
    <w:rsid w:val="612E684E"/>
    <w:rsid w:val="613F6CAD"/>
    <w:rsid w:val="61442516"/>
    <w:rsid w:val="6155202D"/>
    <w:rsid w:val="615A5895"/>
    <w:rsid w:val="615F10FE"/>
    <w:rsid w:val="61677FB2"/>
    <w:rsid w:val="618172C6"/>
    <w:rsid w:val="61826B9A"/>
    <w:rsid w:val="61B13F94"/>
    <w:rsid w:val="61C55405"/>
    <w:rsid w:val="61D03DA9"/>
    <w:rsid w:val="61FA4982"/>
    <w:rsid w:val="61FE4473"/>
    <w:rsid w:val="620344FC"/>
    <w:rsid w:val="621F43E9"/>
    <w:rsid w:val="62233ED9"/>
    <w:rsid w:val="622A5268"/>
    <w:rsid w:val="622B0FE0"/>
    <w:rsid w:val="622C5484"/>
    <w:rsid w:val="62353C0D"/>
    <w:rsid w:val="62436329"/>
    <w:rsid w:val="62635167"/>
    <w:rsid w:val="62662018"/>
    <w:rsid w:val="626C5880"/>
    <w:rsid w:val="62886432"/>
    <w:rsid w:val="6299063F"/>
    <w:rsid w:val="62A25746"/>
    <w:rsid w:val="62D90A3C"/>
    <w:rsid w:val="62DB2CB2"/>
    <w:rsid w:val="62EF025F"/>
    <w:rsid w:val="62FA7330"/>
    <w:rsid w:val="62FB6C04"/>
    <w:rsid w:val="630F26B0"/>
    <w:rsid w:val="631A52DC"/>
    <w:rsid w:val="631D301E"/>
    <w:rsid w:val="634560D1"/>
    <w:rsid w:val="634C3904"/>
    <w:rsid w:val="63580EFE"/>
    <w:rsid w:val="63585E05"/>
    <w:rsid w:val="636B1FDC"/>
    <w:rsid w:val="63862972"/>
    <w:rsid w:val="639D7CBB"/>
    <w:rsid w:val="63B249CD"/>
    <w:rsid w:val="63C416EC"/>
    <w:rsid w:val="63C811DC"/>
    <w:rsid w:val="63CB5574"/>
    <w:rsid w:val="63D00091"/>
    <w:rsid w:val="63D47B81"/>
    <w:rsid w:val="63D57455"/>
    <w:rsid w:val="63E8362C"/>
    <w:rsid w:val="63F773CC"/>
    <w:rsid w:val="640C320C"/>
    <w:rsid w:val="64195594"/>
    <w:rsid w:val="642A77A1"/>
    <w:rsid w:val="6454481E"/>
    <w:rsid w:val="6457430E"/>
    <w:rsid w:val="646031C3"/>
    <w:rsid w:val="6472739A"/>
    <w:rsid w:val="648275DD"/>
    <w:rsid w:val="64A21A2D"/>
    <w:rsid w:val="64A62BA0"/>
    <w:rsid w:val="64A931A3"/>
    <w:rsid w:val="64C5396E"/>
    <w:rsid w:val="64D67929"/>
    <w:rsid w:val="64F16511"/>
    <w:rsid w:val="64FF127C"/>
    <w:rsid w:val="65051FBC"/>
    <w:rsid w:val="65091AAC"/>
    <w:rsid w:val="650E0A0D"/>
    <w:rsid w:val="65183A9D"/>
    <w:rsid w:val="6525440C"/>
    <w:rsid w:val="653D1756"/>
    <w:rsid w:val="65500CD4"/>
    <w:rsid w:val="655820EC"/>
    <w:rsid w:val="656A1E1F"/>
    <w:rsid w:val="65711CFD"/>
    <w:rsid w:val="657B5DDA"/>
    <w:rsid w:val="657F1F77"/>
    <w:rsid w:val="6595541A"/>
    <w:rsid w:val="65960E66"/>
    <w:rsid w:val="659770B8"/>
    <w:rsid w:val="65A60BE0"/>
    <w:rsid w:val="65A74E21"/>
    <w:rsid w:val="65AC7086"/>
    <w:rsid w:val="65C6799D"/>
    <w:rsid w:val="65CE23AE"/>
    <w:rsid w:val="65D73958"/>
    <w:rsid w:val="6646288C"/>
    <w:rsid w:val="664803B2"/>
    <w:rsid w:val="66523152"/>
    <w:rsid w:val="6654764E"/>
    <w:rsid w:val="6659611C"/>
    <w:rsid w:val="665E7BD6"/>
    <w:rsid w:val="667529CC"/>
    <w:rsid w:val="667C1E0A"/>
    <w:rsid w:val="66807B4C"/>
    <w:rsid w:val="66855163"/>
    <w:rsid w:val="668D4017"/>
    <w:rsid w:val="66AC6B93"/>
    <w:rsid w:val="66CF4630"/>
    <w:rsid w:val="66D31DB6"/>
    <w:rsid w:val="66E300DB"/>
    <w:rsid w:val="66ED0F5A"/>
    <w:rsid w:val="66EF4CD2"/>
    <w:rsid w:val="6712276E"/>
    <w:rsid w:val="67187D46"/>
    <w:rsid w:val="6759039D"/>
    <w:rsid w:val="676E3E49"/>
    <w:rsid w:val="678E6299"/>
    <w:rsid w:val="6796339F"/>
    <w:rsid w:val="679D028A"/>
    <w:rsid w:val="67A55390"/>
    <w:rsid w:val="67DA14DE"/>
    <w:rsid w:val="67DA328C"/>
    <w:rsid w:val="67E934CF"/>
    <w:rsid w:val="68016A6B"/>
    <w:rsid w:val="680B1697"/>
    <w:rsid w:val="681349F0"/>
    <w:rsid w:val="681F771A"/>
    <w:rsid w:val="68394457"/>
    <w:rsid w:val="684C6A1F"/>
    <w:rsid w:val="686D5EAE"/>
    <w:rsid w:val="6873723D"/>
    <w:rsid w:val="687F5BE1"/>
    <w:rsid w:val="68822EA3"/>
    <w:rsid w:val="68A65864"/>
    <w:rsid w:val="68BB5CF4"/>
    <w:rsid w:val="68C35652"/>
    <w:rsid w:val="68C61A62"/>
    <w:rsid w:val="68D128E1"/>
    <w:rsid w:val="68D221B5"/>
    <w:rsid w:val="68E11616"/>
    <w:rsid w:val="68FF5834"/>
    <w:rsid w:val="690C1B6B"/>
    <w:rsid w:val="690C3919"/>
    <w:rsid w:val="69205616"/>
    <w:rsid w:val="6933534A"/>
    <w:rsid w:val="6945507D"/>
    <w:rsid w:val="69456E2B"/>
    <w:rsid w:val="69474951"/>
    <w:rsid w:val="696274DD"/>
    <w:rsid w:val="697128F3"/>
    <w:rsid w:val="697B45FB"/>
    <w:rsid w:val="698E2580"/>
    <w:rsid w:val="69AE49D0"/>
    <w:rsid w:val="69B30239"/>
    <w:rsid w:val="69BD10B7"/>
    <w:rsid w:val="69BD2E65"/>
    <w:rsid w:val="69C935B8"/>
    <w:rsid w:val="69CA7330"/>
    <w:rsid w:val="69F04FE9"/>
    <w:rsid w:val="69FA19C4"/>
    <w:rsid w:val="6A050368"/>
    <w:rsid w:val="6A072332"/>
    <w:rsid w:val="6A0A597F"/>
    <w:rsid w:val="6A31115D"/>
    <w:rsid w:val="6A372C18"/>
    <w:rsid w:val="6A403668"/>
    <w:rsid w:val="6A55309E"/>
    <w:rsid w:val="6A707ED8"/>
    <w:rsid w:val="6A8A71EB"/>
    <w:rsid w:val="6A94006A"/>
    <w:rsid w:val="6A99742E"/>
    <w:rsid w:val="6AB46016"/>
    <w:rsid w:val="6AB53B3C"/>
    <w:rsid w:val="6AC50223"/>
    <w:rsid w:val="6AD42215"/>
    <w:rsid w:val="6ADC731B"/>
    <w:rsid w:val="6B045478"/>
    <w:rsid w:val="6B122264"/>
    <w:rsid w:val="6B1940CB"/>
    <w:rsid w:val="6B282560"/>
    <w:rsid w:val="6B301415"/>
    <w:rsid w:val="6B3E1D84"/>
    <w:rsid w:val="6B4A697B"/>
    <w:rsid w:val="6B737C7F"/>
    <w:rsid w:val="6B8C0482"/>
    <w:rsid w:val="6BA77929"/>
    <w:rsid w:val="6BC04E8F"/>
    <w:rsid w:val="6BDB75D3"/>
    <w:rsid w:val="6BF30DC0"/>
    <w:rsid w:val="6BF54B38"/>
    <w:rsid w:val="6C0134DD"/>
    <w:rsid w:val="6C027425"/>
    <w:rsid w:val="6C18711B"/>
    <w:rsid w:val="6C1A65D8"/>
    <w:rsid w:val="6C24541E"/>
    <w:rsid w:val="6C272818"/>
    <w:rsid w:val="6C2B2308"/>
    <w:rsid w:val="6C2F6564"/>
    <w:rsid w:val="6C7A3290"/>
    <w:rsid w:val="6CA4030D"/>
    <w:rsid w:val="6CAC3770"/>
    <w:rsid w:val="6CAD7A01"/>
    <w:rsid w:val="6CC30321"/>
    <w:rsid w:val="6CEF6790"/>
    <w:rsid w:val="6CEF77DA"/>
    <w:rsid w:val="6CF070AE"/>
    <w:rsid w:val="6CFE7A1D"/>
    <w:rsid w:val="6D192AA9"/>
    <w:rsid w:val="6D25144D"/>
    <w:rsid w:val="6D372F2F"/>
    <w:rsid w:val="6D3E606B"/>
    <w:rsid w:val="6D4573FA"/>
    <w:rsid w:val="6D631F76"/>
    <w:rsid w:val="6D716441"/>
    <w:rsid w:val="6D793547"/>
    <w:rsid w:val="6D7C6B93"/>
    <w:rsid w:val="6D853C9A"/>
    <w:rsid w:val="6D9C0FE4"/>
    <w:rsid w:val="6D9E6B0A"/>
    <w:rsid w:val="6DA560EA"/>
    <w:rsid w:val="6DAE11EF"/>
    <w:rsid w:val="6DC522E8"/>
    <w:rsid w:val="6DE94229"/>
    <w:rsid w:val="6DF17581"/>
    <w:rsid w:val="6DFE57FA"/>
    <w:rsid w:val="6E0472B5"/>
    <w:rsid w:val="6E0C6169"/>
    <w:rsid w:val="6E166FE8"/>
    <w:rsid w:val="6E1B63AC"/>
    <w:rsid w:val="6E781A51"/>
    <w:rsid w:val="6E82642B"/>
    <w:rsid w:val="6E865F1C"/>
    <w:rsid w:val="6E9A19C7"/>
    <w:rsid w:val="6EAB7730"/>
    <w:rsid w:val="6EBD07B4"/>
    <w:rsid w:val="6ED421B0"/>
    <w:rsid w:val="6ED50C51"/>
    <w:rsid w:val="6ED8429D"/>
    <w:rsid w:val="6EE80984"/>
    <w:rsid w:val="6EFE3D04"/>
    <w:rsid w:val="6F060E0B"/>
    <w:rsid w:val="6F0D2199"/>
    <w:rsid w:val="6F394D3C"/>
    <w:rsid w:val="6F5E29F5"/>
    <w:rsid w:val="6F6124E5"/>
    <w:rsid w:val="6F6B334D"/>
    <w:rsid w:val="6F6C1DAC"/>
    <w:rsid w:val="6F6D49E6"/>
    <w:rsid w:val="6F771D08"/>
    <w:rsid w:val="6F912DCA"/>
    <w:rsid w:val="6FA26D85"/>
    <w:rsid w:val="6FA740EA"/>
    <w:rsid w:val="6FB70357"/>
    <w:rsid w:val="6FD11419"/>
    <w:rsid w:val="6FD809F9"/>
    <w:rsid w:val="6FDE3B35"/>
    <w:rsid w:val="6FE74798"/>
    <w:rsid w:val="70076BE8"/>
    <w:rsid w:val="70383246"/>
    <w:rsid w:val="70531E2E"/>
    <w:rsid w:val="708C5B7E"/>
    <w:rsid w:val="70B54896"/>
    <w:rsid w:val="70B56644"/>
    <w:rsid w:val="70B945BB"/>
    <w:rsid w:val="70D311C0"/>
    <w:rsid w:val="70D80585"/>
    <w:rsid w:val="70DE203F"/>
    <w:rsid w:val="70E84C6C"/>
    <w:rsid w:val="70F133F4"/>
    <w:rsid w:val="70F51137"/>
    <w:rsid w:val="70FF1011"/>
    <w:rsid w:val="7103668C"/>
    <w:rsid w:val="710E3FA6"/>
    <w:rsid w:val="71241A1C"/>
    <w:rsid w:val="71333A0D"/>
    <w:rsid w:val="71347EB1"/>
    <w:rsid w:val="71754026"/>
    <w:rsid w:val="7190214B"/>
    <w:rsid w:val="719C7908"/>
    <w:rsid w:val="71A1306D"/>
    <w:rsid w:val="71BA7C8A"/>
    <w:rsid w:val="71BC3A02"/>
    <w:rsid w:val="71CE20ED"/>
    <w:rsid w:val="71ED62B2"/>
    <w:rsid w:val="71F17B50"/>
    <w:rsid w:val="720158B9"/>
    <w:rsid w:val="720A29C0"/>
    <w:rsid w:val="721101F2"/>
    <w:rsid w:val="722A3062"/>
    <w:rsid w:val="722E4900"/>
    <w:rsid w:val="7231619E"/>
    <w:rsid w:val="72442376"/>
    <w:rsid w:val="72525B18"/>
    <w:rsid w:val="727644F9"/>
    <w:rsid w:val="727D5888"/>
    <w:rsid w:val="728409C4"/>
    <w:rsid w:val="728C71E0"/>
    <w:rsid w:val="728F1117"/>
    <w:rsid w:val="728F3335"/>
    <w:rsid w:val="72914E8F"/>
    <w:rsid w:val="72966949"/>
    <w:rsid w:val="729A01E8"/>
    <w:rsid w:val="72B1108D"/>
    <w:rsid w:val="72C139C6"/>
    <w:rsid w:val="72C456DB"/>
    <w:rsid w:val="72CB03A1"/>
    <w:rsid w:val="72D8486C"/>
    <w:rsid w:val="73027B3B"/>
    <w:rsid w:val="733028FA"/>
    <w:rsid w:val="734036BA"/>
    <w:rsid w:val="73412411"/>
    <w:rsid w:val="73497518"/>
    <w:rsid w:val="735F6D3B"/>
    <w:rsid w:val="73A3131E"/>
    <w:rsid w:val="73BA21C4"/>
    <w:rsid w:val="73CD639B"/>
    <w:rsid w:val="73DC65DE"/>
    <w:rsid w:val="73DE78B6"/>
    <w:rsid w:val="73E016E3"/>
    <w:rsid w:val="73E57241"/>
    <w:rsid w:val="73F456D6"/>
    <w:rsid w:val="74084D1B"/>
    <w:rsid w:val="740C6EC3"/>
    <w:rsid w:val="740E5704"/>
    <w:rsid w:val="740E6F5B"/>
    <w:rsid w:val="741A40CD"/>
    <w:rsid w:val="743261FE"/>
    <w:rsid w:val="744D3038"/>
    <w:rsid w:val="745D771F"/>
    <w:rsid w:val="74784559"/>
    <w:rsid w:val="7487479C"/>
    <w:rsid w:val="749D7B1B"/>
    <w:rsid w:val="74A14B8B"/>
    <w:rsid w:val="74A23383"/>
    <w:rsid w:val="74D15A17"/>
    <w:rsid w:val="74D27F2D"/>
    <w:rsid w:val="74E32558"/>
    <w:rsid w:val="74F3598D"/>
    <w:rsid w:val="74F87447"/>
    <w:rsid w:val="75295853"/>
    <w:rsid w:val="752B15CB"/>
    <w:rsid w:val="75385A96"/>
    <w:rsid w:val="75671ED7"/>
    <w:rsid w:val="756E770A"/>
    <w:rsid w:val="75736ACE"/>
    <w:rsid w:val="757D16FB"/>
    <w:rsid w:val="759929D8"/>
    <w:rsid w:val="75C15A8B"/>
    <w:rsid w:val="75C630A2"/>
    <w:rsid w:val="75CA2B92"/>
    <w:rsid w:val="75DA08FB"/>
    <w:rsid w:val="75EA6D90"/>
    <w:rsid w:val="75EE59E0"/>
    <w:rsid w:val="75F75951"/>
    <w:rsid w:val="75FA2D4B"/>
    <w:rsid w:val="760065B4"/>
    <w:rsid w:val="760360A4"/>
    <w:rsid w:val="760616F0"/>
    <w:rsid w:val="761262E7"/>
    <w:rsid w:val="763B583E"/>
    <w:rsid w:val="7677439C"/>
    <w:rsid w:val="76832D41"/>
    <w:rsid w:val="769431A0"/>
    <w:rsid w:val="769D02A6"/>
    <w:rsid w:val="76A96C4B"/>
    <w:rsid w:val="76AC2297"/>
    <w:rsid w:val="76BB75E3"/>
    <w:rsid w:val="76C02583"/>
    <w:rsid w:val="76C03F95"/>
    <w:rsid w:val="76C21ABB"/>
    <w:rsid w:val="76CE66B2"/>
    <w:rsid w:val="76EF1064"/>
    <w:rsid w:val="770B16B4"/>
    <w:rsid w:val="770E4D00"/>
    <w:rsid w:val="77161E07"/>
    <w:rsid w:val="772E7150"/>
    <w:rsid w:val="773109EF"/>
    <w:rsid w:val="77420E4E"/>
    <w:rsid w:val="77512E3F"/>
    <w:rsid w:val="77534E09"/>
    <w:rsid w:val="775E5C88"/>
    <w:rsid w:val="776D5D55"/>
    <w:rsid w:val="777D3C34"/>
    <w:rsid w:val="77870DF7"/>
    <w:rsid w:val="778B6351"/>
    <w:rsid w:val="77925931"/>
    <w:rsid w:val="779C67B0"/>
    <w:rsid w:val="77A17922"/>
    <w:rsid w:val="77C11D73"/>
    <w:rsid w:val="77E37F3B"/>
    <w:rsid w:val="77EB3EFF"/>
    <w:rsid w:val="77EB6DF0"/>
    <w:rsid w:val="77F4039A"/>
    <w:rsid w:val="77F42148"/>
    <w:rsid w:val="77F77A99"/>
    <w:rsid w:val="7826607A"/>
    <w:rsid w:val="78372035"/>
    <w:rsid w:val="783764D9"/>
    <w:rsid w:val="783C3AEF"/>
    <w:rsid w:val="784A1D68"/>
    <w:rsid w:val="784A620C"/>
    <w:rsid w:val="785B5D23"/>
    <w:rsid w:val="786170B2"/>
    <w:rsid w:val="78880AE2"/>
    <w:rsid w:val="788F00C3"/>
    <w:rsid w:val="78A376CA"/>
    <w:rsid w:val="78C064CE"/>
    <w:rsid w:val="78C95383"/>
    <w:rsid w:val="78D85A0E"/>
    <w:rsid w:val="78E0447A"/>
    <w:rsid w:val="78E35D19"/>
    <w:rsid w:val="78EF290F"/>
    <w:rsid w:val="78F32400"/>
    <w:rsid w:val="78F61EF0"/>
    <w:rsid w:val="7904460D"/>
    <w:rsid w:val="790939D1"/>
    <w:rsid w:val="790C1713"/>
    <w:rsid w:val="79110AD8"/>
    <w:rsid w:val="792E168A"/>
    <w:rsid w:val="796B468C"/>
    <w:rsid w:val="79780B57"/>
    <w:rsid w:val="797A07C3"/>
    <w:rsid w:val="797F5A41"/>
    <w:rsid w:val="79892D64"/>
    <w:rsid w:val="798968C0"/>
    <w:rsid w:val="799E07F2"/>
    <w:rsid w:val="79A436FA"/>
    <w:rsid w:val="79A74F98"/>
    <w:rsid w:val="79AB2CDA"/>
    <w:rsid w:val="79C142AC"/>
    <w:rsid w:val="79D02741"/>
    <w:rsid w:val="79DC10E6"/>
    <w:rsid w:val="79E93803"/>
    <w:rsid w:val="79F53F55"/>
    <w:rsid w:val="7A0348C4"/>
    <w:rsid w:val="7A0D5743"/>
    <w:rsid w:val="7A1C14E2"/>
    <w:rsid w:val="7A1E34AC"/>
    <w:rsid w:val="7A4A24F3"/>
    <w:rsid w:val="7A5549F4"/>
    <w:rsid w:val="7A680BCB"/>
    <w:rsid w:val="7A6F5AB6"/>
    <w:rsid w:val="7A861051"/>
    <w:rsid w:val="7AD61FD9"/>
    <w:rsid w:val="7AF20495"/>
    <w:rsid w:val="7AF661D7"/>
    <w:rsid w:val="7B1E128A"/>
    <w:rsid w:val="7B3665D4"/>
    <w:rsid w:val="7B492710"/>
    <w:rsid w:val="7B4F73D3"/>
    <w:rsid w:val="7B5D6256"/>
    <w:rsid w:val="7B5F3D7C"/>
    <w:rsid w:val="7B6F1AE6"/>
    <w:rsid w:val="7B735A7A"/>
    <w:rsid w:val="7B875081"/>
    <w:rsid w:val="7BBC11CF"/>
    <w:rsid w:val="7BC41E31"/>
    <w:rsid w:val="7BC51344"/>
    <w:rsid w:val="7BDD1145"/>
    <w:rsid w:val="7BF81ADB"/>
    <w:rsid w:val="7C013085"/>
    <w:rsid w:val="7C091F3A"/>
    <w:rsid w:val="7C0B180E"/>
    <w:rsid w:val="7C224DAA"/>
    <w:rsid w:val="7C2B3C5E"/>
    <w:rsid w:val="7C2D79D7"/>
    <w:rsid w:val="7C32323F"/>
    <w:rsid w:val="7C3C2310"/>
    <w:rsid w:val="7C4A4A2C"/>
    <w:rsid w:val="7C694787"/>
    <w:rsid w:val="7C7B2E38"/>
    <w:rsid w:val="7C7E6484"/>
    <w:rsid w:val="7C8021FC"/>
    <w:rsid w:val="7C8B294F"/>
    <w:rsid w:val="7CA4675E"/>
    <w:rsid w:val="7CBB20E7"/>
    <w:rsid w:val="7CC145C3"/>
    <w:rsid w:val="7CE14092"/>
    <w:rsid w:val="7CF130FA"/>
    <w:rsid w:val="7D0F3580"/>
    <w:rsid w:val="7D456FA2"/>
    <w:rsid w:val="7D4A280A"/>
    <w:rsid w:val="7D515947"/>
    <w:rsid w:val="7D5F62B6"/>
    <w:rsid w:val="7D6A4C5A"/>
    <w:rsid w:val="7D9826DD"/>
    <w:rsid w:val="7D9B3066"/>
    <w:rsid w:val="7DA4016C"/>
    <w:rsid w:val="7DA75633"/>
    <w:rsid w:val="7DAB4928"/>
    <w:rsid w:val="7DB639FC"/>
    <w:rsid w:val="7DB859C6"/>
    <w:rsid w:val="7DDA1DE0"/>
    <w:rsid w:val="7DE22A43"/>
    <w:rsid w:val="7DE762AB"/>
    <w:rsid w:val="7DEE7639"/>
    <w:rsid w:val="7DF369FE"/>
    <w:rsid w:val="7DF67A9C"/>
    <w:rsid w:val="7DFF53A3"/>
    <w:rsid w:val="7E062F52"/>
    <w:rsid w:val="7E1458DD"/>
    <w:rsid w:val="7E266DD3"/>
    <w:rsid w:val="7E2D34D3"/>
    <w:rsid w:val="7E341901"/>
    <w:rsid w:val="7E4C1470"/>
    <w:rsid w:val="7E6671D0"/>
    <w:rsid w:val="7E6E42D6"/>
    <w:rsid w:val="7E786F03"/>
    <w:rsid w:val="7E81225C"/>
    <w:rsid w:val="7E851D4C"/>
    <w:rsid w:val="7EA146AC"/>
    <w:rsid w:val="7ED6157A"/>
    <w:rsid w:val="7ED625A7"/>
    <w:rsid w:val="7ED67C49"/>
    <w:rsid w:val="7ED92098"/>
    <w:rsid w:val="7EE2719E"/>
    <w:rsid w:val="7EE30820"/>
    <w:rsid w:val="7EEF18BB"/>
    <w:rsid w:val="7EF173E1"/>
    <w:rsid w:val="7F2552DD"/>
    <w:rsid w:val="7F427C3D"/>
    <w:rsid w:val="7F596D35"/>
    <w:rsid w:val="7F62208D"/>
    <w:rsid w:val="7F7818B1"/>
    <w:rsid w:val="7F8B5E3C"/>
    <w:rsid w:val="7FC02E5E"/>
    <w:rsid w:val="7FDC1E3F"/>
    <w:rsid w:val="7FDD7966"/>
    <w:rsid w:val="7FDF36DE"/>
    <w:rsid w:val="7FF13411"/>
    <w:rsid w:val="7FF64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7"/>
    <w:autoRedefine/>
    <w:qFormat/>
    <w:uiPriority w:val="0"/>
    <w:pPr>
      <w:keepNext/>
      <w:keepLines/>
      <w:spacing w:before="120" w:after="120" w:line="360" w:lineRule="auto"/>
      <w:jc w:val="center"/>
      <w:outlineLvl w:val="0"/>
    </w:pPr>
    <w:rPr>
      <w:b/>
      <w:spacing w:val="20"/>
      <w:kern w:val="44"/>
      <w:sz w:val="32"/>
    </w:rPr>
  </w:style>
  <w:style w:type="paragraph" w:styleId="3">
    <w:name w:val="heading 2"/>
    <w:basedOn w:val="1"/>
    <w:next w:val="4"/>
    <w:autoRedefine/>
    <w:qFormat/>
    <w:uiPriority w:val="0"/>
    <w:pPr>
      <w:keepNext/>
      <w:keepLines/>
      <w:spacing w:before="240" w:line="400" w:lineRule="exact"/>
      <w:outlineLvl w:val="1"/>
    </w:pPr>
    <w:rPr>
      <w:rFonts w:ascii="Arial" w:hAnsi="Arial"/>
      <w:b/>
      <w:color w:val="000000"/>
      <w:spacing w:val="40"/>
      <w:sz w:val="30"/>
    </w:rPr>
  </w:style>
  <w:style w:type="paragraph" w:styleId="5">
    <w:name w:val="heading 3"/>
    <w:basedOn w:val="1"/>
    <w:next w:val="1"/>
    <w:autoRedefine/>
    <w:qFormat/>
    <w:uiPriority w:val="0"/>
    <w:pPr>
      <w:keepNext/>
      <w:keepLines/>
      <w:spacing w:before="60" w:after="60" w:line="400" w:lineRule="exact"/>
      <w:ind w:firstLine="510"/>
      <w:outlineLvl w:val="2"/>
    </w:pPr>
    <w:rPr>
      <w:rFonts w:ascii="宋体"/>
      <w:b/>
      <w:sz w:val="24"/>
    </w:rPr>
  </w:style>
  <w:style w:type="paragraph" w:styleId="6">
    <w:name w:val="heading 4"/>
    <w:basedOn w:val="1"/>
    <w:next w:val="1"/>
    <w:autoRedefine/>
    <w:qFormat/>
    <w:uiPriority w:val="0"/>
    <w:pPr>
      <w:numPr>
        <w:ilvl w:val="3"/>
        <w:numId w:val="1"/>
      </w:numPr>
      <w:adjustRightInd w:val="0"/>
      <w:spacing w:before="120" w:line="360" w:lineRule="auto"/>
      <w:textAlignment w:val="baseline"/>
      <w:outlineLvl w:val="3"/>
    </w:pPr>
    <w:rPr>
      <w:rFonts w:ascii="Arial" w:hAnsi="Arial" w:eastAsia="黑体"/>
      <w:kern w:val="0"/>
      <w:sz w:val="28"/>
    </w:rPr>
  </w:style>
  <w:style w:type="paragraph" w:styleId="7">
    <w:name w:val="heading 5"/>
    <w:basedOn w:val="1"/>
    <w:next w:val="1"/>
    <w:autoRedefine/>
    <w:qFormat/>
    <w:uiPriority w:val="9"/>
    <w:pPr>
      <w:keepNext/>
      <w:keepLines/>
      <w:numPr>
        <w:ilvl w:val="4"/>
        <w:numId w:val="2"/>
      </w:numPr>
      <w:adjustRightInd w:val="0"/>
      <w:spacing w:before="280" w:beforeLines="0" w:after="290" w:afterLines="0" w:line="376" w:lineRule="atLeast"/>
      <w:textAlignment w:val="baseline"/>
      <w:outlineLvl w:val="4"/>
    </w:pPr>
    <w:rPr>
      <w:b/>
      <w:kern w:val="0"/>
      <w:sz w:val="28"/>
    </w:rPr>
  </w:style>
  <w:style w:type="character" w:default="1" w:styleId="23">
    <w:name w:val="Default Paragraph Font"/>
    <w:autoRedefine/>
    <w:unhideWhenUsed/>
    <w:qFormat/>
    <w:uiPriority w:val="1"/>
  </w:style>
  <w:style w:type="table" w:default="1" w:styleId="21">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next w:val="1"/>
    <w:autoRedefine/>
    <w:qFormat/>
    <w:uiPriority w:val="0"/>
    <w:pPr>
      <w:ind w:firstLine="420"/>
    </w:pPr>
  </w:style>
  <w:style w:type="paragraph" w:styleId="8">
    <w:name w:val="annotation text"/>
    <w:basedOn w:val="1"/>
    <w:autoRedefine/>
    <w:qFormat/>
    <w:uiPriority w:val="0"/>
    <w:pPr>
      <w:jc w:val="left"/>
    </w:pPr>
  </w:style>
  <w:style w:type="paragraph" w:styleId="9">
    <w:name w:val="Body Text"/>
    <w:basedOn w:val="1"/>
    <w:autoRedefine/>
    <w:qFormat/>
    <w:uiPriority w:val="0"/>
    <w:pPr>
      <w:spacing w:line="0" w:lineRule="atLeast"/>
    </w:pPr>
    <w:rPr>
      <w:sz w:val="30"/>
      <w:lang w:val="zh-CN"/>
    </w:rPr>
  </w:style>
  <w:style w:type="paragraph" w:styleId="10">
    <w:name w:val="toc 3"/>
    <w:basedOn w:val="1"/>
    <w:next w:val="1"/>
    <w:autoRedefine/>
    <w:qFormat/>
    <w:uiPriority w:val="0"/>
    <w:pPr>
      <w:ind w:left="840" w:leftChars="400"/>
    </w:pPr>
  </w:style>
  <w:style w:type="paragraph" w:styleId="11">
    <w:name w:val="Plain Text"/>
    <w:basedOn w:val="1"/>
    <w:autoRedefine/>
    <w:unhideWhenUsed/>
    <w:qFormat/>
    <w:uiPriority w:val="99"/>
    <w:rPr>
      <w:rFonts w:ascii="宋体"/>
    </w:rPr>
  </w:style>
  <w:style w:type="paragraph" w:styleId="12">
    <w:name w:val="Body Text Indent 2"/>
    <w:basedOn w:val="1"/>
    <w:qFormat/>
    <w:uiPriority w:val="0"/>
    <w:pPr>
      <w:spacing w:after="120" w:line="480" w:lineRule="auto"/>
      <w:ind w:left="420" w:leftChars="200"/>
    </w:pPr>
  </w:style>
  <w:style w:type="paragraph" w:styleId="13">
    <w:name w:val="Balloon Text"/>
    <w:basedOn w:val="1"/>
    <w:link w:val="29"/>
    <w:autoRedefine/>
    <w:qFormat/>
    <w:uiPriority w:val="0"/>
    <w:rPr>
      <w:sz w:val="18"/>
      <w:szCs w:val="18"/>
    </w:rPr>
  </w:style>
  <w:style w:type="paragraph" w:styleId="14">
    <w:name w:val="footer"/>
    <w:basedOn w:val="1"/>
    <w:autoRedefine/>
    <w:qFormat/>
    <w:uiPriority w:val="99"/>
    <w:pPr>
      <w:tabs>
        <w:tab w:val="center" w:pos="4153"/>
        <w:tab w:val="right" w:pos="8306"/>
      </w:tabs>
      <w:snapToGrid w:val="0"/>
      <w:jc w:val="left"/>
    </w:pPr>
    <w:rPr>
      <w:sz w:val="18"/>
    </w:rPr>
  </w:style>
  <w:style w:type="paragraph" w:styleId="15">
    <w:name w:val="header"/>
    <w:basedOn w:val="1"/>
    <w:autoRedefine/>
    <w:qFormat/>
    <w:uiPriority w:val="99"/>
    <w:pPr>
      <w:pBdr>
        <w:bottom w:val="single" w:color="auto" w:sz="6" w:space="1"/>
      </w:pBdr>
      <w:tabs>
        <w:tab w:val="center" w:pos="4153"/>
        <w:tab w:val="right" w:pos="8306"/>
      </w:tabs>
      <w:snapToGrid w:val="0"/>
      <w:jc w:val="center"/>
    </w:pPr>
    <w:rPr>
      <w:sz w:val="18"/>
    </w:rPr>
  </w:style>
  <w:style w:type="paragraph" w:styleId="16">
    <w:name w:val="toc 1"/>
    <w:basedOn w:val="1"/>
    <w:next w:val="1"/>
    <w:autoRedefine/>
    <w:qFormat/>
    <w:uiPriority w:val="39"/>
    <w:pPr>
      <w:tabs>
        <w:tab w:val="right" w:leader="dot" w:pos="9663"/>
      </w:tabs>
      <w:spacing w:before="120" w:after="120"/>
      <w:jc w:val="left"/>
    </w:pPr>
    <w:rPr>
      <w:b/>
      <w:bCs/>
      <w:caps/>
      <w:sz w:val="28"/>
      <w:szCs w:val="28"/>
    </w:rPr>
  </w:style>
  <w:style w:type="paragraph" w:styleId="17">
    <w:name w:val="toc 2"/>
    <w:basedOn w:val="1"/>
    <w:next w:val="1"/>
    <w:autoRedefine/>
    <w:qFormat/>
    <w:uiPriority w:val="39"/>
    <w:pPr>
      <w:ind w:left="210"/>
      <w:jc w:val="left"/>
    </w:pPr>
    <w:rPr>
      <w:smallCaps/>
      <w:sz w:val="20"/>
    </w:rPr>
  </w:style>
  <w:style w:type="paragraph" w:styleId="18">
    <w:name w:val="Normal (Web)"/>
    <w:basedOn w:val="1"/>
    <w:autoRedefine/>
    <w:qFormat/>
    <w:uiPriority w:val="99"/>
    <w:pPr>
      <w:widowControl/>
      <w:spacing w:before="100" w:beforeAutospacing="1" w:after="100" w:afterAutospacing="1"/>
      <w:jc w:val="left"/>
    </w:pPr>
    <w:rPr>
      <w:rFonts w:ascii="仿宋_GB2312" w:hAnsi="宋体" w:eastAsia="仿宋_GB2312"/>
      <w:snapToGrid w:val="0"/>
      <w:kern w:val="0"/>
      <w:sz w:val="28"/>
      <w:szCs w:val="24"/>
    </w:rPr>
  </w:style>
  <w:style w:type="paragraph" w:styleId="19">
    <w:name w:val="Body Text First Indent"/>
    <w:basedOn w:val="9"/>
    <w:next w:val="1"/>
    <w:autoRedefine/>
    <w:qFormat/>
    <w:uiPriority w:val="0"/>
    <w:pPr>
      <w:ind w:firstLine="420" w:firstLineChars="100"/>
    </w:pPr>
  </w:style>
  <w:style w:type="paragraph" w:styleId="20">
    <w:name w:val="Body Text First Indent 2"/>
    <w:basedOn w:val="1"/>
    <w:next w:val="19"/>
    <w:autoRedefine/>
    <w:unhideWhenUsed/>
    <w:qFormat/>
    <w:uiPriority w:val="99"/>
    <w:pPr>
      <w:ind w:firstLine="420" w:firstLineChars="200"/>
    </w:p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Hyperlink"/>
    <w:basedOn w:val="23"/>
    <w:autoRedefine/>
    <w:qFormat/>
    <w:uiPriority w:val="0"/>
    <w:rPr>
      <w:color w:val="0000FF"/>
      <w:u w:val="single"/>
    </w:rPr>
  </w:style>
  <w:style w:type="character" w:styleId="25">
    <w:name w:val="annotation reference"/>
    <w:basedOn w:val="23"/>
    <w:autoRedefine/>
    <w:qFormat/>
    <w:uiPriority w:val="0"/>
    <w:rPr>
      <w:sz w:val="21"/>
      <w:szCs w:val="21"/>
    </w:rPr>
  </w:style>
  <w:style w:type="paragraph" w:customStyle="1" w:styleId="26">
    <w:name w:val="TOC Heading1"/>
    <w:basedOn w:val="2"/>
    <w:next w:val="1"/>
    <w:autoRedefine/>
    <w:unhideWhenUsed/>
    <w:qFormat/>
    <w:uiPriority w:val="39"/>
    <w:pPr>
      <w:widowControl/>
      <w:spacing w:before="480" w:after="0" w:line="276" w:lineRule="auto"/>
      <w:jc w:val="left"/>
      <w:outlineLvl w:val="9"/>
    </w:pPr>
    <w:rPr>
      <w:rFonts w:ascii="Cambria" w:hAnsi="Cambria"/>
      <w:bCs/>
      <w:color w:val="366091"/>
      <w:spacing w:val="0"/>
      <w:kern w:val="0"/>
      <w:sz w:val="28"/>
      <w:szCs w:val="28"/>
    </w:rPr>
  </w:style>
  <w:style w:type="character" w:customStyle="1" w:styleId="27">
    <w:name w:val="标题 1 字符"/>
    <w:link w:val="2"/>
    <w:autoRedefine/>
    <w:qFormat/>
    <w:uiPriority w:val="0"/>
    <w:rPr>
      <w:b/>
      <w:spacing w:val="20"/>
      <w:kern w:val="44"/>
      <w:sz w:val="32"/>
    </w:rPr>
  </w:style>
  <w:style w:type="paragraph" w:customStyle="1" w:styleId="28">
    <w:name w:val="Z正文"/>
    <w:autoRedefine/>
    <w:qFormat/>
    <w:uiPriority w:val="0"/>
    <w:pPr>
      <w:spacing w:line="360" w:lineRule="auto"/>
      <w:ind w:firstLine="480" w:firstLineChars="200"/>
      <w:jc w:val="both"/>
    </w:pPr>
    <w:rPr>
      <w:rFonts w:ascii="宋体" w:hAnsi="宋体" w:eastAsia="宋体" w:cs="Calibri"/>
      <w:sz w:val="24"/>
      <w:lang w:val="en-US" w:eastAsia="zh-CN" w:bidi="ar-SA"/>
    </w:rPr>
  </w:style>
  <w:style w:type="character" w:customStyle="1" w:styleId="29">
    <w:name w:val="批注框文本 字符"/>
    <w:basedOn w:val="23"/>
    <w:link w:val="13"/>
    <w:autoRedefine/>
    <w:qFormat/>
    <w:uiPriority w:val="0"/>
    <w:rPr>
      <w:rFonts w:ascii="Times New Roman" w:hAnsi="Times New Roman" w:eastAsia="宋体" w:cs="Times New Roman"/>
      <w:kern w:val="2"/>
      <w:sz w:val="18"/>
      <w:szCs w:val="18"/>
    </w:rPr>
  </w:style>
  <w:style w:type="character" w:customStyle="1" w:styleId="30">
    <w:name w:val="Unresolved Mention"/>
    <w:basedOn w:val="23"/>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78</Pages>
  <Words>35392</Words>
  <Characters>37819</Characters>
  <Lines>329</Lines>
  <Paragraphs>92</Paragraphs>
  <TotalTime>1</TotalTime>
  <ScaleCrop>false</ScaleCrop>
  <LinksUpToDate>false</LinksUpToDate>
  <CharactersWithSpaces>39577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2024-04-16T03:02:00Z</dcterms:created>
  <dc:creator>蜗牛学步</dc:creator>
  <cp:lastModifiedBy>蜗牛学步</cp:lastModifiedBy>
  <cp:lastPrinted>2024-06-25T05:53:00Z</cp:lastPrinted>
  <dcterms:modified xsi:type="dcterms:W3CDTF">2024-06-28T09:27:34Z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AA27BAE0562745E1954B8ABB6140BAA3_13</vt:lpwstr>
  </property>
</Properties>
</file>