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DE0584">
      <w:pPr>
        <w:pStyle w:val="4"/>
        <w:ind w:firstLine="480"/>
        <w:jc w:val="center"/>
        <w:rPr>
          <w:rFonts w:hint="eastAsia" w:ascii="仿宋_GB2312" w:hAnsi="仿宋_GB2312" w:eastAsia="仿宋_GB2312" w:cs="仿宋_GB2312"/>
          <w:sz w:val="52"/>
          <w:szCs w:val="52"/>
          <w:lang w:eastAsia="zh-CN"/>
        </w:rPr>
      </w:pPr>
      <w:r>
        <w:rPr>
          <w:rFonts w:hint="eastAsia" w:ascii="仿宋_GB2312" w:hAnsi="仿宋_GB2312" w:eastAsia="仿宋_GB2312" w:cs="仿宋_GB2312"/>
          <w:sz w:val="52"/>
          <w:szCs w:val="52"/>
          <w:lang w:eastAsia="zh-CN"/>
        </w:rPr>
        <w:t>采购需求</w:t>
      </w:r>
    </w:p>
    <w:p w14:paraId="6309B050">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866BE38">
      <w:pPr>
        <w:pStyle w:val="4"/>
        <w:jc w:val="left"/>
        <w:outlineLvl w:val="2"/>
      </w:pPr>
      <w:r>
        <w:rPr>
          <w:rFonts w:ascii="仿宋_GB2312" w:hAnsi="仿宋_GB2312" w:eastAsia="仿宋_GB2312" w:cs="仿宋_GB2312"/>
          <w:b/>
          <w:sz w:val="28"/>
        </w:rPr>
        <w:t>3.1.采购内容</w:t>
      </w:r>
    </w:p>
    <w:p w14:paraId="7DE730BC">
      <w:pPr>
        <w:pStyle w:val="4"/>
        <w:jc w:val="left"/>
      </w:pPr>
      <w:r>
        <w:rPr>
          <w:rFonts w:ascii="仿宋_GB2312" w:hAnsi="仿宋_GB2312" w:eastAsia="仿宋_GB2312" w:cs="仿宋_GB2312"/>
        </w:rPr>
        <w:t>采购包1：</w:t>
      </w:r>
    </w:p>
    <w:p w14:paraId="0500FD31">
      <w:pPr>
        <w:pStyle w:val="4"/>
        <w:jc w:val="left"/>
      </w:pPr>
      <w:r>
        <w:rPr>
          <w:rFonts w:ascii="仿宋_GB2312" w:hAnsi="仿宋_GB2312" w:eastAsia="仿宋_GB2312" w:cs="仿宋_GB2312"/>
        </w:rPr>
        <w:t>采购包预算金额（元）: 1,120,000.00</w:t>
      </w:r>
    </w:p>
    <w:p w14:paraId="7BFCCAFC">
      <w:pPr>
        <w:pStyle w:val="4"/>
        <w:jc w:val="left"/>
      </w:pPr>
      <w:r>
        <w:rPr>
          <w:rFonts w:ascii="仿宋_GB2312" w:hAnsi="仿宋_GB2312" w:eastAsia="仿宋_GB2312" w:cs="仿宋_GB2312"/>
        </w:rPr>
        <w:t>采购包最高限价（元）: 1,120,000.00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11586B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FDCC340">
            <w:pPr>
              <w:pStyle w:val="4"/>
              <w:jc w:val="center"/>
            </w:pPr>
            <w:r>
              <w:rPr>
                <w:rFonts w:ascii="仿宋_GB2312" w:hAnsi="仿宋_GB2312" w:eastAsia="仿宋_GB2312" w:cs="仿宋_GB2312"/>
              </w:rPr>
              <w:t>序号</w:t>
            </w:r>
          </w:p>
        </w:tc>
        <w:tc>
          <w:tcPr>
            <w:tcW w:w="821" w:type="dxa"/>
          </w:tcPr>
          <w:p w14:paraId="00BE01C3">
            <w:pPr>
              <w:pStyle w:val="4"/>
              <w:jc w:val="center"/>
            </w:pPr>
            <w:r>
              <w:rPr>
                <w:rFonts w:ascii="仿宋_GB2312" w:hAnsi="仿宋_GB2312" w:eastAsia="仿宋_GB2312" w:cs="仿宋_GB2312"/>
              </w:rPr>
              <w:t>采购品目名称</w:t>
            </w:r>
          </w:p>
        </w:tc>
        <w:tc>
          <w:tcPr>
            <w:tcW w:w="821" w:type="dxa"/>
          </w:tcPr>
          <w:p w14:paraId="063F8A5F">
            <w:pPr>
              <w:pStyle w:val="4"/>
              <w:jc w:val="center"/>
            </w:pPr>
            <w:r>
              <w:rPr>
                <w:rFonts w:ascii="仿宋_GB2312" w:hAnsi="仿宋_GB2312" w:eastAsia="仿宋_GB2312" w:cs="仿宋_GB2312"/>
              </w:rPr>
              <w:t>标的名称</w:t>
            </w:r>
          </w:p>
        </w:tc>
        <w:tc>
          <w:tcPr>
            <w:tcW w:w="821" w:type="dxa"/>
          </w:tcPr>
          <w:p w14:paraId="2EB7C68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AD6085F">
            <w:pPr>
              <w:pStyle w:val="4"/>
              <w:jc w:val="center"/>
            </w:pPr>
            <w:r>
              <w:rPr>
                <w:rFonts w:ascii="仿宋_GB2312" w:hAnsi="仿宋_GB2312" w:eastAsia="仿宋_GB2312" w:cs="仿宋_GB2312"/>
              </w:rPr>
              <w:t>标的金额 （元）</w:t>
            </w:r>
          </w:p>
        </w:tc>
        <w:tc>
          <w:tcPr>
            <w:tcW w:w="821" w:type="dxa"/>
          </w:tcPr>
          <w:p w14:paraId="1AA251E1">
            <w:pPr>
              <w:pStyle w:val="4"/>
              <w:jc w:val="center"/>
            </w:pPr>
            <w:r>
              <w:rPr>
                <w:rFonts w:ascii="仿宋_GB2312" w:hAnsi="仿宋_GB2312" w:eastAsia="仿宋_GB2312" w:cs="仿宋_GB2312"/>
              </w:rPr>
              <w:t>所属行业</w:t>
            </w:r>
          </w:p>
        </w:tc>
        <w:tc>
          <w:tcPr>
            <w:tcW w:w="821" w:type="dxa"/>
          </w:tcPr>
          <w:p w14:paraId="64184414">
            <w:pPr>
              <w:pStyle w:val="4"/>
              <w:jc w:val="center"/>
            </w:pPr>
            <w:r>
              <w:rPr>
                <w:rFonts w:ascii="仿宋_GB2312" w:hAnsi="仿宋_GB2312" w:eastAsia="仿宋_GB2312" w:cs="仿宋_GB2312"/>
              </w:rPr>
              <w:t>是否涉及核心产品</w:t>
            </w:r>
          </w:p>
        </w:tc>
        <w:tc>
          <w:tcPr>
            <w:tcW w:w="821" w:type="dxa"/>
          </w:tcPr>
          <w:p w14:paraId="26822EAA">
            <w:pPr>
              <w:pStyle w:val="4"/>
              <w:jc w:val="center"/>
            </w:pPr>
            <w:r>
              <w:rPr>
                <w:rFonts w:ascii="仿宋_GB2312" w:hAnsi="仿宋_GB2312" w:eastAsia="仿宋_GB2312" w:cs="仿宋_GB2312"/>
              </w:rPr>
              <w:t>是否涉及采购进口产品</w:t>
            </w:r>
          </w:p>
        </w:tc>
        <w:tc>
          <w:tcPr>
            <w:tcW w:w="821" w:type="dxa"/>
          </w:tcPr>
          <w:p w14:paraId="3926C92C">
            <w:pPr>
              <w:pStyle w:val="4"/>
              <w:jc w:val="center"/>
            </w:pPr>
            <w:r>
              <w:rPr>
                <w:rFonts w:ascii="仿宋_GB2312" w:hAnsi="仿宋_GB2312" w:eastAsia="仿宋_GB2312" w:cs="仿宋_GB2312"/>
              </w:rPr>
              <w:t>是否涉及强制采购节能产品</w:t>
            </w:r>
          </w:p>
        </w:tc>
        <w:tc>
          <w:tcPr>
            <w:tcW w:w="639" w:type="dxa"/>
          </w:tcPr>
          <w:p w14:paraId="194E6CE0">
            <w:pPr>
              <w:pStyle w:val="4"/>
              <w:jc w:val="center"/>
            </w:pPr>
            <w:r>
              <w:rPr>
                <w:rFonts w:ascii="仿宋_GB2312" w:hAnsi="仿宋_GB2312" w:eastAsia="仿宋_GB2312" w:cs="仿宋_GB2312"/>
              </w:rPr>
              <w:t>是否涉及优先采购节能产品</w:t>
            </w:r>
          </w:p>
        </w:tc>
        <w:tc>
          <w:tcPr>
            <w:tcW w:w="639" w:type="dxa"/>
          </w:tcPr>
          <w:p w14:paraId="3472E596">
            <w:pPr>
              <w:pStyle w:val="4"/>
              <w:jc w:val="center"/>
            </w:pPr>
            <w:r>
              <w:rPr>
                <w:rFonts w:ascii="仿宋_GB2312" w:hAnsi="仿宋_GB2312" w:eastAsia="仿宋_GB2312" w:cs="仿宋_GB2312"/>
              </w:rPr>
              <w:t>是否涉及优先采购环境标志产品</w:t>
            </w:r>
          </w:p>
        </w:tc>
      </w:tr>
      <w:tr w14:paraId="395AFC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297E4EF">
            <w:pPr>
              <w:pStyle w:val="4"/>
              <w:jc w:val="left"/>
            </w:pPr>
            <w:r>
              <w:rPr>
                <w:rFonts w:ascii="仿宋_GB2312" w:hAnsi="仿宋_GB2312" w:eastAsia="仿宋_GB2312" w:cs="仿宋_GB2312"/>
              </w:rPr>
              <w:t>1</w:t>
            </w:r>
          </w:p>
        </w:tc>
        <w:tc>
          <w:tcPr>
            <w:tcW w:w="821" w:type="dxa"/>
          </w:tcPr>
          <w:p w14:paraId="4FC0ED98">
            <w:pPr>
              <w:pStyle w:val="4"/>
              <w:jc w:val="left"/>
            </w:pPr>
            <w:r>
              <w:rPr>
                <w:rFonts w:ascii="仿宋_GB2312" w:hAnsi="仿宋_GB2312" w:eastAsia="仿宋_GB2312" w:cs="仿宋_GB2312"/>
              </w:rPr>
              <w:t>C22020100 博览会服务</w:t>
            </w:r>
          </w:p>
        </w:tc>
        <w:tc>
          <w:tcPr>
            <w:tcW w:w="821" w:type="dxa"/>
          </w:tcPr>
          <w:p w14:paraId="03FB02E4">
            <w:pPr>
              <w:pStyle w:val="4"/>
              <w:jc w:val="left"/>
            </w:pPr>
            <w:r>
              <w:rPr>
                <w:rFonts w:ascii="仿宋_GB2312" w:hAnsi="仿宋_GB2312" w:eastAsia="仿宋_GB2312" w:cs="仿宋_GB2312"/>
              </w:rPr>
              <w:t>甘孜州参加第十二届四川农业博览会展馆设计搭建和服务</w:t>
            </w:r>
          </w:p>
        </w:tc>
        <w:tc>
          <w:tcPr>
            <w:tcW w:w="821" w:type="dxa"/>
          </w:tcPr>
          <w:p w14:paraId="1402FB4A">
            <w:pPr>
              <w:pStyle w:val="4"/>
              <w:jc w:val="right"/>
            </w:pPr>
            <w:r>
              <w:rPr>
                <w:rFonts w:ascii="仿宋_GB2312" w:hAnsi="仿宋_GB2312" w:eastAsia="仿宋_GB2312" w:cs="仿宋_GB2312"/>
              </w:rPr>
              <w:t>1.00（项）</w:t>
            </w:r>
          </w:p>
        </w:tc>
        <w:tc>
          <w:tcPr>
            <w:tcW w:w="821" w:type="dxa"/>
          </w:tcPr>
          <w:p w14:paraId="05777C9A">
            <w:pPr>
              <w:pStyle w:val="4"/>
              <w:jc w:val="right"/>
            </w:pPr>
            <w:r>
              <w:rPr>
                <w:rFonts w:ascii="仿宋_GB2312" w:hAnsi="仿宋_GB2312" w:eastAsia="仿宋_GB2312" w:cs="仿宋_GB2312"/>
              </w:rPr>
              <w:t>1,120,000.00</w:t>
            </w:r>
          </w:p>
        </w:tc>
        <w:tc>
          <w:tcPr>
            <w:tcW w:w="821" w:type="dxa"/>
          </w:tcPr>
          <w:p w14:paraId="7D49AD36">
            <w:pPr>
              <w:pStyle w:val="4"/>
              <w:jc w:val="left"/>
            </w:pPr>
            <w:r>
              <w:rPr>
                <w:rFonts w:ascii="仿宋_GB2312" w:hAnsi="仿宋_GB2312" w:eastAsia="仿宋_GB2312" w:cs="仿宋_GB2312"/>
              </w:rPr>
              <w:t>其他未列明行业</w:t>
            </w:r>
          </w:p>
        </w:tc>
        <w:tc>
          <w:tcPr>
            <w:tcW w:w="821" w:type="dxa"/>
          </w:tcPr>
          <w:p w14:paraId="74E35059">
            <w:pPr>
              <w:pStyle w:val="4"/>
              <w:jc w:val="left"/>
            </w:pPr>
            <w:r>
              <w:rPr>
                <w:rFonts w:ascii="仿宋_GB2312" w:hAnsi="仿宋_GB2312" w:eastAsia="仿宋_GB2312" w:cs="仿宋_GB2312"/>
              </w:rPr>
              <w:t>否</w:t>
            </w:r>
          </w:p>
        </w:tc>
        <w:tc>
          <w:tcPr>
            <w:tcW w:w="821" w:type="dxa"/>
          </w:tcPr>
          <w:p w14:paraId="18DDA85E">
            <w:pPr>
              <w:pStyle w:val="4"/>
              <w:jc w:val="left"/>
            </w:pPr>
            <w:r>
              <w:rPr>
                <w:rFonts w:ascii="仿宋_GB2312" w:hAnsi="仿宋_GB2312" w:eastAsia="仿宋_GB2312" w:cs="仿宋_GB2312"/>
              </w:rPr>
              <w:t>否</w:t>
            </w:r>
          </w:p>
        </w:tc>
        <w:tc>
          <w:tcPr>
            <w:tcW w:w="821" w:type="dxa"/>
          </w:tcPr>
          <w:p w14:paraId="46084442">
            <w:pPr>
              <w:pStyle w:val="4"/>
              <w:jc w:val="left"/>
            </w:pPr>
            <w:r>
              <w:rPr>
                <w:rFonts w:ascii="仿宋_GB2312" w:hAnsi="仿宋_GB2312" w:eastAsia="仿宋_GB2312" w:cs="仿宋_GB2312"/>
              </w:rPr>
              <w:t>否</w:t>
            </w:r>
          </w:p>
        </w:tc>
        <w:tc>
          <w:tcPr>
            <w:tcW w:w="639" w:type="dxa"/>
          </w:tcPr>
          <w:p w14:paraId="53A4CF70">
            <w:pPr>
              <w:pStyle w:val="4"/>
              <w:jc w:val="left"/>
            </w:pPr>
            <w:r>
              <w:rPr>
                <w:rFonts w:ascii="仿宋_GB2312" w:hAnsi="仿宋_GB2312" w:eastAsia="仿宋_GB2312" w:cs="仿宋_GB2312"/>
              </w:rPr>
              <w:t>否</w:t>
            </w:r>
          </w:p>
        </w:tc>
        <w:tc>
          <w:tcPr>
            <w:tcW w:w="639" w:type="dxa"/>
          </w:tcPr>
          <w:p w14:paraId="0C5AB9AA">
            <w:pPr>
              <w:pStyle w:val="4"/>
              <w:jc w:val="left"/>
            </w:pPr>
            <w:r>
              <w:rPr>
                <w:rFonts w:ascii="仿宋_GB2312" w:hAnsi="仿宋_GB2312" w:eastAsia="仿宋_GB2312" w:cs="仿宋_GB2312"/>
              </w:rPr>
              <w:t>否</w:t>
            </w:r>
          </w:p>
        </w:tc>
      </w:tr>
    </w:tbl>
    <w:p w14:paraId="7CAC0CFB">
      <w:pPr>
        <w:pStyle w:val="4"/>
        <w:jc w:val="left"/>
      </w:pPr>
      <w:r>
        <w:rPr>
          <w:rFonts w:ascii="仿宋_GB2312" w:hAnsi="仿宋_GB2312" w:eastAsia="仿宋_GB2312" w:cs="仿宋_GB2312"/>
        </w:rPr>
        <w:t>是否适用本国产品标准：否</w:t>
      </w:r>
    </w:p>
    <w:p w14:paraId="7ACCB693">
      <w:pPr>
        <w:pStyle w:val="4"/>
        <w:jc w:val="left"/>
        <w:outlineLvl w:val="3"/>
      </w:pPr>
      <w:r>
        <w:rPr>
          <w:rFonts w:ascii="仿宋_GB2312" w:hAnsi="仿宋_GB2312" w:eastAsia="仿宋_GB2312" w:cs="仿宋_GB2312"/>
          <w:b/>
          <w:sz w:val="24"/>
        </w:rPr>
        <w:t>报价要求</w:t>
      </w:r>
    </w:p>
    <w:p w14:paraId="4A1F644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71B923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115CDF">
            <w:pPr>
              <w:pStyle w:val="4"/>
              <w:jc w:val="center"/>
            </w:pPr>
            <w:r>
              <w:rPr>
                <w:rFonts w:ascii="仿宋_GB2312" w:hAnsi="仿宋_GB2312" w:eastAsia="仿宋_GB2312" w:cs="仿宋_GB2312"/>
              </w:rPr>
              <w:t>序号</w:t>
            </w:r>
          </w:p>
        </w:tc>
        <w:tc>
          <w:tcPr>
            <w:tcW w:w="1707" w:type="dxa"/>
          </w:tcPr>
          <w:p w14:paraId="463CF4B7">
            <w:pPr>
              <w:pStyle w:val="4"/>
              <w:jc w:val="center"/>
            </w:pPr>
            <w:r>
              <w:rPr>
                <w:rFonts w:ascii="仿宋_GB2312" w:hAnsi="仿宋_GB2312" w:eastAsia="仿宋_GB2312" w:cs="仿宋_GB2312"/>
              </w:rPr>
              <w:t>报价内容</w:t>
            </w:r>
          </w:p>
        </w:tc>
        <w:tc>
          <w:tcPr>
            <w:tcW w:w="1138" w:type="dxa"/>
          </w:tcPr>
          <w:p w14:paraId="2AA80E5E">
            <w:pPr>
              <w:pStyle w:val="4"/>
              <w:jc w:val="center"/>
            </w:pPr>
            <w:r>
              <w:rPr>
                <w:rFonts w:ascii="仿宋_GB2312" w:hAnsi="仿宋_GB2312" w:eastAsia="仿宋_GB2312" w:cs="仿宋_GB2312"/>
              </w:rPr>
              <w:t>数量（计量单位）</w:t>
            </w:r>
          </w:p>
        </w:tc>
        <w:tc>
          <w:tcPr>
            <w:tcW w:w="1365" w:type="dxa"/>
          </w:tcPr>
          <w:p w14:paraId="6F80685C">
            <w:pPr>
              <w:pStyle w:val="4"/>
              <w:jc w:val="center"/>
            </w:pPr>
            <w:r>
              <w:rPr>
                <w:rFonts w:ascii="仿宋_GB2312" w:hAnsi="仿宋_GB2312" w:eastAsia="仿宋_GB2312" w:cs="仿宋_GB2312"/>
              </w:rPr>
              <w:t>最高限价</w:t>
            </w:r>
          </w:p>
        </w:tc>
        <w:tc>
          <w:tcPr>
            <w:tcW w:w="1138" w:type="dxa"/>
          </w:tcPr>
          <w:p w14:paraId="25249369">
            <w:pPr>
              <w:pStyle w:val="4"/>
              <w:jc w:val="center"/>
            </w:pPr>
            <w:r>
              <w:rPr>
                <w:rFonts w:ascii="仿宋_GB2312" w:hAnsi="仿宋_GB2312" w:eastAsia="仿宋_GB2312" w:cs="仿宋_GB2312"/>
              </w:rPr>
              <w:t>价款形式</w:t>
            </w:r>
          </w:p>
        </w:tc>
        <w:tc>
          <w:tcPr>
            <w:tcW w:w="1934" w:type="dxa"/>
          </w:tcPr>
          <w:p w14:paraId="0A8B2DB2">
            <w:pPr>
              <w:pStyle w:val="4"/>
              <w:jc w:val="center"/>
            </w:pPr>
            <w:r>
              <w:rPr>
                <w:rFonts w:ascii="仿宋_GB2312" w:hAnsi="仿宋_GB2312" w:eastAsia="仿宋_GB2312" w:cs="仿宋_GB2312"/>
              </w:rPr>
              <w:t>报价说明</w:t>
            </w:r>
          </w:p>
        </w:tc>
      </w:tr>
      <w:tr w14:paraId="1C673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4C37DED">
            <w:pPr>
              <w:pStyle w:val="4"/>
              <w:jc w:val="center"/>
            </w:pPr>
            <w:r>
              <w:rPr>
                <w:rFonts w:ascii="仿宋_GB2312" w:hAnsi="仿宋_GB2312" w:eastAsia="仿宋_GB2312" w:cs="仿宋_GB2312"/>
              </w:rPr>
              <w:t>1</w:t>
            </w:r>
          </w:p>
        </w:tc>
        <w:tc>
          <w:tcPr>
            <w:tcW w:w="1707" w:type="dxa"/>
          </w:tcPr>
          <w:p w14:paraId="080B784A">
            <w:pPr>
              <w:pStyle w:val="4"/>
              <w:jc w:val="center"/>
            </w:pPr>
            <w:r>
              <w:rPr>
                <w:rFonts w:ascii="仿宋_GB2312" w:hAnsi="仿宋_GB2312" w:eastAsia="仿宋_GB2312" w:cs="仿宋_GB2312"/>
              </w:rPr>
              <w:t>甘孜州参加第十二届四川农业博览会展馆设计搭建和服务</w:t>
            </w:r>
          </w:p>
        </w:tc>
        <w:tc>
          <w:tcPr>
            <w:tcW w:w="1138" w:type="dxa"/>
          </w:tcPr>
          <w:p w14:paraId="0D4DE52C">
            <w:pPr>
              <w:pStyle w:val="4"/>
              <w:jc w:val="center"/>
            </w:pPr>
            <w:r>
              <w:rPr>
                <w:rFonts w:ascii="仿宋_GB2312" w:hAnsi="仿宋_GB2312" w:eastAsia="仿宋_GB2312" w:cs="仿宋_GB2312"/>
              </w:rPr>
              <w:t>1.00（项）</w:t>
            </w:r>
          </w:p>
        </w:tc>
        <w:tc>
          <w:tcPr>
            <w:tcW w:w="1365" w:type="dxa"/>
          </w:tcPr>
          <w:p w14:paraId="7D269145">
            <w:pPr>
              <w:pStyle w:val="4"/>
              <w:jc w:val="center"/>
            </w:pPr>
            <w:r>
              <w:rPr>
                <w:rFonts w:ascii="仿宋_GB2312" w:hAnsi="仿宋_GB2312" w:eastAsia="仿宋_GB2312" w:cs="仿宋_GB2312"/>
              </w:rPr>
              <w:t>1,120,000.00</w:t>
            </w:r>
          </w:p>
        </w:tc>
        <w:tc>
          <w:tcPr>
            <w:tcW w:w="1138" w:type="dxa"/>
          </w:tcPr>
          <w:p w14:paraId="253FA333">
            <w:pPr>
              <w:pStyle w:val="4"/>
              <w:jc w:val="center"/>
            </w:pPr>
            <w:r>
              <w:rPr>
                <w:rFonts w:ascii="仿宋_GB2312" w:hAnsi="仿宋_GB2312" w:eastAsia="仿宋_GB2312" w:cs="仿宋_GB2312"/>
              </w:rPr>
              <w:t>总价</w:t>
            </w:r>
          </w:p>
        </w:tc>
        <w:tc>
          <w:tcPr>
            <w:tcW w:w="1934" w:type="dxa"/>
          </w:tcPr>
          <w:p w14:paraId="1E2B9663">
            <w:pPr>
              <w:pStyle w:val="4"/>
              <w:jc w:val="left"/>
            </w:pPr>
            <w:r>
              <w:rPr>
                <w:rFonts w:ascii="仿宋_GB2312" w:hAnsi="仿宋_GB2312" w:eastAsia="仿宋_GB2312" w:cs="仿宋_GB2312"/>
              </w:rPr>
              <w:t>无</w:t>
            </w:r>
          </w:p>
        </w:tc>
      </w:tr>
    </w:tbl>
    <w:p w14:paraId="62671CDA">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4C73F856">
      <w:pPr>
        <w:pStyle w:val="4"/>
        <w:jc w:val="left"/>
        <w:outlineLvl w:val="3"/>
      </w:pPr>
      <w:r>
        <w:rPr>
          <w:rFonts w:ascii="仿宋_GB2312" w:hAnsi="仿宋_GB2312" w:eastAsia="仿宋_GB2312" w:cs="仿宋_GB2312"/>
          <w:b/>
          <w:sz w:val="24"/>
        </w:rPr>
        <w:t>本项目涉及核心产品：</w:t>
      </w:r>
    </w:p>
    <w:p w14:paraId="14C753D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66091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F4465E">
            <w:pPr>
              <w:pStyle w:val="4"/>
              <w:jc w:val="center"/>
            </w:pPr>
            <w:r>
              <w:rPr>
                <w:rFonts w:ascii="仿宋_GB2312" w:hAnsi="仿宋_GB2312" w:eastAsia="仿宋_GB2312" w:cs="仿宋_GB2312"/>
              </w:rPr>
              <w:t>序号</w:t>
            </w:r>
          </w:p>
        </w:tc>
        <w:tc>
          <w:tcPr>
            <w:tcW w:w="2492" w:type="dxa"/>
          </w:tcPr>
          <w:p w14:paraId="56060DF3">
            <w:pPr>
              <w:pStyle w:val="4"/>
              <w:jc w:val="center"/>
            </w:pPr>
            <w:r>
              <w:rPr>
                <w:rFonts w:ascii="仿宋_GB2312" w:hAnsi="仿宋_GB2312" w:eastAsia="仿宋_GB2312" w:cs="仿宋_GB2312"/>
              </w:rPr>
              <w:t>采购品目名称</w:t>
            </w:r>
          </w:p>
        </w:tc>
        <w:tc>
          <w:tcPr>
            <w:tcW w:w="2492" w:type="dxa"/>
          </w:tcPr>
          <w:p w14:paraId="7DEA966E">
            <w:pPr>
              <w:pStyle w:val="4"/>
              <w:jc w:val="center"/>
            </w:pPr>
            <w:r>
              <w:rPr>
                <w:rFonts w:ascii="仿宋_GB2312" w:hAnsi="仿宋_GB2312" w:eastAsia="仿宋_GB2312" w:cs="仿宋_GB2312"/>
              </w:rPr>
              <w:t>标的名称</w:t>
            </w:r>
          </w:p>
        </w:tc>
        <w:tc>
          <w:tcPr>
            <w:tcW w:w="2492" w:type="dxa"/>
          </w:tcPr>
          <w:p w14:paraId="7F01DE0A">
            <w:pPr>
              <w:pStyle w:val="4"/>
              <w:jc w:val="center"/>
            </w:pPr>
            <w:r>
              <w:rPr>
                <w:rFonts w:ascii="仿宋_GB2312" w:hAnsi="仿宋_GB2312" w:eastAsia="仿宋_GB2312" w:cs="仿宋_GB2312"/>
              </w:rPr>
              <w:t>产品名称</w:t>
            </w:r>
          </w:p>
        </w:tc>
      </w:tr>
      <w:tr w14:paraId="684BF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754D83A">
            <w:pPr>
              <w:pStyle w:val="4"/>
              <w:jc w:val="center"/>
            </w:pPr>
            <w:r>
              <w:rPr>
                <w:rFonts w:ascii="仿宋_GB2312" w:hAnsi="仿宋_GB2312" w:eastAsia="仿宋_GB2312" w:cs="仿宋_GB2312"/>
              </w:rPr>
              <w:t>不涉及</w:t>
            </w:r>
          </w:p>
        </w:tc>
      </w:tr>
    </w:tbl>
    <w:p w14:paraId="199B987C">
      <w:pPr>
        <w:pStyle w:val="4"/>
        <w:ind w:firstLine="480"/>
        <w:jc w:val="left"/>
      </w:pPr>
      <w:r>
        <w:rPr>
          <w:rFonts w:ascii="仿宋_GB2312" w:hAnsi="仿宋_GB2312" w:eastAsia="仿宋_GB2312" w:cs="仿宋_GB2312"/>
        </w:rPr>
        <w:t>注：涉及核心产品的，具体评审规定见第五章。</w:t>
      </w:r>
    </w:p>
    <w:p w14:paraId="65331B5B">
      <w:pPr>
        <w:pStyle w:val="4"/>
        <w:jc w:val="left"/>
        <w:outlineLvl w:val="3"/>
      </w:pPr>
      <w:r>
        <w:rPr>
          <w:rFonts w:ascii="仿宋_GB2312" w:hAnsi="仿宋_GB2312" w:eastAsia="仿宋_GB2312" w:cs="仿宋_GB2312"/>
          <w:b/>
          <w:sz w:val="24"/>
        </w:rPr>
        <w:t>本项目涉及采购进口产品：</w:t>
      </w:r>
    </w:p>
    <w:p w14:paraId="7774621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A08F7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794F79">
            <w:pPr>
              <w:pStyle w:val="4"/>
              <w:jc w:val="center"/>
            </w:pPr>
            <w:r>
              <w:rPr>
                <w:rFonts w:ascii="仿宋_GB2312" w:hAnsi="仿宋_GB2312" w:eastAsia="仿宋_GB2312" w:cs="仿宋_GB2312"/>
              </w:rPr>
              <w:t>序号</w:t>
            </w:r>
          </w:p>
        </w:tc>
        <w:tc>
          <w:tcPr>
            <w:tcW w:w="2492" w:type="dxa"/>
          </w:tcPr>
          <w:p w14:paraId="71C892F4">
            <w:pPr>
              <w:pStyle w:val="4"/>
              <w:jc w:val="center"/>
            </w:pPr>
            <w:r>
              <w:rPr>
                <w:rFonts w:ascii="仿宋_GB2312" w:hAnsi="仿宋_GB2312" w:eastAsia="仿宋_GB2312" w:cs="仿宋_GB2312"/>
              </w:rPr>
              <w:t>采购品目名称</w:t>
            </w:r>
          </w:p>
        </w:tc>
        <w:tc>
          <w:tcPr>
            <w:tcW w:w="2492" w:type="dxa"/>
          </w:tcPr>
          <w:p w14:paraId="1F59AEEA">
            <w:pPr>
              <w:pStyle w:val="4"/>
              <w:jc w:val="center"/>
            </w:pPr>
            <w:r>
              <w:rPr>
                <w:rFonts w:ascii="仿宋_GB2312" w:hAnsi="仿宋_GB2312" w:eastAsia="仿宋_GB2312" w:cs="仿宋_GB2312"/>
              </w:rPr>
              <w:t>标的名称</w:t>
            </w:r>
          </w:p>
        </w:tc>
        <w:tc>
          <w:tcPr>
            <w:tcW w:w="2492" w:type="dxa"/>
          </w:tcPr>
          <w:p w14:paraId="636C99B9">
            <w:pPr>
              <w:pStyle w:val="4"/>
              <w:jc w:val="center"/>
            </w:pPr>
            <w:r>
              <w:rPr>
                <w:rFonts w:ascii="仿宋_GB2312" w:hAnsi="仿宋_GB2312" w:eastAsia="仿宋_GB2312" w:cs="仿宋_GB2312"/>
              </w:rPr>
              <w:t>产品名称</w:t>
            </w:r>
          </w:p>
        </w:tc>
      </w:tr>
      <w:tr w14:paraId="6967A6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156B013">
            <w:pPr>
              <w:pStyle w:val="4"/>
              <w:jc w:val="center"/>
            </w:pPr>
            <w:r>
              <w:rPr>
                <w:rFonts w:ascii="仿宋_GB2312" w:hAnsi="仿宋_GB2312" w:eastAsia="仿宋_GB2312" w:cs="仿宋_GB2312"/>
              </w:rPr>
              <w:t>不涉及</w:t>
            </w:r>
          </w:p>
        </w:tc>
      </w:tr>
    </w:tbl>
    <w:p w14:paraId="30920AED">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3CCAE239">
      <w:pPr>
        <w:pStyle w:val="4"/>
        <w:jc w:val="left"/>
        <w:outlineLvl w:val="3"/>
      </w:pPr>
      <w:r>
        <w:rPr>
          <w:rFonts w:ascii="仿宋_GB2312" w:hAnsi="仿宋_GB2312" w:eastAsia="仿宋_GB2312" w:cs="仿宋_GB2312"/>
          <w:b/>
          <w:sz w:val="24"/>
        </w:rPr>
        <w:t>本项目涉及强制采购节能产品：</w:t>
      </w:r>
    </w:p>
    <w:p w14:paraId="490964C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5500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F195E5">
            <w:pPr>
              <w:pStyle w:val="4"/>
              <w:jc w:val="center"/>
            </w:pPr>
            <w:r>
              <w:rPr>
                <w:rFonts w:ascii="仿宋_GB2312" w:hAnsi="仿宋_GB2312" w:eastAsia="仿宋_GB2312" w:cs="仿宋_GB2312"/>
              </w:rPr>
              <w:t>序号</w:t>
            </w:r>
          </w:p>
        </w:tc>
        <w:tc>
          <w:tcPr>
            <w:tcW w:w="2492" w:type="dxa"/>
          </w:tcPr>
          <w:p w14:paraId="6752CB35">
            <w:pPr>
              <w:pStyle w:val="4"/>
              <w:jc w:val="center"/>
            </w:pPr>
            <w:r>
              <w:rPr>
                <w:rFonts w:ascii="仿宋_GB2312" w:hAnsi="仿宋_GB2312" w:eastAsia="仿宋_GB2312" w:cs="仿宋_GB2312"/>
              </w:rPr>
              <w:t>采购品目名称</w:t>
            </w:r>
          </w:p>
        </w:tc>
        <w:tc>
          <w:tcPr>
            <w:tcW w:w="2492" w:type="dxa"/>
          </w:tcPr>
          <w:p w14:paraId="5E9E3B3E">
            <w:pPr>
              <w:pStyle w:val="4"/>
              <w:jc w:val="center"/>
            </w:pPr>
            <w:r>
              <w:rPr>
                <w:rFonts w:ascii="仿宋_GB2312" w:hAnsi="仿宋_GB2312" w:eastAsia="仿宋_GB2312" w:cs="仿宋_GB2312"/>
              </w:rPr>
              <w:t>标的名称</w:t>
            </w:r>
          </w:p>
        </w:tc>
        <w:tc>
          <w:tcPr>
            <w:tcW w:w="2492" w:type="dxa"/>
          </w:tcPr>
          <w:p w14:paraId="772876C2">
            <w:pPr>
              <w:pStyle w:val="4"/>
              <w:jc w:val="center"/>
            </w:pPr>
            <w:r>
              <w:rPr>
                <w:rFonts w:ascii="仿宋_GB2312" w:hAnsi="仿宋_GB2312" w:eastAsia="仿宋_GB2312" w:cs="仿宋_GB2312"/>
              </w:rPr>
              <w:t>产品名称</w:t>
            </w:r>
          </w:p>
        </w:tc>
      </w:tr>
      <w:tr w14:paraId="71F24A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C939AA5">
            <w:pPr>
              <w:pStyle w:val="4"/>
              <w:jc w:val="center"/>
            </w:pPr>
            <w:r>
              <w:rPr>
                <w:rFonts w:ascii="仿宋_GB2312" w:hAnsi="仿宋_GB2312" w:eastAsia="仿宋_GB2312" w:cs="仿宋_GB2312"/>
              </w:rPr>
              <w:t>不涉及</w:t>
            </w:r>
          </w:p>
        </w:tc>
      </w:tr>
    </w:tbl>
    <w:p w14:paraId="2007F8D0">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45B5F885">
      <w:pPr>
        <w:pStyle w:val="4"/>
        <w:jc w:val="left"/>
      </w:pPr>
      <w:r>
        <w:rPr>
          <w:rFonts w:ascii="仿宋_GB2312" w:hAnsi="仿宋_GB2312" w:eastAsia="仿宋_GB2312" w:cs="仿宋_GB2312"/>
          <w:b/>
        </w:rPr>
        <w:t>本项目涉及优先采购节能产品：</w:t>
      </w:r>
    </w:p>
    <w:p w14:paraId="5C55CEB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2262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A71C44">
            <w:pPr>
              <w:pStyle w:val="4"/>
              <w:jc w:val="center"/>
            </w:pPr>
            <w:r>
              <w:rPr>
                <w:rFonts w:ascii="仿宋_GB2312" w:hAnsi="仿宋_GB2312" w:eastAsia="仿宋_GB2312" w:cs="仿宋_GB2312"/>
              </w:rPr>
              <w:t>序号</w:t>
            </w:r>
          </w:p>
        </w:tc>
        <w:tc>
          <w:tcPr>
            <w:tcW w:w="2492" w:type="dxa"/>
          </w:tcPr>
          <w:p w14:paraId="2A11EB4F">
            <w:pPr>
              <w:pStyle w:val="4"/>
              <w:jc w:val="center"/>
            </w:pPr>
            <w:r>
              <w:rPr>
                <w:rFonts w:ascii="仿宋_GB2312" w:hAnsi="仿宋_GB2312" w:eastAsia="仿宋_GB2312" w:cs="仿宋_GB2312"/>
              </w:rPr>
              <w:t>采购品目名称</w:t>
            </w:r>
          </w:p>
        </w:tc>
        <w:tc>
          <w:tcPr>
            <w:tcW w:w="2492" w:type="dxa"/>
          </w:tcPr>
          <w:p w14:paraId="5236DB5F">
            <w:pPr>
              <w:pStyle w:val="4"/>
              <w:jc w:val="center"/>
            </w:pPr>
            <w:r>
              <w:rPr>
                <w:rFonts w:ascii="仿宋_GB2312" w:hAnsi="仿宋_GB2312" w:eastAsia="仿宋_GB2312" w:cs="仿宋_GB2312"/>
              </w:rPr>
              <w:t>标的名称</w:t>
            </w:r>
          </w:p>
        </w:tc>
        <w:tc>
          <w:tcPr>
            <w:tcW w:w="2492" w:type="dxa"/>
          </w:tcPr>
          <w:p w14:paraId="0A0AF6F0">
            <w:pPr>
              <w:pStyle w:val="4"/>
              <w:jc w:val="center"/>
            </w:pPr>
            <w:r>
              <w:rPr>
                <w:rFonts w:ascii="仿宋_GB2312" w:hAnsi="仿宋_GB2312" w:eastAsia="仿宋_GB2312" w:cs="仿宋_GB2312"/>
              </w:rPr>
              <w:t>产品名称</w:t>
            </w:r>
          </w:p>
        </w:tc>
      </w:tr>
      <w:tr w14:paraId="47CB61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C012030">
            <w:pPr>
              <w:pStyle w:val="4"/>
              <w:jc w:val="center"/>
            </w:pPr>
            <w:r>
              <w:rPr>
                <w:rFonts w:ascii="仿宋_GB2312" w:hAnsi="仿宋_GB2312" w:eastAsia="仿宋_GB2312" w:cs="仿宋_GB2312"/>
              </w:rPr>
              <w:t>不涉及</w:t>
            </w:r>
          </w:p>
        </w:tc>
      </w:tr>
    </w:tbl>
    <w:p w14:paraId="1EAE4FA7">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48C165A1">
      <w:pPr>
        <w:pStyle w:val="4"/>
        <w:jc w:val="left"/>
        <w:outlineLvl w:val="3"/>
      </w:pPr>
      <w:r>
        <w:rPr>
          <w:rFonts w:ascii="仿宋_GB2312" w:hAnsi="仿宋_GB2312" w:eastAsia="仿宋_GB2312" w:cs="仿宋_GB2312"/>
          <w:b/>
          <w:sz w:val="24"/>
        </w:rPr>
        <w:t>本项目涉及优先采购环境标志产品：</w:t>
      </w:r>
    </w:p>
    <w:p w14:paraId="0993A1D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91E36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0DA081">
            <w:pPr>
              <w:pStyle w:val="4"/>
              <w:jc w:val="center"/>
            </w:pPr>
            <w:r>
              <w:rPr>
                <w:rFonts w:ascii="仿宋_GB2312" w:hAnsi="仿宋_GB2312" w:eastAsia="仿宋_GB2312" w:cs="仿宋_GB2312"/>
              </w:rPr>
              <w:t>序号</w:t>
            </w:r>
          </w:p>
        </w:tc>
        <w:tc>
          <w:tcPr>
            <w:tcW w:w="2492" w:type="dxa"/>
          </w:tcPr>
          <w:p w14:paraId="70353C96">
            <w:pPr>
              <w:pStyle w:val="4"/>
              <w:jc w:val="center"/>
            </w:pPr>
            <w:r>
              <w:rPr>
                <w:rFonts w:ascii="仿宋_GB2312" w:hAnsi="仿宋_GB2312" w:eastAsia="仿宋_GB2312" w:cs="仿宋_GB2312"/>
              </w:rPr>
              <w:t>采购品目名称</w:t>
            </w:r>
          </w:p>
        </w:tc>
        <w:tc>
          <w:tcPr>
            <w:tcW w:w="2492" w:type="dxa"/>
          </w:tcPr>
          <w:p w14:paraId="01BEC3D3">
            <w:pPr>
              <w:pStyle w:val="4"/>
              <w:jc w:val="center"/>
            </w:pPr>
            <w:r>
              <w:rPr>
                <w:rFonts w:ascii="仿宋_GB2312" w:hAnsi="仿宋_GB2312" w:eastAsia="仿宋_GB2312" w:cs="仿宋_GB2312"/>
              </w:rPr>
              <w:t>标的名称</w:t>
            </w:r>
          </w:p>
        </w:tc>
        <w:tc>
          <w:tcPr>
            <w:tcW w:w="2492" w:type="dxa"/>
          </w:tcPr>
          <w:p w14:paraId="0E48D6E0">
            <w:pPr>
              <w:pStyle w:val="4"/>
              <w:jc w:val="center"/>
            </w:pPr>
            <w:r>
              <w:rPr>
                <w:rFonts w:ascii="仿宋_GB2312" w:hAnsi="仿宋_GB2312" w:eastAsia="仿宋_GB2312" w:cs="仿宋_GB2312"/>
              </w:rPr>
              <w:t>产品名称</w:t>
            </w:r>
          </w:p>
        </w:tc>
      </w:tr>
      <w:tr w14:paraId="7373EB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664DF79">
            <w:pPr>
              <w:pStyle w:val="4"/>
              <w:jc w:val="center"/>
            </w:pPr>
            <w:r>
              <w:rPr>
                <w:rFonts w:ascii="仿宋_GB2312" w:hAnsi="仿宋_GB2312" w:eastAsia="仿宋_GB2312" w:cs="仿宋_GB2312"/>
              </w:rPr>
              <w:t>不涉及</w:t>
            </w:r>
          </w:p>
        </w:tc>
      </w:tr>
    </w:tbl>
    <w:p w14:paraId="1AF71E76">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F13869A">
      <w:pPr>
        <w:pStyle w:val="4"/>
        <w:jc w:val="left"/>
        <w:outlineLvl w:val="2"/>
      </w:pPr>
      <w:r>
        <w:rPr>
          <w:rFonts w:ascii="仿宋_GB2312" w:hAnsi="仿宋_GB2312" w:eastAsia="仿宋_GB2312" w:cs="仿宋_GB2312"/>
          <w:b/>
          <w:sz w:val="28"/>
        </w:rPr>
        <w:t>3.2.技术要求</w:t>
      </w:r>
    </w:p>
    <w:p w14:paraId="0E10FEFB">
      <w:pPr>
        <w:pStyle w:val="4"/>
        <w:jc w:val="left"/>
      </w:pPr>
      <w:r>
        <w:rPr>
          <w:rFonts w:ascii="仿宋_GB2312" w:hAnsi="仿宋_GB2312" w:eastAsia="仿宋_GB2312" w:cs="仿宋_GB2312"/>
        </w:rPr>
        <w:t>采购包1：</w:t>
      </w:r>
    </w:p>
    <w:p w14:paraId="0ABF3E14">
      <w:pPr>
        <w:pStyle w:val="4"/>
        <w:jc w:val="left"/>
      </w:pPr>
      <w:r>
        <w:rPr>
          <w:rFonts w:ascii="仿宋_GB2312" w:hAnsi="仿宋_GB2312" w:eastAsia="仿宋_GB2312" w:cs="仿宋_GB2312"/>
        </w:rPr>
        <w:t>标的名称：甘孜州参加第十二届四川农业博览会展馆设计搭建和服务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DD6B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6DFF1D">
            <w:pPr>
              <w:pStyle w:val="4"/>
              <w:jc w:val="center"/>
            </w:pPr>
            <w:r>
              <w:rPr>
                <w:rFonts w:ascii="仿宋_GB2312" w:hAnsi="仿宋_GB2312" w:eastAsia="仿宋_GB2312" w:cs="仿宋_GB2312"/>
              </w:rPr>
              <w:t>序号</w:t>
            </w:r>
          </w:p>
        </w:tc>
        <w:tc>
          <w:tcPr>
            <w:tcW w:w="581" w:type="dxa"/>
          </w:tcPr>
          <w:p w14:paraId="2C1FA759">
            <w:pPr>
              <w:pStyle w:val="4"/>
              <w:jc w:val="center"/>
            </w:pPr>
            <w:r>
              <w:rPr>
                <w:rFonts w:ascii="仿宋_GB2312" w:hAnsi="仿宋_GB2312" w:eastAsia="仿宋_GB2312" w:cs="仿宋_GB2312"/>
              </w:rPr>
              <w:t>符号标识</w:t>
            </w:r>
          </w:p>
        </w:tc>
        <w:tc>
          <w:tcPr>
            <w:tcW w:w="1495" w:type="dxa"/>
          </w:tcPr>
          <w:p w14:paraId="423D61C4">
            <w:pPr>
              <w:pStyle w:val="4"/>
              <w:jc w:val="center"/>
            </w:pPr>
            <w:r>
              <w:rPr>
                <w:rFonts w:ascii="仿宋_GB2312" w:hAnsi="仿宋_GB2312" w:eastAsia="仿宋_GB2312" w:cs="仿宋_GB2312"/>
              </w:rPr>
              <w:t>技术要求名称</w:t>
            </w:r>
          </w:p>
        </w:tc>
        <w:tc>
          <w:tcPr>
            <w:tcW w:w="5814" w:type="dxa"/>
          </w:tcPr>
          <w:p w14:paraId="6ED8E3D2">
            <w:pPr>
              <w:pStyle w:val="4"/>
              <w:jc w:val="center"/>
            </w:pPr>
            <w:r>
              <w:rPr>
                <w:rFonts w:ascii="仿宋_GB2312" w:hAnsi="仿宋_GB2312" w:eastAsia="仿宋_GB2312" w:cs="仿宋_GB2312"/>
              </w:rPr>
              <w:t>技术参数与性能指标</w:t>
            </w:r>
          </w:p>
        </w:tc>
      </w:tr>
      <w:tr w14:paraId="7E21D9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E18630">
            <w:pPr>
              <w:pStyle w:val="4"/>
              <w:jc w:val="center"/>
            </w:pPr>
            <w:r>
              <w:rPr>
                <w:rFonts w:ascii="仿宋_GB2312" w:hAnsi="仿宋_GB2312" w:eastAsia="仿宋_GB2312" w:cs="仿宋_GB2312"/>
              </w:rPr>
              <w:t>1</w:t>
            </w:r>
          </w:p>
        </w:tc>
        <w:tc>
          <w:tcPr>
            <w:tcW w:w="581" w:type="dxa"/>
          </w:tcPr>
          <w:p w14:paraId="35311420">
            <w:pPr>
              <w:pStyle w:val="4"/>
              <w:jc w:val="center"/>
            </w:pPr>
            <w:r>
              <w:rPr>
                <w:rFonts w:ascii="仿宋_GB2312" w:hAnsi="仿宋_GB2312" w:eastAsia="仿宋_GB2312" w:cs="仿宋_GB2312"/>
              </w:rPr>
              <w:t>★</w:t>
            </w:r>
          </w:p>
        </w:tc>
        <w:tc>
          <w:tcPr>
            <w:tcW w:w="1495" w:type="dxa"/>
          </w:tcPr>
          <w:p w14:paraId="5547C4EC">
            <w:pPr>
              <w:pStyle w:val="4"/>
              <w:jc w:val="left"/>
            </w:pPr>
            <w:r>
              <w:rPr>
                <w:rFonts w:ascii="仿宋_GB2312" w:hAnsi="仿宋_GB2312" w:eastAsia="仿宋_GB2312" w:cs="仿宋_GB2312"/>
              </w:rPr>
              <w:t>/</w:t>
            </w:r>
          </w:p>
        </w:tc>
        <w:tc>
          <w:tcPr>
            <w:tcW w:w="5814" w:type="dxa"/>
          </w:tcPr>
          <w:p w14:paraId="6F0A3531">
            <w:pPr>
              <w:pStyle w:val="4"/>
              <w:ind w:firstLine="480"/>
              <w:jc w:val="both"/>
            </w:pPr>
            <w:r>
              <w:rPr>
                <w:rFonts w:ascii="仿宋_GB2312" w:hAnsi="仿宋_GB2312" w:eastAsia="仿宋_GB2312" w:cs="仿宋_GB2312"/>
                <w:sz w:val="24"/>
              </w:rPr>
              <w:t>一、展会概况</w:t>
            </w:r>
          </w:p>
          <w:p w14:paraId="702974CB">
            <w:pPr>
              <w:pStyle w:val="4"/>
              <w:ind w:firstLine="480"/>
              <w:jc w:val="both"/>
            </w:pPr>
            <w:r>
              <w:rPr>
                <w:rFonts w:ascii="仿宋_GB2312" w:hAnsi="仿宋_GB2312" w:eastAsia="仿宋_GB2312" w:cs="仿宋_GB2312"/>
                <w:sz w:val="24"/>
              </w:rPr>
              <w:t>1、展会名称：第十二届四川农业博览会；</w:t>
            </w:r>
          </w:p>
          <w:p w14:paraId="553C3456">
            <w:pPr>
              <w:pStyle w:val="4"/>
              <w:ind w:firstLine="480"/>
              <w:jc w:val="both"/>
            </w:pPr>
            <w:r>
              <w:rPr>
                <w:rFonts w:ascii="仿宋_GB2312" w:hAnsi="仿宋_GB2312" w:eastAsia="仿宋_GB2312" w:cs="仿宋_GB2312"/>
                <w:sz w:val="24"/>
              </w:rPr>
              <w:t>2、展会地点：成都世纪城新国际会展中心；</w:t>
            </w:r>
          </w:p>
          <w:p w14:paraId="2D9E8EC3">
            <w:pPr>
              <w:pStyle w:val="4"/>
              <w:ind w:firstLine="480"/>
              <w:jc w:val="both"/>
            </w:pPr>
            <w:r>
              <w:rPr>
                <w:rFonts w:ascii="仿宋_GB2312" w:hAnsi="仿宋_GB2312" w:eastAsia="仿宋_GB2312" w:cs="仿宋_GB2312"/>
                <w:sz w:val="24"/>
              </w:rPr>
              <w:t>3、展出时间：2026年10⽉30日-2026年11月2⽇（具体时间以采购人或“农博会"组委会通知为准）；</w:t>
            </w:r>
          </w:p>
          <w:p w14:paraId="10F0EB2B">
            <w:pPr>
              <w:pStyle w:val="4"/>
              <w:ind w:firstLine="480"/>
              <w:jc w:val="both"/>
            </w:pPr>
            <w:r>
              <w:rPr>
                <w:rFonts w:ascii="仿宋_GB2312" w:hAnsi="仿宋_GB2312" w:eastAsia="仿宋_GB2312" w:cs="仿宋_GB2312"/>
                <w:sz w:val="24"/>
              </w:rPr>
              <w:t>4、展区⾯积：800㎡</w:t>
            </w:r>
          </w:p>
          <w:p w14:paraId="1E177C09">
            <w:pPr>
              <w:pStyle w:val="4"/>
              <w:spacing w:after="120"/>
              <w:ind w:firstLine="480"/>
              <w:jc w:val="both"/>
            </w:pPr>
            <w:r>
              <w:rPr>
                <w:rFonts w:ascii="仿宋_GB2312" w:hAnsi="仿宋_GB2312" w:eastAsia="仿宋_GB2312" w:cs="仿宋_GB2312"/>
                <w:sz w:val="24"/>
              </w:rPr>
              <w:t>5、展馆布局（详见附件）</w:t>
            </w:r>
          </w:p>
          <w:p w14:paraId="71640540">
            <w:pPr>
              <w:pStyle w:val="4"/>
              <w:spacing w:after="120"/>
              <w:ind w:firstLine="480"/>
              <w:jc w:val="both"/>
            </w:pPr>
            <w:r>
              <w:rPr>
                <w:rFonts w:ascii="仿宋_GB2312" w:hAnsi="仿宋_GB2312" w:eastAsia="仿宋_GB2312" w:cs="仿宋_GB2312"/>
              </w:rPr>
              <w:t xml:space="preserve"> </w:t>
            </w:r>
          </w:p>
          <w:p w14:paraId="25690BE3">
            <w:pPr>
              <w:pStyle w:val="4"/>
              <w:ind w:firstLine="480"/>
              <w:jc w:val="both"/>
            </w:pPr>
            <w:r>
              <w:rPr>
                <w:rFonts w:ascii="仿宋_GB2312" w:hAnsi="仿宋_GB2312" w:eastAsia="仿宋_GB2312" w:cs="仿宋_GB2312"/>
                <w:sz w:val="24"/>
              </w:rPr>
              <w:t>二、服务内容及要求</w:t>
            </w:r>
          </w:p>
          <w:p w14:paraId="122ABA7A">
            <w:pPr>
              <w:pStyle w:val="4"/>
              <w:ind w:firstLine="480"/>
              <w:jc w:val="both"/>
            </w:pPr>
            <w:r>
              <w:rPr>
                <w:rFonts w:ascii="仿宋_GB2312" w:hAnsi="仿宋_GB2312" w:eastAsia="仿宋_GB2312" w:cs="仿宋_GB2312"/>
                <w:sz w:val="24"/>
              </w:rPr>
              <w:t>1、设计及布展服务：</w:t>
            </w:r>
          </w:p>
          <w:p w14:paraId="54D04B79">
            <w:pPr>
              <w:pStyle w:val="4"/>
              <w:ind w:firstLine="480"/>
              <w:jc w:val="both"/>
            </w:pPr>
            <w:r>
              <w:rPr>
                <w:rFonts w:ascii="仿宋_GB2312" w:hAnsi="仿宋_GB2312" w:eastAsia="仿宋_GB2312" w:cs="仿宋_GB2312"/>
                <w:sz w:val="24"/>
              </w:rPr>
              <w:t>1）以县为单元企业为单位布置展位，以有机农产品为主，绿色食品、地理标志农产品、全国名特优新目录产品、特色生态农产品为补充开展展示展销；展馆设计既要展示甘孜州民族特色、人文景观、生态农牧资源，也要体现丰富的“有机”元素，实现两者的较好结合。注重突出“有机之州”主题和“圣洁甘孜”“亚克甘孜”品牌宣传，努力扩大“圣洁甘孜”“亚克甘孜”优质农产品的美誉度和知名度，全面展示甘孜州生态和丰富独特的农牧业资源、有机产业发展成效和前景。</w:t>
            </w:r>
          </w:p>
          <w:p w14:paraId="139A8281">
            <w:pPr>
              <w:pStyle w:val="4"/>
              <w:ind w:firstLine="480"/>
              <w:jc w:val="both"/>
            </w:pPr>
            <w:r>
              <w:rPr>
                <w:rFonts w:ascii="仿宋_GB2312" w:hAnsi="仿宋_GB2312" w:eastAsia="仿宋_GB2312" w:cs="仿宋_GB2312"/>
                <w:sz w:val="24"/>
              </w:rPr>
              <w:t>2）突出展示甘孜州的标志性元素和有机特色，准确选择亮点，彰显特色，并注重展览项目的关联性和系统性；展示手段丰富多样，展示方式应有实物、场景、图片、文字、视频等形式。展区功能分区明晰，设计新颖，布局合理，根据人流分布安排参观流线的科学性，前后展示衔接恰当，转换自然。创新理念，高质量、高水平地把本届四川农博会甘孜展馆打造成甘孜对外开放及交流的重要窗口和宣传平台。</w:t>
            </w:r>
          </w:p>
          <w:p w14:paraId="191CCD2D">
            <w:pPr>
              <w:pStyle w:val="4"/>
              <w:ind w:firstLine="480"/>
              <w:jc w:val="both"/>
            </w:pPr>
            <w:r>
              <w:rPr>
                <w:rFonts w:ascii="仿宋_GB2312" w:hAnsi="仿宋_GB2312" w:eastAsia="仿宋_GB2312" w:cs="仿宋_GB2312"/>
                <w:sz w:val="24"/>
              </w:rPr>
              <w:t>2、展会宣传推广服务：负责甘孜州参加本届四川农业博览会前期预热工作，开展甘孜州参加本届农业博览会亮点策划、图文推文、海报物料制作、短视频拍摄及话题宣传；做好展期宣传，包含现场抓拍、活动纪实、新闻素材整理及现场氛围传播；统筹全媒体素材输出，完成照片、短视频、活动花絮、展会总结等素材的整理归档，并配合采购人开展对外宣传、资料报送与成果展示相关工作。</w:t>
            </w:r>
          </w:p>
          <w:p w14:paraId="3195B35B">
            <w:pPr>
              <w:pStyle w:val="4"/>
              <w:ind w:firstLine="480"/>
              <w:jc w:val="both"/>
            </w:pPr>
            <w:r>
              <w:rPr>
                <w:rFonts w:ascii="仿宋_GB2312" w:hAnsi="仿宋_GB2312" w:eastAsia="仿宋_GB2312" w:cs="仿宋_GB2312"/>
                <w:sz w:val="24"/>
              </w:rPr>
              <w:t>3、专场直播带货服务：负责搭建展区专属直播场景，完成直播背景布设、灯光及收音设备调试配置；配备专业主播、运营、场控等全套工作人员，开展农博会专场农产品直播带货、产品推介等工作；承担直播脚本撰写、产品推介话术梳理、直播专场节奏把控、线上互动引流等任务；完成直播回放剪辑、精彩片段切片加工、二次传播宣传素材制作，并全程做好直播技术保障，确保直播运行稳定、画面清晰、收音效果良好、整场活动流程顺畅有序。</w:t>
            </w:r>
          </w:p>
          <w:p w14:paraId="512DF856">
            <w:pPr>
              <w:pStyle w:val="4"/>
              <w:ind w:firstLine="480"/>
              <w:jc w:val="both"/>
            </w:pPr>
            <w:r>
              <w:rPr>
                <w:rFonts w:ascii="仿宋_GB2312" w:hAnsi="仿宋_GB2312" w:eastAsia="仿宋_GB2312" w:cs="仿宋_GB2312"/>
                <w:sz w:val="24"/>
              </w:rPr>
              <w:t>4、农产品品鉴活动组织服务：负责策划实施农博会农产品品鉴、试吃体验等活动；完成品鉴台布设、品鉴物料及摆盘道具筹备、现场氛围营造与活动秩序维护；统筹开展活动流程策划、现场实施、主持串场、观众组织、体验互动等相关工作，保障品鉴活动安全卫生、有序开展，取得良好活动成效。</w:t>
            </w:r>
          </w:p>
          <w:p w14:paraId="0FC9D9BD">
            <w:pPr>
              <w:pStyle w:val="4"/>
              <w:ind w:firstLine="480"/>
              <w:jc w:val="both"/>
            </w:pPr>
            <w:r>
              <w:rPr>
                <w:rFonts w:ascii="仿宋_GB2312" w:hAnsi="仿宋_GB2312" w:eastAsia="仿宋_GB2312" w:cs="仿宋_GB2312"/>
                <w:sz w:val="24"/>
              </w:rPr>
              <w:t>5、展会全程配套综合服务：提供展会现场会务、接待引导等服务；落实现场安全管理、消防自查、人员分流、突发事件应急处置工作；做好全程资料整理、影像留存、台账归档、项目总结等工作，并积极配合采购人完成观摩、检查、调研、采访等各类现场保障工作。</w:t>
            </w:r>
          </w:p>
          <w:p w14:paraId="0327E0BA">
            <w:pPr>
              <w:pStyle w:val="4"/>
              <w:ind w:firstLine="480"/>
              <w:jc w:val="both"/>
            </w:pPr>
            <w:r>
              <w:rPr>
                <w:rFonts w:ascii="仿宋_GB2312" w:hAnsi="仿宋_GB2312" w:eastAsia="仿宋_GB2312" w:cs="仿宋_GB2312"/>
                <w:sz w:val="24"/>
              </w:rPr>
              <w:t>三、其他要求</w:t>
            </w:r>
          </w:p>
          <w:p w14:paraId="45C8C397">
            <w:pPr>
              <w:pStyle w:val="4"/>
              <w:ind w:firstLine="480"/>
              <w:jc w:val="both"/>
            </w:pPr>
            <w:r>
              <w:rPr>
                <w:rFonts w:ascii="仿宋_GB2312" w:hAnsi="仿宋_GB2312" w:eastAsia="仿宋_GB2312" w:cs="仿宋_GB2312"/>
                <w:sz w:val="24"/>
              </w:rPr>
              <w:t>1、提交的设计方案必须保证拥有充分、完全、排他的著作权，无所有权纠纷，如有违反自行承担一切责任。应征设计方案一经采用，其版权归采购人所有，并有权对设计方案进行免费修改。活动中涉及供应商相关设计内容的知识产权所有权将变更为采购人，采购人未来可自由使用。</w:t>
            </w:r>
          </w:p>
          <w:p w14:paraId="12B76D3A">
            <w:pPr>
              <w:pStyle w:val="4"/>
              <w:ind w:firstLine="480"/>
              <w:jc w:val="both"/>
            </w:pPr>
            <w:r>
              <w:rPr>
                <w:rFonts w:ascii="仿宋_GB2312" w:hAnsi="仿宋_GB2312" w:eastAsia="仿宋_GB2312" w:cs="仿宋_GB2312"/>
                <w:sz w:val="24"/>
              </w:rPr>
              <w:t>2、展台搭建满⾜展会主办⽅的相关要求，遵循安全第⼀的原则，同时要合理设计出⼊通道，保证展台结构安全稳固，所⽤材料、电器及搭建等符合环保、消防等安全规范，确保施⼯质量和现场⼈员、物资安全。</w:t>
            </w:r>
          </w:p>
          <w:p w14:paraId="0A227112">
            <w:pPr>
              <w:pStyle w:val="4"/>
              <w:ind w:firstLine="480"/>
              <w:jc w:val="both"/>
            </w:pPr>
            <w:r>
              <w:rPr>
                <w:rFonts w:ascii="仿宋_GB2312" w:hAnsi="仿宋_GB2312" w:eastAsia="仿宋_GB2312" w:cs="仿宋_GB2312"/>
                <w:sz w:val="24"/>
              </w:rPr>
              <w:t>3、展馆内设置27平米（±1平米）P2.5点距或更低点距全彩高清LED显示屏幕或不低于10台60英寸高清无缝拼接屏（像素不低于839万），同时辅以音响配备补充声源。依托小间距像素特性，具备高像素密度、画面解析度高、色彩还原准确、可视角度大，实现高质量动态影像与静态画面输出，适配展馆多视角、保障清晰的播放甘孜州形象宣传影像完整细腻呈现。展馆内同时配备充足的灯光照明、洽谈区桌椅、电源插座、饮水机、纸杯、垃圾桶等，同时配备休息区、公区等区域的氛围物件及相关设备。</w:t>
            </w:r>
          </w:p>
          <w:p w14:paraId="2CB8EDD4">
            <w:pPr>
              <w:pStyle w:val="4"/>
              <w:ind w:firstLine="480"/>
              <w:jc w:val="both"/>
            </w:pPr>
            <w:r>
              <w:rPr>
                <w:rFonts w:ascii="仿宋_GB2312" w:hAnsi="仿宋_GB2312" w:eastAsia="仿宋_GB2312" w:cs="仿宋_GB2312"/>
                <w:sz w:val="24"/>
              </w:rPr>
              <w:t>4、展会期间，须安排新闻采写、活动照片拍摄，且活动宣传稿件须在省州相关媒体报道进行宣传；须为各涉农企业、农民合作组织等新型农业经营主体做短视频宣传，完成发布短视频16条以上，短视频曝光3.2万+人次，直播带货6场以上，每场直播时长不低于2小时。</w:t>
            </w:r>
          </w:p>
          <w:p w14:paraId="7F9F46F4">
            <w:pPr>
              <w:pStyle w:val="4"/>
              <w:ind w:firstLine="480"/>
              <w:jc w:val="both"/>
            </w:pPr>
            <w:r>
              <w:rPr>
                <w:rFonts w:ascii="仿宋_GB2312" w:hAnsi="仿宋_GB2312" w:eastAsia="仿宋_GB2312" w:cs="仿宋_GB2312"/>
                <w:sz w:val="24"/>
              </w:rPr>
              <w:t>5、现场应设置安全提示、配备灭火器等消防安全器材。在展馆设计、制作、施工、展览、撤展中一切安全事故均由供应商负责。</w:t>
            </w:r>
          </w:p>
          <w:p w14:paraId="69AF0627">
            <w:pPr>
              <w:pStyle w:val="4"/>
              <w:ind w:firstLine="480"/>
              <w:jc w:val="both"/>
            </w:pPr>
            <w:r>
              <w:rPr>
                <w:rFonts w:ascii="仿宋_GB2312" w:hAnsi="仿宋_GB2312" w:eastAsia="仿宋_GB2312" w:cs="仿宋_GB2312"/>
                <w:sz w:val="24"/>
              </w:rPr>
              <w:t>6、展会期间，供应商应充分准备展会过程中设备所需的备件、配件，确保在展会过程中设备出现意外或故障时能及时维保或更换。安排专人负责现场灯光、音响调试、电子产品等设备，对展览设备的维护、保障等服务应当及时、有效，备品、配件准备充分。若因设备失灵或非人为损坏对展览造成影响的，一切后果由供应商承担。</w:t>
            </w:r>
          </w:p>
          <w:p w14:paraId="350BDFC9">
            <w:pPr>
              <w:pStyle w:val="4"/>
              <w:jc w:val="left"/>
            </w:pPr>
            <w:r>
              <w:rPr>
                <w:rFonts w:ascii="仿宋_GB2312" w:hAnsi="仿宋_GB2312" w:eastAsia="仿宋_GB2312" w:cs="仿宋_GB2312"/>
                <w:sz w:val="24"/>
              </w:rPr>
              <w:t>7、展馆设计及布展、搭建以及会展服务准备工作须在202</w:t>
            </w:r>
            <w:r>
              <w:rPr>
                <w:rFonts w:hint="eastAsia" w:ascii="仿宋_GB2312" w:hAnsi="仿宋_GB2312" w:eastAsia="仿宋_GB2312" w:cs="仿宋_GB2312"/>
                <w:sz w:val="24"/>
                <w:lang w:val="en-US" w:eastAsia="zh-CN"/>
              </w:rPr>
              <w:t>6</w:t>
            </w:r>
            <w:r>
              <w:rPr>
                <w:rFonts w:ascii="仿宋_GB2312" w:hAnsi="仿宋_GB2312" w:eastAsia="仿宋_GB2312" w:cs="仿宋_GB2312"/>
                <w:sz w:val="24"/>
              </w:rPr>
              <w:t>年10月29日前完成（具体时间以采购人或“农博会"组委会通知为准）；展会结束后，按照四川农博会组委会要求进行撤展。</w:t>
            </w:r>
          </w:p>
        </w:tc>
      </w:tr>
    </w:tbl>
    <w:p w14:paraId="7AEB9664">
      <w:pPr>
        <w:pStyle w:val="4"/>
        <w:jc w:val="left"/>
        <w:outlineLvl w:val="2"/>
      </w:pPr>
      <w:r>
        <w:rPr>
          <w:rFonts w:ascii="仿宋_GB2312" w:hAnsi="仿宋_GB2312" w:eastAsia="仿宋_GB2312" w:cs="仿宋_GB2312"/>
          <w:b/>
          <w:sz w:val="28"/>
        </w:rPr>
        <w:t>3.3.服务要求</w:t>
      </w:r>
    </w:p>
    <w:p w14:paraId="377A7220">
      <w:pPr>
        <w:pStyle w:val="4"/>
        <w:jc w:val="left"/>
        <w:outlineLvl w:val="3"/>
      </w:pPr>
      <w:r>
        <w:rPr>
          <w:rFonts w:ascii="仿宋_GB2312" w:hAnsi="仿宋_GB2312" w:eastAsia="仿宋_GB2312" w:cs="仿宋_GB2312"/>
          <w:b/>
          <w:sz w:val="24"/>
        </w:rPr>
        <w:t>3.3.1服务内容要求</w:t>
      </w:r>
    </w:p>
    <w:p w14:paraId="0527C6C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2E3D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EC4737">
            <w:pPr>
              <w:pStyle w:val="4"/>
              <w:jc w:val="center"/>
            </w:pPr>
            <w:r>
              <w:rPr>
                <w:rFonts w:ascii="仿宋_GB2312" w:hAnsi="仿宋_GB2312" w:eastAsia="仿宋_GB2312" w:cs="仿宋_GB2312"/>
              </w:rPr>
              <w:t xml:space="preserve"> 序号</w:t>
            </w:r>
          </w:p>
        </w:tc>
        <w:tc>
          <w:tcPr>
            <w:tcW w:w="581" w:type="dxa"/>
          </w:tcPr>
          <w:p w14:paraId="2AF8ACA5">
            <w:pPr>
              <w:pStyle w:val="4"/>
              <w:jc w:val="center"/>
            </w:pPr>
            <w:r>
              <w:rPr>
                <w:rFonts w:ascii="仿宋_GB2312" w:hAnsi="仿宋_GB2312" w:eastAsia="仿宋_GB2312" w:cs="仿宋_GB2312"/>
              </w:rPr>
              <w:t xml:space="preserve"> 符号标识</w:t>
            </w:r>
          </w:p>
        </w:tc>
        <w:tc>
          <w:tcPr>
            <w:tcW w:w="1495" w:type="dxa"/>
          </w:tcPr>
          <w:p w14:paraId="5011970A">
            <w:pPr>
              <w:pStyle w:val="4"/>
              <w:jc w:val="center"/>
            </w:pPr>
            <w:r>
              <w:rPr>
                <w:rFonts w:ascii="仿宋_GB2312" w:hAnsi="仿宋_GB2312" w:eastAsia="仿宋_GB2312" w:cs="仿宋_GB2312"/>
              </w:rPr>
              <w:t xml:space="preserve"> 服务要求名称</w:t>
            </w:r>
          </w:p>
        </w:tc>
        <w:tc>
          <w:tcPr>
            <w:tcW w:w="5814" w:type="dxa"/>
          </w:tcPr>
          <w:p w14:paraId="3CCDBA17">
            <w:pPr>
              <w:pStyle w:val="4"/>
              <w:jc w:val="center"/>
            </w:pPr>
            <w:r>
              <w:rPr>
                <w:rFonts w:ascii="仿宋_GB2312" w:hAnsi="仿宋_GB2312" w:eastAsia="仿宋_GB2312" w:cs="仿宋_GB2312"/>
              </w:rPr>
              <w:t xml:space="preserve"> 服务要求内容</w:t>
            </w:r>
          </w:p>
        </w:tc>
      </w:tr>
      <w:tr w14:paraId="35639A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5E8702C">
            <w:pPr>
              <w:pStyle w:val="4"/>
              <w:jc w:val="center"/>
            </w:pPr>
            <w:r>
              <w:rPr>
                <w:rFonts w:ascii="仿宋_GB2312" w:hAnsi="仿宋_GB2312" w:eastAsia="仿宋_GB2312" w:cs="仿宋_GB2312"/>
              </w:rPr>
              <w:t>无</w:t>
            </w:r>
          </w:p>
        </w:tc>
      </w:tr>
    </w:tbl>
    <w:p w14:paraId="7947E5E1">
      <w:pPr>
        <w:pStyle w:val="4"/>
        <w:jc w:val="left"/>
        <w:outlineLvl w:val="3"/>
      </w:pPr>
      <w:r>
        <w:rPr>
          <w:rFonts w:ascii="仿宋_GB2312" w:hAnsi="仿宋_GB2312" w:eastAsia="仿宋_GB2312" w:cs="仿宋_GB2312"/>
          <w:b/>
          <w:sz w:val="24"/>
        </w:rPr>
        <w:t>3.3.2.商务要求</w:t>
      </w:r>
    </w:p>
    <w:p w14:paraId="502D45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73B1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296B7E">
            <w:pPr>
              <w:pStyle w:val="4"/>
              <w:jc w:val="left"/>
            </w:pPr>
            <w:r>
              <w:rPr>
                <w:rFonts w:ascii="仿宋_GB2312" w:hAnsi="仿宋_GB2312" w:eastAsia="仿宋_GB2312" w:cs="仿宋_GB2312"/>
              </w:rPr>
              <w:t>序号</w:t>
            </w:r>
          </w:p>
        </w:tc>
        <w:tc>
          <w:tcPr>
            <w:tcW w:w="2076" w:type="dxa"/>
          </w:tcPr>
          <w:p w14:paraId="2C2BE0D7">
            <w:pPr>
              <w:pStyle w:val="4"/>
              <w:jc w:val="left"/>
            </w:pPr>
            <w:r>
              <w:rPr>
                <w:rFonts w:ascii="仿宋_GB2312" w:hAnsi="仿宋_GB2312" w:eastAsia="仿宋_GB2312" w:cs="仿宋_GB2312"/>
              </w:rPr>
              <w:t>符号标识</w:t>
            </w:r>
          </w:p>
        </w:tc>
        <w:tc>
          <w:tcPr>
            <w:tcW w:w="2076" w:type="dxa"/>
          </w:tcPr>
          <w:p w14:paraId="523C1068">
            <w:pPr>
              <w:pStyle w:val="4"/>
              <w:jc w:val="left"/>
            </w:pPr>
            <w:r>
              <w:rPr>
                <w:rFonts w:ascii="仿宋_GB2312" w:hAnsi="仿宋_GB2312" w:eastAsia="仿宋_GB2312" w:cs="仿宋_GB2312"/>
              </w:rPr>
              <w:t>商务要求名称</w:t>
            </w:r>
          </w:p>
        </w:tc>
        <w:tc>
          <w:tcPr>
            <w:tcW w:w="2076" w:type="dxa"/>
          </w:tcPr>
          <w:p w14:paraId="7C7B318C">
            <w:pPr>
              <w:pStyle w:val="4"/>
              <w:jc w:val="left"/>
            </w:pPr>
            <w:r>
              <w:rPr>
                <w:rFonts w:ascii="仿宋_GB2312" w:hAnsi="仿宋_GB2312" w:eastAsia="仿宋_GB2312" w:cs="仿宋_GB2312"/>
              </w:rPr>
              <w:t>商务要求内容</w:t>
            </w:r>
          </w:p>
        </w:tc>
      </w:tr>
      <w:tr w14:paraId="5507BF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830D4A">
            <w:pPr>
              <w:pStyle w:val="4"/>
              <w:jc w:val="left"/>
            </w:pPr>
            <w:r>
              <w:rPr>
                <w:rFonts w:ascii="仿宋_GB2312" w:hAnsi="仿宋_GB2312" w:eastAsia="仿宋_GB2312" w:cs="仿宋_GB2312"/>
              </w:rPr>
              <w:t>1</w:t>
            </w:r>
          </w:p>
        </w:tc>
        <w:tc>
          <w:tcPr>
            <w:tcW w:w="2076" w:type="dxa"/>
          </w:tcPr>
          <w:p w14:paraId="30D9E3A8"/>
        </w:tc>
        <w:tc>
          <w:tcPr>
            <w:tcW w:w="2076" w:type="dxa"/>
          </w:tcPr>
          <w:p w14:paraId="5E3B36C0">
            <w:pPr>
              <w:pStyle w:val="4"/>
              <w:jc w:val="left"/>
            </w:pPr>
            <w:r>
              <w:rPr>
                <w:rFonts w:ascii="仿宋_GB2312" w:hAnsi="仿宋_GB2312" w:eastAsia="仿宋_GB2312" w:cs="仿宋_GB2312"/>
              </w:rPr>
              <w:t>服务期限</w:t>
            </w:r>
          </w:p>
        </w:tc>
        <w:tc>
          <w:tcPr>
            <w:tcW w:w="2076" w:type="dxa"/>
          </w:tcPr>
          <w:p w14:paraId="6FAA9A7D">
            <w:pPr>
              <w:pStyle w:val="4"/>
              <w:jc w:val="left"/>
            </w:pPr>
            <w:r>
              <w:rPr>
                <w:rFonts w:ascii="仿宋_GB2312" w:hAnsi="仿宋_GB2312" w:eastAsia="仿宋_GB2312" w:cs="仿宋_GB2312"/>
              </w:rPr>
              <w:t>自合同签订之日起至农博会结束并完成验收、归档完毕之日止</w:t>
            </w:r>
          </w:p>
        </w:tc>
      </w:tr>
      <w:tr w14:paraId="4932F8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55F5C8">
            <w:pPr>
              <w:pStyle w:val="4"/>
              <w:jc w:val="left"/>
            </w:pPr>
            <w:r>
              <w:rPr>
                <w:rFonts w:ascii="仿宋_GB2312" w:hAnsi="仿宋_GB2312" w:eastAsia="仿宋_GB2312" w:cs="仿宋_GB2312"/>
              </w:rPr>
              <w:t>2</w:t>
            </w:r>
          </w:p>
        </w:tc>
        <w:tc>
          <w:tcPr>
            <w:tcW w:w="2076" w:type="dxa"/>
          </w:tcPr>
          <w:p w14:paraId="6D35998A"/>
        </w:tc>
        <w:tc>
          <w:tcPr>
            <w:tcW w:w="2076" w:type="dxa"/>
          </w:tcPr>
          <w:p w14:paraId="1A757FF6">
            <w:pPr>
              <w:pStyle w:val="4"/>
              <w:jc w:val="left"/>
            </w:pPr>
            <w:r>
              <w:rPr>
                <w:rFonts w:ascii="仿宋_GB2312" w:hAnsi="仿宋_GB2312" w:eastAsia="仿宋_GB2312" w:cs="仿宋_GB2312"/>
              </w:rPr>
              <w:t>服务地点</w:t>
            </w:r>
          </w:p>
        </w:tc>
        <w:tc>
          <w:tcPr>
            <w:tcW w:w="2076" w:type="dxa"/>
          </w:tcPr>
          <w:p w14:paraId="2D801097">
            <w:pPr>
              <w:pStyle w:val="4"/>
              <w:jc w:val="left"/>
            </w:pPr>
            <w:r>
              <w:rPr>
                <w:rFonts w:ascii="仿宋_GB2312" w:hAnsi="仿宋_GB2312" w:eastAsia="仿宋_GB2312" w:cs="仿宋_GB2312"/>
              </w:rPr>
              <w:t>采购人指定地点</w:t>
            </w:r>
          </w:p>
        </w:tc>
      </w:tr>
      <w:tr w14:paraId="56F58D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C98079">
            <w:pPr>
              <w:pStyle w:val="4"/>
              <w:jc w:val="left"/>
            </w:pPr>
            <w:r>
              <w:rPr>
                <w:rFonts w:ascii="仿宋_GB2312" w:hAnsi="仿宋_GB2312" w:eastAsia="仿宋_GB2312" w:cs="仿宋_GB2312"/>
              </w:rPr>
              <w:t>3</w:t>
            </w:r>
          </w:p>
        </w:tc>
        <w:tc>
          <w:tcPr>
            <w:tcW w:w="2076" w:type="dxa"/>
          </w:tcPr>
          <w:p w14:paraId="518FD9BE"/>
        </w:tc>
        <w:tc>
          <w:tcPr>
            <w:tcW w:w="2076" w:type="dxa"/>
          </w:tcPr>
          <w:p w14:paraId="560035EF">
            <w:pPr>
              <w:pStyle w:val="4"/>
              <w:jc w:val="left"/>
            </w:pPr>
            <w:r>
              <w:rPr>
                <w:rFonts w:ascii="仿宋_GB2312" w:hAnsi="仿宋_GB2312" w:eastAsia="仿宋_GB2312" w:cs="仿宋_GB2312"/>
              </w:rPr>
              <w:t>验收、交付标准和方法</w:t>
            </w:r>
          </w:p>
        </w:tc>
        <w:tc>
          <w:tcPr>
            <w:tcW w:w="2076" w:type="dxa"/>
          </w:tcPr>
          <w:p w14:paraId="22718A85">
            <w:pPr>
              <w:pStyle w:val="4"/>
              <w:jc w:val="left"/>
            </w:pPr>
            <w:r>
              <w:rPr>
                <w:rFonts w:ascii="仿宋_GB2312" w:hAnsi="仿宋_GB2312" w:eastAsia="仿宋_GB2312" w:cs="仿宋_GB2312"/>
              </w:rPr>
              <w:t>严格按照《财政部关于进一步加强政府采购需求和履约验收管理的指导意见》（财库〔2016〕205号）、《政府采购需求管理办法》（财库〔2021〕22号）和采购⽂件技术、服务要求、响应⽂件响应情况和国家、⾏业标准验收。</w:t>
            </w:r>
          </w:p>
        </w:tc>
      </w:tr>
      <w:tr w14:paraId="608AEB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752ADCD">
            <w:pPr>
              <w:pStyle w:val="4"/>
              <w:jc w:val="left"/>
            </w:pPr>
            <w:r>
              <w:rPr>
                <w:rFonts w:ascii="仿宋_GB2312" w:hAnsi="仿宋_GB2312" w:eastAsia="仿宋_GB2312" w:cs="仿宋_GB2312"/>
              </w:rPr>
              <w:t>4</w:t>
            </w:r>
          </w:p>
        </w:tc>
        <w:tc>
          <w:tcPr>
            <w:tcW w:w="2076" w:type="dxa"/>
          </w:tcPr>
          <w:p w14:paraId="28A5DBCF"/>
        </w:tc>
        <w:tc>
          <w:tcPr>
            <w:tcW w:w="2076" w:type="dxa"/>
          </w:tcPr>
          <w:p w14:paraId="2D97DEE2">
            <w:pPr>
              <w:pStyle w:val="4"/>
              <w:jc w:val="left"/>
            </w:pPr>
            <w:r>
              <w:rPr>
                <w:rFonts w:ascii="仿宋_GB2312" w:hAnsi="仿宋_GB2312" w:eastAsia="仿宋_GB2312" w:cs="仿宋_GB2312"/>
              </w:rPr>
              <w:t>支付方式</w:t>
            </w:r>
          </w:p>
        </w:tc>
        <w:tc>
          <w:tcPr>
            <w:tcW w:w="2076" w:type="dxa"/>
          </w:tcPr>
          <w:p w14:paraId="6BD82296">
            <w:pPr>
              <w:pStyle w:val="4"/>
              <w:jc w:val="left"/>
            </w:pPr>
            <w:r>
              <w:rPr>
                <w:rFonts w:ascii="仿宋_GB2312" w:hAnsi="仿宋_GB2312" w:eastAsia="仿宋_GB2312" w:cs="仿宋_GB2312"/>
              </w:rPr>
              <w:t>分期付款</w:t>
            </w:r>
          </w:p>
        </w:tc>
      </w:tr>
      <w:tr w14:paraId="53BAA4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10EC9A">
            <w:pPr>
              <w:pStyle w:val="4"/>
              <w:jc w:val="left"/>
            </w:pPr>
            <w:r>
              <w:rPr>
                <w:rFonts w:ascii="仿宋_GB2312" w:hAnsi="仿宋_GB2312" w:eastAsia="仿宋_GB2312" w:cs="仿宋_GB2312"/>
              </w:rPr>
              <w:t>5</w:t>
            </w:r>
          </w:p>
        </w:tc>
        <w:tc>
          <w:tcPr>
            <w:tcW w:w="2076" w:type="dxa"/>
          </w:tcPr>
          <w:p w14:paraId="0809F629"/>
        </w:tc>
        <w:tc>
          <w:tcPr>
            <w:tcW w:w="2076" w:type="dxa"/>
          </w:tcPr>
          <w:p w14:paraId="3AD6F06A">
            <w:pPr>
              <w:pStyle w:val="4"/>
              <w:jc w:val="left"/>
            </w:pPr>
            <w:r>
              <w:rPr>
                <w:rFonts w:ascii="仿宋_GB2312" w:hAnsi="仿宋_GB2312" w:eastAsia="仿宋_GB2312" w:cs="仿宋_GB2312"/>
              </w:rPr>
              <w:t>付款进度安排</w:t>
            </w:r>
          </w:p>
        </w:tc>
        <w:tc>
          <w:tcPr>
            <w:tcW w:w="2076" w:type="dxa"/>
          </w:tcPr>
          <w:p w14:paraId="7F321193">
            <w:pPr>
              <w:pStyle w:val="4"/>
              <w:jc w:val="left"/>
            </w:pPr>
            <w:r>
              <w:rPr>
                <w:rFonts w:ascii="仿宋_GB2312" w:hAnsi="仿宋_GB2312" w:eastAsia="仿宋_GB2312" w:cs="仿宋_GB2312"/>
              </w:rPr>
              <w:t>1、预付款付款条件：合同签订生效后。达到该付款条件起10个工作日内，支付合同总金额的40.0%</w:t>
            </w:r>
            <w:r>
              <w:br w:type="textWrapping"/>
            </w:r>
            <w:r>
              <w:rPr>
                <w:rFonts w:ascii="仿宋_GB2312" w:hAnsi="仿宋_GB2312" w:eastAsia="仿宋_GB2312" w:cs="仿宋_GB2312"/>
              </w:rPr>
              <w:t>2、尾款付款条件：服务成果验收合格后。达到该付款条件起10个工作日内，支付合同总金额的60.0%</w:t>
            </w:r>
            <w:r>
              <w:br w:type="textWrapping"/>
            </w:r>
          </w:p>
        </w:tc>
      </w:tr>
      <w:tr w14:paraId="6390AB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F8974B">
            <w:pPr>
              <w:pStyle w:val="4"/>
              <w:jc w:val="left"/>
            </w:pPr>
            <w:r>
              <w:rPr>
                <w:rFonts w:ascii="仿宋_GB2312" w:hAnsi="仿宋_GB2312" w:eastAsia="仿宋_GB2312" w:cs="仿宋_GB2312"/>
              </w:rPr>
              <w:t>6</w:t>
            </w:r>
          </w:p>
        </w:tc>
        <w:tc>
          <w:tcPr>
            <w:tcW w:w="2076" w:type="dxa"/>
          </w:tcPr>
          <w:p w14:paraId="2428B974"/>
        </w:tc>
        <w:tc>
          <w:tcPr>
            <w:tcW w:w="2076" w:type="dxa"/>
          </w:tcPr>
          <w:p w14:paraId="014DA804">
            <w:pPr>
              <w:pStyle w:val="4"/>
              <w:jc w:val="left"/>
            </w:pPr>
            <w:r>
              <w:rPr>
                <w:rFonts w:ascii="仿宋_GB2312" w:hAnsi="仿宋_GB2312" w:eastAsia="仿宋_GB2312" w:cs="仿宋_GB2312"/>
              </w:rPr>
              <w:t>违约责任与解决争议的方法</w:t>
            </w:r>
          </w:p>
        </w:tc>
        <w:tc>
          <w:tcPr>
            <w:tcW w:w="2076" w:type="dxa"/>
          </w:tcPr>
          <w:p w14:paraId="1A5C85F4">
            <w:pPr>
              <w:pStyle w:val="4"/>
              <w:jc w:val="left"/>
            </w:pPr>
            <w:r>
              <w:rPr>
                <w:rFonts w:ascii="仿宋_GB2312" w:hAnsi="仿宋_GB2312" w:eastAsia="仿宋_GB2312" w:cs="仿宋_GB2312"/>
              </w:rPr>
              <w:t>按合同约定执行</w:t>
            </w:r>
          </w:p>
        </w:tc>
      </w:tr>
    </w:tbl>
    <w:p w14:paraId="02F3187C">
      <w:pPr>
        <w:pStyle w:val="4"/>
        <w:jc w:val="left"/>
        <w:outlineLvl w:val="2"/>
      </w:pPr>
      <w:r>
        <w:rPr>
          <w:rFonts w:ascii="仿宋_GB2312" w:hAnsi="仿宋_GB2312" w:eastAsia="仿宋_GB2312" w:cs="仿宋_GB2312"/>
          <w:b/>
          <w:sz w:val="28"/>
        </w:rPr>
        <w:t>3.4.其他要求</w:t>
      </w:r>
    </w:p>
    <w:p w14:paraId="33731F83">
      <w:pPr>
        <w:pStyle w:val="4"/>
        <w:ind w:firstLine="480"/>
        <w:jc w:val="left"/>
      </w:pPr>
      <w:r>
        <w:rPr>
          <w:rFonts w:ascii="仿宋_GB2312" w:hAnsi="仿宋_GB2312" w:eastAsia="仿宋_GB2312" w:cs="仿宋_GB2312"/>
        </w:rPr>
        <w:t>采购包1：</w:t>
      </w:r>
    </w:p>
    <w:p w14:paraId="0745D4A8">
      <w:r>
        <w:rPr>
          <w:rFonts w:ascii="仿宋_GB2312" w:hAnsi="仿宋_GB2312" w:eastAsia="仿宋_GB2312" w:cs="仿宋_GB2312"/>
        </w:rPr>
        <w:t>1、供应商需提供项目设计方案包括：①项目整体策划方案（包含：指导思想、项目背景、展馆主题、目标定位、进度计划）②展馆主题设计方案（包含：空间布局、参观线路设计、视觉创意、效果图）③各区域图文展板设计方案（包含：视觉设计美学与信息展现）④直播带货执行方案（包含：场次规划、运营细节）⑤宣传推广方案（包含：展会精彩花絮、素材产出、拟推广媒体）⑥农产品品鉴活动策划方案。</w:t>
      </w:r>
      <w:r>
        <w:rPr>
          <w:rFonts w:hint="eastAsia" w:ascii="仿宋_GB2312" w:hAnsi="仿宋_GB2312" w:eastAsia="仿宋_GB2312" w:cs="仿宋_GB2312"/>
        </w:rPr>
        <w:t>搭建施工方案</w:t>
      </w:r>
      <w:r>
        <w:rPr>
          <w:rFonts w:hint="eastAsia" w:ascii="仿宋_GB2312" w:hAnsi="仿宋_GB2312" w:eastAsia="仿宋_GB2312" w:cs="仿宋_GB2312"/>
          <w:lang w:eastAsia="zh-CN"/>
        </w:rPr>
        <w:t>包括</w:t>
      </w:r>
      <w:bookmarkStart w:id="0" w:name="_GoBack"/>
      <w:bookmarkEnd w:id="0"/>
      <w:r>
        <w:rPr>
          <w:rFonts w:hint="eastAsia" w:ascii="仿宋_GB2312" w:hAnsi="仿宋_GB2312" w:eastAsia="仿宋_GB2312" w:cs="仿宋_GB2312"/>
        </w:rPr>
        <w:t>：①搭建质量保障措施②搭建安全保障措施③后勤保障方案</w:t>
      </w:r>
      <w:r>
        <w:rPr>
          <w:rFonts w:hint="eastAsia" w:ascii="仿宋_GB2312" w:hAnsi="仿宋_GB2312" w:eastAsia="仿宋_GB2312" w:cs="仿宋_GB2312"/>
          <w:lang w:eastAsia="zh-CN"/>
        </w:rPr>
        <w:t>。</w:t>
      </w:r>
      <w:r>
        <w:rPr>
          <w:rFonts w:ascii="仿宋_GB2312" w:hAnsi="仿宋_GB2312" w:eastAsia="仿宋_GB2312" w:cs="仿宋_GB2312"/>
        </w:rPr>
        <w:t>应急预案包括：①消防安全应急措施②设施设备故障应急措施③用电安全突发应急措施④突发舆情及直播风控应急措施⑤针对采购人临时需求及赶工的应急措施。2、供应商需提供满足本项目履约能力的相关服务人员。★3、报价要求：本项目报价为总价包干报价，投标报价包括人员费、设备费、物料制作费、场地布置费、素材拍摄剪辑费、活动组织费、现场保障费、管理费、税费、风险费以及完成本采购项目全部服务所产生的一切费用。采购人不再另行支付任何其他费用。投标人应充分踏勘现场、研判项目实施风险，所有漏项、缺项产生的费用均由投标人自行承担。 4、在同等条件下，属于不发达地区和少数民族地区的供应商，享有优先采购的机会(不发达地区或少数民族地区的供应商需提供属于不发达地区或少数民族地区企业的相关证明材料，或供应商注册地为少数民族地区的相关证明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F40D2F"/>
    <w:rsid w:val="07A0018C"/>
    <w:rsid w:val="3CF40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398</Words>
  <Characters>459</Characters>
  <Lines>0</Lines>
  <Paragraphs>0</Paragraphs>
  <TotalTime>0</TotalTime>
  <ScaleCrop>false</ScaleCrop>
  <LinksUpToDate>false</LinksUpToDate>
  <CharactersWithSpaces>463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2026-09-07T09:16:00Z</dcterms:created>
  <dc:creator>ph</dc:creator>
  <cp:lastModifiedBy>ph</cp:lastModifiedBy>
  <dcterms:modified xsi:type="dcterms:W3CDTF">2026-09-10T08:27:23Z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5B08B26B31994869A22C8AF973EEF3BF_11</vt:lpwstr>
  </property>
  <property fmtid="{D5CDD505-2E9C-101B-9397-08002B2CF9AE}" pid="4" name="KSOTemplateDocerSaveRecord">
    <vt:lpwstr>eyJoZGlkIjoiMzdmZDU4ZTdhN2FhNDBiYzQxNTUwODBkMGI5ZWEyYmYiLCJ1c2VySWQiOiI0MjU2OTExNzcifQ==</vt:lpwstr>
  </property>
</Properties>
</file>